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36"/>
          <w:szCs w:val="36"/>
          <w:lang w:val="en-US" w:eastAsia="zh-CN" w:bidi="ar-SA"/>
        </w:rPr>
        <w:id w:val="147458038"/>
        <w:docPartObj>
          <w:docPartGallery w:val="Table of Contents"/>
          <w:docPartUnique/>
        </w:docPartObj>
      </w:sdtPr>
      <w:sdtEndPr>
        <w:rPr>
          <w:rFonts w:ascii="宋体" w:hAnsi="宋体" w:eastAsia="宋体" w:cstheme="minorBidi"/>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sz w:val="36"/>
              <w:szCs w:val="36"/>
            </w:rPr>
          </w:pPr>
          <w:bookmarkStart w:id="0" w:name="_Toc3664_WPSOffice_Type1"/>
          <w:bookmarkStart w:id="1" w:name="_Toc51767453"/>
          <w:bookmarkStart w:id="2" w:name="_Toc5723"/>
          <w:bookmarkStart w:id="3" w:name="_Toc14005"/>
          <w:bookmarkStart w:id="4" w:name="_Toc534377765"/>
          <w:r>
            <w:rPr>
              <w:rFonts w:ascii="宋体" w:hAnsi="宋体" w:eastAsia="宋体"/>
              <w:sz w:val="36"/>
              <w:szCs w:val="36"/>
            </w:rPr>
            <w:t>目录</w:t>
          </w:r>
        </w:p>
        <w:p>
          <w:pPr>
            <w:spacing w:before="0" w:beforeLines="0" w:after="0" w:afterLines="0" w:line="240" w:lineRule="auto"/>
            <w:ind w:left="0" w:leftChars="0" w:right="0" w:rightChars="0" w:firstLine="0" w:firstLineChars="0"/>
            <w:jc w:val="center"/>
            <w:rPr>
              <w:rFonts w:ascii="宋体" w:hAnsi="宋体" w:eastAsia="宋体"/>
              <w:sz w:val="36"/>
              <w:szCs w:val="36"/>
            </w:rPr>
          </w:pPr>
        </w:p>
        <w:p>
          <w:pPr>
            <w:jc w:val="center"/>
            <w:rPr>
              <w:rFonts w:ascii="宋体" w:hAnsi="宋体" w:eastAsia="宋体" w:cs="宋体"/>
              <w:b/>
              <w:bCs/>
              <w:sz w:val="44"/>
              <w:szCs w:val="52"/>
            </w:rPr>
          </w:pPr>
          <w:r>
            <w:rPr>
              <w:rFonts w:hint="eastAsia" w:ascii="宋体" w:hAnsi="宋体" w:eastAsia="宋体" w:cs="宋体"/>
              <w:b/>
              <w:bCs/>
              <w:sz w:val="44"/>
              <w:szCs w:val="52"/>
            </w:rPr>
            <w:t>第五部分 学生工作管理类</w:t>
          </w:r>
        </w:p>
        <w:p>
          <w:pPr>
            <w:spacing w:before="0" w:beforeLines="0" w:after="0" w:afterLines="0" w:line="240" w:lineRule="auto"/>
            <w:ind w:left="0" w:leftChars="0" w:right="0" w:rightChars="0" w:firstLine="0" w:firstLineChars="0"/>
            <w:jc w:val="both"/>
            <w:rPr>
              <w:rFonts w:ascii="宋体" w:hAnsi="宋体" w:eastAsia="宋体"/>
              <w:sz w:val="36"/>
              <w:szCs w:val="36"/>
            </w:rPr>
          </w:pPr>
        </w:p>
        <w:p>
          <w:pPr>
            <w:pStyle w:val="25"/>
            <w:tabs>
              <w:tab w:val="right" w:leader="dot" w:pos="8845"/>
            </w:tabs>
          </w:pPr>
          <w:r>
            <w:fldChar w:fldCharType="begin"/>
          </w:r>
          <w:r>
            <w:instrText xml:space="preserve"> HYPERLINK \l _Toc12959_WPSOffice_Level1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3f3baaff-b2a9-45a3-a4d1-0417a6ceef54}"/>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柳州职业技术学院学生管理规定</w:t>
              </w:r>
            </w:sdtContent>
          </w:sdt>
          <w:r>
            <w:tab/>
          </w:r>
          <w:bookmarkStart w:id="5" w:name="_Toc12959_WPSOffice_Level1Page"/>
          <w:r>
            <w:t>1</w:t>
          </w:r>
          <w:bookmarkEnd w:id="5"/>
          <w:r>
            <w:fldChar w:fldCharType="end"/>
          </w:r>
        </w:p>
        <w:p>
          <w:pPr>
            <w:pStyle w:val="25"/>
            <w:tabs>
              <w:tab w:val="right" w:leader="dot" w:pos="8845"/>
            </w:tabs>
          </w:pPr>
          <w:r>
            <w:fldChar w:fldCharType="begin"/>
          </w:r>
          <w:r>
            <w:instrText xml:space="preserve"> HYPERLINK \l _Toc21279_WPSOffice_Level1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0af96619-a82d-4814-8c58-0b1859aa0cbd}"/>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柳州职业技术学院学生行为规范管理办法</w:t>
              </w:r>
            </w:sdtContent>
          </w:sdt>
          <w:r>
            <w:tab/>
          </w:r>
          <w:bookmarkStart w:id="6" w:name="_Toc21279_WPSOffice_Level1Page"/>
          <w:r>
            <w:t>19</w:t>
          </w:r>
          <w:bookmarkEnd w:id="6"/>
          <w:r>
            <w:fldChar w:fldCharType="end"/>
          </w:r>
        </w:p>
        <w:p>
          <w:pPr>
            <w:pStyle w:val="25"/>
            <w:tabs>
              <w:tab w:val="right" w:leader="dot" w:pos="8845"/>
            </w:tabs>
          </w:pPr>
          <w:r>
            <w:fldChar w:fldCharType="begin"/>
          </w:r>
          <w:r>
            <w:instrText xml:space="preserve"> HYPERLINK \l _Toc6375_WPSOffice_Level1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937c3cdd-f213-476d-a1fa-eaa0215cb3c7}"/>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柳州职业技术学院学生学业预警管理办法</w:t>
              </w:r>
            </w:sdtContent>
          </w:sdt>
          <w:r>
            <w:tab/>
          </w:r>
          <w:bookmarkStart w:id="7" w:name="_Toc6375_WPSOffice_Level1Page"/>
          <w:r>
            <w:t>28</w:t>
          </w:r>
          <w:bookmarkEnd w:id="7"/>
          <w:r>
            <w:fldChar w:fldCharType="end"/>
          </w:r>
        </w:p>
        <w:p>
          <w:pPr>
            <w:pStyle w:val="25"/>
            <w:tabs>
              <w:tab w:val="right" w:leader="dot" w:pos="8845"/>
            </w:tabs>
          </w:pPr>
          <w:r>
            <w:fldChar w:fldCharType="begin"/>
          </w:r>
          <w:r>
            <w:instrText xml:space="preserve"> HYPERLINK \l _Toc17645_WPSOffice_Level1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f740abb5-99b5-4020-8d1c-ed57c8c2b886}"/>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柳州职业技术学院学生校内申诉管理规定</w:t>
              </w:r>
            </w:sdtContent>
          </w:sdt>
          <w:r>
            <w:tab/>
          </w:r>
          <w:bookmarkStart w:id="8" w:name="_Toc17645_WPSOffice_Level1Page"/>
          <w:r>
            <w:t>32</w:t>
          </w:r>
          <w:bookmarkEnd w:id="8"/>
          <w:r>
            <w:fldChar w:fldCharType="end"/>
          </w:r>
        </w:p>
        <w:p>
          <w:pPr>
            <w:pStyle w:val="25"/>
            <w:tabs>
              <w:tab w:val="right" w:leader="dot" w:pos="8845"/>
            </w:tabs>
          </w:pPr>
          <w:r>
            <w:fldChar w:fldCharType="begin"/>
          </w:r>
          <w:r>
            <w:instrText xml:space="preserve"> HYPERLINK \l _Toc14434_WPSOffice_Level1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1eb6aaa5-35e2-49ae-be52-1b5a8129139d}"/>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柳州职业技术学院学生综合素质考评办法</w:t>
              </w:r>
            </w:sdtContent>
          </w:sdt>
          <w:r>
            <w:tab/>
          </w:r>
          <w:bookmarkStart w:id="9" w:name="_Toc14434_WPSOffice_Level1Page"/>
          <w:r>
            <w:t>36</w:t>
          </w:r>
          <w:bookmarkEnd w:id="9"/>
          <w:r>
            <w:fldChar w:fldCharType="end"/>
          </w:r>
        </w:p>
        <w:p>
          <w:pPr>
            <w:pStyle w:val="25"/>
            <w:tabs>
              <w:tab w:val="right" w:leader="dot" w:pos="8845"/>
            </w:tabs>
          </w:pPr>
          <w:r>
            <w:fldChar w:fldCharType="begin"/>
          </w:r>
          <w:r>
            <w:instrText xml:space="preserve"> HYPERLINK \l _Toc25049_WPSOffice_Level1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b5385d57-853c-4051-8ebf-df2222ed6081}"/>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柳州职业技术学院学生诚信积分管理办法</w:t>
              </w:r>
            </w:sdtContent>
          </w:sdt>
          <w:r>
            <w:tab/>
          </w:r>
          <w:bookmarkStart w:id="10" w:name="_Toc25049_WPSOffice_Level1Page"/>
          <w:r>
            <w:t>39</w:t>
          </w:r>
          <w:bookmarkEnd w:id="10"/>
          <w:r>
            <w:fldChar w:fldCharType="end"/>
          </w:r>
        </w:p>
        <w:p>
          <w:pPr>
            <w:pStyle w:val="25"/>
            <w:tabs>
              <w:tab w:val="right" w:leader="dot" w:pos="8845"/>
            </w:tabs>
          </w:pPr>
          <w:r>
            <w:fldChar w:fldCharType="begin"/>
          </w:r>
          <w:r>
            <w:instrText xml:space="preserve"> HYPERLINK \l _Toc18952_WPSOffice_Level1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a3e43663-7791-468f-902e-6e4e2c13b396}"/>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柳州职业技术学院易班网络平台管理规定</w:t>
              </w:r>
            </w:sdtContent>
          </w:sdt>
          <w:r>
            <w:tab/>
          </w:r>
          <w:bookmarkStart w:id="11" w:name="_Toc18952_WPSOffice_Level1Page"/>
          <w:r>
            <w:t>43</w:t>
          </w:r>
          <w:bookmarkEnd w:id="11"/>
          <w:r>
            <w:fldChar w:fldCharType="end"/>
          </w:r>
        </w:p>
        <w:p>
          <w:pPr>
            <w:pStyle w:val="25"/>
            <w:tabs>
              <w:tab w:val="right" w:leader="dot" w:pos="8845"/>
            </w:tabs>
          </w:pPr>
          <w:r>
            <w:fldChar w:fldCharType="begin"/>
          </w:r>
          <w:r>
            <w:instrText xml:space="preserve"> HYPERLINK \l _Toc29606_WPSOffice_Level1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0bedca35-59f3-4819-9205-accad6a4a726}"/>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柳州职业技术学院服兵役学生国家教育资助管理办法</w:t>
              </w:r>
            </w:sdtContent>
          </w:sdt>
          <w:r>
            <w:tab/>
          </w:r>
          <w:bookmarkStart w:id="12" w:name="_Toc29606_WPSOffice_Level1Page"/>
          <w:r>
            <w:t>47</w:t>
          </w:r>
          <w:bookmarkEnd w:id="12"/>
          <w:r>
            <w:fldChar w:fldCharType="end"/>
          </w:r>
        </w:p>
        <w:p>
          <w:pPr>
            <w:pStyle w:val="25"/>
            <w:tabs>
              <w:tab w:val="right" w:leader="dot" w:pos="8845"/>
            </w:tabs>
          </w:pPr>
          <w:r>
            <w:fldChar w:fldCharType="begin"/>
          </w:r>
          <w:r>
            <w:instrText xml:space="preserve"> HYPERLINK \l _Toc31024_WPSOffice_Level1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f05c40c0-409c-487e-8bc9-c4ffde3a03d1}"/>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柳州职业技术学院学生宿舍管理规定</w:t>
              </w:r>
            </w:sdtContent>
          </w:sdt>
          <w:r>
            <w:tab/>
          </w:r>
          <w:bookmarkStart w:id="13" w:name="_Toc31024_WPSOffice_Level1Page"/>
          <w:r>
            <w:t>5</w:t>
          </w:r>
          <w:bookmarkEnd w:id="13"/>
          <w:r>
            <w:rPr>
              <w:rFonts w:hint="eastAsia" w:eastAsia="宋体"/>
              <w:lang w:val="en-US" w:eastAsia="zh-CN"/>
            </w:rPr>
            <w:t>4</w:t>
          </w:r>
          <w:r>
            <w:fldChar w:fldCharType="end"/>
          </w:r>
        </w:p>
        <w:p>
          <w:pPr>
            <w:pStyle w:val="25"/>
            <w:tabs>
              <w:tab w:val="right" w:leader="dot" w:pos="8845"/>
            </w:tabs>
          </w:pPr>
          <w:r>
            <w:fldChar w:fldCharType="begin"/>
          </w:r>
          <w:r>
            <w:instrText xml:space="preserve"> HYPERLINK \l _Toc32674_WPSOffice_Level1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23108091-a0c6-4f71-99ca-d3fc55e8b67d}"/>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柳州职业技术学院学生宿舍内务管理办法</w:t>
              </w:r>
            </w:sdtContent>
          </w:sdt>
          <w:r>
            <w:tab/>
          </w:r>
          <w:bookmarkStart w:id="14" w:name="_Toc32674_WPSOffice_Level1Page"/>
          <w:r>
            <w:t>60</w:t>
          </w:r>
          <w:bookmarkEnd w:id="14"/>
          <w:r>
            <w:fldChar w:fldCharType="end"/>
          </w:r>
        </w:p>
        <w:p>
          <w:pPr>
            <w:pStyle w:val="25"/>
            <w:tabs>
              <w:tab w:val="right" w:leader="dot" w:pos="8845"/>
            </w:tabs>
          </w:pPr>
          <w:r>
            <w:fldChar w:fldCharType="begin"/>
          </w:r>
          <w:r>
            <w:instrText xml:space="preserve"> HYPERLINK \l _Toc19400_WPSOffice_Level1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adaed032-eb02-420f-861c-dc3ee43f5d49}"/>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宋体" w:cs="宋体"/>
                </w:rPr>
                <w:t>柳州职业技术学院学生校外住宿管理办法</w:t>
              </w:r>
            </w:sdtContent>
          </w:sdt>
          <w:r>
            <w:tab/>
          </w:r>
          <w:bookmarkStart w:id="15" w:name="_Toc19400_WPSOffice_Level1Page"/>
          <w:r>
            <w:t>6</w:t>
          </w:r>
          <w:bookmarkEnd w:id="15"/>
          <w:r>
            <w:rPr>
              <w:rFonts w:hint="eastAsia" w:eastAsia="宋体"/>
              <w:lang w:val="en-US" w:eastAsia="zh-CN"/>
            </w:rPr>
            <w:t>7</w:t>
          </w:r>
          <w:r>
            <w:fldChar w:fldCharType="end"/>
          </w:r>
        </w:p>
        <w:p>
          <w:pPr>
            <w:pStyle w:val="25"/>
            <w:tabs>
              <w:tab w:val="right" w:leader="dot" w:pos="8845"/>
            </w:tabs>
          </w:pPr>
          <w:r>
            <w:fldChar w:fldCharType="begin"/>
          </w:r>
          <w:r>
            <w:instrText xml:space="preserve"> HYPERLINK \l _Toc3065_WPSOffice_Level1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54f4db22-c4fb-42c8-a1c8-18067d3e8f7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柳州职业技术学院学生学籍管理规定（修订稿）</w:t>
              </w:r>
            </w:sdtContent>
          </w:sdt>
          <w:r>
            <w:tab/>
          </w:r>
          <w:bookmarkStart w:id="16" w:name="_Toc3065_WPSOffice_Level1Page"/>
          <w:r>
            <w:t>69</w:t>
          </w:r>
          <w:bookmarkEnd w:id="16"/>
          <w:r>
            <w:fldChar w:fldCharType="end"/>
          </w:r>
        </w:p>
        <w:p>
          <w:pPr>
            <w:pStyle w:val="25"/>
            <w:tabs>
              <w:tab w:val="right" w:leader="dot" w:pos="8845"/>
            </w:tabs>
          </w:pPr>
          <w:r>
            <w:fldChar w:fldCharType="begin"/>
          </w:r>
          <w:r>
            <w:instrText xml:space="preserve"> HYPERLINK \l _Toc16190_WPSOffice_Level1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228f1dc1-3814-4ed9-ba3a-81180bc179a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柳州职业技术学院学生转专业管理办法</w:t>
              </w:r>
            </w:sdtContent>
          </w:sdt>
          <w:r>
            <w:tab/>
          </w:r>
          <w:bookmarkStart w:id="17" w:name="_Toc16190_WPSOffice_Level1Page"/>
          <w:r>
            <w:t>99</w:t>
          </w:r>
          <w:bookmarkEnd w:id="17"/>
          <w:r>
            <w:fldChar w:fldCharType="end"/>
          </w:r>
        </w:p>
        <w:p>
          <w:pPr>
            <w:pStyle w:val="25"/>
            <w:tabs>
              <w:tab w:val="right" w:leader="dot" w:pos="8845"/>
            </w:tabs>
          </w:pPr>
          <w:r>
            <w:fldChar w:fldCharType="begin"/>
          </w:r>
          <w:r>
            <w:instrText xml:space="preserve"> HYPERLINK \l _Toc13959_WPSOffice_Level1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a6651d3a-3daf-4d4d-8034-4f6478f1668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柳州职业技术学院学生宿舍空调使用管理规定（试行）</w:t>
              </w:r>
            </w:sdtContent>
          </w:sdt>
          <w:r>
            <w:tab/>
          </w:r>
          <w:bookmarkStart w:id="18" w:name="_Toc13959_WPSOffice_Level1Page"/>
          <w:r>
            <w:t>107</w:t>
          </w:r>
          <w:bookmarkEnd w:id="18"/>
          <w:r>
            <w:fldChar w:fldCharType="end"/>
          </w:r>
        </w:p>
        <w:p>
          <w:pPr>
            <w:pStyle w:val="25"/>
            <w:tabs>
              <w:tab w:val="right" w:leader="dot" w:pos="8845"/>
            </w:tabs>
          </w:pPr>
          <w:r>
            <w:fldChar w:fldCharType="begin"/>
          </w:r>
          <w:r>
            <w:instrText xml:space="preserve"> HYPERLINK \l _Toc22603_WPSOffice_Level1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276e7f63-8f4f-4006-8118-743b46fe54d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柳州职业技术学院受资助学生管理办法</w:t>
              </w:r>
            </w:sdtContent>
          </w:sdt>
          <w:r>
            <w:tab/>
          </w:r>
          <w:bookmarkStart w:id="19" w:name="_Toc22603_WPSOffice_Level1Page"/>
          <w:r>
            <w:t>110</w:t>
          </w:r>
          <w:bookmarkEnd w:id="19"/>
          <w:r>
            <w:fldChar w:fldCharType="end"/>
          </w:r>
        </w:p>
        <w:p>
          <w:pPr>
            <w:pStyle w:val="25"/>
            <w:tabs>
              <w:tab w:val="right" w:leader="dot" w:pos="8845"/>
            </w:tabs>
          </w:pPr>
          <w:r>
            <w:fldChar w:fldCharType="begin"/>
          </w:r>
          <w:r>
            <w:instrText xml:space="preserve"> HYPERLINK \l _Toc11030_WPSOffice_Level1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59c03073-7e26-48ef-a8ec-10a8c228f71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柳州职业技术学院家庭经济困难学生认定办法</w:t>
              </w:r>
            </w:sdtContent>
          </w:sdt>
          <w:r>
            <w:tab/>
          </w:r>
          <w:bookmarkStart w:id="20" w:name="_Toc11030_WPSOffice_Level1Page"/>
          <w:r>
            <w:t>114</w:t>
          </w:r>
          <w:bookmarkEnd w:id="20"/>
          <w:r>
            <w:fldChar w:fldCharType="end"/>
          </w:r>
        </w:p>
        <w:p>
          <w:pPr>
            <w:pStyle w:val="25"/>
            <w:tabs>
              <w:tab w:val="right" w:leader="dot" w:pos="8845"/>
            </w:tabs>
          </w:pPr>
          <w:r>
            <w:fldChar w:fldCharType="begin"/>
          </w:r>
          <w:r>
            <w:instrText xml:space="preserve"> HYPERLINK \l _Toc12036_WPSOffice_Level1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6ba85f51-1fa6-4d49-88d6-d97ec1683ce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柳州职业技术学院自治区人民政府奖学金评选管理办法（修订）</w:t>
              </w:r>
            </w:sdtContent>
          </w:sdt>
          <w:r>
            <w:tab/>
          </w:r>
          <w:bookmarkStart w:id="21" w:name="_Toc12036_WPSOffice_Level1Page"/>
          <w:r>
            <w:t>121</w:t>
          </w:r>
          <w:bookmarkEnd w:id="21"/>
          <w:r>
            <w:fldChar w:fldCharType="end"/>
          </w:r>
        </w:p>
        <w:p>
          <w:pPr>
            <w:pStyle w:val="25"/>
            <w:tabs>
              <w:tab w:val="right" w:leader="dot" w:pos="8845"/>
            </w:tabs>
          </w:pPr>
          <w:r>
            <w:fldChar w:fldCharType="begin"/>
          </w:r>
          <w:r>
            <w:instrText xml:space="preserve"> HYPERLINK \l _Toc5885_WPSOffice_Level1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d34cbc89-47df-4025-bccd-f9a7e3a0390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柳州职业技术学院国家助学金评选管理办法</w:t>
              </w:r>
            </w:sdtContent>
          </w:sdt>
          <w:r>
            <w:tab/>
          </w:r>
          <w:bookmarkStart w:id="22" w:name="_Toc5885_WPSOffice_Level1Page"/>
          <w:r>
            <w:t>125</w:t>
          </w:r>
          <w:bookmarkEnd w:id="22"/>
          <w:r>
            <w:fldChar w:fldCharType="end"/>
          </w:r>
        </w:p>
        <w:p>
          <w:pPr>
            <w:pStyle w:val="25"/>
            <w:tabs>
              <w:tab w:val="right" w:leader="dot" w:pos="8845"/>
            </w:tabs>
          </w:pPr>
          <w:r>
            <w:fldChar w:fldCharType="begin"/>
          </w:r>
          <w:r>
            <w:instrText xml:space="preserve"> HYPERLINK \l _Toc28749_WPSOffice_Level1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f9d6ea1e-db30-4c59-9c6f-a48d386fa39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柳州职业技术学院国家励志奖学金评选管理办法</w:t>
              </w:r>
            </w:sdtContent>
          </w:sdt>
          <w:r>
            <w:tab/>
          </w:r>
          <w:bookmarkStart w:id="23" w:name="_Toc28749_WPSOffice_Level1Page"/>
          <w:r>
            <w:t>130</w:t>
          </w:r>
          <w:bookmarkEnd w:id="23"/>
          <w:r>
            <w:fldChar w:fldCharType="end"/>
          </w:r>
        </w:p>
        <w:p>
          <w:pPr>
            <w:pStyle w:val="25"/>
            <w:tabs>
              <w:tab w:val="right" w:leader="dot" w:pos="8845"/>
            </w:tabs>
          </w:pPr>
          <w:r>
            <w:fldChar w:fldCharType="begin"/>
          </w:r>
          <w:r>
            <w:instrText xml:space="preserve"> HYPERLINK \l _Toc83_WPSOffice_Level1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b91ecdc3-4268-4477-9f80-6cbc0ffe7de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柳州职业技术学院国家奖学金评选管理办法</w:t>
              </w:r>
            </w:sdtContent>
          </w:sdt>
          <w:r>
            <w:tab/>
          </w:r>
          <w:bookmarkStart w:id="24" w:name="_Toc83_WPSOffice_Level1Page"/>
          <w:r>
            <w:t>134</w:t>
          </w:r>
          <w:bookmarkEnd w:id="24"/>
          <w:r>
            <w:fldChar w:fldCharType="end"/>
          </w:r>
        </w:p>
        <w:p>
          <w:pPr>
            <w:pStyle w:val="25"/>
            <w:tabs>
              <w:tab w:val="right" w:leader="dot" w:pos="8845"/>
            </w:tabs>
          </w:pPr>
          <w:r>
            <w:fldChar w:fldCharType="begin"/>
          </w:r>
          <w:r>
            <w:instrText xml:space="preserve"> HYPERLINK \l _Toc8580_WPSOffice_Level1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2dab3d7a-fe22-48d0-8877-44cd43a879d3}"/>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Theme="minorEastAsia" w:cstheme="minorBidi"/>
                </w:rPr>
                <w:t>柳州职业技术学院大学生创新与创造项目管理办法（试行）</w:t>
              </w:r>
            </w:sdtContent>
          </w:sdt>
          <w:r>
            <w:tab/>
          </w:r>
          <w:bookmarkStart w:id="25" w:name="_Toc8580_WPSOffice_Level1Page"/>
          <w:r>
            <w:t>138</w:t>
          </w:r>
          <w:bookmarkEnd w:id="25"/>
          <w:r>
            <w:fldChar w:fldCharType="end"/>
          </w:r>
        </w:p>
        <w:p>
          <w:pPr>
            <w:pStyle w:val="25"/>
            <w:tabs>
              <w:tab w:val="right" w:leader="dot" w:pos="8845"/>
            </w:tabs>
          </w:pPr>
          <w:r>
            <w:fldChar w:fldCharType="begin"/>
          </w:r>
          <w:r>
            <w:instrText xml:space="preserve"> HYPERLINK \l _Toc3119_WPSOffice_Level1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3ca8dc11-dcd7-442c-875a-696b804a62b8}"/>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Theme="minorEastAsia" w:cstheme="minorBidi"/>
                </w:rPr>
                <w:t>柳州职业技术学院创新创业活动学分奖励管理办法</w:t>
              </w:r>
            </w:sdtContent>
          </w:sdt>
          <w:r>
            <w:tab/>
          </w:r>
          <w:bookmarkStart w:id="26" w:name="_Toc3119_WPSOffice_Level1Page"/>
          <w:r>
            <w:t>146</w:t>
          </w:r>
          <w:bookmarkEnd w:id="26"/>
          <w:r>
            <w:fldChar w:fldCharType="end"/>
          </w:r>
        </w:p>
        <w:p>
          <w:pPr>
            <w:pStyle w:val="25"/>
            <w:tabs>
              <w:tab w:val="right" w:leader="dot" w:pos="8845"/>
            </w:tabs>
          </w:pPr>
          <w:r>
            <w:fldChar w:fldCharType="begin"/>
          </w:r>
          <w:r>
            <w:instrText xml:space="preserve"> HYPERLINK \l _Toc15607_WPSOffice_Level1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83c7b92e-cda7-43fe-beab-bc48f5a92d4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w:t>
              </w:r>
              <w:sdt>
                <w:sdtPr>
                  <w:rPr>
                    <w:rFonts w:asciiTheme="minorHAnsi" w:hAnsiTheme="minorHAnsi" w:eastAsiaTheme="minorEastAsia" w:cstheme="minorBidi"/>
                    <w:kern w:val="2"/>
                    <w:sz w:val="21"/>
                    <w:szCs w:val="24"/>
                    <w:lang w:val="en-US" w:eastAsia="zh-CN" w:bidi="ar-SA"/>
                  </w:rPr>
                  <w:id w:val="147458045"/>
                  <w:placeholder>
                    <w:docPart w:val="{12a9c31b-4687-4434-832a-7520916b4e2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创新创业活动学分奖励认定流程</w:t>
                  </w:r>
                </w:sdtContent>
              </w:sdt>
            </w:sdtContent>
          </w:sdt>
          <w:r>
            <w:fldChar w:fldCharType="end"/>
          </w:r>
          <w:r>
            <w:fldChar w:fldCharType="begin"/>
          </w:r>
          <w:r>
            <w:instrText xml:space="preserve"> HYPERLINK \l _Toc28406_WPSOffice_Level1 </w:instrText>
          </w:r>
          <w:r>
            <w:fldChar w:fldCharType="separate"/>
          </w:r>
          <w:r>
            <w:tab/>
          </w:r>
          <w:bookmarkStart w:id="27" w:name="_Toc28406_WPSOffice_Level1Page"/>
          <w:r>
            <w:t>152</w:t>
          </w:r>
          <w:bookmarkEnd w:id="27"/>
          <w:r>
            <w:fldChar w:fldCharType="end"/>
          </w:r>
        </w:p>
        <w:p>
          <w:pPr>
            <w:pStyle w:val="25"/>
            <w:tabs>
              <w:tab w:val="right" w:leader="dot" w:pos="8845"/>
            </w:tabs>
          </w:pPr>
          <w:r>
            <w:fldChar w:fldCharType="begin"/>
          </w:r>
          <w:r>
            <w:instrText xml:space="preserve"> HYPERLINK \l _Toc27205_WPSOffice_Level1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9cb0c075-c2c5-470a-8372-22959c2ed159}"/>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Theme="minorEastAsia" w:cstheme="minorBidi"/>
                </w:rPr>
                <w:t>柳州职业技术学院学生技能竞赛管理办法</w:t>
              </w:r>
            </w:sdtContent>
          </w:sdt>
          <w:r>
            <w:tab/>
          </w:r>
          <w:bookmarkStart w:id="28" w:name="_Toc27205_WPSOffice_Level1Page"/>
          <w:r>
            <w:t>158</w:t>
          </w:r>
          <w:bookmarkEnd w:id="28"/>
          <w:r>
            <w:fldChar w:fldCharType="end"/>
          </w:r>
        </w:p>
        <w:p>
          <w:pPr>
            <w:pStyle w:val="25"/>
            <w:tabs>
              <w:tab w:val="right" w:leader="dot" w:pos="8845"/>
            </w:tabs>
          </w:pPr>
          <w:r>
            <w:fldChar w:fldCharType="begin"/>
          </w:r>
          <w:r>
            <w:instrText xml:space="preserve"> HYPERLINK \l _Toc3240_WPSOffice_Level1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eb23858d-9118-4cf2-b9a3-1a1f53151711}"/>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Theme="minorEastAsia" w:cstheme="minorBidi"/>
                </w:rPr>
                <w:t>柳州职业技术学院学生专业技能竞赛经费管理和奖励办法</w:t>
              </w:r>
            </w:sdtContent>
          </w:sdt>
          <w:r>
            <w:tab/>
          </w:r>
          <w:bookmarkStart w:id="29" w:name="_Toc3240_WPSOffice_Level1Page"/>
          <w:r>
            <w:t>169</w:t>
          </w:r>
          <w:bookmarkEnd w:id="29"/>
          <w:r>
            <w:fldChar w:fldCharType="end"/>
          </w:r>
        </w:p>
        <w:p>
          <w:pPr>
            <w:pStyle w:val="25"/>
            <w:tabs>
              <w:tab w:val="right" w:leader="dot" w:pos="8845"/>
            </w:tabs>
          </w:pPr>
          <w:r>
            <w:fldChar w:fldCharType="begin"/>
          </w:r>
          <w:r>
            <w:instrText xml:space="preserve"> HYPERLINK \l _Toc11674_WPSOffice_Level1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3efe161a-71bb-40f0-94f3-9dfa093fa202}"/>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Theme="minorEastAsia" w:cstheme="minorBidi"/>
                </w:rPr>
                <w:t>柳州职业技术学院学生评优规定及奖励办法</w:t>
              </w:r>
            </w:sdtContent>
          </w:sdt>
          <w:r>
            <w:tab/>
          </w:r>
          <w:bookmarkStart w:id="30" w:name="_Toc11674_WPSOffice_Level1Page"/>
          <w:r>
            <w:t>181</w:t>
          </w:r>
          <w:bookmarkEnd w:id="30"/>
          <w:r>
            <w:fldChar w:fldCharType="end"/>
          </w:r>
        </w:p>
        <w:p>
          <w:pPr>
            <w:pStyle w:val="25"/>
            <w:tabs>
              <w:tab w:val="right" w:leader="dot" w:pos="8845"/>
            </w:tabs>
          </w:pPr>
          <w:r>
            <w:fldChar w:fldCharType="begin"/>
          </w:r>
          <w:r>
            <w:instrText xml:space="preserve"> HYPERLINK \l _Toc32461_WPSOffice_Level1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1c34a28e-c032-4ac7-9da0-9b2f46b44396}"/>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Theme="minorEastAsia" w:cstheme="minorBidi"/>
                </w:rPr>
                <w:t>柳州职业技术学院家庭经济困难心理问题学生经济援助实施办法</w:t>
              </w:r>
            </w:sdtContent>
          </w:sdt>
          <w:r>
            <w:tab/>
          </w:r>
          <w:bookmarkStart w:id="31" w:name="_Toc32461_WPSOffice_Level1Page"/>
          <w:r>
            <w:t>191</w:t>
          </w:r>
          <w:bookmarkEnd w:id="31"/>
          <w:r>
            <w:fldChar w:fldCharType="end"/>
          </w:r>
        </w:p>
        <w:p>
          <w:pPr>
            <w:pStyle w:val="25"/>
            <w:tabs>
              <w:tab w:val="right" w:leader="dot" w:pos="8845"/>
            </w:tabs>
          </w:pPr>
          <w:r>
            <w:fldChar w:fldCharType="begin"/>
          </w:r>
          <w:r>
            <w:instrText xml:space="preserve"> HYPERLINK \l _Toc6223_WPSOffice_Level1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33a41f5d-5e2e-4f31-b307-8f7e1b093b63}"/>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Theme="minorEastAsia" w:cstheme="minorBidi"/>
                </w:rPr>
                <w:t>柳州职业技术学院学生第二课堂活动管理办法</w:t>
              </w:r>
            </w:sdtContent>
          </w:sdt>
          <w:r>
            <w:tab/>
          </w:r>
          <w:bookmarkStart w:id="32" w:name="_Toc6223_WPSOffice_Level1Page"/>
          <w:r>
            <w:t>195</w:t>
          </w:r>
          <w:bookmarkEnd w:id="32"/>
          <w:r>
            <w:fldChar w:fldCharType="end"/>
          </w:r>
        </w:p>
        <w:p>
          <w:pPr>
            <w:pStyle w:val="25"/>
            <w:tabs>
              <w:tab w:val="right" w:leader="dot" w:pos="8845"/>
            </w:tabs>
          </w:pPr>
          <w:r>
            <w:fldChar w:fldCharType="begin"/>
          </w:r>
          <w:r>
            <w:instrText xml:space="preserve"> HYPERLINK \l _Toc12936_WPSOffice_Level1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694793ba-7637-4623-81a0-406fd196474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柳州职业技术学院加强和改进领导干部深入基层联系学生工作的实施办法</w:t>
              </w:r>
            </w:sdtContent>
          </w:sdt>
          <w:r>
            <w:tab/>
          </w:r>
          <w:bookmarkStart w:id="33" w:name="_Toc12936_WPSOffice_Level1Page"/>
          <w:r>
            <w:t>200</w:t>
          </w:r>
          <w:bookmarkEnd w:id="33"/>
          <w:r>
            <w:fldChar w:fldCharType="end"/>
          </w:r>
        </w:p>
        <w:p>
          <w:pPr>
            <w:pStyle w:val="25"/>
            <w:tabs>
              <w:tab w:val="right" w:leader="dot" w:pos="8845"/>
            </w:tabs>
          </w:pPr>
          <w:r>
            <w:fldChar w:fldCharType="begin"/>
          </w:r>
          <w:r>
            <w:instrText xml:space="preserve"> HYPERLINK \l _Toc31378_WPSOffice_Level1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aac29f83-0cf9-4855-993b-d02eeda5a68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柳州职业技术学院学生特殊困难补助实施办法</w:t>
              </w:r>
            </w:sdtContent>
          </w:sdt>
          <w:r>
            <w:tab/>
          </w:r>
          <w:bookmarkStart w:id="34" w:name="_Toc31378_WPSOffice_Level1Page"/>
          <w:r>
            <w:t>204</w:t>
          </w:r>
          <w:bookmarkEnd w:id="34"/>
          <w:r>
            <w:fldChar w:fldCharType="end"/>
          </w:r>
        </w:p>
        <w:p>
          <w:pPr>
            <w:pStyle w:val="25"/>
            <w:tabs>
              <w:tab w:val="right" w:leader="dot" w:pos="8845"/>
            </w:tabs>
          </w:pPr>
          <w:r>
            <w:fldChar w:fldCharType="begin"/>
          </w:r>
          <w:r>
            <w:instrText xml:space="preserve"> HYPERLINK \l _Toc22167_WPSOffice_Level1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4e2ee81e-7efd-4e91-8896-69eb6ec5abf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柳州职业技术学院学生学费减免实施办法</w:t>
              </w:r>
            </w:sdtContent>
          </w:sdt>
          <w:r>
            <w:tab/>
          </w:r>
          <w:bookmarkStart w:id="35" w:name="_Toc22167_WPSOffice_Level1Page"/>
          <w:r>
            <w:t>209</w:t>
          </w:r>
          <w:bookmarkEnd w:id="35"/>
          <w:r>
            <w:fldChar w:fldCharType="end"/>
          </w:r>
        </w:p>
        <w:p>
          <w:pPr>
            <w:pStyle w:val="25"/>
            <w:tabs>
              <w:tab w:val="right" w:leader="dot" w:pos="8845"/>
            </w:tabs>
          </w:pPr>
          <w:r>
            <w:fldChar w:fldCharType="begin"/>
          </w:r>
          <w:r>
            <w:instrText xml:space="preserve"> HYPERLINK \l _Toc23607_WPSOffice_Level1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36bf7367-a4cd-48e1-8361-aa57fc2352d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柳州职业技术学院直招士官国家资助管理办法</w:t>
              </w:r>
            </w:sdtContent>
          </w:sdt>
          <w:r>
            <w:tab/>
          </w:r>
          <w:bookmarkStart w:id="36" w:name="_Toc23607_WPSOffice_Level1Page"/>
          <w:r>
            <w:t>213</w:t>
          </w:r>
          <w:bookmarkEnd w:id="36"/>
          <w:r>
            <w:fldChar w:fldCharType="end"/>
          </w:r>
        </w:p>
        <w:p>
          <w:pPr>
            <w:pStyle w:val="25"/>
            <w:tabs>
              <w:tab w:val="right" w:leader="dot" w:pos="8845"/>
            </w:tabs>
          </w:pPr>
          <w:r>
            <w:fldChar w:fldCharType="begin"/>
          </w:r>
          <w:r>
            <w:instrText xml:space="preserve"> HYPERLINK \l _Toc11264_WPSOffice_Level1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29272a1c-4a85-409d-a87c-7b2933b427a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柳州职业技术学院学生应征入伍服义务兵役国家资助管理办法</w:t>
              </w:r>
            </w:sdtContent>
          </w:sdt>
          <w:r>
            <w:tab/>
          </w:r>
          <w:bookmarkStart w:id="37" w:name="_Toc11264_WPSOffice_Level1Page"/>
          <w:r>
            <w:t>216</w:t>
          </w:r>
          <w:bookmarkEnd w:id="37"/>
          <w:r>
            <w:fldChar w:fldCharType="end"/>
          </w:r>
        </w:p>
        <w:p>
          <w:pPr>
            <w:pStyle w:val="25"/>
            <w:tabs>
              <w:tab w:val="right" w:leader="dot" w:pos="8845"/>
            </w:tabs>
          </w:pPr>
          <w:r>
            <w:fldChar w:fldCharType="begin"/>
          </w:r>
          <w:r>
            <w:instrText xml:space="preserve"> HYPERLINK \l _Toc7381_WPSOffice_Level1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261ea772-ece3-4971-b598-963a2baa43c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柳州职业技术学院退役士兵全日制教育学费资助管理办法</w:t>
              </w:r>
            </w:sdtContent>
          </w:sdt>
          <w:r>
            <w:tab/>
          </w:r>
          <w:bookmarkStart w:id="38" w:name="_Toc7381_WPSOffice_Level1Page"/>
          <w:r>
            <w:t>222</w:t>
          </w:r>
          <w:bookmarkEnd w:id="38"/>
          <w:r>
            <w:fldChar w:fldCharType="end"/>
          </w:r>
        </w:p>
        <w:p>
          <w:pPr>
            <w:pStyle w:val="25"/>
            <w:tabs>
              <w:tab w:val="right" w:leader="dot" w:pos="8845"/>
            </w:tabs>
          </w:pPr>
          <w:r>
            <w:fldChar w:fldCharType="begin"/>
          </w:r>
          <w:r>
            <w:instrText xml:space="preserve"> HYPERLINK \l _Toc29563_WPSOffice_Level1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297c5af0-e0d3-43cb-bc2c-5a53462c6e5b}"/>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柳州职业技术学院中职升高职学费补助评选管理办法</w:t>
              </w:r>
            </w:sdtContent>
          </w:sdt>
          <w:r>
            <w:tab/>
          </w:r>
          <w:bookmarkStart w:id="39" w:name="_Toc29563_WPSOffice_Level1Page"/>
          <w:r>
            <w:t>225</w:t>
          </w:r>
          <w:bookmarkEnd w:id="39"/>
          <w:r>
            <w:fldChar w:fldCharType="end"/>
          </w:r>
        </w:p>
        <w:p>
          <w:pPr>
            <w:pStyle w:val="25"/>
            <w:tabs>
              <w:tab w:val="right" w:leader="dot" w:pos="8845"/>
            </w:tabs>
          </w:pPr>
          <w:r>
            <w:fldChar w:fldCharType="begin"/>
          </w:r>
          <w:r>
            <w:instrText xml:space="preserve"> HYPERLINK \l _Toc19915_WPSOffice_Level1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6c8f7982-9a44-47a8-856d-385805ca0df9}"/>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柳州职业技术学院学生转学管理细则</w:t>
              </w:r>
            </w:sdtContent>
          </w:sdt>
          <w:r>
            <w:tab/>
          </w:r>
          <w:bookmarkStart w:id="40" w:name="_Toc19915_WPSOffice_Level1Page"/>
          <w:r>
            <w:t>230</w:t>
          </w:r>
          <w:bookmarkEnd w:id="40"/>
          <w:r>
            <w:fldChar w:fldCharType="end"/>
          </w:r>
        </w:p>
        <w:p>
          <w:pPr>
            <w:pStyle w:val="25"/>
            <w:tabs>
              <w:tab w:val="right" w:leader="dot" w:pos="8845"/>
            </w:tabs>
          </w:pPr>
          <w:r>
            <w:fldChar w:fldCharType="begin"/>
          </w:r>
          <w:r>
            <w:instrText xml:space="preserve"> HYPERLINK \l _Toc902_WPSOffice_Level1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8b51c573-2e33-4ae0-ac71-c9c9d32370e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柳州职业技术学院家庭经济困难学生认定办法（修订）</w:t>
              </w:r>
            </w:sdtContent>
          </w:sdt>
          <w:r>
            <w:tab/>
          </w:r>
          <w:bookmarkStart w:id="41" w:name="_Toc902_WPSOffice_Level1Page"/>
          <w:r>
            <w:t>237</w:t>
          </w:r>
          <w:bookmarkEnd w:id="41"/>
          <w:r>
            <w:fldChar w:fldCharType="end"/>
          </w:r>
        </w:p>
        <w:p>
          <w:pPr>
            <w:pStyle w:val="25"/>
            <w:tabs>
              <w:tab w:val="right" w:leader="dot" w:pos="8845"/>
            </w:tabs>
          </w:pPr>
          <w:r>
            <w:fldChar w:fldCharType="begin"/>
          </w:r>
          <w:r>
            <w:instrText xml:space="preserve"> HYPERLINK \l _Toc24626_WPSOffice_Level1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876a5ee4-ab71-45c3-8819-ad22b969911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柳州职业技术学院学生特殊困难补助实施办法（修订）</w:t>
              </w:r>
            </w:sdtContent>
          </w:sdt>
          <w:r>
            <w:tab/>
          </w:r>
          <w:bookmarkStart w:id="42" w:name="_Toc24626_WPSOffice_Level1Page"/>
          <w:r>
            <w:t>245</w:t>
          </w:r>
          <w:bookmarkEnd w:id="42"/>
          <w:r>
            <w:fldChar w:fldCharType="end"/>
          </w:r>
        </w:p>
        <w:p>
          <w:pPr>
            <w:pStyle w:val="25"/>
            <w:tabs>
              <w:tab w:val="right" w:leader="dot" w:pos="8845"/>
            </w:tabs>
          </w:pPr>
          <w:r>
            <w:fldChar w:fldCharType="begin"/>
          </w:r>
          <w:r>
            <w:instrText xml:space="preserve"> HYPERLINK \l _Toc28401_WPSOffice_Level1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0d3d0c9e-7551-4ae7-b0d6-96a7845e716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柳州职业技术学院学生违纪处分规定</w:t>
              </w:r>
            </w:sdtContent>
          </w:sdt>
          <w:r>
            <w:tab/>
          </w:r>
          <w:bookmarkStart w:id="43" w:name="_Toc28401_WPSOffice_Level1Page"/>
          <w:r>
            <w:t>252</w:t>
          </w:r>
          <w:bookmarkEnd w:id="43"/>
          <w:r>
            <w:fldChar w:fldCharType="end"/>
          </w:r>
        </w:p>
        <w:p>
          <w:pPr>
            <w:pStyle w:val="25"/>
            <w:tabs>
              <w:tab w:val="right" w:leader="dot" w:pos="8845"/>
            </w:tabs>
          </w:pPr>
          <w:r>
            <w:fldChar w:fldCharType="begin"/>
          </w:r>
          <w:r>
            <w:instrText xml:space="preserve"> HYPERLINK \l _Toc23431_WPSOffice_Level1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c352135a-338e-455d-9b47-9dbd525e197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柳州职业技术学院学生资助工作管理办法（修订）</w:t>
              </w:r>
            </w:sdtContent>
          </w:sdt>
          <w:r>
            <w:tab/>
          </w:r>
          <w:bookmarkStart w:id="44" w:name="_Toc23431_WPSOffice_Level1Page"/>
          <w:r>
            <w:t>264</w:t>
          </w:r>
          <w:bookmarkEnd w:id="44"/>
          <w:r>
            <w:fldChar w:fldCharType="end"/>
          </w:r>
        </w:p>
        <w:p>
          <w:pPr>
            <w:pStyle w:val="25"/>
            <w:tabs>
              <w:tab w:val="right" w:leader="dot" w:pos="8845"/>
            </w:tabs>
          </w:pPr>
          <w:r>
            <w:fldChar w:fldCharType="begin"/>
          </w:r>
          <w:r>
            <w:instrText xml:space="preserve"> HYPERLINK \l _Toc9911_WPSOffice_Level1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719c62ce-1646-471c-abd3-02e7b5f51d0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EastAsia"/>
                </w:rPr>
                <w:t>柳州职业技术学院新疆籍家庭经济困难学生资助实施办法</w:t>
              </w:r>
            </w:sdtContent>
          </w:sdt>
          <w:r>
            <w:tab/>
          </w:r>
          <w:bookmarkStart w:id="45" w:name="_Toc9911_WPSOffice_Level1Page"/>
          <w:r>
            <w:t>272</w:t>
          </w:r>
          <w:bookmarkEnd w:id="45"/>
          <w:r>
            <w:fldChar w:fldCharType="end"/>
          </w:r>
        </w:p>
        <w:p>
          <w:pPr>
            <w:pStyle w:val="25"/>
            <w:tabs>
              <w:tab w:val="right" w:leader="dot" w:pos="8845"/>
            </w:tabs>
          </w:pPr>
          <w:r>
            <w:fldChar w:fldCharType="begin"/>
          </w:r>
          <w:r>
            <w:instrText xml:space="preserve"> HYPERLINK \l _Toc5662_WPSOffice_Level1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32832604-e95d-4d60-a5cf-a94fbc69660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柳州职业技术学院疫情防控期间学生每日健康打卡管理规定</w:t>
              </w:r>
            </w:sdtContent>
          </w:sdt>
          <w:r>
            <w:tab/>
          </w:r>
          <w:bookmarkStart w:id="46" w:name="_Toc5662_WPSOffice_Level1Page"/>
          <w:r>
            <w:t>276</w:t>
          </w:r>
          <w:bookmarkEnd w:id="46"/>
          <w:r>
            <w:fldChar w:fldCharType="end"/>
          </w:r>
        </w:p>
        <w:p>
          <w:pPr>
            <w:pStyle w:val="25"/>
            <w:tabs>
              <w:tab w:val="right" w:leader="dot" w:pos="8845"/>
            </w:tabs>
          </w:pPr>
          <w:r>
            <w:fldChar w:fldCharType="begin"/>
          </w:r>
          <w:r>
            <w:instrText xml:space="preserve"> HYPERLINK \l _Toc18715_WPSOffice_Level1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76b9a692-e924-4a10-b078-d20bde5c9d4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柳州职业技术学院疫情防控期间学生每日晨午间体温检测打卡管理规定</w:t>
              </w:r>
            </w:sdtContent>
          </w:sdt>
          <w:r>
            <w:tab/>
          </w:r>
          <w:bookmarkStart w:id="47" w:name="_Toc18715_WPSOffice_Level1Page"/>
          <w:r>
            <w:t>279</w:t>
          </w:r>
          <w:bookmarkEnd w:id="47"/>
          <w:r>
            <w:fldChar w:fldCharType="end"/>
          </w:r>
        </w:p>
        <w:p>
          <w:pPr>
            <w:pStyle w:val="25"/>
            <w:tabs>
              <w:tab w:val="right" w:leader="dot" w:pos="8845"/>
            </w:tabs>
          </w:pPr>
          <w:r>
            <w:fldChar w:fldCharType="begin"/>
          </w:r>
          <w:r>
            <w:instrText xml:space="preserve"> HYPERLINK \l _Toc32704_WPSOffice_Level1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5"/>
              <w:placeholder>
                <w:docPart w:val="{40b95f59-8472-441b-a232-b709edf4826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柳州职业技术学院学生特殊困难补助实施办法</w:t>
              </w:r>
            </w:sdtContent>
          </w:sdt>
          <w:r>
            <w:tab/>
          </w:r>
          <w:bookmarkStart w:id="48" w:name="_Toc32704_WPSOffice_Level1Page"/>
          <w:r>
            <w:t>282</w:t>
          </w:r>
          <w:bookmarkEnd w:id="48"/>
          <w:r>
            <w:fldChar w:fldCharType="end"/>
          </w:r>
        </w:p>
        <w:p>
          <w:pPr>
            <w:pStyle w:val="25"/>
            <w:tabs>
              <w:tab w:val="right" w:leader="dot" w:pos="8845"/>
            </w:tabs>
          </w:pPr>
          <w:r>
            <w:fldChar w:fldCharType="begin"/>
          </w:r>
          <w:r>
            <w:instrText xml:space="preserve"> HYPERLINK \l _Toc8156_WPSOffice_Level1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99827981-694e-4993-9a19-2e0f102a719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柳州职业技术学院学生心理危机干预方案</w:t>
              </w:r>
              <w:sdt>
                <w:sdtPr>
                  <w:rPr>
                    <w:rFonts w:asciiTheme="minorHAnsi" w:hAnsiTheme="minorHAnsi" w:eastAsiaTheme="minorEastAsia" w:cstheme="minorBidi"/>
                    <w:kern w:val="2"/>
                    <w:sz w:val="21"/>
                    <w:szCs w:val="24"/>
                    <w:lang w:val="en-US" w:eastAsia="zh-CN" w:bidi="ar-SA"/>
                  </w:rPr>
                  <w:id w:val="147458042"/>
                  <w:placeholder>
                    <w:docPart w:val="{24fa9c23-b7b7-4431-b2ff-6c6432f0648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w:t>
                  </w:r>
                  <w:r>
                    <w:rPr>
                      <w:rFonts w:asciiTheme="minorHAnsi" w:hAnsiTheme="minorHAnsi" w:eastAsiaTheme="minorEastAsia" w:cstheme="minorBidi"/>
                    </w:rPr>
                    <w:t>2020</w:t>
                  </w:r>
                  <w:r>
                    <w:rPr>
                      <w:rFonts w:hint="eastAsia" w:asciiTheme="minorHAnsi" w:hAnsiTheme="minorHAnsi" w:eastAsiaTheme="minorEastAsia" w:cstheme="minorBidi"/>
                    </w:rPr>
                    <w:t>年版）</w:t>
                  </w:r>
                </w:sdtContent>
              </w:sdt>
            </w:sdtContent>
          </w:sdt>
          <w:r>
            <w:fldChar w:fldCharType="end"/>
          </w:r>
          <w:r>
            <w:fldChar w:fldCharType="begin"/>
          </w:r>
          <w:r>
            <w:instrText xml:space="preserve"> HYPERLINK \l _Toc5023_WPSOffice_Level1 </w:instrText>
          </w:r>
          <w:r>
            <w:fldChar w:fldCharType="separate"/>
          </w:r>
          <w:r>
            <w:tab/>
          </w:r>
          <w:bookmarkStart w:id="49" w:name="_Toc5023_WPSOffice_Level1Page"/>
          <w:r>
            <w:t>288</w:t>
          </w:r>
          <w:bookmarkEnd w:id="49"/>
          <w:r>
            <w:fldChar w:fldCharType="end"/>
          </w:r>
        </w:p>
        <w:p>
          <w:pPr>
            <w:pStyle w:val="25"/>
            <w:tabs>
              <w:tab w:val="right" w:leader="dot" w:pos="8845"/>
            </w:tabs>
          </w:pPr>
          <w:r>
            <w:fldChar w:fldCharType="begin"/>
          </w:r>
          <w:r>
            <w:instrText xml:space="preserve"> HYPERLINK \l _Toc22921_WPSOffice_Level1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e564e51d-28ac-443f-9683-487980a4adf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柳州职业技术学院学生心理咨询预约管理规定</w:t>
              </w:r>
            </w:sdtContent>
          </w:sdt>
          <w:r>
            <w:tab/>
          </w:r>
          <w:bookmarkStart w:id="50" w:name="_Toc22921_WPSOffice_Level1Page"/>
          <w:r>
            <w:t>295</w:t>
          </w:r>
          <w:bookmarkEnd w:id="50"/>
          <w:r>
            <w:fldChar w:fldCharType="end"/>
          </w:r>
        </w:p>
        <w:p>
          <w:pPr>
            <w:pStyle w:val="25"/>
            <w:tabs>
              <w:tab w:val="right" w:leader="dot" w:pos="8845"/>
            </w:tabs>
          </w:pPr>
          <w:r>
            <w:fldChar w:fldCharType="begin"/>
          </w:r>
          <w:r>
            <w:instrText xml:space="preserve"> HYPERLINK \l _Toc24061_WPSOffice_Level1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25fc90b6-515d-45d8-ae13-54cf71bd42e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柳州职业技术学院学生心理咨询相关人员工作制度</w:t>
              </w:r>
            </w:sdtContent>
          </w:sdt>
          <w:r>
            <w:tab/>
          </w:r>
          <w:bookmarkStart w:id="51" w:name="_Toc24061_WPSOffice_Level1Page"/>
          <w:r>
            <w:t>298</w:t>
          </w:r>
          <w:bookmarkEnd w:id="51"/>
          <w:r>
            <w:fldChar w:fldCharType="end"/>
          </w:r>
        </w:p>
        <w:p>
          <w:pPr>
            <w:pStyle w:val="25"/>
            <w:tabs>
              <w:tab w:val="right" w:leader="dot" w:pos="8845"/>
            </w:tabs>
          </w:pPr>
          <w:r>
            <w:fldChar w:fldCharType="begin"/>
          </w:r>
          <w:r>
            <w:instrText xml:space="preserve"> HYPERLINK \l _Toc19476_WPSOffice_Level1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b1c31a2e-d43f-4d44-9ba1-1dafa6535a7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柳州职业技术学院学生心理咨询转介制度</w:t>
              </w:r>
            </w:sdtContent>
          </w:sdt>
          <w:r>
            <w:tab/>
          </w:r>
          <w:bookmarkStart w:id="52" w:name="_Toc19476_WPSOffice_Level1Page"/>
          <w:r>
            <w:t>304</w:t>
          </w:r>
          <w:bookmarkEnd w:id="52"/>
          <w:r>
            <w:fldChar w:fldCharType="end"/>
          </w:r>
        </w:p>
        <w:p>
          <w:pPr>
            <w:pStyle w:val="25"/>
            <w:tabs>
              <w:tab w:val="right" w:leader="dot" w:pos="8845"/>
            </w:tabs>
          </w:pPr>
          <w:r>
            <w:fldChar w:fldCharType="begin"/>
          </w:r>
          <w:r>
            <w:instrText xml:space="preserve"> HYPERLINK \l _Toc21448_WPSOffice_Level1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8b2af8b5-5cf2-4415-9721-5b6ac7cf53ba}"/>
              </w:placeholder>
            </w:sdtPr>
            <w:sdtEndPr>
              <w:rPr>
                <w:rFonts w:asciiTheme="minorHAnsi" w:hAnsiTheme="minorHAnsi" w:eastAsiaTheme="minorEastAsia" w:cstheme="minorBidi"/>
                <w:kern w:val="2"/>
                <w:sz w:val="21"/>
                <w:szCs w:val="24"/>
                <w:lang w:val="en-US" w:eastAsia="zh-CN" w:bidi="ar-SA"/>
              </w:rPr>
            </w:sdtEndPr>
            <w:sdtContent>
              <w:r>
                <w:rPr>
                  <w:rFonts w:hint="eastAsia" w:ascii="Times New Roman" w:hAnsi="Times New Roman" w:eastAsia="宋体" w:cs="Times New Roman"/>
                </w:rPr>
                <w:t>柳州职业技术学院考试管理办法</w:t>
              </w:r>
            </w:sdtContent>
          </w:sdt>
          <w:r>
            <w:tab/>
          </w:r>
          <w:bookmarkStart w:id="53" w:name="_Toc21448_WPSOffice_Level1Page"/>
          <w:r>
            <w:t>309</w:t>
          </w:r>
          <w:bookmarkEnd w:id="53"/>
          <w:r>
            <w:fldChar w:fldCharType="end"/>
          </w:r>
        </w:p>
        <w:p>
          <w:pPr>
            <w:pStyle w:val="25"/>
            <w:tabs>
              <w:tab w:val="right" w:leader="dot" w:pos="8845"/>
            </w:tabs>
          </w:pPr>
          <w:r>
            <w:fldChar w:fldCharType="begin"/>
          </w:r>
          <w:r>
            <w:instrText xml:space="preserve"> HYPERLINK \l _Toc30857_WPSOffice_Level1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f6ebe5af-c18f-45ac-a62b-6833ee2f9899}"/>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Theme="minorEastAsia" w:cstheme="minorBidi"/>
                </w:rPr>
                <w:t>柳州职业技术学院补发毕业生学历证明书的管理规定</w:t>
              </w:r>
            </w:sdtContent>
          </w:sdt>
          <w:r>
            <w:tab/>
          </w:r>
          <w:bookmarkStart w:id="54" w:name="_Toc30857_WPSOffice_Level1Page"/>
          <w:r>
            <w:t>320</w:t>
          </w:r>
          <w:bookmarkEnd w:id="54"/>
          <w:r>
            <w:fldChar w:fldCharType="end"/>
          </w:r>
        </w:p>
        <w:p>
          <w:pPr>
            <w:pStyle w:val="25"/>
            <w:tabs>
              <w:tab w:val="right" w:leader="dot" w:pos="8845"/>
            </w:tabs>
          </w:pPr>
          <w:r>
            <w:fldChar w:fldCharType="begin"/>
          </w:r>
          <w:r>
            <w:instrText xml:space="preserve"> HYPERLINK \l _Toc27220_WPSOffice_Level1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c77c1a9e-c647-471e-acaf-2878c8c7091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柳州职业技术学院辅导员绩效考核办法</w:t>
              </w:r>
            </w:sdtContent>
          </w:sdt>
          <w:r>
            <w:tab/>
          </w:r>
          <w:bookmarkStart w:id="55" w:name="_Toc27220_WPSOffice_Level1Page"/>
          <w:r>
            <w:t>323</w:t>
          </w:r>
          <w:bookmarkEnd w:id="55"/>
          <w:r>
            <w:fldChar w:fldCharType="end"/>
          </w:r>
        </w:p>
        <w:p>
          <w:pPr>
            <w:pStyle w:val="25"/>
            <w:tabs>
              <w:tab w:val="right" w:leader="dot" w:pos="8845"/>
            </w:tabs>
          </w:pPr>
          <w:r>
            <w:fldChar w:fldCharType="begin"/>
          </w:r>
          <w:r>
            <w:instrText xml:space="preserve"> HYPERLINK \l _Toc11729_WPSOffice_Level1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42b48903-7cc1-41c5-bc5f-7d2cbb2944c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柳州职业技术学院学生工作年度考核办法</w:t>
              </w:r>
            </w:sdtContent>
          </w:sdt>
          <w:r>
            <w:tab/>
          </w:r>
          <w:bookmarkStart w:id="56" w:name="_Toc11729_WPSOffice_Level1Page"/>
          <w:r>
            <w:t>355</w:t>
          </w:r>
          <w:bookmarkEnd w:id="56"/>
          <w:r>
            <w:fldChar w:fldCharType="end"/>
          </w:r>
        </w:p>
        <w:p>
          <w:pPr>
            <w:pStyle w:val="25"/>
            <w:tabs>
              <w:tab w:val="right" w:leader="dot" w:pos="8845"/>
            </w:tabs>
          </w:pPr>
          <w:r>
            <w:fldChar w:fldCharType="begin"/>
          </w:r>
          <w:r>
            <w:instrText xml:space="preserve"> HYPERLINK \l _Toc9472_WPSOffice_Level1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c29a1646-85a4-4a06-80ad-1ace5bbe75f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柳州职业技术学院学生工作年度考核指标（2021年）</w:t>
              </w:r>
            </w:sdtContent>
          </w:sdt>
          <w:r>
            <w:tab/>
          </w:r>
          <w:bookmarkStart w:id="57" w:name="_Toc9472_WPSOffice_Level1Page"/>
          <w:r>
            <w:t>358</w:t>
          </w:r>
          <w:bookmarkEnd w:id="57"/>
          <w:r>
            <w:fldChar w:fldCharType="end"/>
          </w:r>
        </w:p>
        <w:p>
          <w:pPr>
            <w:pStyle w:val="25"/>
            <w:tabs>
              <w:tab w:val="right" w:leader="dot" w:pos="8845"/>
            </w:tabs>
          </w:pPr>
          <w:r>
            <w:fldChar w:fldCharType="begin"/>
          </w:r>
          <w:r>
            <w:instrText xml:space="preserve"> HYPERLINK \l _Toc17719_WPSOffice_Level1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c3738e57-92ae-4992-b634-89f215968d6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柳州职业技术学院学生勤工助学活动管理办法</w:t>
              </w:r>
            </w:sdtContent>
          </w:sdt>
          <w:r>
            <w:tab/>
          </w:r>
          <w:bookmarkStart w:id="58" w:name="_Toc17719_WPSOffice_Level1Page"/>
          <w:r>
            <w:t>362</w:t>
          </w:r>
          <w:bookmarkEnd w:id="58"/>
          <w:r>
            <w:fldChar w:fldCharType="end"/>
          </w:r>
        </w:p>
        <w:p>
          <w:pPr>
            <w:pStyle w:val="25"/>
            <w:tabs>
              <w:tab w:val="right" w:leader="dot" w:pos="8845"/>
            </w:tabs>
          </w:pPr>
          <w:r>
            <w:fldChar w:fldCharType="begin"/>
          </w:r>
          <w:r>
            <w:instrText xml:space="preserve"> HYPERLINK \l _Toc5352_WPSOffice_Level1 </w:instrText>
          </w:r>
          <w:r>
            <w:fldChar w:fldCharType="separate"/>
          </w:r>
          <w:sdt>
            <w:sdtPr>
              <w:rPr>
                <w:lang w:val="en-US" w:eastAsia="zh-CN"/>
              </w:rPr>
              <w:id w:val="147458042"/>
              <w:placeholder>
                <w:docPart w:val="{d83c9992-bb0a-4896-a16a-cc16b203099b}"/>
              </w:placeholder>
            </w:sdtPr>
            <w:sdtEndPr>
              <w:rPr>
                <w:lang w:val="en-US" w:eastAsia="zh-CN"/>
              </w:rPr>
            </w:sdtEndPr>
            <w:sdtContent>
              <w:r>
                <w:rPr>
                  <w:rFonts w:hint="eastAsia"/>
                </w:rPr>
                <w:t>柳州职业技术学院普通高等教育专科招生工作管理办法</w:t>
              </w:r>
            </w:sdtContent>
          </w:sdt>
          <w:r>
            <w:tab/>
          </w:r>
          <w:bookmarkStart w:id="59" w:name="_Toc5352_WPSOffice_Level1Page"/>
          <w:r>
            <w:t>368</w:t>
          </w:r>
          <w:bookmarkEnd w:id="59"/>
          <w:r>
            <w:fldChar w:fldCharType="end"/>
          </w:r>
        </w:p>
        <w:p>
          <w:pPr>
            <w:pStyle w:val="25"/>
            <w:tabs>
              <w:tab w:val="right" w:leader="dot" w:pos="8845"/>
            </w:tabs>
          </w:pPr>
          <w:r>
            <w:fldChar w:fldCharType="begin"/>
          </w:r>
          <w:r>
            <w:instrText xml:space="preserve"> HYPERLINK \l _Toc5257_WPSOffice_Level1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0f7ea299-2b92-4b6c-8c07-88e74c1ab62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w:t>
              </w:r>
              <w:sdt>
                <w:sdtPr>
                  <w:rPr>
                    <w:rFonts w:asciiTheme="minorHAnsi" w:hAnsiTheme="minorHAnsi" w:eastAsiaTheme="minorEastAsia" w:cstheme="minorBidi"/>
                    <w:kern w:val="2"/>
                    <w:sz w:val="21"/>
                    <w:szCs w:val="24"/>
                    <w:lang w:val="en-US" w:eastAsia="zh-CN" w:bidi="ar-SA"/>
                  </w:rPr>
                  <w:id w:val="147458042"/>
                  <w:placeholder>
                    <w:docPart w:val="{8f1bc6bd-6370-44e6-aef7-5a729c23010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毕业生就业管理暂行规定（试行）</w:t>
                  </w:r>
                </w:sdtContent>
              </w:sdt>
            </w:sdtContent>
          </w:sdt>
          <w:r>
            <w:fldChar w:fldCharType="end"/>
          </w:r>
          <w:r>
            <w:fldChar w:fldCharType="begin"/>
          </w:r>
          <w:r>
            <w:instrText xml:space="preserve"> HYPERLINK \l _Toc20344_WPSOffice_Level1 </w:instrText>
          </w:r>
          <w:r>
            <w:fldChar w:fldCharType="separate"/>
          </w:r>
          <w:r>
            <w:tab/>
          </w:r>
          <w:bookmarkStart w:id="60" w:name="_Toc20344_WPSOffice_Level1Page"/>
          <w:r>
            <w:t>377</w:t>
          </w:r>
          <w:bookmarkEnd w:id="60"/>
          <w:r>
            <w:fldChar w:fldCharType="end"/>
          </w:r>
        </w:p>
        <w:p>
          <w:pPr>
            <w:pStyle w:val="25"/>
            <w:tabs>
              <w:tab w:val="right" w:leader="dot" w:pos="8845"/>
            </w:tabs>
          </w:pPr>
          <w:r>
            <w:fldChar w:fldCharType="begin"/>
          </w:r>
          <w:r>
            <w:instrText xml:space="preserve"> HYPERLINK \l _Toc2170_WPSOffice_Level1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7c35ca1a-24f4-48cb-bbea-608b9ffb0dd9}"/>
              </w:placeholder>
            </w:sdtPr>
            <w:sdtEndPr>
              <w:rPr>
                <w:rFonts w:asciiTheme="minorHAnsi" w:hAnsiTheme="minorHAnsi" w:eastAsiaTheme="minorEastAsia" w:cstheme="minorBidi"/>
                <w:kern w:val="2"/>
                <w:sz w:val="21"/>
                <w:szCs w:val="24"/>
                <w:lang w:val="en-US" w:eastAsia="zh-CN" w:bidi="ar-SA"/>
              </w:rPr>
            </w:sdtEndPr>
            <w:sdtContent>
              <w:r>
                <w:rPr>
                  <w:rFonts w:hint="eastAsia" w:ascii="Times New Roman" w:hAnsi="Times New Roman" w:eastAsia="宋体" w:cs="Times New Roman"/>
                </w:rPr>
                <w:t>柳州职业技术学院就业工作年度考核办法</w:t>
              </w:r>
            </w:sdtContent>
          </w:sdt>
          <w:r>
            <w:tab/>
          </w:r>
          <w:bookmarkStart w:id="61" w:name="_Toc2170_WPSOffice_Level1Page"/>
          <w:r>
            <w:t>387</w:t>
          </w:r>
          <w:bookmarkEnd w:id="61"/>
          <w:r>
            <w:fldChar w:fldCharType="end"/>
          </w:r>
        </w:p>
        <w:p>
          <w:pPr>
            <w:pStyle w:val="25"/>
            <w:tabs>
              <w:tab w:val="right" w:leader="dot" w:pos="8845"/>
            </w:tabs>
          </w:pPr>
          <w:r>
            <w:fldChar w:fldCharType="begin"/>
          </w:r>
          <w:r>
            <w:instrText xml:space="preserve"> HYPERLINK \l _Toc14678_WPSOffice_Level1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db795c16-2600-4fb0-afe6-9bbf2f82462c}"/>
              </w:placeholder>
            </w:sdtPr>
            <w:sdtEndPr>
              <w:rPr>
                <w:rFonts w:asciiTheme="minorHAnsi" w:hAnsiTheme="minorHAnsi" w:eastAsiaTheme="minorEastAsia" w:cstheme="minorBidi"/>
                <w:kern w:val="2"/>
                <w:sz w:val="21"/>
                <w:szCs w:val="24"/>
                <w:lang w:val="en-US" w:eastAsia="zh-CN" w:bidi="ar-SA"/>
              </w:rPr>
            </w:sdtEndPr>
            <w:sdtContent>
              <w:r>
                <w:rPr>
                  <w:rFonts w:hint="eastAsia" w:ascii="Times New Roman" w:hAnsi="Times New Roman" w:eastAsia="宋体" w:cs="Times New Roman"/>
                </w:rPr>
                <w:t>柳州职业技术学院毕业生就业工作考核指标体系</w:t>
              </w:r>
            </w:sdtContent>
          </w:sdt>
          <w:r>
            <w:tab/>
          </w:r>
          <w:bookmarkStart w:id="62" w:name="_Toc14678_WPSOffice_Level1Page"/>
          <w:r>
            <w:t>392</w:t>
          </w:r>
          <w:bookmarkEnd w:id="62"/>
          <w:r>
            <w:fldChar w:fldCharType="end"/>
          </w:r>
        </w:p>
        <w:p>
          <w:pPr>
            <w:pStyle w:val="25"/>
            <w:tabs>
              <w:tab w:val="right" w:leader="dot" w:pos="8845"/>
            </w:tabs>
          </w:pPr>
          <w:r>
            <w:fldChar w:fldCharType="begin"/>
          </w:r>
          <w:r>
            <w:instrText xml:space="preserve"> HYPERLINK \l _Toc10674_WPSOffice_Level1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8fb776e7-44fe-4d4f-a1ef-ba8fc18a239c}"/>
              </w:placeholder>
            </w:sdtPr>
            <w:sdtEndPr>
              <w:rPr>
                <w:rFonts w:asciiTheme="minorHAnsi" w:hAnsiTheme="minorHAnsi" w:eastAsiaTheme="minorEastAsia" w:cstheme="minorBidi"/>
                <w:kern w:val="2"/>
                <w:sz w:val="21"/>
                <w:szCs w:val="24"/>
                <w:lang w:val="en-US" w:eastAsia="zh-CN" w:bidi="ar-SA"/>
              </w:rPr>
            </w:sdtEndPr>
            <w:sdtContent>
              <w:r>
                <w:rPr>
                  <w:rFonts w:hint="eastAsia" w:ascii="宋体" w:hAnsi="宋体" w:eastAsiaTheme="minorEastAsia" w:cstheme="minorBidi"/>
                </w:rPr>
                <w:t>柳州职业技术学院</w:t>
              </w:r>
              <w:r>
                <w:rPr>
                  <w:rFonts w:ascii="宋体" w:hAnsi="宋体" w:eastAsiaTheme="minorEastAsia" w:cstheme="minorBidi"/>
                </w:rPr>
                <w:t>毕业生就业工作目标管理办法</w:t>
              </w:r>
            </w:sdtContent>
          </w:sdt>
          <w:r>
            <w:tab/>
          </w:r>
          <w:bookmarkStart w:id="63" w:name="_Toc10674_WPSOffice_Level1Page"/>
          <w:r>
            <w:t>396</w:t>
          </w:r>
          <w:bookmarkEnd w:id="63"/>
          <w:r>
            <w:fldChar w:fldCharType="end"/>
          </w:r>
        </w:p>
        <w:p>
          <w:pPr>
            <w:pStyle w:val="25"/>
            <w:tabs>
              <w:tab w:val="right" w:leader="dot" w:pos="8845"/>
            </w:tabs>
          </w:pPr>
          <w:r>
            <w:fldChar w:fldCharType="begin"/>
          </w:r>
          <w:r>
            <w:instrText xml:space="preserve"> HYPERLINK \l _Toc3367_WPSOffice_Level1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4eeae59b-c9df-4000-8df0-43a17145ab89}"/>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柳州职业技术学院毕业生就业管理暂行规定（试行）</w:t>
              </w:r>
            </w:sdtContent>
          </w:sdt>
          <w:r>
            <w:tab/>
          </w:r>
          <w:bookmarkStart w:id="64" w:name="_Toc3367_WPSOffice_Level1Page"/>
          <w:r>
            <w:t>398</w:t>
          </w:r>
          <w:bookmarkEnd w:id="64"/>
          <w:r>
            <w:fldChar w:fldCharType="end"/>
          </w:r>
          <w:bookmarkStart w:id="1878" w:name="_GoBack"/>
          <w:bookmarkEnd w:id="1878"/>
        </w:p>
        <w:p>
          <w:pPr>
            <w:pStyle w:val="25"/>
            <w:tabs>
              <w:tab w:val="right" w:leader="dot" w:pos="8845"/>
            </w:tabs>
          </w:pPr>
          <w:r>
            <w:fldChar w:fldCharType="begin"/>
          </w:r>
          <w:r>
            <w:instrText xml:space="preserve"> HYPERLINK \l _Toc20820_WPSOffice_Level1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88efaf9d-91ce-4088-8e78-fdacb7469f6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柳州职业技术学院就业工作年度考核办法</w:t>
              </w:r>
            </w:sdtContent>
          </w:sdt>
          <w:r>
            <w:tab/>
          </w:r>
          <w:bookmarkStart w:id="65" w:name="_Toc20820_WPSOffice_Level1Page"/>
          <w:r>
            <w:t>408</w:t>
          </w:r>
          <w:bookmarkEnd w:id="65"/>
          <w:r>
            <w:fldChar w:fldCharType="end"/>
          </w:r>
        </w:p>
        <w:p>
          <w:pPr>
            <w:pStyle w:val="25"/>
            <w:tabs>
              <w:tab w:val="right" w:leader="dot" w:pos="8845"/>
            </w:tabs>
          </w:pPr>
        </w:p>
        <w:p>
          <w:pPr>
            <w:jc w:val="center"/>
            <w:rPr>
              <w:rFonts w:ascii="宋体" w:hAnsi="宋体" w:eastAsia="宋体" w:cs="宋体"/>
              <w:b/>
              <w:bCs/>
              <w:sz w:val="44"/>
              <w:szCs w:val="52"/>
            </w:rPr>
          </w:pPr>
          <w:r>
            <w:rPr>
              <w:rFonts w:hint="eastAsia" w:ascii="宋体" w:hAnsi="宋体" w:eastAsia="宋体" w:cs="宋体"/>
              <w:b/>
              <w:bCs/>
              <w:sz w:val="44"/>
              <w:szCs w:val="52"/>
            </w:rPr>
            <w:t>第六部分 财务管理类</w:t>
          </w:r>
        </w:p>
        <w:p>
          <w:pPr>
            <w:pStyle w:val="25"/>
            <w:tabs>
              <w:tab w:val="right" w:leader="dot" w:pos="8845"/>
            </w:tabs>
          </w:pPr>
        </w:p>
        <w:p>
          <w:pPr>
            <w:pStyle w:val="25"/>
            <w:tabs>
              <w:tab w:val="right" w:leader="dot" w:pos="8845"/>
            </w:tabs>
          </w:pPr>
          <w:r>
            <w:fldChar w:fldCharType="begin"/>
          </w:r>
          <w:r>
            <w:instrText xml:space="preserve"> HYPERLINK \l _Toc15257_WPSOffice_Level1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106512f1-c66b-4492-b246-fd0adb16b629}"/>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柳州职业技术学院财务支出审批管理暂行办法</w:t>
              </w:r>
            </w:sdtContent>
          </w:sdt>
          <w:r>
            <w:tab/>
          </w:r>
          <w:bookmarkStart w:id="66" w:name="_Toc15257_WPSOffice_Level1Page"/>
          <w:r>
            <w:t>412</w:t>
          </w:r>
          <w:bookmarkEnd w:id="66"/>
          <w:r>
            <w:fldChar w:fldCharType="end"/>
          </w:r>
        </w:p>
        <w:p>
          <w:pPr>
            <w:pStyle w:val="25"/>
            <w:tabs>
              <w:tab w:val="right" w:leader="dot" w:pos="8845"/>
            </w:tabs>
          </w:pPr>
          <w:r>
            <w:fldChar w:fldCharType="begin"/>
          </w:r>
          <w:r>
            <w:instrText xml:space="preserve"> HYPERLINK \l _Toc24292_WPSOffice_Level1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9460254e-c4c5-419e-bce6-c1670f3d53a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柳州职业技术学院项目资金管理暂行办法</w:t>
              </w:r>
            </w:sdtContent>
          </w:sdt>
          <w:r>
            <w:tab/>
          </w:r>
          <w:bookmarkStart w:id="67" w:name="_Toc24292_WPSOffice_Level1Page"/>
          <w:r>
            <w:t>421</w:t>
          </w:r>
          <w:bookmarkEnd w:id="67"/>
          <w:r>
            <w:fldChar w:fldCharType="end"/>
          </w:r>
        </w:p>
        <w:p>
          <w:pPr>
            <w:pStyle w:val="25"/>
            <w:tabs>
              <w:tab w:val="right" w:leader="dot" w:pos="8845"/>
            </w:tabs>
          </w:pPr>
          <w:r>
            <w:fldChar w:fldCharType="begin"/>
          </w:r>
          <w:r>
            <w:instrText xml:space="preserve"> HYPERLINK \l _Toc31547_WPSOffice_Level1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2eae4c68-913e-4411-9607-148cd940a4e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柳州职业技术学院预决算管理办法</w:t>
              </w:r>
            </w:sdtContent>
          </w:sdt>
          <w:r>
            <w:tab/>
          </w:r>
          <w:bookmarkStart w:id="68" w:name="_Toc31547_WPSOffice_Level1Page"/>
          <w:r>
            <w:t>431</w:t>
          </w:r>
          <w:bookmarkEnd w:id="68"/>
          <w:r>
            <w:fldChar w:fldCharType="end"/>
          </w:r>
        </w:p>
        <w:p>
          <w:pPr>
            <w:pStyle w:val="25"/>
            <w:tabs>
              <w:tab w:val="right" w:leader="dot" w:pos="8845"/>
            </w:tabs>
          </w:pPr>
          <w:r>
            <w:fldChar w:fldCharType="begin"/>
          </w:r>
          <w:r>
            <w:instrText xml:space="preserve"> HYPERLINK \l _Toc17298_WPSOffice_Level1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214f308e-e943-49b2-bafe-2088db7de92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柳州职业技术学院财务支出审批制度（修订）</w:t>
              </w:r>
            </w:sdtContent>
          </w:sdt>
          <w:r>
            <w:tab/>
          </w:r>
          <w:bookmarkStart w:id="69" w:name="_Toc17298_WPSOffice_Level1Page"/>
          <w:r>
            <w:t>440</w:t>
          </w:r>
          <w:bookmarkEnd w:id="69"/>
          <w:r>
            <w:fldChar w:fldCharType="end"/>
          </w:r>
        </w:p>
        <w:p>
          <w:pPr>
            <w:pStyle w:val="25"/>
            <w:tabs>
              <w:tab w:val="right" w:leader="dot" w:pos="8845"/>
            </w:tabs>
          </w:pPr>
          <w:r>
            <w:fldChar w:fldCharType="begin"/>
          </w:r>
          <w:r>
            <w:instrText xml:space="preserve"> HYPERLINK \l _Toc1197_WPSOffice_Level1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047a8e0d-afe8-42ce-9f24-ec1877bca72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柳州职业技术学院学杂费缴纳管理办法</w:t>
              </w:r>
            </w:sdtContent>
          </w:sdt>
          <w:r>
            <w:tab/>
          </w:r>
          <w:bookmarkStart w:id="70" w:name="_Toc1197_WPSOffice_Level1Page"/>
          <w:r>
            <w:t>451</w:t>
          </w:r>
          <w:bookmarkEnd w:id="70"/>
          <w:r>
            <w:fldChar w:fldCharType="end"/>
          </w:r>
        </w:p>
        <w:p>
          <w:pPr>
            <w:pStyle w:val="25"/>
            <w:tabs>
              <w:tab w:val="right" w:leader="dot" w:pos="8845"/>
            </w:tabs>
          </w:pPr>
          <w:r>
            <w:fldChar w:fldCharType="begin"/>
          </w:r>
          <w:r>
            <w:instrText xml:space="preserve"> HYPERLINK \l _Toc20468_WPSOffice_Level1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a95d5784-4796-4b20-b651-c6b7d79bc63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柳州职业技术学院会计档案管理办法</w:t>
              </w:r>
            </w:sdtContent>
          </w:sdt>
          <w:r>
            <w:tab/>
          </w:r>
          <w:bookmarkStart w:id="71" w:name="_Toc20468_WPSOffice_Level1Page"/>
          <w:r>
            <w:t>455</w:t>
          </w:r>
          <w:bookmarkEnd w:id="71"/>
          <w:r>
            <w:fldChar w:fldCharType="end"/>
          </w:r>
        </w:p>
        <w:p>
          <w:pPr>
            <w:pStyle w:val="25"/>
            <w:tabs>
              <w:tab w:val="right" w:leader="dot" w:pos="8845"/>
            </w:tabs>
          </w:pPr>
          <w:r>
            <w:fldChar w:fldCharType="begin"/>
          </w:r>
          <w:r>
            <w:instrText xml:space="preserve"> HYPERLINK \l _Toc13007_WPSOffice_Level1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fde93a10-0b0a-4868-afa3-1eaafb1bb49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柳州职业技术学院会计档案保管期限表</w:t>
              </w:r>
            </w:sdtContent>
          </w:sdt>
          <w:r>
            <w:tab/>
          </w:r>
          <w:bookmarkStart w:id="72" w:name="_Toc13007_WPSOffice_Level1Page"/>
          <w:r>
            <w:t>460</w:t>
          </w:r>
          <w:bookmarkEnd w:id="72"/>
          <w:r>
            <w:fldChar w:fldCharType="end"/>
          </w:r>
        </w:p>
        <w:p>
          <w:pPr>
            <w:pStyle w:val="25"/>
            <w:tabs>
              <w:tab w:val="right" w:leader="dot" w:pos="8845"/>
            </w:tabs>
          </w:pPr>
          <w:r>
            <w:fldChar w:fldCharType="begin"/>
          </w:r>
          <w:r>
            <w:instrText xml:space="preserve"> HYPERLINK \l _Toc23742_WPSOffice_Level1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ec53b3ac-b2ce-463c-b5f0-4016ebb3d62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柳州职业技术学院会计核算管理办法</w:t>
              </w:r>
            </w:sdtContent>
          </w:sdt>
          <w:r>
            <w:tab/>
          </w:r>
          <w:bookmarkStart w:id="73" w:name="_Toc23742_WPSOffice_Level1Page"/>
          <w:r>
            <w:t>462</w:t>
          </w:r>
          <w:bookmarkEnd w:id="73"/>
          <w:r>
            <w:fldChar w:fldCharType="end"/>
          </w:r>
        </w:p>
        <w:p>
          <w:pPr>
            <w:pStyle w:val="25"/>
            <w:tabs>
              <w:tab w:val="right" w:leader="dot" w:pos="8845"/>
            </w:tabs>
          </w:pPr>
          <w:r>
            <w:fldChar w:fldCharType="begin"/>
          </w:r>
          <w:r>
            <w:instrText xml:space="preserve"> HYPERLINK \l _Toc2760_WPSOffice_Level1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311b5e20-2724-426f-8030-7a0c30fc561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柳州职业技术学院银行账户管理办法</w:t>
              </w:r>
            </w:sdtContent>
          </w:sdt>
          <w:r>
            <w:tab/>
          </w:r>
          <w:bookmarkStart w:id="74" w:name="_Toc2760_WPSOffice_Level1Page"/>
          <w:r>
            <w:t>472</w:t>
          </w:r>
          <w:bookmarkEnd w:id="74"/>
          <w:r>
            <w:fldChar w:fldCharType="end"/>
          </w:r>
        </w:p>
        <w:p>
          <w:pPr>
            <w:pStyle w:val="25"/>
            <w:tabs>
              <w:tab w:val="right" w:leader="dot" w:pos="8845"/>
            </w:tabs>
          </w:pPr>
          <w:r>
            <w:fldChar w:fldCharType="begin"/>
          </w:r>
          <w:r>
            <w:instrText xml:space="preserve"> HYPERLINK \l _Toc30856_WPSOffice_Level1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59ea36d6-ed55-4414-861a-2af963f3a12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柳州职业技术学院收费管理办法</w:t>
              </w:r>
            </w:sdtContent>
          </w:sdt>
          <w:r>
            <w:tab/>
          </w:r>
          <w:bookmarkStart w:id="75" w:name="_Toc30856_WPSOffice_Level1Page"/>
          <w:r>
            <w:t>479</w:t>
          </w:r>
          <w:bookmarkEnd w:id="75"/>
          <w:r>
            <w:fldChar w:fldCharType="end"/>
          </w:r>
        </w:p>
        <w:p>
          <w:pPr>
            <w:pStyle w:val="25"/>
            <w:tabs>
              <w:tab w:val="right" w:leader="dot" w:pos="8845"/>
            </w:tabs>
          </w:pPr>
          <w:r>
            <w:fldChar w:fldCharType="begin"/>
          </w:r>
          <w:r>
            <w:instrText xml:space="preserve"> HYPERLINK \l _Toc12491_WPSOffice_Level1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6c5efbf4-c794-4612-a1da-550924c3396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柳州职业技术学院内部审计工作规定（试行）</w:t>
              </w:r>
            </w:sdtContent>
          </w:sdt>
          <w:r>
            <w:tab/>
          </w:r>
          <w:bookmarkStart w:id="76" w:name="_Toc12491_WPSOffice_Level1Page"/>
          <w:r>
            <w:t>484</w:t>
          </w:r>
          <w:bookmarkEnd w:id="76"/>
          <w:r>
            <w:fldChar w:fldCharType="end"/>
          </w:r>
        </w:p>
        <w:p>
          <w:pPr>
            <w:pStyle w:val="25"/>
            <w:tabs>
              <w:tab w:val="right" w:leader="dot" w:pos="8845"/>
            </w:tabs>
          </w:pPr>
          <w:r>
            <w:fldChar w:fldCharType="begin"/>
          </w:r>
          <w:r>
            <w:instrText xml:space="preserve"> HYPERLINK \l _Toc27554_WPSOffice_Level1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be68c0b7-0f05-4987-b17c-d6b3e897baa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柳州职业技术学院财务信息系统管理办法</w:t>
              </w:r>
            </w:sdtContent>
          </w:sdt>
          <w:r>
            <w:tab/>
          </w:r>
          <w:bookmarkStart w:id="77" w:name="_Toc27554_WPSOffice_Level1Page"/>
          <w:r>
            <w:t>492</w:t>
          </w:r>
          <w:bookmarkEnd w:id="77"/>
          <w:r>
            <w:fldChar w:fldCharType="end"/>
          </w:r>
        </w:p>
        <w:p>
          <w:pPr>
            <w:pStyle w:val="25"/>
            <w:tabs>
              <w:tab w:val="right" w:leader="dot" w:pos="8845"/>
            </w:tabs>
          </w:pPr>
          <w:r>
            <w:fldChar w:fldCharType="begin"/>
          </w:r>
          <w:r>
            <w:instrText xml:space="preserve"> HYPERLINK \l _Toc12593_WPSOffice_Level1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cbe0195f-07ce-4e50-8094-029d6f68cc5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Bidi"/>
                </w:rPr>
                <w:t>柳州职业技术学院往来款项管理办法</w:t>
              </w:r>
            </w:sdtContent>
          </w:sdt>
          <w:r>
            <w:tab/>
          </w:r>
          <w:bookmarkStart w:id="78" w:name="_Toc12593_WPSOffice_Level1Page"/>
          <w:r>
            <w:t>498</w:t>
          </w:r>
          <w:bookmarkEnd w:id="78"/>
          <w:r>
            <w:fldChar w:fldCharType="end"/>
          </w:r>
        </w:p>
        <w:p>
          <w:pPr>
            <w:pStyle w:val="25"/>
            <w:tabs>
              <w:tab w:val="right" w:leader="dot" w:pos="8845"/>
            </w:tabs>
          </w:pPr>
          <w:r>
            <w:fldChar w:fldCharType="begin"/>
          </w:r>
          <w:r>
            <w:instrText xml:space="preserve"> HYPERLINK \l _Toc31188_WPSOffice_Level1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2067d303-eb40-475f-87af-f754d03559c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柳州职业技术学院“双高”建设项目经费管理实施细则（试行）</w:t>
              </w:r>
            </w:sdtContent>
          </w:sdt>
          <w:r>
            <w:tab/>
          </w:r>
          <w:bookmarkStart w:id="79" w:name="_Toc31188_WPSOffice_Level1Page"/>
          <w:r>
            <w:t>506</w:t>
          </w:r>
          <w:bookmarkEnd w:id="79"/>
          <w:r>
            <w:fldChar w:fldCharType="end"/>
          </w:r>
        </w:p>
        <w:p>
          <w:pPr>
            <w:pStyle w:val="25"/>
            <w:tabs>
              <w:tab w:val="right" w:leader="dot" w:pos="8845"/>
            </w:tabs>
          </w:pPr>
          <w:r>
            <w:fldChar w:fldCharType="begin"/>
          </w:r>
          <w:r>
            <w:instrText xml:space="preserve"> HYPERLINK \l _Toc27724_WPSOffice_Level1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db2fe6d9-cb34-4fd9-8dcc-33febdec709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柳州职业技术学院社会服务项目劳务费管理办法（试行）</w:t>
              </w:r>
            </w:sdtContent>
          </w:sdt>
          <w:r>
            <w:tab/>
          </w:r>
          <w:bookmarkStart w:id="80" w:name="_Toc27724_WPSOffice_Level1Page"/>
          <w:r>
            <w:t>511</w:t>
          </w:r>
          <w:bookmarkEnd w:id="80"/>
          <w:r>
            <w:fldChar w:fldCharType="end"/>
          </w:r>
        </w:p>
        <w:p>
          <w:pPr>
            <w:pStyle w:val="25"/>
            <w:tabs>
              <w:tab w:val="right" w:leader="dot" w:pos="8845"/>
            </w:tabs>
          </w:pPr>
          <w:r>
            <w:fldChar w:fldCharType="begin"/>
          </w:r>
          <w:r>
            <w:instrText xml:space="preserve"> HYPERLINK \l _Toc18700_WPSOffice_Level1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ee386c69-592f-4b7b-8def-519453c5042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柳州职业技术学院“三公”经费管理办法</w:t>
              </w:r>
            </w:sdtContent>
          </w:sdt>
          <w:r>
            <w:tab/>
          </w:r>
          <w:bookmarkStart w:id="81" w:name="_Toc18700_WPSOffice_Level1Page"/>
          <w:r>
            <w:t>515</w:t>
          </w:r>
          <w:bookmarkEnd w:id="81"/>
          <w:r>
            <w:fldChar w:fldCharType="end"/>
          </w:r>
        </w:p>
        <w:p>
          <w:pPr>
            <w:pStyle w:val="25"/>
            <w:tabs>
              <w:tab w:val="right" w:leader="dot" w:pos="8845"/>
            </w:tabs>
          </w:pPr>
          <w:r>
            <w:fldChar w:fldCharType="begin"/>
          </w:r>
          <w:r>
            <w:instrText xml:space="preserve"> HYPERLINK \l _Toc19853_WPSOffice_Level1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9e7934c0-b95c-435b-9f22-fc87eecee29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柳州职业技术学院收费票据管理办法</w:t>
              </w:r>
            </w:sdtContent>
          </w:sdt>
          <w:r>
            <w:tab/>
          </w:r>
          <w:bookmarkStart w:id="82" w:name="_Toc19853_WPSOffice_Level1Page"/>
          <w:r>
            <w:t>521</w:t>
          </w:r>
          <w:bookmarkEnd w:id="82"/>
          <w:r>
            <w:fldChar w:fldCharType="end"/>
          </w:r>
        </w:p>
        <w:p>
          <w:pPr>
            <w:pStyle w:val="25"/>
            <w:tabs>
              <w:tab w:val="right" w:leader="dot" w:pos="8845"/>
            </w:tabs>
          </w:pPr>
          <w:r>
            <w:fldChar w:fldCharType="begin"/>
          </w:r>
          <w:r>
            <w:instrText xml:space="preserve"> HYPERLINK \l _Toc30150_WPSOffice_Level1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3450b758-8545-47df-ba7e-25d10673678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柳州职业技术学院差旅费管理办法</w:t>
              </w:r>
            </w:sdtContent>
          </w:sdt>
          <w:r>
            <w:tab/>
          </w:r>
          <w:bookmarkStart w:id="83" w:name="_Toc30150_WPSOffice_Level1Page"/>
          <w:r>
            <w:t>526</w:t>
          </w:r>
          <w:bookmarkEnd w:id="83"/>
          <w:r>
            <w:fldChar w:fldCharType="end"/>
          </w:r>
        </w:p>
        <w:p>
          <w:pPr>
            <w:pStyle w:val="25"/>
            <w:tabs>
              <w:tab w:val="right" w:leader="dot" w:pos="8845"/>
            </w:tabs>
          </w:pPr>
          <w:r>
            <w:fldChar w:fldCharType="begin"/>
          </w:r>
          <w:r>
            <w:instrText xml:space="preserve"> HYPERLINK \l _Toc5883_WPSOffice_Level1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236263b3-5e20-4544-be40-8b65ba3c562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柳州职业技术学院因公临时出国（境）经费管理办法</w:t>
              </w:r>
            </w:sdtContent>
          </w:sdt>
          <w:r>
            <w:tab/>
          </w:r>
          <w:bookmarkStart w:id="84" w:name="_Toc5883_WPSOffice_Level1Page"/>
          <w:r>
            <w:t>543</w:t>
          </w:r>
          <w:bookmarkEnd w:id="84"/>
          <w:r>
            <w:fldChar w:fldCharType="end"/>
          </w:r>
        </w:p>
        <w:p>
          <w:pPr>
            <w:pStyle w:val="25"/>
            <w:tabs>
              <w:tab w:val="right" w:leader="dot" w:pos="8845"/>
            </w:tabs>
          </w:pPr>
        </w:p>
        <w:p>
          <w:pPr>
            <w:pStyle w:val="25"/>
            <w:numPr>
              <w:ilvl w:val="0"/>
              <w:numId w:val="1"/>
            </w:numPr>
            <w:tabs>
              <w:tab w:val="right" w:leader="dot" w:pos="8845"/>
            </w:tabs>
            <w:jc w:val="center"/>
            <w:rPr>
              <w:rFonts w:hint="eastAsia" w:ascii="宋体" w:hAnsi="宋体" w:eastAsia="宋体" w:cs="宋体"/>
              <w:b/>
              <w:bCs/>
              <w:sz w:val="44"/>
              <w:szCs w:val="52"/>
            </w:rPr>
          </w:pPr>
          <w:r>
            <w:rPr>
              <w:rFonts w:hint="eastAsia" w:ascii="宋体" w:hAnsi="宋体" w:eastAsia="宋体" w:cs="宋体"/>
              <w:b/>
              <w:bCs/>
              <w:sz w:val="44"/>
              <w:szCs w:val="52"/>
            </w:rPr>
            <w:t>科研、校企合作与社会服务管理</w:t>
          </w:r>
        </w:p>
        <w:p>
          <w:pPr>
            <w:pStyle w:val="25"/>
            <w:numPr>
              <w:numId w:val="0"/>
            </w:numPr>
            <w:tabs>
              <w:tab w:val="right" w:leader="dot" w:pos="8845"/>
            </w:tabs>
            <w:jc w:val="both"/>
            <w:rPr>
              <w:rFonts w:hint="eastAsia" w:ascii="宋体" w:hAnsi="宋体" w:eastAsia="宋体" w:cs="宋体"/>
              <w:b/>
              <w:bCs/>
              <w:sz w:val="44"/>
              <w:szCs w:val="52"/>
            </w:rPr>
          </w:pPr>
        </w:p>
        <w:p>
          <w:pPr>
            <w:pStyle w:val="25"/>
            <w:tabs>
              <w:tab w:val="right" w:leader="dot" w:pos="8845"/>
            </w:tabs>
          </w:pPr>
          <w:r>
            <w:fldChar w:fldCharType="begin"/>
          </w:r>
          <w:r>
            <w:instrText xml:space="preserve"> HYPERLINK \l _Toc10968_WPSOffice_Level1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7352f809-ce7a-4169-b3e2-5925a2e1124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柳州职业技术学院科技成果转化管理办法（暂行）</w:t>
              </w:r>
            </w:sdtContent>
          </w:sdt>
          <w:r>
            <w:tab/>
          </w:r>
          <w:bookmarkStart w:id="85" w:name="_Toc10968_WPSOffice_Level1Page"/>
          <w:r>
            <w:t>564</w:t>
          </w:r>
          <w:bookmarkEnd w:id="85"/>
          <w:r>
            <w:fldChar w:fldCharType="end"/>
          </w:r>
        </w:p>
        <w:p>
          <w:pPr>
            <w:pStyle w:val="25"/>
            <w:tabs>
              <w:tab w:val="right" w:leader="dot" w:pos="8845"/>
            </w:tabs>
          </w:pPr>
          <w:r>
            <w:fldChar w:fldCharType="begin"/>
          </w:r>
          <w:r>
            <w:instrText xml:space="preserve"> HYPERLINK \l _Toc12957_WPSOffice_Level1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338f7100-ba4e-4087-958f-28911d3725a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柳州职业技术学院专职科研岗位管理办法</w:t>
              </w:r>
            </w:sdtContent>
          </w:sdt>
          <w:r>
            <w:tab/>
          </w:r>
          <w:bookmarkStart w:id="86" w:name="_Toc12957_WPSOffice_Level1Page"/>
          <w:r>
            <w:t>573</w:t>
          </w:r>
          <w:bookmarkEnd w:id="86"/>
          <w:r>
            <w:fldChar w:fldCharType="end"/>
          </w:r>
        </w:p>
        <w:p>
          <w:pPr>
            <w:pStyle w:val="25"/>
            <w:tabs>
              <w:tab w:val="right" w:leader="dot" w:pos="8845"/>
            </w:tabs>
          </w:pPr>
          <w:r>
            <w:fldChar w:fldCharType="begin"/>
          </w:r>
          <w:r>
            <w:instrText xml:space="preserve"> HYPERLINK \l _Toc30590_WPSOffice_Level1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5210e083-6e37-4b19-aa5a-a6e674f6d91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柳州职业技术学院科研平台管理办法(试行)</w:t>
              </w:r>
            </w:sdtContent>
          </w:sdt>
          <w:r>
            <w:tab/>
          </w:r>
          <w:bookmarkStart w:id="87" w:name="_Toc30590_WPSOffice_Level1Page"/>
          <w:r>
            <w:t>592</w:t>
          </w:r>
          <w:bookmarkEnd w:id="87"/>
          <w:r>
            <w:fldChar w:fldCharType="end"/>
          </w:r>
        </w:p>
        <w:p>
          <w:pPr>
            <w:pStyle w:val="25"/>
            <w:tabs>
              <w:tab w:val="right" w:leader="dot" w:pos="8845"/>
            </w:tabs>
          </w:pPr>
          <w:r>
            <w:fldChar w:fldCharType="begin"/>
          </w:r>
          <w:r>
            <w:instrText xml:space="preserve"> HYPERLINK \l _Toc24842_WPSOffice_Level1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7e5db05f-2825-4f12-a952-b5e3bbe1fcb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柳州职业技术学院学术委员会章程</w:t>
              </w:r>
            </w:sdtContent>
          </w:sdt>
          <w:r>
            <w:tab/>
          </w:r>
          <w:bookmarkStart w:id="88" w:name="_Toc24842_WPSOffice_Level1Page"/>
          <w:r>
            <w:t>597</w:t>
          </w:r>
          <w:bookmarkEnd w:id="88"/>
          <w:r>
            <w:fldChar w:fldCharType="end"/>
          </w:r>
        </w:p>
        <w:p>
          <w:pPr>
            <w:pStyle w:val="25"/>
            <w:tabs>
              <w:tab w:val="right" w:leader="dot" w:pos="8845"/>
            </w:tabs>
          </w:pPr>
          <w:r>
            <w:fldChar w:fldCharType="begin"/>
          </w:r>
          <w:r>
            <w:instrText xml:space="preserve"> HYPERLINK \l _Toc24413_WPSOffice_Level1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f58bde93-14e6-47fb-b1d0-bf5958f17af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柳州职业技术学院科研经费管理办法（试行）</w:t>
              </w:r>
            </w:sdtContent>
          </w:sdt>
          <w:r>
            <w:tab/>
          </w:r>
          <w:bookmarkStart w:id="89" w:name="_Toc24413_WPSOffice_Level1Page"/>
          <w:r>
            <w:t>605</w:t>
          </w:r>
          <w:bookmarkEnd w:id="89"/>
          <w:r>
            <w:fldChar w:fldCharType="end"/>
          </w:r>
        </w:p>
        <w:p>
          <w:pPr>
            <w:pStyle w:val="25"/>
            <w:tabs>
              <w:tab w:val="right" w:leader="dot" w:pos="8845"/>
            </w:tabs>
          </w:pPr>
          <w:r>
            <w:fldChar w:fldCharType="begin"/>
          </w:r>
          <w:r>
            <w:instrText xml:space="preserve"> HYPERLINK \l _Toc27055_WPSOffice_Level1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a2cad98d-fe1a-4ec0-baa7-6fa9a7d8b87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柳州职业技术学院科研诚信管理办法（试行）</w:t>
              </w:r>
            </w:sdtContent>
          </w:sdt>
          <w:r>
            <w:tab/>
          </w:r>
          <w:bookmarkStart w:id="90" w:name="_Toc27055_WPSOffice_Level1Page"/>
          <w:r>
            <w:t>617</w:t>
          </w:r>
          <w:bookmarkEnd w:id="90"/>
          <w:r>
            <w:fldChar w:fldCharType="end"/>
          </w:r>
        </w:p>
        <w:p>
          <w:pPr>
            <w:pStyle w:val="25"/>
            <w:tabs>
              <w:tab w:val="right" w:leader="dot" w:pos="8845"/>
            </w:tabs>
          </w:pPr>
          <w:r>
            <w:fldChar w:fldCharType="begin"/>
          </w:r>
          <w:r>
            <w:instrText xml:space="preserve"> HYPERLINK \l _Toc18497_WPSOffice_Level1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8bbdd22b-5eca-4733-907f-f4b4f91d2d6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柳州职业技术学院科研创新团队管理办法（试行）</w:t>
              </w:r>
            </w:sdtContent>
          </w:sdt>
          <w:r>
            <w:tab/>
          </w:r>
          <w:bookmarkStart w:id="91" w:name="_Toc18497_WPSOffice_Level1Page"/>
          <w:r>
            <w:t>624</w:t>
          </w:r>
          <w:bookmarkEnd w:id="91"/>
          <w:r>
            <w:fldChar w:fldCharType="end"/>
          </w:r>
        </w:p>
        <w:p>
          <w:pPr>
            <w:pStyle w:val="25"/>
            <w:tabs>
              <w:tab w:val="right" w:leader="dot" w:pos="8845"/>
            </w:tabs>
          </w:pPr>
          <w:r>
            <w:fldChar w:fldCharType="begin"/>
          </w:r>
          <w:r>
            <w:instrText xml:space="preserve"> HYPERLINK \l _Toc14469_WPSOffice_Level1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e494ba27-8fe8-480a-93bb-15cfc96eda4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柳州职业技术学院关于产业学院建设的指导意见</w:t>
              </w:r>
            </w:sdtContent>
          </w:sdt>
          <w:r>
            <w:tab/>
          </w:r>
          <w:bookmarkStart w:id="92" w:name="_Toc14469_WPSOffice_Level1Page"/>
          <w:r>
            <w:t>630</w:t>
          </w:r>
          <w:bookmarkEnd w:id="92"/>
          <w:r>
            <w:fldChar w:fldCharType="end"/>
          </w:r>
        </w:p>
        <w:p>
          <w:pPr>
            <w:pStyle w:val="25"/>
            <w:tabs>
              <w:tab w:val="right" w:leader="dot" w:pos="8845"/>
            </w:tabs>
          </w:pPr>
          <w:r>
            <w:fldChar w:fldCharType="begin"/>
          </w:r>
          <w:r>
            <w:instrText xml:space="preserve"> HYPERLINK \l _Toc29854_WPSOffice_Level1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6aa965d8-7516-44f5-9c28-76a84eb28b5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柳州职业技术学院校企合作工作管理办法（试行）</w:t>
              </w:r>
            </w:sdtContent>
          </w:sdt>
          <w:r>
            <w:tab/>
          </w:r>
          <w:bookmarkStart w:id="93" w:name="_Toc29854_WPSOffice_Level1Page"/>
          <w:r>
            <w:t>636</w:t>
          </w:r>
          <w:bookmarkEnd w:id="93"/>
          <w:r>
            <w:fldChar w:fldCharType="end"/>
          </w:r>
        </w:p>
        <w:p>
          <w:pPr>
            <w:pStyle w:val="25"/>
            <w:tabs>
              <w:tab w:val="right" w:leader="dot" w:pos="8845"/>
            </w:tabs>
          </w:pPr>
          <w:r>
            <w:fldChar w:fldCharType="begin"/>
          </w:r>
          <w:r>
            <w:instrText xml:space="preserve"> HYPERLINK \l _Toc5208_WPSOffice_Level1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715f9991-0b0f-4462-8158-fa26fea252c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柳州职业技术学院产业学院管理办法（试行）</w:t>
              </w:r>
            </w:sdtContent>
          </w:sdt>
          <w:r>
            <w:tab/>
          </w:r>
          <w:bookmarkStart w:id="94" w:name="_Toc5208_WPSOffice_Level1Page"/>
          <w:r>
            <w:t>640</w:t>
          </w:r>
          <w:bookmarkEnd w:id="94"/>
          <w:r>
            <w:fldChar w:fldCharType="end"/>
          </w:r>
        </w:p>
        <w:p>
          <w:pPr>
            <w:pStyle w:val="25"/>
            <w:tabs>
              <w:tab w:val="right" w:leader="dot" w:pos="8845"/>
            </w:tabs>
          </w:pPr>
          <w:r>
            <w:fldChar w:fldCharType="begin"/>
          </w:r>
          <w:r>
            <w:instrText xml:space="preserve"> HYPERLINK \l _Toc10264_WPSOffice_Level1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57748722-d2d7-4bc8-a4bf-8a9e52277c5b}"/>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柳州职业技术学院产业学院建设考核指标体系（暂行）</w:t>
              </w:r>
            </w:sdtContent>
          </w:sdt>
          <w:r>
            <w:tab/>
          </w:r>
          <w:bookmarkStart w:id="95" w:name="_Toc10264_WPSOffice_Level1Page"/>
          <w:r>
            <w:t>643</w:t>
          </w:r>
          <w:bookmarkEnd w:id="95"/>
          <w:r>
            <w:fldChar w:fldCharType="end"/>
          </w:r>
        </w:p>
        <w:p>
          <w:pPr>
            <w:pStyle w:val="25"/>
            <w:tabs>
              <w:tab w:val="right" w:leader="dot" w:pos="8845"/>
            </w:tabs>
          </w:pPr>
          <w:r>
            <w:fldChar w:fldCharType="begin"/>
          </w:r>
          <w:r>
            <w:instrText xml:space="preserve"> HYPERLINK \l _Toc19389_WPSOffice_Level1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33133101-dd8c-44a6-83fc-33c75c717f0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柳州职业技术学院社会服务对外合作项目管理办法（试行）</w:t>
              </w:r>
            </w:sdtContent>
          </w:sdt>
          <w:r>
            <w:tab/>
          </w:r>
          <w:bookmarkStart w:id="96" w:name="_Toc19389_WPSOffice_Level1Page"/>
          <w:r>
            <w:t>644</w:t>
          </w:r>
          <w:bookmarkEnd w:id="96"/>
          <w:r>
            <w:fldChar w:fldCharType="end"/>
          </w:r>
        </w:p>
        <w:p>
          <w:pPr>
            <w:pStyle w:val="25"/>
            <w:tabs>
              <w:tab w:val="right" w:leader="dot" w:pos="8845"/>
            </w:tabs>
          </w:pPr>
          <w:r>
            <w:fldChar w:fldCharType="begin"/>
          </w:r>
          <w:r>
            <w:instrText xml:space="preserve"> HYPERLINK \l _Toc28890_WPSOffice_Level1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6dcf147b-169b-4ae4-9062-05ad8a6c1789}"/>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柳州职业技术学院培训管理办法</w:t>
              </w:r>
            </w:sdtContent>
          </w:sdt>
          <w:r>
            <w:tab/>
          </w:r>
          <w:bookmarkStart w:id="97" w:name="_Toc28890_WPSOffice_Level1Page"/>
          <w:r>
            <w:t>648</w:t>
          </w:r>
          <w:bookmarkEnd w:id="97"/>
          <w:r>
            <w:fldChar w:fldCharType="end"/>
          </w:r>
        </w:p>
        <w:p>
          <w:pPr>
            <w:pStyle w:val="25"/>
            <w:tabs>
              <w:tab w:val="right" w:leader="dot" w:pos="8845"/>
            </w:tabs>
          </w:pPr>
          <w:r>
            <w:fldChar w:fldCharType="begin"/>
          </w:r>
          <w:r>
            <w:instrText xml:space="preserve"> HYPERLINK \l _Toc30661_WPSOffice_Level1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37ba65f1-ff17-44aa-9864-3c750103d4d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柳州职业技术学院非学历教育培训及考试劳务费管理办法（试行）</w:t>
              </w:r>
            </w:sdtContent>
          </w:sdt>
          <w:r>
            <w:tab/>
          </w:r>
          <w:bookmarkStart w:id="98" w:name="_Toc30661_WPSOffice_Level1Page"/>
          <w:r>
            <w:t>653</w:t>
          </w:r>
          <w:bookmarkEnd w:id="98"/>
          <w:r>
            <w:fldChar w:fldCharType="end"/>
          </w:r>
        </w:p>
        <w:p>
          <w:pPr>
            <w:pStyle w:val="25"/>
            <w:tabs>
              <w:tab w:val="right" w:leader="dot" w:pos="8845"/>
            </w:tabs>
          </w:pPr>
          <w:r>
            <w:fldChar w:fldCharType="begin"/>
          </w:r>
          <w:r>
            <w:instrText xml:space="preserve"> HYPERLINK \l _Toc14803_WPSOffice_Level1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8e1b27ad-cc39-43f3-ac2b-64e34a90d93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柳州职业技术学院社会服务项目经费管理办法（试行）</w:t>
              </w:r>
            </w:sdtContent>
          </w:sdt>
          <w:r>
            <w:tab/>
          </w:r>
          <w:bookmarkStart w:id="99" w:name="_Toc14803_WPSOffice_Level1Page"/>
          <w:r>
            <w:t>656</w:t>
          </w:r>
          <w:bookmarkEnd w:id="99"/>
          <w:r>
            <w:fldChar w:fldCharType="end"/>
          </w:r>
        </w:p>
        <w:p>
          <w:pPr>
            <w:pStyle w:val="25"/>
            <w:tabs>
              <w:tab w:val="right" w:leader="dot" w:pos="8845"/>
            </w:tabs>
          </w:pPr>
        </w:p>
        <w:p>
          <w:pPr>
            <w:spacing w:line="360" w:lineRule="auto"/>
            <w:jc w:val="center"/>
          </w:pPr>
          <w:r>
            <w:rPr>
              <w:rFonts w:hint="eastAsia" w:ascii="宋体" w:hAnsi="宋体" w:eastAsia="宋体" w:cs="宋体"/>
              <w:b/>
              <w:bCs/>
              <w:sz w:val="44"/>
              <w:szCs w:val="36"/>
            </w:rPr>
            <w:t>第八部分 后勤、基建与资产管理类</w:t>
          </w:r>
        </w:p>
        <w:p>
          <w:pPr>
            <w:pStyle w:val="25"/>
            <w:tabs>
              <w:tab w:val="right" w:leader="dot" w:pos="8845"/>
            </w:tabs>
          </w:pPr>
        </w:p>
        <w:p>
          <w:pPr>
            <w:pStyle w:val="25"/>
            <w:tabs>
              <w:tab w:val="right" w:leader="dot" w:pos="8845"/>
            </w:tabs>
          </w:pPr>
          <w:r>
            <w:fldChar w:fldCharType="begin"/>
          </w:r>
          <w:r>
            <w:instrText xml:space="preserve"> HYPERLINK \l _Toc31312_WPSOffice_Level1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8e1a11e9-b498-4e12-a362-8feb3ffe1f0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柳州职业技术学院代建项目管理办法（修订）</w:t>
              </w:r>
            </w:sdtContent>
          </w:sdt>
          <w:r>
            <w:tab/>
          </w:r>
          <w:bookmarkStart w:id="100" w:name="_Toc31312_WPSOffice_Level1Page"/>
          <w:r>
            <w:t>661</w:t>
          </w:r>
          <w:bookmarkEnd w:id="100"/>
          <w:r>
            <w:fldChar w:fldCharType="end"/>
          </w:r>
        </w:p>
        <w:p>
          <w:pPr>
            <w:pStyle w:val="25"/>
            <w:tabs>
              <w:tab w:val="right" w:leader="dot" w:pos="8845"/>
            </w:tabs>
          </w:pPr>
          <w:r>
            <w:fldChar w:fldCharType="begin"/>
          </w:r>
          <w:r>
            <w:instrText xml:space="preserve"> HYPERLINK \l _Toc7626_WPSOffice_Level1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62e71ae1-715b-4e44-ba67-4ffab24435d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柳州职业技术学院零星工程施工单位招标管理办法（试行）</w:t>
              </w:r>
            </w:sdtContent>
          </w:sdt>
          <w:r>
            <w:tab/>
          </w:r>
          <w:bookmarkStart w:id="101" w:name="_Toc7626_WPSOffice_Level1Page"/>
          <w:r>
            <w:t>665</w:t>
          </w:r>
          <w:bookmarkEnd w:id="101"/>
          <w:r>
            <w:fldChar w:fldCharType="end"/>
          </w:r>
        </w:p>
        <w:p>
          <w:pPr>
            <w:pStyle w:val="25"/>
            <w:tabs>
              <w:tab w:val="right" w:leader="dot" w:pos="8845"/>
            </w:tabs>
          </w:pPr>
          <w:r>
            <w:fldChar w:fldCharType="begin"/>
          </w:r>
          <w:r>
            <w:instrText xml:space="preserve"> HYPERLINK \l _Toc27898_WPSOffice_Level1 </w:instrText>
          </w:r>
          <w:r>
            <w:fldChar w:fldCharType="separate"/>
          </w:r>
          <w:sdt>
            <w:sdtPr>
              <w:rPr>
                <w:rFonts w:asciiTheme="minorHAnsi" w:hAnsiTheme="minorHAnsi" w:eastAsiaTheme="minorEastAsia" w:cstheme="minorBidi"/>
                <w:kern w:val="2"/>
                <w:sz w:val="21"/>
                <w:szCs w:val="24"/>
                <w:lang w:val="en-US" w:eastAsia="zh-CN" w:bidi="ar-SA"/>
              </w:rPr>
              <w:id w:val="147458042"/>
              <w:placeholder>
                <w:docPart w:val="{ef441acc-bf0d-44c9-8942-f7ec38ea6425}"/>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柳州职业技术学院大型仪器设备管理办法（暂行）</w:t>
              </w:r>
            </w:sdtContent>
          </w:sdt>
          <w:r>
            <w:tab/>
          </w:r>
          <w:bookmarkStart w:id="102" w:name="_Toc27898_WPSOffice_Level1Page"/>
          <w:r>
            <w:t>668</w:t>
          </w:r>
          <w:bookmarkEnd w:id="102"/>
          <w:r>
            <w:fldChar w:fldCharType="end"/>
          </w:r>
        </w:p>
        <w:p>
          <w:pPr>
            <w:pStyle w:val="25"/>
            <w:tabs>
              <w:tab w:val="right" w:leader="dot" w:pos="8845"/>
            </w:tabs>
          </w:pPr>
          <w:r>
            <w:fldChar w:fldCharType="begin"/>
          </w:r>
          <w:r>
            <w:instrText xml:space="preserve"> HYPERLINK \l _Toc15344_WPSOffice_Level1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c8fa2cef-9899-47dc-aabd-20e92e77dcc9}"/>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柳州职业技术学院基建项目管理制度（试行）</w:t>
              </w:r>
            </w:sdtContent>
          </w:sdt>
          <w:r>
            <w:tab/>
          </w:r>
          <w:bookmarkStart w:id="103" w:name="_Toc15344_WPSOffice_Level1Page"/>
          <w:r>
            <w:t>672</w:t>
          </w:r>
          <w:bookmarkEnd w:id="103"/>
          <w:r>
            <w:fldChar w:fldCharType="end"/>
          </w:r>
        </w:p>
        <w:p>
          <w:pPr>
            <w:pStyle w:val="25"/>
            <w:tabs>
              <w:tab w:val="right" w:leader="dot" w:pos="8845"/>
            </w:tabs>
          </w:pPr>
          <w:r>
            <w:fldChar w:fldCharType="begin"/>
          </w:r>
          <w:r>
            <w:instrText xml:space="preserve"> HYPERLINK \l _Toc6700_WPSOffice_Level1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dcab1485-523e-4142-b87e-871e0e01146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柳州职业技术学院零星工程项目管理办法（试行）</w:t>
              </w:r>
            </w:sdtContent>
          </w:sdt>
          <w:r>
            <w:tab/>
          </w:r>
          <w:bookmarkStart w:id="104" w:name="_Toc6700_WPSOffice_Level1Page"/>
          <w:r>
            <w:t>676</w:t>
          </w:r>
          <w:bookmarkEnd w:id="104"/>
          <w:r>
            <w:fldChar w:fldCharType="end"/>
          </w:r>
        </w:p>
        <w:p>
          <w:pPr>
            <w:pStyle w:val="25"/>
            <w:tabs>
              <w:tab w:val="right" w:leader="dot" w:pos="8845"/>
            </w:tabs>
          </w:pPr>
          <w:r>
            <w:fldChar w:fldCharType="begin"/>
          </w:r>
          <w:r>
            <w:instrText xml:space="preserve"> HYPERLINK \l _Toc5704_WPSOffice_Level1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bc443e07-8a9f-46f1-9dfc-2f85c47e874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柳州职业技术学院门面考核管理办法</w:t>
              </w:r>
            </w:sdtContent>
          </w:sdt>
          <w:r>
            <w:tab/>
          </w:r>
          <w:bookmarkStart w:id="105" w:name="_Toc5704_WPSOffice_Level1Page"/>
          <w:r>
            <w:t>691</w:t>
          </w:r>
          <w:bookmarkEnd w:id="105"/>
          <w:r>
            <w:fldChar w:fldCharType="end"/>
          </w:r>
        </w:p>
        <w:p>
          <w:pPr>
            <w:pStyle w:val="25"/>
            <w:tabs>
              <w:tab w:val="right" w:leader="dot" w:pos="8845"/>
            </w:tabs>
          </w:pPr>
          <w:r>
            <w:fldChar w:fldCharType="begin"/>
          </w:r>
          <w:r>
            <w:instrText xml:space="preserve"> HYPERLINK \l _Toc11047_WPSOffice_Level1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64ca10a6-0516-4b8e-a181-6e2882d05572}"/>
              </w:placeholder>
            </w:sdtPr>
            <w:sdtEndPr>
              <w:rPr>
                <w:rFonts w:asciiTheme="minorHAnsi" w:hAnsiTheme="minorHAnsi" w:eastAsiaTheme="minorEastAsia" w:cstheme="minorBidi"/>
                <w:kern w:val="2"/>
                <w:sz w:val="21"/>
                <w:szCs w:val="24"/>
                <w:lang w:val="en-US" w:eastAsia="zh-CN" w:bidi="ar-SA"/>
              </w:rPr>
            </w:sdtEndPr>
            <w:sdtContent>
              <w:r>
                <w:rPr>
                  <w:rFonts w:asciiTheme="minorHAnsi" w:hAnsiTheme="minorHAnsi" w:eastAsiaTheme="minorEastAsia" w:cstheme="minorBidi"/>
                </w:rPr>
                <w:t>柳州职业技术学院门面安全责任书</w:t>
              </w:r>
            </w:sdtContent>
          </w:sdt>
          <w:r>
            <w:tab/>
          </w:r>
          <w:bookmarkStart w:id="106" w:name="_Toc11047_WPSOffice_Level1Page"/>
          <w:r>
            <w:t>698</w:t>
          </w:r>
          <w:bookmarkEnd w:id="106"/>
          <w:r>
            <w:fldChar w:fldCharType="end"/>
          </w:r>
        </w:p>
        <w:p>
          <w:pPr>
            <w:pStyle w:val="25"/>
            <w:tabs>
              <w:tab w:val="right" w:leader="dot" w:pos="8845"/>
            </w:tabs>
          </w:pPr>
          <w:r>
            <w:fldChar w:fldCharType="begin"/>
          </w:r>
          <w:r>
            <w:instrText xml:space="preserve"> HYPERLINK \l _Toc4238_WPSOffice_Level1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a239a356-45ef-4400-bbba-60b351803cea}"/>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柳州职业技术学院食品安全应急预案</w:t>
              </w:r>
            </w:sdtContent>
          </w:sdt>
          <w:r>
            <w:tab/>
          </w:r>
          <w:bookmarkStart w:id="107" w:name="_Toc4238_WPSOffice_Level1Page"/>
          <w:r>
            <w:t>702</w:t>
          </w:r>
          <w:bookmarkEnd w:id="107"/>
          <w:r>
            <w:fldChar w:fldCharType="end"/>
          </w:r>
        </w:p>
        <w:p>
          <w:pPr>
            <w:pStyle w:val="25"/>
            <w:tabs>
              <w:tab w:val="right" w:leader="dot" w:pos="8845"/>
            </w:tabs>
          </w:pPr>
          <w:r>
            <w:fldChar w:fldCharType="begin"/>
          </w:r>
          <w:r>
            <w:instrText xml:space="preserve"> HYPERLINK \l _Toc21824_WPSOffice_Level1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d439ef70-d790-481e-a9e3-82997424622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柳州职业技术学院食堂管理处罚规定</w:t>
              </w:r>
            </w:sdtContent>
          </w:sdt>
          <w:r>
            <w:tab/>
          </w:r>
          <w:bookmarkStart w:id="108" w:name="_Toc21824_WPSOffice_Level1Page"/>
          <w:r>
            <w:t>706</w:t>
          </w:r>
          <w:bookmarkEnd w:id="108"/>
          <w:r>
            <w:fldChar w:fldCharType="end"/>
          </w:r>
        </w:p>
        <w:p>
          <w:pPr>
            <w:pStyle w:val="25"/>
            <w:tabs>
              <w:tab w:val="right" w:leader="dot" w:pos="8845"/>
            </w:tabs>
          </w:pPr>
          <w:r>
            <w:fldChar w:fldCharType="begin"/>
          </w:r>
          <w:r>
            <w:instrText xml:space="preserve"> HYPERLINK \l _Toc30534_WPSOffice_Level1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24a09520-a1a9-40c9-8ef2-a8ddf1b438dd}"/>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柳州职业技术学院国有资产管理岗位职责（暂行）</w:t>
              </w:r>
            </w:sdtContent>
          </w:sdt>
          <w:r>
            <w:tab/>
          </w:r>
          <w:bookmarkStart w:id="109" w:name="_Toc30534_WPSOffice_Level1Page"/>
          <w:r>
            <w:t>720</w:t>
          </w:r>
          <w:bookmarkEnd w:id="109"/>
          <w:r>
            <w:fldChar w:fldCharType="end"/>
          </w:r>
        </w:p>
        <w:p>
          <w:pPr>
            <w:pStyle w:val="25"/>
            <w:tabs>
              <w:tab w:val="right" w:leader="dot" w:pos="8845"/>
            </w:tabs>
          </w:pPr>
          <w:r>
            <w:fldChar w:fldCharType="begin"/>
          </w:r>
          <w:r>
            <w:instrText xml:space="preserve"> HYPERLINK \l _Toc27504_WPSOffice_Level1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30672029-3bd4-4106-b6c1-4d2daaf07f3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柳州职业技术学院资产验收管理办法（暂行）</w:t>
              </w:r>
            </w:sdtContent>
          </w:sdt>
          <w:r>
            <w:tab/>
          </w:r>
          <w:bookmarkStart w:id="110" w:name="_Toc27504_WPSOffice_Level1Page"/>
          <w:r>
            <w:t>724</w:t>
          </w:r>
          <w:bookmarkEnd w:id="110"/>
          <w:r>
            <w:fldChar w:fldCharType="end"/>
          </w:r>
        </w:p>
        <w:p>
          <w:pPr>
            <w:pStyle w:val="25"/>
            <w:tabs>
              <w:tab w:val="right" w:leader="dot" w:pos="8845"/>
            </w:tabs>
          </w:pPr>
          <w:r>
            <w:fldChar w:fldCharType="begin"/>
          </w:r>
          <w:r>
            <w:instrText xml:space="preserve"> HYPERLINK \l _Toc27008_WPSOffice_Level1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7d33d44f-1da4-46cb-aae6-37448e0904e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柳州职业技术学院国有资产管理暂行办法</w:t>
              </w:r>
            </w:sdtContent>
          </w:sdt>
          <w:r>
            <w:tab/>
          </w:r>
          <w:bookmarkStart w:id="111" w:name="_Toc27008_WPSOffice_Level1Page"/>
          <w:r>
            <w:t>750</w:t>
          </w:r>
          <w:bookmarkEnd w:id="111"/>
          <w:r>
            <w:fldChar w:fldCharType="end"/>
          </w:r>
        </w:p>
        <w:p>
          <w:pPr>
            <w:pStyle w:val="25"/>
            <w:tabs>
              <w:tab w:val="right" w:leader="dot" w:pos="8845"/>
            </w:tabs>
          </w:pPr>
          <w:r>
            <w:fldChar w:fldCharType="begin"/>
          </w:r>
          <w:r>
            <w:instrText xml:space="preserve"> HYPERLINK \l _Toc18379_WPSOffice_Level1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786eb754-336b-494f-a2f0-21ecb8057723}"/>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柳州职业技术学院固定资产处置管理暂行办法</w:t>
              </w:r>
            </w:sdtContent>
          </w:sdt>
          <w:r>
            <w:tab/>
          </w:r>
          <w:bookmarkStart w:id="112" w:name="_Toc18379_WPSOffice_Level1Page"/>
          <w:r>
            <w:t>768</w:t>
          </w:r>
          <w:bookmarkEnd w:id="112"/>
          <w:r>
            <w:fldChar w:fldCharType="end"/>
          </w:r>
        </w:p>
        <w:p>
          <w:pPr>
            <w:pStyle w:val="25"/>
            <w:tabs>
              <w:tab w:val="right" w:leader="dot" w:pos="8845"/>
            </w:tabs>
          </w:pPr>
          <w:r>
            <w:fldChar w:fldCharType="begin"/>
          </w:r>
          <w:r>
            <w:instrText xml:space="preserve"> HYPERLINK \l _Toc31344_WPSOffice_Level1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dc36df9d-6b02-4c86-8fbc-eb22aba8107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柳州职业技术学院采购管理办法（试行）</w:t>
              </w:r>
            </w:sdtContent>
          </w:sdt>
          <w:r>
            <w:tab/>
          </w:r>
          <w:bookmarkStart w:id="113" w:name="_Toc31344_WPSOffice_Level1Page"/>
          <w:r>
            <w:t>785</w:t>
          </w:r>
          <w:bookmarkEnd w:id="113"/>
          <w:r>
            <w:fldChar w:fldCharType="end"/>
          </w:r>
        </w:p>
        <w:p>
          <w:pPr>
            <w:pStyle w:val="25"/>
            <w:tabs>
              <w:tab w:val="right" w:leader="dot" w:pos="8845"/>
            </w:tabs>
          </w:pPr>
          <w:r>
            <w:fldChar w:fldCharType="begin"/>
          </w:r>
          <w:r>
            <w:instrText xml:space="preserve"> HYPERLINK \l _Toc7122_WPSOffice_Level1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b27780ae-fad9-49cb-bd7d-b9f37e9a099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柳州职业技术学院经济责任审计实施办法（试行）</w:t>
              </w:r>
            </w:sdtContent>
          </w:sdt>
          <w:r>
            <w:tab/>
          </w:r>
          <w:bookmarkStart w:id="114" w:name="_Toc7122_WPSOffice_Level1Page"/>
          <w:r>
            <w:t>816</w:t>
          </w:r>
          <w:bookmarkEnd w:id="114"/>
          <w:r>
            <w:fldChar w:fldCharType="end"/>
          </w:r>
        </w:p>
        <w:p>
          <w:pPr>
            <w:pStyle w:val="25"/>
            <w:tabs>
              <w:tab w:val="right" w:leader="dot" w:pos="8845"/>
            </w:tabs>
          </w:pPr>
        </w:p>
        <w:p>
          <w:pPr>
            <w:pStyle w:val="25"/>
            <w:tabs>
              <w:tab w:val="right" w:leader="dot" w:pos="8845"/>
            </w:tabs>
            <w:jc w:val="center"/>
          </w:pPr>
          <w:r>
            <w:rPr>
              <w:rFonts w:hint="eastAsia" w:ascii="宋体" w:hAnsi="宋体" w:eastAsia="宋体" w:cs="宋体"/>
              <w:b/>
              <w:bCs/>
              <w:sz w:val="44"/>
              <w:szCs w:val="44"/>
            </w:rPr>
            <w:t>第九部分 国际交流与合作管理类</w:t>
          </w:r>
        </w:p>
        <w:p>
          <w:pPr>
            <w:pStyle w:val="25"/>
            <w:tabs>
              <w:tab w:val="right" w:leader="dot" w:pos="8845"/>
            </w:tabs>
          </w:pPr>
        </w:p>
        <w:p>
          <w:pPr>
            <w:pStyle w:val="25"/>
            <w:tabs>
              <w:tab w:val="right" w:leader="dot" w:pos="8845"/>
            </w:tabs>
          </w:pPr>
          <w:r>
            <w:fldChar w:fldCharType="begin"/>
          </w:r>
          <w:r>
            <w:instrText xml:space="preserve"> HYPERLINK \l _Toc8240_WPSOffice_Level1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8f790e8f-fd32-40a2-bbc2-50600a1ee879}"/>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柳州职业技术学院关于举办国际会议管理办法（试行）</w:t>
              </w:r>
            </w:sdtContent>
          </w:sdt>
          <w:r>
            <w:tab/>
          </w:r>
          <w:bookmarkStart w:id="115" w:name="_Toc8240_WPSOffice_Level1Page"/>
          <w:r>
            <w:t>825</w:t>
          </w:r>
          <w:bookmarkEnd w:id="115"/>
          <w:r>
            <w:fldChar w:fldCharType="end"/>
          </w:r>
        </w:p>
        <w:p>
          <w:pPr>
            <w:pStyle w:val="25"/>
            <w:tabs>
              <w:tab w:val="right" w:leader="dot" w:pos="8845"/>
            </w:tabs>
          </w:pPr>
          <w:r>
            <w:fldChar w:fldCharType="begin"/>
          </w:r>
          <w:r>
            <w:instrText xml:space="preserve"> HYPERLINK \l _Toc21052_WPSOffice_Level1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c5d0fd5c-79aa-467d-87a0-fff9beb4e0a9}"/>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柳州职业技术学院学生赴国（境）外交流、留学管理办法</w:t>
              </w:r>
            </w:sdtContent>
          </w:sdt>
          <w:r>
            <w:tab/>
          </w:r>
          <w:bookmarkStart w:id="116" w:name="_Toc21052_WPSOffice_Level1Page"/>
          <w:r>
            <w:t>836</w:t>
          </w:r>
          <w:bookmarkEnd w:id="116"/>
          <w:r>
            <w:fldChar w:fldCharType="end"/>
          </w:r>
        </w:p>
        <w:p>
          <w:pPr>
            <w:pStyle w:val="25"/>
            <w:tabs>
              <w:tab w:val="right" w:leader="dot" w:pos="8845"/>
            </w:tabs>
          </w:pPr>
          <w:r>
            <w:fldChar w:fldCharType="begin"/>
          </w:r>
          <w:r>
            <w:instrText xml:space="preserve"> HYPERLINK \l _Toc21435_WPSOffice_Level1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30d7e0ec-5444-4d9b-a211-c5efae9e85d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柳州职业技术学院招收国际学生工作管理规定（暂行）</w:t>
              </w:r>
            </w:sdtContent>
          </w:sdt>
          <w:r>
            <w:tab/>
          </w:r>
          <w:bookmarkStart w:id="117" w:name="_Toc21435_WPSOffice_Level1Page"/>
          <w:r>
            <w:t>850</w:t>
          </w:r>
          <w:bookmarkEnd w:id="117"/>
          <w:r>
            <w:fldChar w:fldCharType="end"/>
          </w:r>
        </w:p>
        <w:p>
          <w:pPr>
            <w:pStyle w:val="25"/>
            <w:tabs>
              <w:tab w:val="right" w:leader="dot" w:pos="8845"/>
            </w:tabs>
          </w:pPr>
          <w:r>
            <w:fldChar w:fldCharType="begin"/>
          </w:r>
          <w:r>
            <w:instrText xml:space="preserve"> HYPERLINK \l _Toc23524_WPSOffice_Level1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a4f23eb4-28b5-4015-a6e1-e8351669de3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柳州职业技术学院国际学生奖学金管理办法（暂行）</w:t>
              </w:r>
            </w:sdtContent>
          </w:sdt>
          <w:r>
            <w:tab/>
          </w:r>
          <w:bookmarkStart w:id="118" w:name="_Toc23524_WPSOffice_Level1Page"/>
          <w:r>
            <w:t>857</w:t>
          </w:r>
          <w:bookmarkEnd w:id="118"/>
          <w:r>
            <w:fldChar w:fldCharType="end"/>
          </w:r>
        </w:p>
        <w:p>
          <w:pPr>
            <w:pStyle w:val="25"/>
            <w:tabs>
              <w:tab w:val="right" w:leader="dot" w:pos="8845"/>
            </w:tabs>
          </w:pPr>
          <w:r>
            <w:fldChar w:fldCharType="begin"/>
          </w:r>
          <w:r>
            <w:instrText xml:space="preserve"> HYPERLINK \l _Toc16324_WPSOffice_Level1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70c8f4e0-f139-4bb9-a49c-c3f7088d9d9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柳州职业技术学院国际学生“校长奖学金”管理办法（试行）</w:t>
              </w:r>
            </w:sdtContent>
          </w:sdt>
          <w:r>
            <w:tab/>
          </w:r>
          <w:bookmarkStart w:id="119" w:name="_Toc16324_WPSOffice_Level1Page"/>
          <w:r>
            <w:t>874</w:t>
          </w:r>
          <w:bookmarkEnd w:id="119"/>
          <w:r>
            <w:fldChar w:fldCharType="end"/>
          </w:r>
        </w:p>
        <w:p>
          <w:pPr>
            <w:pStyle w:val="25"/>
            <w:tabs>
              <w:tab w:val="right" w:leader="dot" w:pos="8845"/>
            </w:tabs>
          </w:pPr>
          <w:r>
            <w:fldChar w:fldCharType="begin"/>
          </w:r>
          <w:r>
            <w:instrText xml:space="preserve"> HYPERLINK \l _Toc16396_WPSOffice_Level1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4c460683-b625-490e-989a-a1b31c9a01f7}"/>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柳州职业技术学院外国留学生突发事件应急预案</w:t>
              </w:r>
            </w:sdtContent>
          </w:sdt>
          <w:r>
            <w:tab/>
          </w:r>
          <w:bookmarkStart w:id="120" w:name="_Toc16396_WPSOffice_Level1Page"/>
          <w:r>
            <w:t>892</w:t>
          </w:r>
          <w:bookmarkEnd w:id="120"/>
          <w:r>
            <w:fldChar w:fldCharType="end"/>
          </w:r>
        </w:p>
        <w:p>
          <w:pPr>
            <w:pStyle w:val="25"/>
            <w:tabs>
              <w:tab w:val="right" w:leader="dot" w:pos="8845"/>
            </w:tabs>
          </w:pPr>
          <w:r>
            <w:fldChar w:fldCharType="begin"/>
          </w:r>
          <w:r>
            <w:instrText xml:space="preserve"> HYPERLINK \l _Toc15550_WPSOffice_Level1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dbac4fde-194c-45d1-b85c-d3e251da731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柳州职业技术学院外国留学生语言培训教学管理规定</w:t>
              </w:r>
            </w:sdtContent>
          </w:sdt>
          <w:r>
            <w:tab/>
          </w:r>
          <w:bookmarkStart w:id="121" w:name="_Toc15550_WPSOffice_Level1Page"/>
          <w:r>
            <w:t>905</w:t>
          </w:r>
          <w:bookmarkEnd w:id="121"/>
          <w:r>
            <w:fldChar w:fldCharType="end"/>
          </w:r>
        </w:p>
        <w:p>
          <w:pPr>
            <w:pStyle w:val="25"/>
            <w:tabs>
              <w:tab w:val="right" w:leader="dot" w:pos="8845"/>
            </w:tabs>
          </w:pPr>
          <w:r>
            <w:fldChar w:fldCharType="begin"/>
          </w:r>
          <w:r>
            <w:instrText xml:space="preserve"> HYPERLINK \l _Toc2574_WPSOffice_Level1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03103988-cd44-417b-91ec-f7347fdec812}"/>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柳州职业技术学院外国留学生住宿管理办法（试行）</w:t>
              </w:r>
            </w:sdtContent>
          </w:sdt>
          <w:r>
            <w:tab/>
          </w:r>
          <w:bookmarkStart w:id="122" w:name="_Toc2574_WPSOffice_Level1Page"/>
          <w:r>
            <w:t>909</w:t>
          </w:r>
          <w:bookmarkEnd w:id="122"/>
          <w:r>
            <w:fldChar w:fldCharType="end"/>
          </w:r>
        </w:p>
        <w:p>
          <w:pPr>
            <w:pStyle w:val="25"/>
            <w:tabs>
              <w:tab w:val="right" w:leader="dot" w:pos="8845"/>
            </w:tabs>
          </w:pPr>
          <w:r>
            <w:fldChar w:fldCharType="begin"/>
          </w:r>
          <w:r>
            <w:instrText xml:space="preserve"> HYPERLINK \l _Toc14097_WPSOffice_Level1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7cb6fa4d-a248-4c93-9c80-f772649c5df8}"/>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柳州职业技术学院外国留学生请假制度</w:t>
              </w:r>
            </w:sdtContent>
          </w:sdt>
          <w:r>
            <w:tab/>
          </w:r>
          <w:bookmarkStart w:id="123" w:name="_Toc14097_WPSOffice_Level1Page"/>
          <w:r>
            <w:t>918</w:t>
          </w:r>
          <w:bookmarkEnd w:id="123"/>
          <w:r>
            <w:fldChar w:fldCharType="end"/>
          </w:r>
        </w:p>
        <w:p>
          <w:pPr>
            <w:pStyle w:val="25"/>
            <w:tabs>
              <w:tab w:val="right" w:leader="dot" w:pos="8845"/>
            </w:tabs>
          </w:pPr>
          <w:r>
            <w:fldChar w:fldCharType="begin"/>
          </w:r>
          <w:r>
            <w:instrText xml:space="preserve"> HYPERLINK \l _Toc22172_WPSOffice_Level1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614b9e70-da85-478e-a72c-dbcd668a901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柳州职业技术学院国际交流与合作工作管理办法</w:t>
              </w:r>
            </w:sdtContent>
          </w:sdt>
          <w:r>
            <w:tab/>
          </w:r>
          <w:bookmarkStart w:id="124" w:name="_Toc22172_WPSOffice_Level1Page"/>
          <w:r>
            <w:t>923</w:t>
          </w:r>
          <w:bookmarkEnd w:id="124"/>
          <w:r>
            <w:fldChar w:fldCharType="end"/>
          </w:r>
        </w:p>
        <w:p>
          <w:pPr>
            <w:pStyle w:val="25"/>
            <w:tabs>
              <w:tab w:val="right" w:leader="dot" w:pos="8845"/>
            </w:tabs>
          </w:pPr>
          <w:r>
            <w:fldChar w:fldCharType="begin"/>
          </w:r>
          <w:r>
            <w:instrText xml:space="preserve"> HYPERLINK \l _Toc5078_WPSOffice_Level1 </w:instrText>
          </w:r>
          <w:r>
            <w:fldChar w:fldCharType="separate"/>
          </w:r>
          <w:sdt>
            <w:sdtPr>
              <w:rPr>
                <w:rFonts w:asciiTheme="minorHAnsi" w:hAnsiTheme="minorHAnsi" w:eastAsiaTheme="minorEastAsia" w:cstheme="minorBidi"/>
                <w:kern w:val="2"/>
                <w:sz w:val="21"/>
                <w:szCs w:val="24"/>
                <w:lang w:val="en-US" w:eastAsia="zh-CN" w:bidi="ar-SA"/>
              </w:rPr>
              <w:id w:val="147458038"/>
              <w:placeholder>
                <w:docPart w:val="{a23689b8-9382-4424-8ee5-f0f2e550282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柳州职业技术学院公派出国（境）人员管理办法（试行）</w:t>
              </w:r>
            </w:sdtContent>
          </w:sdt>
          <w:r>
            <w:tab/>
          </w:r>
          <w:bookmarkStart w:id="125" w:name="_Toc5078_WPSOffice_Level1Page"/>
          <w:r>
            <w:t>930</w:t>
          </w:r>
          <w:bookmarkEnd w:id="125"/>
          <w:r>
            <w:fldChar w:fldCharType="end"/>
          </w:r>
          <w:bookmarkEnd w:id="0"/>
        </w:p>
      </w:sdtContent>
    </w:sdt>
    <w:p>
      <w:pPr>
        <w:pStyle w:val="8"/>
        <w:tabs>
          <w:tab w:val="right" w:leader="dot" w:pos="8845"/>
        </w:tabs>
        <w:rPr>
          <w:rFonts w:hint="eastAsia" w:ascii="宋体" w:hAnsi="宋体" w:eastAsia="宋体" w:cs="宋体"/>
          <w:b/>
          <w:bCs/>
          <w:color w:val="auto"/>
          <w:sz w:val="36"/>
          <w:szCs w:val="36"/>
        </w:rPr>
        <w:sectPr>
          <w:footerReference r:id="rId3" w:type="default"/>
          <w:pgSz w:w="11906" w:h="16838"/>
          <w:pgMar w:top="1440" w:right="1474" w:bottom="1440" w:left="1587" w:header="851" w:footer="992" w:gutter="0"/>
          <w:pgNumType w:fmt="decimal" w:start="1"/>
          <w:cols w:space="425" w:num="1"/>
          <w:docGrid w:type="lines" w:linePitch="312" w:charSpace="0"/>
        </w:sectPr>
      </w:pPr>
    </w:p>
    <w:p>
      <w:pPr>
        <w:pageBreakBefore w:val="0"/>
        <w:numPr>
          <w:ilvl w:val="0"/>
          <w:numId w:val="0"/>
        </w:numPr>
        <w:kinsoku/>
        <w:wordWrap/>
        <w:overflowPunct/>
        <w:topLinePunct w:val="0"/>
        <w:bidi w:val="0"/>
        <w:jc w:val="center"/>
        <w:outlineLvl w:val="9"/>
        <w:rPr>
          <w:rFonts w:hint="eastAsia" w:ascii="仿宋" w:hAnsi="仿宋" w:eastAsia="仿宋" w:cs="仿宋"/>
          <w:b/>
          <w:bCs/>
          <w:sz w:val="32"/>
          <w:szCs w:val="32"/>
        </w:rPr>
      </w:pPr>
      <w:bookmarkStart w:id="126" w:name="_Toc12959_WPSOffice_Level1"/>
      <w:r>
        <w:rPr>
          <w:rFonts w:hint="eastAsia" w:ascii="宋体" w:hAnsi="宋体" w:eastAsia="宋体" w:cs="宋体"/>
          <w:b/>
          <w:bCs/>
          <w:color w:val="auto"/>
          <w:sz w:val="36"/>
          <w:szCs w:val="36"/>
        </w:rPr>
        <w:t>柳州职业技术学院学生管理规定</w:t>
      </w:r>
      <w:bookmarkEnd w:id="1"/>
      <w:bookmarkEnd w:id="2"/>
      <w:bookmarkEnd w:id="126"/>
    </w:p>
    <w:p>
      <w:pPr>
        <w:widowControl/>
        <w:spacing w:line="360" w:lineRule="auto"/>
        <w:jc w:val="center"/>
        <w:rPr>
          <w:rFonts w:hint="eastAsia" w:ascii="仿宋" w:hAnsi="仿宋" w:eastAsia="仿宋" w:cs="仿宋"/>
          <w:b/>
          <w:bCs/>
          <w:sz w:val="32"/>
          <w:szCs w:val="32"/>
        </w:rPr>
      </w:pPr>
      <w:bookmarkStart w:id="127" w:name="_Toc14935_WPSOffice_Level1"/>
      <w:r>
        <w:rPr>
          <w:rFonts w:hint="eastAsia" w:ascii="仿宋" w:hAnsi="仿宋" w:eastAsia="仿宋" w:cs="仿宋"/>
          <w:b/>
          <w:bCs/>
          <w:sz w:val="32"/>
          <w:szCs w:val="32"/>
        </w:rPr>
        <w:t>第一章 总 则</w:t>
      </w:r>
      <w:bookmarkEnd w:id="127"/>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第一条</w:t>
      </w:r>
      <w:r>
        <w:rPr>
          <w:rFonts w:hint="eastAsia" w:ascii="仿宋" w:hAnsi="仿宋" w:eastAsia="仿宋" w:cs="仿宋"/>
          <w:bCs/>
          <w:sz w:val="32"/>
          <w:szCs w:val="32"/>
        </w:rPr>
        <w:t xml:space="preserve"> 为规范学生管理行为，维护我校正常的教育教学秩序和生活秩序，保障学生合法权益，培养德、智、体、美、劳等方面全面发展的社会主义建设者和接班人,依据教育部令第41号《普通高等学校学生管理规定》，制定本规定。</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第二条</w:t>
      </w:r>
      <w:r>
        <w:rPr>
          <w:rFonts w:hint="eastAsia" w:ascii="仿宋" w:hAnsi="仿宋" w:eastAsia="仿宋" w:cs="仿宋"/>
          <w:bCs/>
          <w:sz w:val="32"/>
          <w:szCs w:val="32"/>
        </w:rPr>
        <w:t xml:space="preserve"> 本规定适用于我校</w:t>
      </w:r>
      <w:r>
        <w:rPr>
          <w:rFonts w:hint="eastAsia" w:ascii="仿宋" w:hAnsi="仿宋" w:eastAsia="仿宋" w:cs="仿宋"/>
          <w:kern w:val="0"/>
          <w:sz w:val="32"/>
          <w:szCs w:val="32"/>
        </w:rPr>
        <w:t>全日制高职学生的</w:t>
      </w:r>
      <w:r>
        <w:rPr>
          <w:rFonts w:hint="eastAsia" w:ascii="仿宋" w:hAnsi="仿宋" w:eastAsia="仿宋" w:cs="仿宋"/>
          <w:bCs/>
          <w:sz w:val="32"/>
          <w:szCs w:val="32"/>
        </w:rPr>
        <w:t>管理。我校的成人高等教育学生、委托培养的学生参照本规定实施。</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第三条</w:t>
      </w:r>
      <w:r>
        <w:rPr>
          <w:rFonts w:hint="eastAsia" w:ascii="仿宋" w:hAnsi="仿宋" w:eastAsia="仿宋" w:cs="仿宋"/>
          <w:bCs/>
          <w:sz w:val="32"/>
          <w:szCs w:val="32"/>
        </w:rPr>
        <w:t xml:space="preserve"> 我校要坚持社会主义办学方向，坚持马克思主义的指导地位,全面贯彻国家教育方针；要坚持以立德树人为根本，以理想信念教育为核心,培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第四条</w:t>
      </w:r>
      <w:r>
        <w:rPr>
          <w:rFonts w:hint="eastAsia" w:ascii="仿宋" w:hAnsi="仿宋" w:eastAsia="仿宋" w:cs="仿宋"/>
          <w:bCs/>
          <w:sz w:val="32"/>
          <w:szCs w:val="32"/>
        </w:rPr>
        <w:t xml:space="preserve"> 学生应当拥护中国共产党领导，努力学习马克思列宁主义、毛泽东思想、中国特色社会主义理论体系，深入学习习近平总书记系列重要讲话精神和治国理政的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第五条</w:t>
      </w:r>
      <w:r>
        <w:rPr>
          <w:rFonts w:hint="eastAsia" w:ascii="仿宋" w:hAnsi="仿宋" w:eastAsia="仿宋" w:cs="仿宋"/>
          <w:bCs/>
          <w:sz w:val="32"/>
          <w:szCs w:val="32"/>
        </w:rPr>
        <w:t xml:space="preserve"> 实施学生管理，应当尊重和保护学生的合法权利，教育和引导学生承担应尽的义务与责任，鼓励和支持学生实行自我管理、自我服务、自我教育、自我监督。</w:t>
      </w:r>
    </w:p>
    <w:p>
      <w:pPr>
        <w:widowControl/>
        <w:spacing w:line="360" w:lineRule="auto"/>
        <w:jc w:val="center"/>
        <w:rPr>
          <w:rFonts w:hint="eastAsia" w:ascii="仿宋" w:hAnsi="仿宋" w:eastAsia="仿宋" w:cs="仿宋"/>
          <w:b/>
          <w:bCs/>
          <w:sz w:val="32"/>
          <w:szCs w:val="32"/>
        </w:rPr>
      </w:pPr>
      <w:bookmarkStart w:id="128" w:name="_Toc28152_WPSOffice_Level1"/>
      <w:r>
        <w:rPr>
          <w:rFonts w:hint="eastAsia" w:ascii="仿宋" w:hAnsi="仿宋" w:eastAsia="仿宋" w:cs="仿宋"/>
          <w:b/>
          <w:bCs/>
          <w:sz w:val="32"/>
          <w:szCs w:val="32"/>
        </w:rPr>
        <w:t>第二章 学生的权利与义务</w:t>
      </w:r>
      <w:bookmarkEnd w:id="128"/>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第六条</w:t>
      </w:r>
      <w:r>
        <w:rPr>
          <w:rFonts w:hint="eastAsia" w:ascii="仿宋" w:hAnsi="仿宋" w:eastAsia="仿宋" w:cs="仿宋"/>
          <w:bCs/>
          <w:sz w:val="32"/>
          <w:szCs w:val="32"/>
        </w:rPr>
        <w:t xml:space="preserve"> 学生在校期间依法享有下列权利：</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（一）参加学校教育教学计划安排的各项活动，使用学校提供的教育教学资源；</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（二）参加社会实践、志愿服务、勤工助学、文娱体育及科技文化创新等活动，获得就业创业指导和服务；</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（三）申请奖学金、助学金及助学贷款；</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（四）在思想品德、学业成绩等方面获得科学、公正评价，完成学校规定学业后获得相应的学历证书、职业资格证书；</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（五）在校内组织、参加学生团体，以适当方式参与学校管理，对学校与学生权益相关事务享有知情权、参与权、表达权和监督权；</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（六）对学校给予的处理或者处分有异议，向学校、教育行政部门提出申诉，对学校、教职员工侵犯其人身权、财产权等合法权益的行为，提出申诉或者依法提起诉讼；</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（七）法律、法规及学校章程规定的其他权利。</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第七条</w:t>
      </w:r>
      <w:r>
        <w:rPr>
          <w:rFonts w:hint="eastAsia" w:ascii="仿宋" w:hAnsi="仿宋" w:eastAsia="仿宋" w:cs="仿宋"/>
          <w:bCs/>
          <w:sz w:val="32"/>
          <w:szCs w:val="32"/>
        </w:rPr>
        <w:t xml:space="preserve"> 学生在校期间依法履行下列义务：</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（一）遵守宪法和法律、法规；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（二）遵守学校章程和规章制度；</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（三）恪守学术道德，完成规定学业；</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（四）按规定缴纳学费及有关费用，履行获得奖学金及助学金的相应义务；</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（五）遵守学生行为规范，尊敬师长，养成良好的思想品德和行为习惯；</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（六）法律、法规及学校章程规定的其他义务。</w:t>
      </w:r>
    </w:p>
    <w:p>
      <w:pPr>
        <w:widowControl/>
        <w:spacing w:line="360" w:lineRule="auto"/>
        <w:jc w:val="center"/>
        <w:rPr>
          <w:rFonts w:hint="eastAsia" w:ascii="仿宋" w:hAnsi="仿宋" w:eastAsia="仿宋" w:cs="仿宋"/>
          <w:b/>
          <w:bCs/>
          <w:sz w:val="32"/>
          <w:szCs w:val="32"/>
        </w:rPr>
      </w:pPr>
      <w:bookmarkStart w:id="129" w:name="_Toc5412_WPSOffice_Level1"/>
      <w:r>
        <w:rPr>
          <w:rFonts w:hint="eastAsia" w:ascii="仿宋" w:hAnsi="仿宋" w:eastAsia="仿宋" w:cs="仿宋"/>
          <w:b/>
          <w:bCs/>
          <w:sz w:val="32"/>
          <w:szCs w:val="32"/>
        </w:rPr>
        <w:t>第三章 学籍管理</w:t>
      </w:r>
      <w:bookmarkEnd w:id="129"/>
    </w:p>
    <w:p>
      <w:pPr>
        <w:widowControl/>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第一节 入学与注册</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第八条</w:t>
      </w:r>
      <w:r>
        <w:rPr>
          <w:rFonts w:hint="eastAsia" w:ascii="仿宋" w:hAnsi="仿宋" w:eastAsia="仿宋" w:cs="仿宋"/>
          <w:bCs/>
          <w:sz w:val="32"/>
          <w:szCs w:val="32"/>
        </w:rPr>
        <w:t xml:space="preserve"> 按国家、自治区招生规定录取的新生，持录取通知书，按学校有关要求和规定的期限到校办理入学手续。因故不能按期入学的，应当向学校请假。未请假或者请假逾期的，除因不可抗力等正当事由以外，视为放弃入学资格。</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第九条</w:t>
      </w:r>
      <w:r>
        <w:rPr>
          <w:rFonts w:hint="eastAsia" w:ascii="仿宋" w:hAnsi="仿宋" w:eastAsia="仿宋" w:cs="仿宋"/>
          <w:bCs/>
          <w:sz w:val="32"/>
          <w:szCs w:val="32"/>
        </w:rPr>
        <w:t xml:space="preserve"> 学校应当在报到时对新生入学资格进行初步审查，审查合格的办理入学手续，予以注册学籍；审查发现新生的录取通知、考生信息等证明材料，与本人实际情况不符，或者有其他违反国家招生考试规定情形的，取消入学资格。</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第十条</w:t>
      </w:r>
      <w:r>
        <w:rPr>
          <w:rFonts w:hint="eastAsia" w:ascii="仿宋" w:hAnsi="仿宋" w:eastAsia="仿宋" w:cs="仿宋"/>
          <w:bCs/>
          <w:sz w:val="32"/>
          <w:szCs w:val="32"/>
        </w:rPr>
        <w:t xml:space="preserve"> 新生可以申请保留入学资格。保留入学资格期间不具有学籍。保留入学资格的条件、期限等由学校规定。</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新生保留入学资格期满前应向学校申请入学，经学校审查合格后，办理入学手续。审查不合格的，取消入学资格；逾期不办理入学手续且未有因不可抗力延迟等正当理由的，视为放弃入学资格。</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第十一条</w:t>
      </w:r>
      <w:r>
        <w:rPr>
          <w:rFonts w:hint="eastAsia" w:ascii="仿宋" w:hAnsi="仿宋" w:eastAsia="仿宋" w:cs="仿宋"/>
          <w:bCs/>
          <w:sz w:val="32"/>
          <w:szCs w:val="32"/>
        </w:rPr>
        <w:t xml:space="preserve"> 学生入学后，学校应当在3个月内按照国家招生规定进行复查。复查内容主要包括以下方面：</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（一）录取手续及程序等是否合乎国家招生规定；</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（二）所获得的录取资格是否真实、合乎相关规定；</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（三）本人及身份证明与录取通知、考生档案等是否一致；</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（四）身心健康状况是否符合报考专业或者专业类别体检要求，能否保证在校正常学习、生活；</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（五）艺术、体育等特殊类型录取学生的专业水平是否符合录取要求。</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复查中发现学生存在弄虚作假、徇私舞弊等情形的，确定为复查不合格，应当取消学籍；情节严重的，学校应当移交有关部门调查处理。</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复查中发现学生身心状况不适宜在校学习，经学校指定的二级甲等以上医院诊断，需要在家休养的，可以按照第十条的规定保留入学资格。</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复查的程序和办法，由学校规定。</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第十二条</w:t>
      </w:r>
      <w:r>
        <w:rPr>
          <w:rFonts w:hint="eastAsia" w:ascii="仿宋" w:hAnsi="仿宋" w:eastAsia="仿宋" w:cs="仿宋"/>
          <w:bCs/>
          <w:sz w:val="32"/>
          <w:szCs w:val="32"/>
        </w:rPr>
        <w:t xml:space="preserve"> 每学期开学时，学生应当按学校规定办理注册手续。不能如期注册的，应当履行暂缓注册手续。未按学校规定缴纳学费或者有其他不符合注册条件的，不予注册。</w:t>
      </w:r>
    </w:p>
    <w:p>
      <w:pPr>
        <w:widowControl/>
        <w:spacing w:line="360" w:lineRule="auto"/>
        <w:ind w:firstLine="640" w:firstLineChars="200"/>
        <w:jc w:val="left"/>
        <w:rPr>
          <w:rFonts w:hint="eastAsia" w:ascii="仿宋" w:hAnsi="仿宋" w:eastAsia="仿宋" w:cs="仿宋"/>
          <w:kern w:val="0"/>
          <w:sz w:val="32"/>
          <w:szCs w:val="32"/>
        </w:rPr>
      </w:pPr>
      <w:r>
        <w:rPr>
          <w:rFonts w:hint="eastAsia" w:ascii="仿宋" w:hAnsi="仿宋" w:eastAsia="仿宋" w:cs="仿宋"/>
          <w:bCs/>
          <w:sz w:val="32"/>
          <w:szCs w:val="32"/>
        </w:rPr>
        <w:t>家庭经济困难的学生可以申请助学贷款或者其他形式资助，办理有关手续后注册。</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学校应当按照国家有关规定为家庭经济困难学生提供教育救助，完善学生资助体系，保证学生不因家庭经济困难而放弃学业。</w:t>
      </w:r>
    </w:p>
    <w:p>
      <w:pPr>
        <w:widowControl/>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第二节 考核与成绩记载</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第十三条</w:t>
      </w:r>
      <w:r>
        <w:rPr>
          <w:rFonts w:hint="eastAsia" w:ascii="仿宋" w:hAnsi="仿宋" w:eastAsia="仿宋" w:cs="仿宋"/>
          <w:bCs/>
          <w:sz w:val="32"/>
          <w:szCs w:val="32"/>
        </w:rPr>
        <w:t xml:space="preserve"> 学生应当参加学校教育教学计划规定的课程和各种教育教学环节（以下统称课程）的考核，考核成绩记入成绩册，并归入学籍档案。</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考核分为考试和考查两种。考核不合格的课程应当补考或者重修。</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第十四条</w:t>
      </w:r>
      <w:r>
        <w:rPr>
          <w:rFonts w:hint="eastAsia" w:ascii="仿宋" w:hAnsi="仿宋" w:eastAsia="仿宋" w:cs="仿宋"/>
          <w:bCs/>
          <w:sz w:val="32"/>
          <w:szCs w:val="32"/>
        </w:rPr>
        <w:t xml:space="preserve"> 学生思想品德的考核、鉴定，以本规定第四条为主要依据，采取个人小结、师生民主评议等形式进行。</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学生体育成绩评定要突出过程管理，可以根据考勤、课内教学、课外锻炼活动和体质健康等情况进行综合评定。</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第十五条</w:t>
      </w:r>
      <w:r>
        <w:rPr>
          <w:rFonts w:hint="eastAsia" w:ascii="仿宋" w:hAnsi="仿宋" w:eastAsia="仿宋" w:cs="仿宋"/>
          <w:bCs/>
          <w:sz w:val="32"/>
          <w:szCs w:val="32"/>
        </w:rPr>
        <w:t xml:space="preserve"> 学生每学期或者每学年所修课程或者应修学分数以及升级、跳级、留级、降级等要求，由学校另行规定。</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第十六条</w:t>
      </w:r>
      <w:r>
        <w:rPr>
          <w:rFonts w:hint="eastAsia" w:ascii="仿宋" w:hAnsi="仿宋" w:eastAsia="仿宋" w:cs="仿宋"/>
          <w:bCs/>
          <w:sz w:val="32"/>
          <w:szCs w:val="32"/>
        </w:rPr>
        <w:t xml:space="preserve"> 学生根据学校有关规定，可以申请辅修校内其他专业或者选修其他专业课程；可以申请跨校辅修专业或者修读课程，参加学校认可的开放式网络课程学习。学生修读的课程成绩（学分），学校审核同意后，予以承认。</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sz w:val="32"/>
          <w:szCs w:val="32"/>
        </w:rPr>
        <w:t>第十七条</w:t>
      </w:r>
      <w:r>
        <w:rPr>
          <w:rFonts w:hint="eastAsia" w:ascii="仿宋" w:hAnsi="仿宋" w:eastAsia="仿宋" w:cs="仿宋"/>
          <w:bCs/>
          <w:sz w:val="32"/>
          <w:szCs w:val="32"/>
        </w:rPr>
        <w:t xml:space="preserve"> 学生参加创新创业、社会实践等活动以及发表论文、获得专利授权等与专业学习、学业要求相关的经历、成果，可以折算为学分，计入学业成绩。具体办法由学校规定。</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学校鼓励、支持和指导学生参加社会实践、创新创业活动，建立创新创业档案、设置创新创业学分。</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第十八条</w:t>
      </w:r>
      <w:r>
        <w:rPr>
          <w:rFonts w:hint="eastAsia" w:ascii="仿宋" w:hAnsi="仿宋" w:eastAsia="仿宋" w:cs="仿宋"/>
          <w:bCs/>
          <w:sz w:val="32"/>
          <w:szCs w:val="32"/>
        </w:rPr>
        <w:t xml:space="preserve"> 学校建立健全学生学业成绩和学籍档案管理制度，真实、完整地记载、出具学生学业成绩，对通过补考、重修获得的成绩，应当予以标注。</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严重违反考核纪律或者作弊的，该课程考核成绩记为无效，并应视其违纪或者作弊情节，给予相应的纪律处分。给予警告、严重警告、记过及留校察看处分的，经教育表现较好，可以对该课程给予补考或者重修机会。</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学生因退学等情况中止学业，其在校学习期间所修课程及已获得学分，应当予以记录。学生重新参加入学考试、符合录取条件，再次入学的，其已获得学分，经学校认定，可以予以承认。具体办法另行规定。</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第十九条</w:t>
      </w:r>
      <w:r>
        <w:rPr>
          <w:rFonts w:hint="eastAsia" w:ascii="仿宋" w:hAnsi="仿宋" w:eastAsia="仿宋" w:cs="仿宋"/>
          <w:bCs/>
          <w:sz w:val="32"/>
          <w:szCs w:val="32"/>
        </w:rPr>
        <w:t xml:space="preserve"> 学生应当按时参加教育教学计划规定的活动。不能按时参加的，应当事先请假并获得批准。无故缺席的，根据学校有关规定给予批评教育，情节严重的，给予相应的纪律处分。</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第二十条</w:t>
      </w:r>
      <w:r>
        <w:rPr>
          <w:rFonts w:hint="eastAsia" w:ascii="仿宋" w:hAnsi="仿宋" w:eastAsia="仿宋" w:cs="仿宋"/>
          <w:bCs/>
          <w:sz w:val="32"/>
          <w:szCs w:val="32"/>
        </w:rPr>
        <w:t xml:space="preserve"> 学校应当开展学生诚信教育，以适当方式记录学生学业、学术、品行等方面的诚信信息，建立对失信行为的约束和惩戒机制；对有严重失信行为的，可以规定给予相应的纪律处分，对违背学术诚信的，可以对其获得学位及学术称号、荣誉等作出限制。</w:t>
      </w:r>
    </w:p>
    <w:p>
      <w:pPr>
        <w:widowControl/>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第三节 转专业与转学</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第二十一条</w:t>
      </w:r>
      <w:r>
        <w:rPr>
          <w:rFonts w:hint="eastAsia" w:ascii="仿宋" w:hAnsi="仿宋" w:eastAsia="仿宋" w:cs="仿宋"/>
          <w:bCs/>
          <w:sz w:val="32"/>
          <w:szCs w:val="32"/>
        </w:rPr>
        <w:t xml:space="preserve"> 学生在学习期间对其他专业有兴趣和专长的，可以申请转专业；以特殊招生形式录取的学生，国家有相关规定或者录取前与学校有明确约定的，不得转专业。</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学校制定学生转专业的具体办法，建立公平、公正的标准和程序，健全公示制度。学校根据社会对人才需求情况的发展变化，需要适当调整专业的，允许在读学生转到其他相关专业就读。</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休学创业或退役后复学的学生，因自身情况需要转专业的，学校应当优先考虑。</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第二十二条</w:t>
      </w:r>
      <w:r>
        <w:rPr>
          <w:rFonts w:hint="eastAsia" w:ascii="仿宋" w:hAnsi="仿宋" w:eastAsia="仿宋" w:cs="仿宋"/>
          <w:bCs/>
          <w:sz w:val="32"/>
          <w:szCs w:val="32"/>
        </w:rPr>
        <w:t xml:space="preserve"> 学生一般应当在被录取学校完成学业。因患病或者有特殊困难、特别需要，无法继续在本校学习或者不适应本校学习要求的，可以申请转学。有下列情形之一，不得转学：</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（一）入学未满一学期或者毕业前一年的；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（二）高考成绩低于拟转入学校相关专业同一生源地相应年份录取成绩的；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（三）由低学历层次转为高学历层次的；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（四）以定向就业招生录取的；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（五）无正当转学理由的。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学生因学校培养条件改变等非本人原因需要转学的，学校出具证明，由自治区教育厅协调转学到同层次学校。</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第二十三条</w:t>
      </w:r>
      <w:r>
        <w:rPr>
          <w:rFonts w:hint="eastAsia" w:ascii="仿宋" w:hAnsi="仿宋" w:eastAsia="仿宋" w:cs="仿宋"/>
          <w:bCs/>
          <w:sz w:val="32"/>
          <w:szCs w:val="32"/>
        </w:rPr>
        <w:t xml:space="preserve"> 学生转学由学生本人提出申请，说明理由，经所在学校和拟转入学校同意，由转入学校负责审核转学条件及相关证明，认为符合本校培养要求且学校有培养能力的，经学校校长办公会或者专题会议研究决定，可以转入。</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跨省转学的，由自治区教育厅商转入地省级教育行政部门，按转学条件确认后办理转学手续。须转户口的由转入地省级教育行政部门将有关文件抄送转入学校所在地的公安机关。</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第二十四条</w:t>
      </w:r>
      <w:r>
        <w:rPr>
          <w:rFonts w:hint="eastAsia" w:ascii="仿宋" w:hAnsi="仿宋" w:eastAsia="仿宋" w:cs="仿宋"/>
          <w:bCs/>
          <w:sz w:val="32"/>
          <w:szCs w:val="32"/>
        </w:rPr>
        <w:t xml:space="preserve"> 学校应当按照国家有关规定，建立健全学生转学的具体办法；对转学情况应当及时进行公示，并在转学完成后3个月内，由转入学校报所在地省级教育行政部门备案。</w:t>
      </w:r>
    </w:p>
    <w:p>
      <w:pPr>
        <w:widowControl/>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第四节 休学与复学</w:t>
      </w:r>
    </w:p>
    <w:p>
      <w:pPr>
        <w:widowControl/>
        <w:spacing w:line="360" w:lineRule="auto"/>
        <w:ind w:firstLine="482" w:firstLineChars="150"/>
        <w:jc w:val="left"/>
        <w:rPr>
          <w:rFonts w:hint="eastAsia" w:ascii="仿宋" w:hAnsi="仿宋" w:eastAsia="仿宋" w:cs="仿宋"/>
          <w:bCs/>
          <w:sz w:val="32"/>
          <w:szCs w:val="32"/>
        </w:rPr>
      </w:pPr>
      <w:r>
        <w:rPr>
          <w:rFonts w:hint="eastAsia" w:ascii="仿宋" w:hAnsi="仿宋" w:eastAsia="仿宋" w:cs="仿宋"/>
          <w:b/>
          <w:bCs/>
          <w:sz w:val="32"/>
          <w:szCs w:val="32"/>
        </w:rPr>
        <w:t>第二十五条</w:t>
      </w:r>
      <w:r>
        <w:rPr>
          <w:rFonts w:hint="eastAsia" w:ascii="仿宋" w:hAnsi="仿宋" w:eastAsia="仿宋" w:cs="仿宋"/>
          <w:bCs/>
          <w:sz w:val="32"/>
          <w:szCs w:val="32"/>
        </w:rPr>
        <w:t xml:space="preserve"> 学生可以分阶段完成学业，除另有规定外，应当在学校规定的最长学习年限（含休学和保留学籍）内完成学业。</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学生申请休学或者学校认为应当休学的，经学校批准，可以休学。休学次数和期限由学校另行规定。</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第二十六条</w:t>
      </w:r>
      <w:r>
        <w:rPr>
          <w:rFonts w:hint="eastAsia" w:ascii="仿宋" w:hAnsi="仿宋" w:eastAsia="仿宋" w:cs="仿宋"/>
          <w:bCs/>
          <w:sz w:val="32"/>
          <w:szCs w:val="32"/>
        </w:rPr>
        <w:t xml:space="preserve"> 学校根据情况建立并实行灵活的学习制度。对休学创业的学生，可以单独规定最长学习年限，并简化休学批准程序。</w:t>
      </w:r>
    </w:p>
    <w:p>
      <w:pPr>
        <w:widowControl/>
        <w:spacing w:line="360" w:lineRule="auto"/>
        <w:ind w:firstLine="482" w:firstLineChars="150"/>
        <w:jc w:val="left"/>
        <w:rPr>
          <w:rFonts w:hint="eastAsia" w:ascii="仿宋" w:hAnsi="仿宋" w:eastAsia="仿宋" w:cs="仿宋"/>
          <w:bCs/>
          <w:sz w:val="32"/>
          <w:szCs w:val="32"/>
        </w:rPr>
      </w:pPr>
      <w:r>
        <w:rPr>
          <w:rFonts w:hint="eastAsia" w:ascii="仿宋" w:hAnsi="仿宋" w:eastAsia="仿宋" w:cs="仿宋"/>
          <w:b/>
          <w:bCs/>
          <w:sz w:val="32"/>
          <w:szCs w:val="32"/>
        </w:rPr>
        <w:t>第二十七条</w:t>
      </w:r>
      <w:r>
        <w:rPr>
          <w:rFonts w:hint="eastAsia" w:ascii="仿宋" w:hAnsi="仿宋" w:eastAsia="仿宋" w:cs="仿宋"/>
          <w:bCs/>
          <w:sz w:val="32"/>
          <w:szCs w:val="32"/>
        </w:rPr>
        <w:t xml:space="preserve"> 新生和在校学生应征参加中国人民解放军（含中国人民武装警察部队），学校应当保留其入学资格或者学籍至退役后2年。</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学生参加学校组织的跨校联合培养项目，在联合培养学校学习期间，学校同时为其保留学籍。</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学生保留学籍期间，与其实际所在的部队、学校等组织建立管理关系。</w:t>
      </w:r>
    </w:p>
    <w:p>
      <w:pPr>
        <w:widowControl/>
        <w:spacing w:line="360" w:lineRule="auto"/>
        <w:ind w:firstLine="482" w:firstLineChars="150"/>
        <w:jc w:val="left"/>
        <w:rPr>
          <w:rFonts w:hint="eastAsia" w:ascii="仿宋" w:hAnsi="仿宋" w:eastAsia="仿宋" w:cs="仿宋"/>
          <w:bCs/>
          <w:sz w:val="32"/>
          <w:szCs w:val="32"/>
        </w:rPr>
      </w:pPr>
      <w:r>
        <w:rPr>
          <w:rFonts w:hint="eastAsia" w:ascii="仿宋" w:hAnsi="仿宋" w:eastAsia="仿宋" w:cs="仿宋"/>
          <w:b/>
          <w:bCs/>
          <w:sz w:val="32"/>
          <w:szCs w:val="32"/>
        </w:rPr>
        <w:t>第二十八条</w:t>
      </w:r>
      <w:r>
        <w:rPr>
          <w:rFonts w:hint="eastAsia" w:ascii="仿宋" w:hAnsi="仿宋" w:eastAsia="仿宋" w:cs="仿宋"/>
          <w:bCs/>
          <w:sz w:val="32"/>
          <w:szCs w:val="32"/>
        </w:rPr>
        <w:t xml:space="preserve"> 休学学生应当办理手续离校。学生休学期间，学校应为其保留学籍，但不享受在校学习学生待遇。因病休学学生的医疗费按国家及当地的有关规定处理。</w:t>
      </w:r>
    </w:p>
    <w:p>
      <w:pPr>
        <w:widowControl/>
        <w:spacing w:line="360" w:lineRule="auto"/>
        <w:ind w:firstLine="482" w:firstLineChars="150"/>
        <w:jc w:val="left"/>
        <w:rPr>
          <w:rFonts w:hint="eastAsia" w:ascii="仿宋" w:hAnsi="仿宋" w:eastAsia="仿宋" w:cs="仿宋"/>
          <w:bCs/>
          <w:sz w:val="32"/>
          <w:szCs w:val="32"/>
        </w:rPr>
      </w:pPr>
      <w:r>
        <w:rPr>
          <w:rFonts w:hint="eastAsia" w:ascii="仿宋" w:hAnsi="仿宋" w:eastAsia="仿宋" w:cs="仿宋"/>
          <w:b/>
          <w:bCs/>
          <w:sz w:val="32"/>
          <w:szCs w:val="32"/>
        </w:rPr>
        <w:t>第二十九条</w:t>
      </w:r>
      <w:r>
        <w:rPr>
          <w:rFonts w:hint="eastAsia" w:ascii="仿宋" w:hAnsi="仿宋" w:eastAsia="仿宋" w:cs="仿宋"/>
          <w:bCs/>
          <w:sz w:val="32"/>
          <w:szCs w:val="32"/>
        </w:rPr>
        <w:t xml:space="preserve"> 学生休学期满前应当在学校规定的期限内提出复学申请，经学校复查合格，方可复学。</w:t>
      </w:r>
    </w:p>
    <w:p>
      <w:pPr>
        <w:widowControl/>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第五节 退学</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第三十条</w:t>
      </w:r>
      <w:r>
        <w:rPr>
          <w:rFonts w:hint="eastAsia" w:ascii="仿宋" w:hAnsi="仿宋" w:eastAsia="仿宋" w:cs="仿宋"/>
          <w:bCs/>
          <w:sz w:val="32"/>
          <w:szCs w:val="32"/>
        </w:rPr>
        <w:t xml:space="preserve"> 学生有下列情形之一，学校可予退学处理：</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（一）学业成绩未达到学校要求或者在学校规定的学习年限内未完成学业的；</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（二）休学、保留学籍期满，在学校规定期限内未提出复学申请或者申请复学经复查不合格的；</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（三）根据学校指定医院诊断，患有疾病或者意外伤残不能继续在校学习的；</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（四）未经批准连续两周未参加学校规定的教学活动的；</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（五）超过学校规定期限未注册而又未履行暂缓注册手续的；</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（六）学校规定的不能完成学业、应予退学的其他情形。</w:t>
      </w:r>
    </w:p>
    <w:p>
      <w:pPr>
        <w:widowControl/>
        <w:spacing w:line="360" w:lineRule="auto"/>
        <w:ind w:firstLine="640" w:firstLineChars="200"/>
        <w:jc w:val="left"/>
        <w:rPr>
          <w:rFonts w:hint="eastAsia" w:ascii="仿宋" w:hAnsi="仿宋" w:eastAsia="仿宋" w:cs="仿宋"/>
          <w:kern w:val="0"/>
          <w:sz w:val="32"/>
          <w:szCs w:val="32"/>
        </w:rPr>
      </w:pPr>
      <w:r>
        <w:rPr>
          <w:rFonts w:hint="eastAsia" w:ascii="仿宋" w:hAnsi="仿宋" w:eastAsia="仿宋" w:cs="仿宋"/>
          <w:bCs/>
          <w:sz w:val="32"/>
          <w:szCs w:val="32"/>
        </w:rPr>
        <w:t>学生本人申请退学的，经学校审核同意后，办理退学手续。</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第三十一条</w:t>
      </w:r>
      <w:r>
        <w:rPr>
          <w:rFonts w:hint="eastAsia" w:ascii="仿宋" w:hAnsi="仿宋" w:eastAsia="仿宋" w:cs="仿宋"/>
          <w:bCs/>
          <w:sz w:val="32"/>
          <w:szCs w:val="32"/>
        </w:rPr>
        <w:t xml:space="preserve"> 退学学生，应当按学校规定期限办理退学手续离校。</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退学学生的档案由学校退回其家庭所在地，户口应当按照国家相关规定迁回原户籍地或者家庭户籍所在地。</w:t>
      </w:r>
    </w:p>
    <w:p>
      <w:pPr>
        <w:widowControl/>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第六节 毕业与结业</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第三十二条</w:t>
      </w:r>
      <w:r>
        <w:rPr>
          <w:rFonts w:hint="eastAsia" w:ascii="仿宋" w:hAnsi="仿宋" w:eastAsia="仿宋" w:cs="仿宋"/>
          <w:bCs/>
          <w:sz w:val="32"/>
          <w:szCs w:val="32"/>
        </w:rPr>
        <w:t xml:space="preserve"> 学生在学校规定学习年限内，修完教育教学计划规定内容，成绩合格，达到学校毕业要求的，准予毕业，并在学生离校前发给毕业证书。</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学生提前完成教育教学计划规定内容，获得毕业所要求的学分，可以申请提前毕业。学生提前毕业的条件，由学校规定。</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第三十三条</w:t>
      </w:r>
      <w:r>
        <w:rPr>
          <w:rFonts w:hint="eastAsia" w:ascii="仿宋" w:hAnsi="仿宋" w:eastAsia="仿宋" w:cs="仿宋"/>
          <w:bCs/>
          <w:sz w:val="32"/>
          <w:szCs w:val="32"/>
        </w:rPr>
        <w:t xml:space="preserve"> 学生在学校规定学习年限内，修完教育教学计划规定内容，但未达到学校毕业要求的，学校可以准予结业，发给结业证书。</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结业后是否可以补考、重修或者补作毕业设计、论文、答辩，以及是否颁发毕业证书、学位证书，由学校规定。合格后颁发的毕业证书、学位证书，毕业时间、获得学位时间按发证日期填写。</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对退学学生,学校发给肄业证书或者写实性学习证明。</w:t>
      </w:r>
    </w:p>
    <w:p>
      <w:pPr>
        <w:widowControl/>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第七节 学业证书管理</w:t>
      </w:r>
    </w:p>
    <w:p>
      <w:pPr>
        <w:widowControl/>
        <w:spacing w:line="360" w:lineRule="auto"/>
        <w:ind w:firstLine="482" w:firstLineChars="150"/>
        <w:jc w:val="left"/>
        <w:rPr>
          <w:rFonts w:hint="eastAsia" w:ascii="仿宋" w:hAnsi="仿宋" w:eastAsia="仿宋" w:cs="仿宋"/>
          <w:bCs/>
          <w:sz w:val="32"/>
          <w:szCs w:val="32"/>
        </w:rPr>
      </w:pPr>
      <w:r>
        <w:rPr>
          <w:rFonts w:hint="eastAsia" w:ascii="仿宋" w:hAnsi="仿宋" w:eastAsia="仿宋" w:cs="仿宋"/>
          <w:b/>
          <w:bCs/>
          <w:sz w:val="32"/>
          <w:szCs w:val="32"/>
        </w:rPr>
        <w:t>第三十四条</w:t>
      </w:r>
      <w:r>
        <w:rPr>
          <w:rFonts w:hint="eastAsia" w:ascii="仿宋" w:hAnsi="仿宋" w:eastAsia="仿宋" w:cs="仿宋"/>
          <w:bCs/>
          <w:sz w:val="32"/>
          <w:szCs w:val="32"/>
        </w:rPr>
        <w:t xml:space="preserve"> 学校应当严格按照招生时确定的办学类型和学习形式，以及学生招生录取时填报的个人信息，填写、颁发学历证书及其他学业证书。</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学生在校期间变更姓名、出生日期等证书需填写的个人信息的，应当有合理、充分的理由，并提供有法定效力的相应证明文件。学校进行审查，需要学生生源地省级教育行政部门及有关部门协助核查的，有关部门应当予以配合。</w:t>
      </w:r>
    </w:p>
    <w:p>
      <w:pPr>
        <w:widowControl/>
        <w:spacing w:line="360" w:lineRule="auto"/>
        <w:ind w:firstLine="482" w:firstLineChars="150"/>
        <w:jc w:val="left"/>
        <w:rPr>
          <w:rFonts w:hint="eastAsia" w:ascii="仿宋" w:hAnsi="仿宋" w:eastAsia="仿宋" w:cs="仿宋"/>
          <w:bCs/>
          <w:sz w:val="32"/>
          <w:szCs w:val="32"/>
        </w:rPr>
      </w:pPr>
      <w:r>
        <w:rPr>
          <w:rFonts w:hint="eastAsia" w:ascii="仿宋" w:hAnsi="仿宋" w:eastAsia="仿宋" w:cs="仿宋"/>
          <w:b/>
          <w:bCs/>
          <w:sz w:val="32"/>
          <w:szCs w:val="32"/>
        </w:rPr>
        <w:t>第三十五条</w:t>
      </w:r>
      <w:r>
        <w:rPr>
          <w:rFonts w:hint="eastAsia" w:ascii="仿宋" w:hAnsi="仿宋" w:eastAsia="仿宋" w:cs="仿宋"/>
          <w:bCs/>
          <w:sz w:val="32"/>
          <w:szCs w:val="32"/>
        </w:rPr>
        <w:t xml:space="preserve"> 学校应当执行高等教育学籍学历电子注册管理制度，完善学籍学历信息管理办法，按相关规定及时完成学生学籍学历电子注册。</w:t>
      </w:r>
    </w:p>
    <w:p>
      <w:pPr>
        <w:widowControl/>
        <w:spacing w:line="360" w:lineRule="auto"/>
        <w:ind w:firstLine="482" w:firstLineChars="150"/>
        <w:jc w:val="left"/>
        <w:rPr>
          <w:rFonts w:hint="eastAsia" w:ascii="仿宋" w:hAnsi="仿宋" w:eastAsia="仿宋" w:cs="仿宋"/>
          <w:bCs/>
          <w:sz w:val="32"/>
          <w:szCs w:val="32"/>
        </w:rPr>
      </w:pPr>
      <w:r>
        <w:rPr>
          <w:rFonts w:hint="eastAsia" w:ascii="仿宋" w:hAnsi="仿宋" w:eastAsia="仿宋" w:cs="仿宋"/>
          <w:b/>
          <w:bCs/>
          <w:sz w:val="32"/>
          <w:szCs w:val="32"/>
        </w:rPr>
        <w:t>第三十六条</w:t>
      </w:r>
      <w:r>
        <w:rPr>
          <w:rFonts w:hint="eastAsia" w:ascii="仿宋" w:hAnsi="仿宋" w:eastAsia="仿宋" w:cs="仿宋"/>
          <w:bCs/>
          <w:sz w:val="32"/>
          <w:szCs w:val="32"/>
        </w:rPr>
        <w:t xml:space="preserve"> 对完成本专业学业同时辅修其他专业并达到该专业辅修要求的学生，由学校发给辅修专业证书。</w:t>
      </w:r>
    </w:p>
    <w:p>
      <w:pPr>
        <w:widowControl/>
        <w:spacing w:line="360" w:lineRule="auto"/>
        <w:ind w:firstLine="482" w:firstLineChars="150"/>
        <w:jc w:val="left"/>
        <w:rPr>
          <w:rFonts w:hint="eastAsia" w:ascii="仿宋" w:hAnsi="仿宋" w:eastAsia="仿宋" w:cs="仿宋"/>
          <w:bCs/>
          <w:sz w:val="32"/>
          <w:szCs w:val="32"/>
        </w:rPr>
      </w:pPr>
      <w:r>
        <w:rPr>
          <w:rFonts w:hint="eastAsia" w:ascii="仿宋" w:hAnsi="仿宋" w:eastAsia="仿宋" w:cs="仿宋"/>
          <w:b/>
          <w:bCs/>
          <w:sz w:val="32"/>
          <w:szCs w:val="32"/>
        </w:rPr>
        <w:t>第三十七条</w:t>
      </w:r>
      <w:r>
        <w:rPr>
          <w:rFonts w:hint="eastAsia" w:ascii="仿宋" w:hAnsi="仿宋" w:eastAsia="仿宋" w:cs="仿宋"/>
          <w:bCs/>
          <w:sz w:val="32"/>
          <w:szCs w:val="32"/>
        </w:rPr>
        <w:t xml:space="preserve"> 对违反国家招生规定取得入学资格或者学籍的，取消其学籍，不得发给学历证书；已发的学历证书，学校应当依法予以撤销。对以作弊、剽窃、抄袭等学术不端行为或者其他不正当手段获得学历证书，学校依法予以撤销。</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被撤销的学历证书已注册的，学校应当予以注销并报教育行政部门宣布无效。</w:t>
      </w:r>
    </w:p>
    <w:p>
      <w:pPr>
        <w:widowControl/>
        <w:spacing w:line="360" w:lineRule="auto"/>
        <w:ind w:firstLine="482" w:firstLineChars="150"/>
        <w:jc w:val="left"/>
        <w:rPr>
          <w:rFonts w:hint="eastAsia" w:ascii="仿宋" w:hAnsi="仿宋" w:eastAsia="仿宋" w:cs="仿宋"/>
          <w:bCs/>
          <w:sz w:val="32"/>
          <w:szCs w:val="32"/>
        </w:rPr>
      </w:pPr>
      <w:r>
        <w:rPr>
          <w:rFonts w:hint="eastAsia" w:ascii="仿宋" w:hAnsi="仿宋" w:eastAsia="仿宋" w:cs="仿宋"/>
          <w:b/>
          <w:bCs/>
          <w:sz w:val="32"/>
          <w:szCs w:val="32"/>
        </w:rPr>
        <w:t>第三十八条</w:t>
      </w:r>
      <w:r>
        <w:rPr>
          <w:rFonts w:hint="eastAsia" w:ascii="仿宋" w:hAnsi="仿宋" w:eastAsia="仿宋" w:cs="仿宋"/>
          <w:bCs/>
          <w:sz w:val="32"/>
          <w:szCs w:val="32"/>
        </w:rPr>
        <w:t xml:space="preserve"> 学历证书遗失或者损坏，经本人申请，学校核实后应当出具相应的证明书。证明书与原证书具有同等效力。</w:t>
      </w:r>
    </w:p>
    <w:p>
      <w:pPr>
        <w:widowControl/>
        <w:spacing w:line="360" w:lineRule="auto"/>
        <w:jc w:val="center"/>
        <w:rPr>
          <w:rFonts w:hint="eastAsia" w:ascii="仿宋" w:hAnsi="仿宋" w:eastAsia="仿宋" w:cs="仿宋"/>
          <w:b/>
          <w:bCs/>
          <w:sz w:val="32"/>
          <w:szCs w:val="32"/>
        </w:rPr>
      </w:pPr>
      <w:bookmarkStart w:id="130" w:name="_Toc26535_WPSOffice_Level1"/>
      <w:r>
        <w:rPr>
          <w:rFonts w:hint="eastAsia" w:ascii="仿宋" w:hAnsi="仿宋" w:eastAsia="仿宋" w:cs="仿宋"/>
          <w:b/>
          <w:bCs/>
          <w:sz w:val="32"/>
          <w:szCs w:val="32"/>
        </w:rPr>
        <w:t>第四章 校园秩序与课外活动</w:t>
      </w:r>
      <w:bookmarkEnd w:id="130"/>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第三十九条</w:t>
      </w:r>
      <w:r>
        <w:rPr>
          <w:rFonts w:hint="eastAsia" w:ascii="仿宋" w:hAnsi="仿宋" w:eastAsia="仿宋" w:cs="仿宋"/>
          <w:bCs/>
          <w:sz w:val="32"/>
          <w:szCs w:val="32"/>
        </w:rPr>
        <w:t xml:space="preserve"> 学校、学生共同维护校园正常秩序，保障学校环境安全、稳定，保障学生的正常学习和生活。</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第四十条</w:t>
      </w:r>
      <w:r>
        <w:rPr>
          <w:rFonts w:hint="eastAsia" w:ascii="仿宋" w:hAnsi="仿宋" w:eastAsia="仿宋" w:cs="仿宋"/>
          <w:bCs/>
          <w:sz w:val="32"/>
          <w:szCs w:val="32"/>
        </w:rPr>
        <w:t xml:space="preserve"> 学校建立学生代表大会制度，完善校学生会、二级学院学生会、班委会、学生社团等学生参与管理的组织形式，为学生会开展活动提供必要条件。</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学校通过校务公开、学生代表提案、各级学生会提案等形式，支持和保障学生依法、依章程参与学校管理。</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第四十一条</w:t>
      </w:r>
      <w:r>
        <w:rPr>
          <w:rFonts w:hint="eastAsia" w:ascii="仿宋" w:hAnsi="仿宋" w:eastAsia="仿宋" w:cs="仿宋"/>
          <w:bCs/>
          <w:sz w:val="32"/>
          <w:szCs w:val="32"/>
        </w:rPr>
        <w:t xml:space="preserve"> 学生应当自觉遵守公民道德规范，自觉遵守学校管理制度，创造和维护文明、整洁、优美、安全的学习和生活环境，树立安全风险防范和自我保护意识，保障自身合法权益。</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第四十二条</w:t>
      </w:r>
      <w:r>
        <w:rPr>
          <w:rFonts w:hint="eastAsia" w:ascii="仿宋" w:hAnsi="仿宋" w:eastAsia="仿宋" w:cs="仿宋"/>
          <w:bCs/>
          <w:sz w:val="32"/>
          <w:szCs w:val="32"/>
        </w:rPr>
        <w:t xml:space="preserve"> 学生不得有酗酒、打架斗殴、赌博、吸毒，传播、复制、贩卖非法书刊和音像制品等违法行为；不得参与非法传销和进行邪教、封建迷信活动；不得从事或者参与有损大学生形象、有悖社会公序良俗的活动。</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学校发现学生在校内有违法行为或者严重精神疾病可能对他人造成伤害的，可以依法采取或者协助有关部门采取必要措施。</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第四十三条</w:t>
      </w:r>
      <w:r>
        <w:rPr>
          <w:rFonts w:hint="eastAsia" w:ascii="仿宋" w:hAnsi="仿宋" w:eastAsia="仿宋" w:cs="仿宋"/>
          <w:bCs/>
          <w:sz w:val="32"/>
          <w:szCs w:val="32"/>
        </w:rPr>
        <w:t xml:space="preserve"> 学校坚持教育与宗教相分离原则。任何组织和个人不得在学校进行宗教活动。</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bCs/>
          <w:sz w:val="32"/>
          <w:szCs w:val="32"/>
        </w:rPr>
        <w:t>第四十四条</w:t>
      </w:r>
      <w:r>
        <w:rPr>
          <w:rFonts w:hint="eastAsia" w:ascii="仿宋" w:hAnsi="仿宋" w:eastAsia="仿宋" w:cs="仿宋"/>
          <w:bCs/>
          <w:sz w:val="32"/>
          <w:szCs w:val="32"/>
        </w:rPr>
        <w:t xml:space="preserve"> 学生可以在校内成立、参加学生团体。学生成立团体，应当按学校有关规定向学校团委提出书面申请，经学校团委批准并施行登记和年检制度。</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学生团体应当在宪法、法律、法规和学校管理制度范围内活动，接受学校的领导和管理。学生团体邀请校外组织、人员到校举办讲座等活动，需经学校党委宣传部批准。</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第四十五条</w:t>
      </w:r>
      <w:r>
        <w:rPr>
          <w:rFonts w:hint="eastAsia" w:ascii="仿宋" w:hAnsi="仿宋" w:eastAsia="仿宋" w:cs="仿宋"/>
          <w:bCs/>
          <w:sz w:val="32"/>
          <w:szCs w:val="32"/>
        </w:rPr>
        <w:t xml:space="preserve"> 学校提倡并支持学生及学生团体开展有益于身心健康、成长成才的学术、科技、艺术、文娱、体育等活动。</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学生进行课外活动不得影响学校正常的教育教学秩序和生活秩序。</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学生参加勤工助学活动应当遵守法律、法规以及学校、用工单位的管理制度，履行勤工助学活动的有关协议。</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第四十六条</w:t>
      </w:r>
      <w:r>
        <w:rPr>
          <w:rFonts w:hint="eastAsia" w:ascii="仿宋" w:hAnsi="仿宋" w:eastAsia="仿宋" w:cs="仿宋"/>
          <w:bCs/>
          <w:sz w:val="32"/>
          <w:szCs w:val="32"/>
        </w:rPr>
        <w:t xml:space="preserve"> 学生举行大型集会、游行、示威等活动，应当按法律程序和有关规定获得批准。对未获批准的，学校应当依法劝阻或者制止。</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第四十七条</w:t>
      </w:r>
      <w:r>
        <w:rPr>
          <w:rFonts w:hint="eastAsia" w:ascii="仿宋" w:hAnsi="仿宋" w:eastAsia="仿宋" w:cs="仿宋"/>
          <w:bCs/>
          <w:sz w:val="32"/>
          <w:szCs w:val="32"/>
        </w:rPr>
        <w:t xml:space="preserve"> 学生应当遵守国家和学校关于网络使用的有关规定，不得登录非法网站和传播非法文字、音频、视频资料等，不得编造或者传播虚假、有害信息；不得攻击、侵入他人计算机和移动通讯网络系统。</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 xml:space="preserve">第四十八条 </w:t>
      </w:r>
      <w:r>
        <w:rPr>
          <w:rFonts w:hint="eastAsia" w:ascii="仿宋" w:hAnsi="仿宋" w:eastAsia="仿宋" w:cs="仿宋"/>
          <w:bCs/>
          <w:sz w:val="32"/>
          <w:szCs w:val="32"/>
        </w:rPr>
        <w:t>学校建立健全学生住宿管理制度。学生应当遵守学校关于学生住宿管理的规定。学校鼓励和支持学生通过制定公约，实施自我管理。</w:t>
      </w:r>
    </w:p>
    <w:p>
      <w:pPr>
        <w:widowControl/>
        <w:spacing w:line="360" w:lineRule="auto"/>
        <w:jc w:val="center"/>
        <w:rPr>
          <w:rFonts w:hint="eastAsia" w:ascii="仿宋" w:hAnsi="仿宋" w:eastAsia="仿宋" w:cs="仿宋"/>
          <w:b/>
          <w:bCs/>
          <w:sz w:val="32"/>
          <w:szCs w:val="32"/>
        </w:rPr>
      </w:pPr>
      <w:bookmarkStart w:id="131" w:name="_Toc11641_WPSOffice_Level1"/>
      <w:r>
        <w:rPr>
          <w:rFonts w:hint="eastAsia" w:ascii="仿宋" w:hAnsi="仿宋" w:eastAsia="仿宋" w:cs="仿宋"/>
          <w:b/>
          <w:bCs/>
          <w:sz w:val="32"/>
          <w:szCs w:val="32"/>
        </w:rPr>
        <w:t>第五章 奖励与处分</w:t>
      </w:r>
      <w:bookmarkEnd w:id="131"/>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第四十九条</w:t>
      </w:r>
      <w:r>
        <w:rPr>
          <w:rFonts w:hint="eastAsia" w:ascii="仿宋" w:hAnsi="仿宋" w:eastAsia="仿宋" w:cs="仿宋"/>
          <w:bCs/>
          <w:sz w:val="32"/>
          <w:szCs w:val="32"/>
        </w:rPr>
        <w:t xml:space="preserve"> 学校对在德、智、体、美、劳等方面全面发展或者在思想品德、学业成绩、科技创造、体育竞赛、文艺活动、志愿服务及社会实践等方面表现突出的学生，给予表彰和奖励。</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第五十条</w:t>
      </w:r>
      <w:r>
        <w:rPr>
          <w:rFonts w:hint="eastAsia" w:ascii="仿宋" w:hAnsi="仿宋" w:eastAsia="仿宋" w:cs="仿宋"/>
          <w:bCs/>
          <w:sz w:val="32"/>
          <w:szCs w:val="32"/>
        </w:rPr>
        <w:t xml:space="preserve"> 对学生的表彰和奖励采取授予“三好学生”、“优秀学生干部”、“优秀共青团员”、“优秀团干部”称号或者其他荣誉称号、颁发奖学金等多种形式，给予相应的精神鼓励或者物质奖励。</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对学生予以表彰和奖励，以及赋予学生利益的行为，坚持和执行公开、公平、公正的程序和规定，建立和完善相应的选拔、公示等制度。</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第五十一条</w:t>
      </w:r>
      <w:r>
        <w:rPr>
          <w:rFonts w:hint="eastAsia" w:ascii="仿宋" w:hAnsi="仿宋" w:eastAsia="仿宋" w:cs="仿宋"/>
          <w:bCs/>
          <w:sz w:val="32"/>
          <w:szCs w:val="32"/>
        </w:rPr>
        <w:t xml:space="preserve"> 对有违反法律法规、本规定以及学校纪律行为的学生，给予批评教育，并可视情节轻重，给予如下纪律处分：</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（一）警告；</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（二）严重警告；</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（三）记过；</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（四）留校察看；</w:t>
      </w:r>
    </w:p>
    <w:p>
      <w:pPr>
        <w:widowControl/>
        <w:spacing w:line="360" w:lineRule="auto"/>
        <w:ind w:firstLine="480" w:firstLineChars="150"/>
        <w:jc w:val="left"/>
        <w:rPr>
          <w:rFonts w:hint="eastAsia" w:ascii="仿宋" w:hAnsi="仿宋" w:eastAsia="仿宋" w:cs="仿宋"/>
          <w:bCs/>
          <w:sz w:val="32"/>
          <w:szCs w:val="32"/>
        </w:rPr>
      </w:pPr>
      <w:r>
        <w:rPr>
          <w:rFonts w:hint="eastAsia" w:ascii="仿宋" w:hAnsi="仿宋" w:eastAsia="仿宋" w:cs="仿宋"/>
          <w:bCs/>
          <w:sz w:val="32"/>
          <w:szCs w:val="32"/>
        </w:rPr>
        <w:t>（五）开除学籍。</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第五十二条</w:t>
      </w:r>
      <w:r>
        <w:rPr>
          <w:rFonts w:hint="eastAsia" w:ascii="仿宋" w:hAnsi="仿宋" w:eastAsia="仿宋" w:cs="仿宋"/>
          <w:bCs/>
          <w:sz w:val="32"/>
          <w:szCs w:val="32"/>
        </w:rPr>
        <w:t xml:space="preserve"> 学生有下列情形之一，学校可以给予开除学籍处分：</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（一）违反宪法，反对四项基本原则、破坏安定团结、扰乱社会秩序的；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（二）触犯国家法律，构成刑事犯罪的；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（三）受到治安管理处罚，情节严重、性质恶劣的；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（四）代替他人或者让他人代替自己参加考试、组织作弊、使用通讯设备或其他器材作弊、向他人出售考试试题或答案牟取利益，以及其他严重作弊或扰乱考试秩序行为的；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（五）公开发表的研究成果存在抄袭、篡改、伪造等学术不端行为，情节严重的，或者代写论文、买卖论文的；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（六）违反本规定和学校规定，严重影响学校教育教学秩序、生活秩序以及公共场所管理秩序的；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（七）侵害其他个人、组织合法权益，造成严重后果的；</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（八）屡次违反学校规定受到纪律处分，经教育不改的。</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第五十三条</w:t>
      </w:r>
      <w:r>
        <w:rPr>
          <w:rFonts w:hint="eastAsia" w:ascii="仿宋" w:hAnsi="仿宋" w:eastAsia="仿宋" w:cs="仿宋"/>
          <w:bCs/>
          <w:sz w:val="32"/>
          <w:szCs w:val="32"/>
        </w:rPr>
        <w:t xml:space="preserve"> 对学生作出处分，应当出具处分决定书。处分决定书应当包括下列内容：</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（一）学生的基本信息；</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（二）作出处分的事实和证据；</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（三）处分的种类、依据、期限；</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（四）申诉的途径和期限；</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（五）其他必要内容。</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第五十四条</w:t>
      </w:r>
      <w:r>
        <w:rPr>
          <w:rFonts w:hint="eastAsia" w:ascii="仿宋" w:hAnsi="仿宋" w:eastAsia="仿宋" w:cs="仿宋"/>
          <w:bCs/>
          <w:sz w:val="32"/>
          <w:szCs w:val="32"/>
        </w:rPr>
        <w:t xml:space="preserve"> 给予学生处分，应当坚持教育与惩戒相结合，与学生违法、违纪行为的性质和过错的严重程度相适应。学校对学生的处分，应当做到证据充分、依据明确、定性准确、程序正当、处分适当。</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第五十五条</w:t>
      </w:r>
      <w:r>
        <w:rPr>
          <w:rFonts w:hint="eastAsia" w:ascii="仿宋" w:hAnsi="仿宋" w:eastAsia="仿宋" w:cs="仿宋"/>
          <w:bCs/>
          <w:sz w:val="32"/>
          <w:szCs w:val="32"/>
        </w:rPr>
        <w:t xml:space="preserve"> 在对学生作出处分或者其他不利决定之前，应当告知学生作出决定的事实、理由及依据，并告知学生享有陈述和申辩的权利，听取学生的陈述和申辩。</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处理、处分决定以及处分告知书等，应当直接送达学生本人，学生拒绝签收的，可以以留置方式送达；已离校的，可以采取邮寄方式送达；难于联系的，可以利用学校网站、新闻媒体等以公告方式送达。</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第五十六条</w:t>
      </w:r>
      <w:r>
        <w:rPr>
          <w:rFonts w:hint="eastAsia" w:ascii="仿宋" w:hAnsi="仿宋" w:eastAsia="仿宋" w:cs="仿宋"/>
          <w:bCs/>
          <w:sz w:val="32"/>
          <w:szCs w:val="32"/>
        </w:rPr>
        <w:t xml:space="preserve"> 对学生作出取消入学资格、取消学籍、退学、开除学籍或者其他涉及学生重大利益的处理或者处分决定的，应当提交校长办公会或者校长授权的专门会议研究决定，并应当事先进行合法性审查。</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第五十七条</w:t>
      </w:r>
      <w:r>
        <w:rPr>
          <w:rFonts w:hint="eastAsia" w:ascii="仿宋" w:hAnsi="仿宋" w:eastAsia="仿宋" w:cs="仿宋"/>
          <w:bCs/>
          <w:sz w:val="32"/>
          <w:szCs w:val="32"/>
        </w:rPr>
        <w:t xml:space="preserve"> 除开除学籍处分以外，给予学生处分设置6到12个月期限，到期按学校规定程序予以解除。解除处分后，学生获得表彰、奖励及其他权益，不再受原处分的影响。</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第五十八条</w:t>
      </w:r>
      <w:r>
        <w:rPr>
          <w:rFonts w:hint="eastAsia" w:ascii="仿宋" w:hAnsi="仿宋" w:eastAsia="仿宋" w:cs="仿宋"/>
          <w:bCs/>
          <w:sz w:val="32"/>
          <w:szCs w:val="32"/>
        </w:rPr>
        <w:t xml:space="preserve"> 对学生的奖励、处理、处分及解除处分材料，应当真实完整地归入学校文书档案和本人档案。</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被开除学籍的学生，由学校发给学习证明。学生按学校规定期限离校，档案由学校退回其家庭所在地，户口应当按照国家相关规定迁回原户籍地或者家庭户籍所在地。</w:t>
      </w:r>
    </w:p>
    <w:p>
      <w:pPr>
        <w:widowControl/>
        <w:spacing w:line="360" w:lineRule="auto"/>
        <w:jc w:val="center"/>
        <w:rPr>
          <w:rFonts w:hint="eastAsia" w:ascii="仿宋" w:hAnsi="仿宋" w:eastAsia="仿宋" w:cs="仿宋"/>
          <w:b/>
          <w:bCs/>
          <w:sz w:val="32"/>
          <w:szCs w:val="32"/>
        </w:rPr>
      </w:pPr>
      <w:bookmarkStart w:id="132" w:name="_Toc9119_WPSOffice_Level1"/>
      <w:r>
        <w:rPr>
          <w:rFonts w:hint="eastAsia" w:ascii="仿宋" w:hAnsi="仿宋" w:eastAsia="仿宋" w:cs="仿宋"/>
          <w:b/>
          <w:bCs/>
          <w:sz w:val="32"/>
          <w:szCs w:val="32"/>
        </w:rPr>
        <w:t>第六章 学生申诉</w:t>
      </w:r>
      <w:bookmarkEnd w:id="132"/>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第五十九条</w:t>
      </w:r>
      <w:r>
        <w:rPr>
          <w:rFonts w:hint="eastAsia" w:ascii="仿宋" w:hAnsi="仿宋" w:eastAsia="仿宋" w:cs="仿宋"/>
          <w:bCs/>
          <w:sz w:val="32"/>
          <w:szCs w:val="32"/>
        </w:rPr>
        <w:t xml:space="preserve"> 学校成立学生申诉处理委员会，负责受理学生对学校处理或者处分决定不服提起的申诉。</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学生申诉处理委员会由学校相关负责人、职能部门负责人、学校纪检监察部门负责人、学校法律顾问、教师代表、学生代表等人组成。</w:t>
      </w:r>
    </w:p>
    <w:p>
      <w:pPr>
        <w:widowControl/>
        <w:spacing w:line="360" w:lineRule="auto"/>
        <w:ind w:firstLine="640" w:firstLineChars="200"/>
        <w:jc w:val="left"/>
        <w:rPr>
          <w:rFonts w:hint="eastAsia" w:ascii="仿宋" w:hAnsi="仿宋" w:eastAsia="仿宋" w:cs="仿宋"/>
          <w:kern w:val="0"/>
          <w:sz w:val="32"/>
          <w:szCs w:val="32"/>
        </w:rPr>
      </w:pPr>
      <w:r>
        <w:rPr>
          <w:rFonts w:hint="eastAsia" w:ascii="仿宋" w:hAnsi="仿宋" w:eastAsia="仿宋" w:cs="仿宋"/>
          <w:bCs/>
          <w:sz w:val="32"/>
          <w:szCs w:val="32"/>
        </w:rPr>
        <w:t>学校制定学生申诉的具体办法,健全学生申诉处理委员会的组成与工作规则，提供必要条件，保证其能够客观、公正地履行职责。</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第六十条</w:t>
      </w:r>
      <w:r>
        <w:rPr>
          <w:rFonts w:hint="eastAsia" w:ascii="仿宋" w:hAnsi="仿宋" w:eastAsia="仿宋" w:cs="仿宋"/>
          <w:bCs/>
          <w:sz w:val="32"/>
          <w:szCs w:val="32"/>
        </w:rPr>
        <w:t xml:space="preserve"> 学生对学校的处理或者处分决定有异议的，可以在接到学校处理或者处分决定书之日起10日内，向学校学生申诉处理委员会提出书面申诉。</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第六十一条</w:t>
      </w:r>
      <w:r>
        <w:rPr>
          <w:rFonts w:hint="eastAsia" w:ascii="仿宋" w:hAnsi="仿宋" w:eastAsia="仿宋" w:cs="仿宋"/>
          <w:bCs/>
          <w:sz w:val="32"/>
          <w:szCs w:val="32"/>
        </w:rPr>
        <w:t xml:space="preserve"> 学生申诉处理委员会对学生提出的申诉进行复查，并在接到书面申诉之日起15日内作出复查结论并告知申诉人。情况复杂不能在规定限期内作出结论的，经学校负责人批准，可延长15日。学生申诉处理委员会认为必要的，可以建议学校暂缓执行有关决定。</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学生申诉处理委员会经复查，认为做出处理或者处分的事实、依据、程序等存在不当，可以作出建议撤销或变更的复查意见，要求相关职能部门予以研究，重新提交校长办公会或者专门会议作出决定。</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 xml:space="preserve">第六十二条 </w:t>
      </w:r>
      <w:r>
        <w:rPr>
          <w:rFonts w:hint="eastAsia" w:ascii="仿宋" w:hAnsi="仿宋" w:eastAsia="仿宋" w:cs="仿宋"/>
          <w:bCs/>
          <w:sz w:val="32"/>
          <w:szCs w:val="32"/>
        </w:rPr>
        <w:t>学生对复查决定有异议的，在接到学校复查决定书之日起15日内，可以向广西壮族自治区教育厅提出书面申诉。</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第六十三条</w:t>
      </w:r>
      <w:r>
        <w:rPr>
          <w:rFonts w:hint="eastAsia" w:ascii="仿宋" w:hAnsi="仿宋" w:eastAsia="仿宋" w:cs="仿宋"/>
          <w:bCs/>
          <w:sz w:val="32"/>
          <w:szCs w:val="32"/>
        </w:rPr>
        <w:t xml:space="preserve"> 自处理、处分或者复查决定书送达之日起，学生在申诉期内未提出申诉的视为放弃申诉，学校不再受理其提出的申诉。</w:t>
      </w:r>
    </w:p>
    <w:p>
      <w:pPr>
        <w:widowControl/>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处理、处分或者复查决定书未告知学生申诉期限的，申诉期限自学生知道或者应当知道处理或者处分决定之日起计算，但最长不得超过6个月。</w:t>
      </w:r>
    </w:p>
    <w:p>
      <w:pPr>
        <w:widowControl/>
        <w:spacing w:line="360" w:lineRule="auto"/>
        <w:jc w:val="center"/>
        <w:rPr>
          <w:rFonts w:hint="eastAsia" w:ascii="仿宋" w:hAnsi="仿宋" w:eastAsia="仿宋" w:cs="仿宋"/>
          <w:b/>
          <w:bCs/>
          <w:sz w:val="32"/>
          <w:szCs w:val="32"/>
        </w:rPr>
      </w:pPr>
      <w:bookmarkStart w:id="133" w:name="_Toc11083_WPSOffice_Level1"/>
      <w:r>
        <w:rPr>
          <w:rFonts w:hint="eastAsia" w:ascii="仿宋" w:hAnsi="仿宋" w:eastAsia="仿宋" w:cs="仿宋"/>
          <w:b/>
          <w:bCs/>
          <w:sz w:val="32"/>
          <w:szCs w:val="32"/>
        </w:rPr>
        <w:t>第七章 附 则</w:t>
      </w:r>
      <w:bookmarkEnd w:id="133"/>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第六十四条</w:t>
      </w:r>
      <w:r>
        <w:rPr>
          <w:rFonts w:hint="eastAsia" w:ascii="仿宋" w:hAnsi="仿宋" w:eastAsia="仿宋" w:cs="仿宋"/>
          <w:bCs/>
          <w:sz w:val="32"/>
          <w:szCs w:val="32"/>
        </w:rPr>
        <w:t xml:space="preserve"> 本规定自2017年9月1日起施行。学校其他有关文件规定与本规定不一致的，以本规定为准。</w:t>
      </w:r>
    </w:p>
    <w:p>
      <w:pPr>
        <w:widowControl/>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 xml:space="preserve">第六十五条 </w:t>
      </w:r>
      <w:r>
        <w:rPr>
          <w:rFonts w:hint="eastAsia" w:ascii="仿宋" w:hAnsi="仿宋" w:eastAsia="仿宋" w:cs="仿宋"/>
          <w:bCs/>
          <w:sz w:val="32"/>
          <w:szCs w:val="32"/>
        </w:rPr>
        <w:t xml:space="preserve"> 本规定由校学生工作部（处）负责解释。</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宋体" w:hAnsi="宋体" w:eastAsia="宋体" w:cs="宋体"/>
          <w:b/>
          <w:sz w:val="36"/>
          <w:szCs w:val="36"/>
        </w:rPr>
      </w:pPr>
      <w:bookmarkStart w:id="134" w:name="_Toc21279_WPSOffice_Level1"/>
      <w:r>
        <w:rPr>
          <w:rFonts w:hint="eastAsia" w:ascii="宋体" w:hAnsi="宋体" w:eastAsia="宋体" w:cs="宋体"/>
          <w:b/>
          <w:sz w:val="36"/>
          <w:szCs w:val="36"/>
        </w:rPr>
        <w:t>柳州职业技术学院学生行为规范管理办法</w:t>
      </w:r>
      <w:bookmarkEnd w:id="134"/>
    </w:p>
    <w:p>
      <w:pPr>
        <w:spacing w:line="360" w:lineRule="auto"/>
        <w:jc w:val="center"/>
        <w:rPr>
          <w:rFonts w:hint="eastAsia" w:ascii="仿宋" w:hAnsi="仿宋" w:eastAsia="仿宋" w:cs="仿宋"/>
          <w:b/>
          <w:sz w:val="32"/>
          <w:szCs w:val="32"/>
        </w:rPr>
      </w:pPr>
      <w:bookmarkStart w:id="135" w:name="_Toc26508_WPSOffice_Level1"/>
      <w:r>
        <w:rPr>
          <w:rFonts w:hint="eastAsia" w:ascii="仿宋" w:hAnsi="仿宋" w:eastAsia="仿宋" w:cs="仿宋"/>
          <w:b/>
          <w:sz w:val="32"/>
          <w:szCs w:val="32"/>
        </w:rPr>
        <w:t>第一章  总 则</w:t>
      </w:r>
      <w:bookmarkEnd w:id="135"/>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为了加强校园文明建设，净化育人环境，引导学生养成良好的学习、生活习惯，规范学生日常行为，提高学生综合素质，根据国家教委颁发的《高等学校学生行为准则（试行）》，结合我院实际情况，特制定本《办法》。</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本《办法》是学校对学生进行日常行为教育和管理的基本依据，是学生学习、生活和从事其他活动的行动指南。</w:t>
      </w:r>
    </w:p>
    <w:p>
      <w:pPr>
        <w:spacing w:line="360" w:lineRule="auto"/>
        <w:jc w:val="center"/>
        <w:rPr>
          <w:rFonts w:hint="eastAsia" w:ascii="仿宋" w:hAnsi="仿宋" w:eastAsia="仿宋" w:cs="仿宋"/>
          <w:b/>
          <w:sz w:val="32"/>
          <w:szCs w:val="32"/>
        </w:rPr>
      </w:pPr>
      <w:bookmarkStart w:id="136" w:name="_Toc27959_WPSOffice_Level1"/>
      <w:r>
        <w:rPr>
          <w:rFonts w:hint="eastAsia" w:ascii="仿宋" w:hAnsi="仿宋" w:eastAsia="仿宋" w:cs="仿宋"/>
          <w:b/>
          <w:sz w:val="32"/>
          <w:szCs w:val="32"/>
        </w:rPr>
        <w:t>第二章  学生行为规范</w:t>
      </w:r>
      <w:bookmarkEnd w:id="136"/>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第一部分：基本要求</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（一）爱国爱校，遵纪守法</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1.热爱祖国，维护国家利益和社会稳定，自觉遵守国家法律、法规，不参加非法组织和非法活动，不信谣、不传谣，不传播反动言论。</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2.不酗酒，不赌博，不吸毒，不打架斗殴，不传播、复制、贩卖非法书刊和音像制品，不参加迷信和邪教活动，不参加传销组织，不浏览黄色和反动网站。</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 xml:space="preserve">3.热爱学校，维护学校的利益，爱护学校荣誉，牢记“踏踏实实做人，认认真真做事”的学校精神和“志当高、学当勤、能必强、技必精”的校训，立志成才。 </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4.自觉遵守学校的纪律和各种管理制度，遵守学校对学生宿舍、教室、实训（验）室、图书馆、体育馆、运动场、食堂、办公楼等公共场所的管理规定。</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（二）诚信友善，举止文明</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1.自觉遵守社会公德、公共秩序，尊老爱幼。尊重他人的人格、宗教信仰和民族习惯，谦虚礼让，扶残助弱。</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2.讲究公共卫生，不乱丢果皮、纸屑、塑料袋等物，不乱倒垃圾或饭菜，不随地吐痰，不乱写、乱画、乱刻、乱张贴。</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3.讲普通话，自觉使用“您好”、“再见”、“请”、“谢谢”、“对不起”、“没关系”等文明礼貌用语。</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4.爱护公共财物，不损坏公共财物，爱护花草树木，不践踏绿地、花草及植物。</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5.拾金不昧，不贪图便宜，拾到他人财物要及时归还或上交，未经许可不动用他人的物品，不私拆他人的信件，不翻阅他人的手机、日记。</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6.尊敬父母长辈，听从父母教导，经常向父母汇报在校思想和学习、生活情况，在家要做力所能及的家务。</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7.团结同学，互相尊重，不拉帮结派，不组织、不参加同乡会组织。不叫侮辱性绰号，不欺侮同学，发生矛盾多做自我批评。男女交往，言行适度，举止得体，自重自爱。</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8.注重个人品德修养，诚实守信，谦虚谨慎，言行一致，严于律已，说话和气，待人热情，尊敬师长，乐于助人。遇见老师要主动问好，师长进入学生宿舍，应起立欢迎。</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9.仪表庄重，着装整洁，不浓妆艳抹，不留怪异头发，不穿背心、拖鞋进入教室、实训室、图书馆、办公室、会场等公共场所。</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10.不得在教室、实训室、图书馆、办公室、宿舍、会场等公共场所吸烟。</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11.服从学校对学生的诚信管理，关注自己的诚信记录，不违反学校规章制度。在校期间，个人诚信银行积分应在1800分以上。</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（三）热爱劳动，勤奋学习</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1.树立正确的劳动观念，积极参加公益劳动和志愿服务。受资助学生应按规定完成一定工时的义务工。</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2.勤奋学习，刻苦钻研，注重创新能力培养，自觉加强专业技能和创新能力训练，完成人才培养方案规定的必修、选修等课程学习任务。</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3.坚持体育锻炼，提高身体素质，积极参加早锻炼、课外活动和有益的文化娱乐活动，增进身心健康。</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4.积极参加第二课堂活动，按规定完成120活动分，提高自己综合素质。</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第二部分：特定活动或场所</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（一）开学</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1.按规定时间到校，办理报到、注册手续。因故不能如期报到者，应提前向辅导员请假。</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2.及时填报、修改、完善个人信息，保证信息的完整性、准确性、真实性。</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3.按时领取教材，打扫宿舍卫生，做好上课前的各项准备工作。</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4.按规定交清学杂费，需办理资助手续按资助政策办理。</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5.制定学期学习、工作计划。</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（二）军训和升国旗</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1.新生入校，必须按国家规定参加军事训练，接受国防教育，参加队列训练、内务整理等活动。</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2.在军训中要遵守军训条例，培养吃苦耐劳的精神，增强组织纪律观念，一切行动听指挥，认真接受军训考核。</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3.尊敬国旗、国徽，会唱国歌。按规定参加升国旗仪式，升国旗、奏唱国歌时要面对国旗，原地肃立，脱帽行注目礼。</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（三）上课（包括实验、实训）和下课</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1.上课时，必须提前进入教室、实验（训）室，做好上课准备。</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2.不带食物和宠物进教室、实验（训）室，不穿拖鞋和背心进教室、实验（训）室。</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3.上课不迟到、不早退、不旷课，因故迟到，应向老师报告，经老师同意后方可进入教室、实验（训）室。</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4.课堂上不玩手机，不打瞌睡，不做与上课无关的事情。</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5.上课提问要举手，回答问题要起立。</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6.上、下课时，应起立向老师致敬。</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7.专心听讲，做好上课笔记、实习日记，写好实习报告，完成布置的作业。</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8.下课离开教室、实验（训）室时，整理桌椅、工具等，保持干净、清洁。</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9.遵守实验（训）室管理制度和操作规程，保证安全操作。</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（四）就餐</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1.文明就餐，自觉排队买饭买菜，不喧哗、追逐、打闹，服从管理。</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2.勤俭节约，爱惜粮食，自觉做到“光盘”，不乱倒饭菜，保持食堂整洁。</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3.饭后清洁桌面，自觉将餐具拿到餐具回收处。</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4.就餐时不随意占座，不要将脚跷在凳子上，不准在桌凳上乱写乱划。</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（五）参加会议和集体活动</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1.准时参加会议，不迟到、不无故缺席，不中途离场。</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2.服从会议指挥，遵守会场纪律，不讲话、不玩手机，不做与会议无关的事情。</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3.爱护公共设施，保持会场清洁卫生，不吃食物，不随地吐痰和口香糖，不乱扔废弃物。</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4.散会时，有秩序地离开会场，不抢先、不拥挤，避免造成混乱和意外。</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5.参加集会，观看演出和比赛时，要整队入场，遵守会场秩序，不穿拖鞋、硬底鞋、高跟鞋进入体育馆、场。尊重裁判、运动员、演员，不吹口哨，不喝倒彩。</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6.积极参加各项政治活动、文体活动、公益劳动、社会实践活动，团结友爱，互相帮助，培养团队精神，维护集体荣誉。</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（六）自习、复习和考试</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1.按规定参加晚自习课。</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2.不沉溺网络，充分利用课余时间在学生宿舍、教室、图书馆自习。</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3.课余时间积极参加第二课堂活动，提高综合素质。</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4.在老师的指导下认真复习功课，不得通过不正当手段向教师打听、套取考试题。</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5.严格遵守考场纪律，考试不作弊。</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（七）学生宿舍，午休和晚休</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1.按时起床，按学校规定的时间关灯（星期日—星期四，23:30； 星期五、六，24:00），按时就寝。午、晚休时间不玩电脑游戏，不做有碍于他人休息的事情，保持宿舍的安静。</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2.每个宿舍安排同学轮流值日，搞好宿舍卫生，每天按规定时间将宿舍垃圾放到指定地点。</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3.不晚归，未经允许不得在外住宿或留宿他人。</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4.不使用超过300W的大功率电器，不使用液化气，不在宿舍煮食。</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5.不乱接乱拉电线、网线。</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6.不大声喧哗（唱歌、放音乐、猜码），不影响他人学习、休息</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7.不吸烟、打麻将、打牌、赌博、酗酒、起哄、砸酒瓶。</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8.不随地吐痰，不乱倒剩饭、剩菜，不乱扔杂物。</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9.不向窗外倒水、扔垃圾、吐痰。</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10.不在墙壁上涂写刻画，不乱张贴字画。</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11.不在宿舍内饲养宠物。</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12.按规定停放自行车、电动车，不乱拉电线充电。</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13.不破坏消防、水电、家具、监控、门禁等设施，不私自调换床位，按规定使用校园卡消费热水、电、开水，严禁偷水偷电。</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14.加强安全防范，提高自我保护意识，个人贵重物品妥善保管，不轻信陌生人，人离宿舍必锁门、断电，不将易燃、易爆、剧毒、枪支、管制刀具等带入校园。</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15.遵守学生宿舍管理规定的其他事项，服从宿舍管理员管理。</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（八）图书馆</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1.不穿拖鞋和背心、不带食物和宠物进入图书馆。</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2.不在阅览室、自习室、书库大声讲话和接打手机，不喧哗嬉闹，保持图书馆安静。</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3.坐姿端正，文明阅读，不要将脚跷在凳子上，不涂画、折页、撕割、损坏图书资料。</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4.不在桌椅上乱刻、乱写、乱画，不随意搬动室内桌椅。</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5.不吸烟、随地吐痰、乱扔废弃物。</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6.不替别人抢占座位。</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7.离开时清洁现场，整理用过的桌椅。</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8.遵守图书馆管理规定的其他事项，服从图书管理员的管理。</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（九）信息网络</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1.遵守宪法的基本原则和相关法规的规定，不散布、传播谣言，不浏览、发布不良信息。</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2.遵守网络道德规范，友好诚实地交流，不侮辱、欺诈和诽谤他人，不侵犯他人的合法权利。</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3.维护公共网络安全，不制作、传播计算机病毒，不非法侵入计算机信息系统。</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4.正确运用网络资源，善于网上学习，不沉溺于电脑游戏和网络虚拟时空，不在网上进行色情活动，保持身心健康。</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5.增强自我保护意识，不泄漏个人信息，不随意约见网友，不参加无益身心健康的网络活动。</w:t>
      </w:r>
    </w:p>
    <w:p>
      <w:pPr>
        <w:shd w:val="clear" w:color="auto" w:fill="FFFFFF"/>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（十）寒暑假和毕业离校</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1.放假前，按辅导员要求填报信息，学习安全注意事项；搞好公共卫生和个人卫生，个人用品归类整理，妥善放置，公共财产按规定移交，关锁门窗，熄灭电灯。</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2.毕业时按规定办理离校手续，参加毕业季活动，文明离校。</w:t>
      </w:r>
    </w:p>
    <w:p>
      <w:pPr>
        <w:shd w:val="clear" w:color="auto" w:fill="FFFFFF"/>
        <w:spacing w:line="360" w:lineRule="auto"/>
        <w:jc w:val="center"/>
        <w:rPr>
          <w:rFonts w:hint="eastAsia" w:ascii="仿宋" w:hAnsi="仿宋" w:eastAsia="仿宋" w:cs="仿宋"/>
          <w:b/>
          <w:bCs/>
          <w:sz w:val="32"/>
          <w:szCs w:val="32"/>
        </w:rPr>
      </w:pPr>
      <w:bookmarkStart w:id="137" w:name="_Toc8017_WPSOffice_Level1"/>
      <w:r>
        <w:rPr>
          <w:rFonts w:hint="eastAsia" w:ascii="仿宋" w:hAnsi="仿宋" w:eastAsia="仿宋" w:cs="仿宋"/>
          <w:b/>
          <w:bCs/>
          <w:sz w:val="32"/>
          <w:szCs w:val="32"/>
        </w:rPr>
        <w:t>第三章 学生行为管理</w:t>
      </w:r>
      <w:bookmarkEnd w:id="137"/>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1.各二级学院学生工作负责人是学生行为规范管理的第一责任人。</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2.辅导员、任课教师、宿舍管理员是学生日常学习、生活行为的指导者和监督者。</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3.学校各部门对学生日常学习、生活行为负有监督、检查责任；学校督导室、教务与实训管理处、学生工作处、二级学院负责组织督导与检查工作。</w:t>
      </w:r>
    </w:p>
    <w:p>
      <w:pPr>
        <w:shd w:val="clear" w:color="auto" w:fill="FFFFFF"/>
        <w:spacing w:line="360" w:lineRule="auto"/>
        <w:ind w:firstLine="640" w:firstLineChars="200"/>
        <w:jc w:val="left"/>
        <w:rPr>
          <w:rFonts w:hint="eastAsia" w:ascii="仿宋" w:hAnsi="仿宋" w:eastAsia="仿宋" w:cs="仿宋"/>
          <w:bCs/>
          <w:sz w:val="32"/>
          <w:szCs w:val="32"/>
        </w:rPr>
      </w:pPr>
      <w:r>
        <w:rPr>
          <w:rFonts w:hint="eastAsia" w:ascii="仿宋" w:hAnsi="仿宋" w:eastAsia="仿宋" w:cs="仿宋"/>
          <w:bCs/>
          <w:sz w:val="32"/>
          <w:szCs w:val="32"/>
        </w:rPr>
        <w:t>4.学生违反本《办法》，一般进行批评教育并按学生诚信银行存扣分办法中相关条款给予扣分处理，情节严重或屡教不改者，根据《柳州职业技术学院学生违纪处分规定》和学校有关管理规定予以纪律处分。</w:t>
      </w:r>
    </w:p>
    <w:p>
      <w:pPr>
        <w:spacing w:line="360" w:lineRule="auto"/>
        <w:jc w:val="center"/>
        <w:rPr>
          <w:rFonts w:hint="eastAsia" w:ascii="仿宋" w:hAnsi="仿宋" w:eastAsia="仿宋" w:cs="仿宋"/>
          <w:b/>
          <w:sz w:val="32"/>
          <w:szCs w:val="32"/>
        </w:rPr>
      </w:pPr>
      <w:bookmarkStart w:id="138" w:name="_Toc23527_WPSOffice_Level1"/>
      <w:r>
        <w:rPr>
          <w:rFonts w:hint="eastAsia" w:ascii="仿宋" w:hAnsi="仿宋" w:eastAsia="仿宋" w:cs="仿宋"/>
          <w:b/>
          <w:sz w:val="32"/>
          <w:szCs w:val="32"/>
        </w:rPr>
        <w:t>第四章  附   则</w:t>
      </w:r>
      <w:bookmarkEnd w:id="138"/>
    </w:p>
    <w:p>
      <w:pPr>
        <w:spacing w:line="360" w:lineRule="auto"/>
        <w:rPr>
          <w:rFonts w:hint="eastAsia" w:ascii="仿宋" w:hAnsi="仿宋" w:eastAsia="仿宋" w:cs="仿宋"/>
          <w:sz w:val="32"/>
          <w:szCs w:val="32"/>
        </w:rPr>
      </w:pPr>
      <w:r>
        <w:rPr>
          <w:rFonts w:hint="eastAsia" w:ascii="仿宋" w:hAnsi="仿宋" w:eastAsia="仿宋" w:cs="仿宋"/>
          <w:sz w:val="32"/>
          <w:szCs w:val="32"/>
        </w:rPr>
        <w:t>1.本办法自2020年9月1日起施行。</w:t>
      </w:r>
    </w:p>
    <w:p>
      <w:pPr>
        <w:spacing w:line="360" w:lineRule="auto"/>
        <w:rPr>
          <w:rFonts w:hint="eastAsia" w:ascii="仿宋" w:hAnsi="仿宋" w:eastAsia="仿宋" w:cs="仿宋"/>
          <w:sz w:val="32"/>
          <w:szCs w:val="32"/>
        </w:rPr>
      </w:pPr>
      <w:r>
        <w:rPr>
          <w:rFonts w:hint="eastAsia" w:ascii="仿宋" w:hAnsi="仿宋" w:eastAsia="仿宋" w:cs="仿宋"/>
          <w:sz w:val="32"/>
          <w:szCs w:val="32"/>
        </w:rPr>
        <w:t>2.本办法由校学生工作处负责解释。</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pStyle w:val="2"/>
        <w:jc w:val="center"/>
        <w:outlineLvl w:val="9"/>
        <w:rPr>
          <w:rFonts w:hint="eastAsia" w:ascii="宋体" w:hAnsi="宋体" w:eastAsia="宋体" w:cs="宋体"/>
          <w:sz w:val="36"/>
          <w:szCs w:val="36"/>
        </w:rPr>
      </w:pPr>
      <w:bookmarkStart w:id="139" w:name="_Toc51767456"/>
      <w:bookmarkStart w:id="140" w:name="_Toc16997"/>
      <w:bookmarkStart w:id="141" w:name="_Toc7398"/>
      <w:bookmarkStart w:id="142" w:name="_Toc19071"/>
      <w:bookmarkStart w:id="143" w:name="_Toc4106"/>
      <w:bookmarkStart w:id="144" w:name="_Toc6375_WPSOffice_Level1"/>
      <w:bookmarkStart w:id="145" w:name="_Toc17480"/>
      <w:bookmarkStart w:id="146" w:name="_Toc12179"/>
      <w:r>
        <w:rPr>
          <w:rFonts w:hint="eastAsia" w:ascii="宋体" w:hAnsi="宋体" w:eastAsia="宋体" w:cs="宋体"/>
          <w:color w:val="auto"/>
          <w:sz w:val="36"/>
          <w:szCs w:val="36"/>
        </w:rPr>
        <w:t>柳州职业技术学院学生学业预警管理办法</w:t>
      </w:r>
      <w:bookmarkEnd w:id="139"/>
      <w:bookmarkEnd w:id="140"/>
      <w:bookmarkEnd w:id="141"/>
      <w:bookmarkEnd w:id="142"/>
      <w:bookmarkEnd w:id="143"/>
      <w:bookmarkEnd w:id="144"/>
      <w:bookmarkEnd w:id="145"/>
      <w:bookmarkEnd w:id="146"/>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为加强学生管理，预防出现学生无法完成学业、毕业困难或严重违纪的情况，依据学院《学生学籍管理规定》等相关管理制度制定本办法。</w:t>
      </w:r>
    </w:p>
    <w:p>
      <w:pPr>
        <w:spacing w:line="360" w:lineRule="auto"/>
        <w:ind w:firstLine="643" w:firstLineChars="200"/>
        <w:rPr>
          <w:rFonts w:hint="eastAsia" w:ascii="仿宋" w:hAnsi="仿宋" w:eastAsia="仿宋" w:cs="仿宋"/>
          <w:b/>
          <w:sz w:val="32"/>
          <w:szCs w:val="32"/>
        </w:rPr>
      </w:pPr>
      <w:bookmarkStart w:id="147" w:name="_Toc1869_WPSOffice_Level1"/>
      <w:r>
        <w:rPr>
          <w:rFonts w:hint="eastAsia" w:ascii="仿宋" w:hAnsi="仿宋" w:eastAsia="仿宋" w:cs="仿宋"/>
          <w:b/>
          <w:sz w:val="32"/>
          <w:szCs w:val="32"/>
        </w:rPr>
        <w:t>一、预警内容</w:t>
      </w:r>
      <w:bookmarkEnd w:id="147"/>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预警的主要项目有：课程重修预警；休学预警；留级预警；退学预警；违纪预警；活动分不达标预警；诚信分不达标预警；欠费预警。</w:t>
      </w:r>
    </w:p>
    <w:p>
      <w:pPr>
        <w:spacing w:line="360" w:lineRule="auto"/>
        <w:ind w:firstLine="643" w:firstLineChars="200"/>
        <w:rPr>
          <w:rFonts w:hint="eastAsia" w:ascii="仿宋" w:hAnsi="仿宋" w:eastAsia="仿宋" w:cs="仿宋"/>
          <w:b/>
          <w:sz w:val="32"/>
          <w:szCs w:val="32"/>
        </w:rPr>
      </w:pPr>
      <w:bookmarkStart w:id="148" w:name="_Toc4828_WPSOffice_Level1"/>
      <w:r>
        <w:rPr>
          <w:rFonts w:hint="eastAsia" w:ascii="仿宋" w:hAnsi="仿宋" w:eastAsia="仿宋" w:cs="仿宋"/>
          <w:b/>
          <w:sz w:val="32"/>
          <w:szCs w:val="32"/>
        </w:rPr>
        <w:t>二、预警形式</w:t>
      </w:r>
      <w:bookmarkEnd w:id="148"/>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预警的形式主要有：谈话（包括任课教师、班主任谈话；辅导员谈话；学生科长谈话；二级学院书记谈话；校学生处处长谈话；校主管学生工作领导谈话）；书面通知本人；通报家长。</w:t>
      </w:r>
    </w:p>
    <w:p>
      <w:pPr>
        <w:spacing w:line="360" w:lineRule="auto"/>
        <w:ind w:firstLine="643" w:firstLineChars="200"/>
        <w:rPr>
          <w:rFonts w:hint="eastAsia" w:ascii="仿宋" w:hAnsi="仿宋" w:eastAsia="仿宋" w:cs="仿宋"/>
          <w:b/>
          <w:sz w:val="32"/>
          <w:szCs w:val="32"/>
        </w:rPr>
      </w:pPr>
      <w:bookmarkStart w:id="149" w:name="_Toc22298_WPSOffice_Level1"/>
      <w:r>
        <w:rPr>
          <w:rFonts w:hint="eastAsia" w:ascii="仿宋" w:hAnsi="仿宋" w:eastAsia="仿宋" w:cs="仿宋"/>
          <w:b/>
          <w:sz w:val="32"/>
          <w:szCs w:val="32"/>
        </w:rPr>
        <w:t>三、预警要求</w:t>
      </w:r>
      <w:bookmarkEnd w:id="149"/>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1．重修预警</w:t>
      </w:r>
      <w:r>
        <w:rPr>
          <w:rFonts w:hint="eastAsia" w:ascii="仿宋" w:hAnsi="仿宋" w:eastAsia="仿宋" w:cs="仿宋"/>
          <w:sz w:val="32"/>
          <w:szCs w:val="32"/>
        </w:rPr>
        <w:t>。</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任课老师对所任课程应严格管理，每次课应严格考勤，每次作业认真记录，当学生缺课或缺交作业达到总课时或总作业次数的3/10时（按学籍管理规定，达到1/3时即要重修），任课老师应找该学生谈话，给予警示。谈话有记录，并书面通知学生。</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2．休学预警。</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辅导员应对学生的考勤严格管理，当学生一学期请假和缺课达到该学期总学时的3/10时（按学籍管理规定，达到1/3时即要休学），辅导员和班主任应找该学生谈话，给予警示。谈话有记录，并书面通知学生，电话通报家长。</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3．留级预警。</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辅导员应对学生的每门课程的成绩全面掌握，辅导员应对学生的每门课程的成绩全面掌握，学生一学年内累计未通过考核的必修课程达6门（学分达18分）及以上及以上或者入学后累计未通过考核的必修课程达8门（学分达24分）及以上者，辅导员和班主任应找该生谈话，给予警示。谈话有记录，并书面通知学生，电话通报家长。</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4．退学预警。</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辅导员应对学生考勤严格管理，当学生未请假离校连续5天未参加学校规定的教学活动时（按学籍管理规定达到10天时，即给予退学处理），辅导员应核实情况告知二级学院，由院学生科科长找学生谈话（当面或电话），给予警示，并电话通报家长。</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5．违纪处分预警。</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辅导员和二级学院学生科应对学生考勤和其他违纪行为进行严格管理，有数据统计，当学生违纪达到一定数量时，应分层次进行谈话，做好记录。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（1）对学生缺勤的谈话，按下列层次进行：</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当一学期内学生无故旷课达到15学时时，辅导员约学生谈话；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当一学期内学生无故旷课达到25学时时，学生科长约学生谈话；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当一学期内学生无故旷课达到35学时时，二级学院书记约学生谈话；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当一学期内学生无故旷课达到45学时时，校学生工作处处长约学生谈话；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当一学期内学生无故旷课达到55学时时，校分管领导约学生谈话；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（2）对学生处分的谈话，按下列层次进行：</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对学生进行警告处分，辅导员约学生谈话；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对学生进行严重警告处分，学生科长约学生谈话；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对学生进行记过处分，二级学院书记约学生谈话；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对学生进行留校察看处分，校学生处处长约学生谈话；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对学生开除处分，校分管领导约学生谈话。</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6．活动分不达标预警。</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辅导员应对学生的活动分严格管理，当活动分达不到规定要求时，应分层次谈话，做好记录。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当学生第一学年活动分少于55分时，由辅导员约学生谈话；少于50分时，由学生科长约学生谈话；少于45分时，由二级学院书记约学生谈话。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当第二学年活动分少于110分时，由辅导员约学生谈话；少于100分时，由学生科长约学生谈话；少于90分时，由二级学院书记约学生谈话。</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7．诚信分不达标预警。</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辅导员应对学生的诚信分严格管理，当诚信分达不到规定要求时，应分层次谈话，做好记录。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当学生第一学年诚信分少于550分时，辅导员约学生谈话；少于500分，学生科长约学生谈话；少于450分时，二级学院书记约学生谈话。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当第二学年诚信分少于1100分时，辅导员约学生谈话；少于1000分时，学生科长约学生谈话；少于900分时，二级学院书记约学生谈话。</w:t>
      </w:r>
    </w:p>
    <w:p>
      <w:pPr>
        <w:spacing w:line="360" w:lineRule="auto"/>
        <w:ind w:firstLine="643" w:firstLineChars="200"/>
        <w:rPr>
          <w:rFonts w:hint="eastAsia" w:ascii="仿宋" w:hAnsi="仿宋" w:eastAsia="仿宋" w:cs="仿宋"/>
          <w:b/>
          <w:sz w:val="32"/>
          <w:szCs w:val="32"/>
        </w:rPr>
      </w:pPr>
      <w:bookmarkStart w:id="150" w:name="_Toc21515_WPSOffice_Level1"/>
      <w:r>
        <w:rPr>
          <w:rFonts w:hint="eastAsia" w:ascii="仿宋" w:hAnsi="仿宋" w:eastAsia="仿宋" w:cs="仿宋"/>
          <w:b/>
          <w:sz w:val="32"/>
          <w:szCs w:val="32"/>
        </w:rPr>
        <w:t>四、其他</w:t>
      </w:r>
      <w:bookmarkEnd w:id="150"/>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学业预警是学生管理的常规工作，是教育引导学生纠正不良行为和错误，减少学生失学和不能毕业的重要手段。</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任课老师、辅导员及全体学生管理人员都应根据本办法落实责任，全面掌握学生相关信息，及时做出预警。</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二级学院、学生处建立谈话记录，学生处制定统一格式的书面通知单（一式两份，分别由谈话部门和学生个人留存）。二级学院和学生处应不定期进行检查，对存在失职行为的个人和部门给予责任追究。</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本办法自2021年9月1日起实施。</w:t>
      </w:r>
    </w:p>
    <w:p>
      <w:pPr>
        <w:spacing w:line="420" w:lineRule="auto"/>
        <w:jc w:val="both"/>
        <w:rPr>
          <w:rFonts w:hint="eastAsia" w:ascii="仿宋" w:hAnsi="仿宋" w:eastAsia="仿宋" w:cs="仿宋"/>
          <w:b/>
          <w:sz w:val="32"/>
          <w:szCs w:val="32"/>
        </w:rPr>
      </w:pPr>
    </w:p>
    <w:p>
      <w:pPr>
        <w:pStyle w:val="2"/>
        <w:jc w:val="center"/>
        <w:outlineLvl w:val="9"/>
        <w:rPr>
          <w:rFonts w:hint="eastAsia" w:ascii="仿宋" w:hAnsi="仿宋" w:eastAsia="仿宋" w:cs="仿宋"/>
          <w:b/>
          <w:kern w:val="0"/>
          <w:sz w:val="32"/>
          <w:szCs w:val="32"/>
        </w:rPr>
      </w:pPr>
      <w:bookmarkStart w:id="151" w:name="_Toc9094"/>
      <w:bookmarkStart w:id="152" w:name="_Toc238"/>
      <w:bookmarkStart w:id="153" w:name="_Toc20615"/>
      <w:bookmarkStart w:id="154" w:name="_Toc24182"/>
      <w:bookmarkStart w:id="155" w:name="_Toc17645_WPSOffice_Level1"/>
      <w:bookmarkStart w:id="156" w:name="_Toc51767458"/>
      <w:bookmarkStart w:id="157" w:name="_Toc123"/>
      <w:bookmarkStart w:id="158" w:name="_Toc11449"/>
      <w:r>
        <w:rPr>
          <w:rFonts w:hint="eastAsia" w:ascii="宋体" w:hAnsi="宋体" w:eastAsia="宋体" w:cs="宋体"/>
          <w:color w:val="auto"/>
          <w:sz w:val="36"/>
          <w:szCs w:val="36"/>
        </w:rPr>
        <w:t>柳州职业技术学院学生校内申诉管理规定</w:t>
      </w:r>
      <w:bookmarkEnd w:id="151"/>
      <w:bookmarkEnd w:id="152"/>
      <w:bookmarkEnd w:id="153"/>
      <w:bookmarkEnd w:id="154"/>
      <w:bookmarkEnd w:id="155"/>
      <w:bookmarkEnd w:id="156"/>
      <w:bookmarkEnd w:id="157"/>
      <w:bookmarkEnd w:id="158"/>
    </w:p>
    <w:p>
      <w:pPr>
        <w:widowControl/>
        <w:spacing w:line="360" w:lineRule="auto"/>
        <w:jc w:val="center"/>
        <w:rPr>
          <w:rFonts w:hint="eastAsia" w:ascii="仿宋" w:hAnsi="仿宋" w:eastAsia="仿宋" w:cs="仿宋"/>
          <w:b/>
          <w:kern w:val="0"/>
          <w:sz w:val="32"/>
          <w:szCs w:val="32"/>
        </w:rPr>
      </w:pPr>
      <w:bookmarkStart w:id="159" w:name="_Toc11547_WPSOffice_Level1"/>
      <w:r>
        <w:rPr>
          <w:rFonts w:hint="eastAsia" w:ascii="仿宋" w:hAnsi="仿宋" w:eastAsia="仿宋" w:cs="仿宋"/>
          <w:b/>
          <w:kern w:val="0"/>
          <w:sz w:val="32"/>
          <w:szCs w:val="32"/>
        </w:rPr>
        <w:t>第一章   总 则</w:t>
      </w:r>
      <w:bookmarkEnd w:id="159"/>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第一条 </w:t>
      </w:r>
      <w:r>
        <w:rPr>
          <w:rFonts w:hint="eastAsia" w:ascii="仿宋" w:hAnsi="仿宋" w:eastAsia="仿宋" w:cs="仿宋"/>
          <w:kern w:val="0"/>
          <w:sz w:val="32"/>
          <w:szCs w:val="32"/>
        </w:rPr>
        <w:t xml:space="preserve"> 为保障学生的合法权益，规范我校学生管理行为，依据教育部《普通高等学校学生管理规定》，制定本办法。</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第二条</w:t>
      </w:r>
      <w:r>
        <w:rPr>
          <w:rFonts w:hint="eastAsia" w:ascii="仿宋" w:hAnsi="仿宋" w:eastAsia="仿宋" w:cs="仿宋"/>
          <w:kern w:val="0"/>
          <w:sz w:val="32"/>
          <w:szCs w:val="32"/>
        </w:rPr>
        <w:t xml:space="preserve">  本办法所指的申诉，是指学生对学校作出的涉及学生本人权益的处理或者处分决定不服，在规定的期限内以书面形式向学校提出的意见或要求的行为。</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第三条 </w:t>
      </w:r>
      <w:r>
        <w:rPr>
          <w:rFonts w:hint="eastAsia" w:ascii="仿宋" w:hAnsi="仿宋" w:eastAsia="仿宋" w:cs="仿宋"/>
          <w:kern w:val="0"/>
          <w:sz w:val="32"/>
          <w:szCs w:val="32"/>
        </w:rPr>
        <w:t xml:space="preserve"> 学校对涉及学生权益的处理或者处分应当坚持公开、公正、实事求是和有错必纠的原则。</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第四条</w:t>
      </w:r>
      <w:r>
        <w:rPr>
          <w:rFonts w:hint="eastAsia" w:ascii="仿宋" w:hAnsi="仿宋" w:eastAsia="仿宋" w:cs="仿宋"/>
          <w:kern w:val="0"/>
          <w:sz w:val="32"/>
          <w:szCs w:val="32"/>
        </w:rPr>
        <w:t xml:space="preserve">  学生对学校涉及本人权益的处理或者处分不服的应当坚持严肃、客观、认真和诚实的原则提出申诉。</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第五条  </w:t>
      </w:r>
      <w:r>
        <w:rPr>
          <w:rFonts w:hint="eastAsia" w:ascii="仿宋" w:hAnsi="仿宋" w:eastAsia="仿宋" w:cs="仿宋"/>
          <w:kern w:val="0"/>
          <w:sz w:val="32"/>
          <w:szCs w:val="32"/>
        </w:rPr>
        <w:t>学校成立学生申诉处理委员会，负责受理学生对处理或者处分决定不服提起的申诉。</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第六条</w:t>
      </w:r>
      <w:r>
        <w:rPr>
          <w:rFonts w:hint="eastAsia" w:ascii="仿宋" w:hAnsi="仿宋" w:eastAsia="仿宋" w:cs="仿宋"/>
          <w:kern w:val="0"/>
          <w:sz w:val="32"/>
          <w:szCs w:val="32"/>
        </w:rPr>
        <w:t xml:space="preserve">  学生申诉处理委员会由学校相关负责人、职能部门负责人、学校纪检监察部门负责人、学校法律顾问、教师代表、学生代表等人组成，成员在7人以上且为单数。</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第七条</w:t>
      </w:r>
      <w:r>
        <w:rPr>
          <w:rFonts w:hint="eastAsia" w:ascii="仿宋" w:hAnsi="仿宋" w:eastAsia="仿宋" w:cs="仿宋"/>
          <w:kern w:val="0"/>
          <w:sz w:val="32"/>
          <w:szCs w:val="32"/>
        </w:rPr>
        <w:t xml:space="preserve">  本办法适用于我校全日制高职学生。成人高等教育学生参照本办法执行。</w:t>
      </w:r>
    </w:p>
    <w:p>
      <w:pPr>
        <w:widowControl/>
        <w:spacing w:line="360" w:lineRule="auto"/>
        <w:jc w:val="center"/>
        <w:rPr>
          <w:rFonts w:hint="eastAsia" w:ascii="仿宋" w:hAnsi="仿宋" w:eastAsia="仿宋" w:cs="仿宋"/>
          <w:b/>
          <w:kern w:val="0"/>
          <w:sz w:val="32"/>
          <w:szCs w:val="32"/>
        </w:rPr>
      </w:pPr>
      <w:bookmarkStart w:id="160" w:name="_Toc11842_WPSOffice_Level1"/>
      <w:r>
        <w:rPr>
          <w:rFonts w:hint="eastAsia" w:ascii="仿宋" w:hAnsi="仿宋" w:eastAsia="仿宋" w:cs="仿宋"/>
          <w:b/>
          <w:kern w:val="0"/>
          <w:sz w:val="32"/>
          <w:szCs w:val="32"/>
        </w:rPr>
        <w:t>第二章   申诉的受理</w:t>
      </w:r>
      <w:bookmarkEnd w:id="160"/>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第八条  </w:t>
      </w:r>
      <w:r>
        <w:rPr>
          <w:rFonts w:hint="eastAsia" w:ascii="仿宋" w:hAnsi="仿宋" w:eastAsia="仿宋" w:cs="仿宋"/>
          <w:kern w:val="0"/>
          <w:sz w:val="32"/>
          <w:szCs w:val="32"/>
        </w:rPr>
        <w:t>学生对下列涉及本人权益的处理或者处分决定有异议的，可以在接到学校处理或者处分决定书之日起10日内，或者公告之日起10日内，向学校学生申诉处理委员会提出书面申诉，逾期不予受理。</w:t>
      </w:r>
    </w:p>
    <w:p>
      <w:pPr>
        <w:widowControl/>
        <w:spacing w:line="360" w:lineRule="auto"/>
        <w:ind w:firstLine="480" w:firstLineChars="150"/>
        <w:jc w:val="left"/>
        <w:rPr>
          <w:rFonts w:hint="eastAsia" w:ascii="仿宋" w:hAnsi="仿宋" w:eastAsia="仿宋" w:cs="仿宋"/>
          <w:kern w:val="0"/>
          <w:sz w:val="32"/>
          <w:szCs w:val="32"/>
        </w:rPr>
      </w:pPr>
      <w:r>
        <w:rPr>
          <w:rFonts w:hint="eastAsia" w:ascii="仿宋" w:hAnsi="仿宋" w:eastAsia="仿宋" w:cs="仿宋"/>
          <w:kern w:val="0"/>
          <w:sz w:val="32"/>
          <w:szCs w:val="32"/>
        </w:rPr>
        <w:t>（一）对学生本人作出的警告、严重警告、记过、留校察看、开除学籍等行政处分。</w:t>
      </w:r>
    </w:p>
    <w:p>
      <w:pPr>
        <w:widowControl/>
        <w:spacing w:line="360" w:lineRule="auto"/>
        <w:ind w:firstLine="480" w:firstLineChars="150"/>
        <w:jc w:val="left"/>
        <w:rPr>
          <w:rFonts w:hint="eastAsia" w:ascii="仿宋" w:hAnsi="仿宋" w:eastAsia="仿宋" w:cs="仿宋"/>
          <w:kern w:val="0"/>
          <w:sz w:val="32"/>
          <w:szCs w:val="32"/>
        </w:rPr>
      </w:pPr>
      <w:r>
        <w:rPr>
          <w:rFonts w:hint="eastAsia" w:ascii="仿宋" w:hAnsi="仿宋" w:eastAsia="仿宋" w:cs="仿宋"/>
          <w:kern w:val="0"/>
          <w:sz w:val="32"/>
          <w:szCs w:val="32"/>
        </w:rPr>
        <w:t>（二）对学生本人作出的取消入学资格、取消学籍、退学等处理决定。</w:t>
      </w:r>
    </w:p>
    <w:p>
      <w:pPr>
        <w:widowControl/>
        <w:spacing w:line="360" w:lineRule="auto"/>
        <w:ind w:firstLine="480" w:firstLineChars="150"/>
        <w:jc w:val="left"/>
        <w:rPr>
          <w:rFonts w:hint="eastAsia" w:ascii="仿宋" w:hAnsi="仿宋" w:eastAsia="仿宋" w:cs="仿宋"/>
          <w:kern w:val="0"/>
          <w:sz w:val="32"/>
          <w:szCs w:val="32"/>
        </w:rPr>
      </w:pPr>
      <w:r>
        <w:rPr>
          <w:rFonts w:hint="eastAsia" w:ascii="仿宋" w:hAnsi="仿宋" w:eastAsia="仿宋" w:cs="仿宋"/>
          <w:kern w:val="0"/>
          <w:sz w:val="32"/>
          <w:szCs w:val="32"/>
        </w:rPr>
        <w:t>（三）法律法规规定可以提出申诉的其他处理决定。</w:t>
      </w:r>
    </w:p>
    <w:p>
      <w:pPr>
        <w:widowControl/>
        <w:spacing w:line="360" w:lineRule="auto"/>
        <w:ind w:firstLine="643" w:firstLineChars="200"/>
        <w:jc w:val="left"/>
        <w:rPr>
          <w:rFonts w:hint="eastAsia" w:ascii="仿宋" w:hAnsi="仿宋" w:eastAsia="仿宋" w:cs="仿宋"/>
          <w:b/>
          <w:kern w:val="0"/>
          <w:sz w:val="32"/>
          <w:szCs w:val="32"/>
        </w:rPr>
      </w:pPr>
      <w:r>
        <w:rPr>
          <w:rFonts w:hint="eastAsia" w:ascii="仿宋" w:hAnsi="仿宋" w:eastAsia="仿宋" w:cs="仿宋"/>
          <w:b/>
          <w:kern w:val="0"/>
          <w:sz w:val="32"/>
          <w:szCs w:val="32"/>
        </w:rPr>
        <w:t>第九条</w:t>
      </w:r>
      <w:r>
        <w:rPr>
          <w:rFonts w:hint="eastAsia" w:ascii="仿宋" w:hAnsi="仿宋" w:eastAsia="仿宋" w:cs="仿宋"/>
          <w:kern w:val="0"/>
          <w:sz w:val="32"/>
          <w:szCs w:val="32"/>
        </w:rPr>
        <w:t xml:space="preserve">  学校受理学生申诉的机关是校长办公室。</w:t>
      </w:r>
      <w:r>
        <w:rPr>
          <w:rFonts w:hint="eastAsia" w:ascii="仿宋" w:hAnsi="仿宋" w:eastAsia="仿宋" w:cs="仿宋"/>
          <w:b/>
          <w:kern w:val="0"/>
          <w:sz w:val="32"/>
          <w:szCs w:val="32"/>
        </w:rPr>
        <w:t xml:space="preserve"> </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第十条  </w:t>
      </w:r>
      <w:r>
        <w:rPr>
          <w:rFonts w:hint="eastAsia" w:ascii="仿宋" w:hAnsi="仿宋" w:eastAsia="仿宋" w:cs="仿宋"/>
          <w:kern w:val="0"/>
          <w:sz w:val="32"/>
          <w:szCs w:val="32"/>
        </w:rPr>
        <w:t>学生提出申诉时，应当向受理申诉的校长办公室递交申诉申请书，并附上学校作出的处理或处分决定书，申诉书应当载明下列内容：</w:t>
      </w:r>
    </w:p>
    <w:p>
      <w:pPr>
        <w:widowControl/>
        <w:spacing w:line="360" w:lineRule="auto"/>
        <w:ind w:firstLine="480" w:firstLineChars="150"/>
        <w:jc w:val="left"/>
        <w:rPr>
          <w:rFonts w:hint="eastAsia" w:ascii="仿宋" w:hAnsi="仿宋" w:eastAsia="仿宋" w:cs="仿宋"/>
          <w:kern w:val="0"/>
          <w:sz w:val="32"/>
          <w:szCs w:val="32"/>
        </w:rPr>
      </w:pPr>
      <w:r>
        <w:rPr>
          <w:rFonts w:hint="eastAsia" w:ascii="仿宋" w:hAnsi="仿宋" w:eastAsia="仿宋" w:cs="仿宋"/>
          <w:kern w:val="0"/>
          <w:sz w:val="32"/>
          <w:szCs w:val="32"/>
        </w:rPr>
        <w:t>（一）申诉人的姓名、专业、班级、学号及其他基本情况；</w:t>
      </w:r>
    </w:p>
    <w:p>
      <w:pPr>
        <w:widowControl/>
        <w:spacing w:line="360" w:lineRule="auto"/>
        <w:ind w:firstLine="480" w:firstLineChars="150"/>
        <w:jc w:val="left"/>
        <w:rPr>
          <w:rFonts w:hint="eastAsia" w:ascii="仿宋" w:hAnsi="仿宋" w:eastAsia="仿宋" w:cs="仿宋"/>
          <w:kern w:val="0"/>
          <w:sz w:val="32"/>
          <w:szCs w:val="32"/>
        </w:rPr>
      </w:pPr>
      <w:r>
        <w:rPr>
          <w:rFonts w:hint="eastAsia" w:ascii="仿宋" w:hAnsi="仿宋" w:eastAsia="仿宋" w:cs="仿宋"/>
          <w:kern w:val="0"/>
          <w:sz w:val="32"/>
          <w:szCs w:val="32"/>
        </w:rPr>
        <w:t>（二）申诉的事项、依据、具体要求；</w:t>
      </w:r>
    </w:p>
    <w:p>
      <w:pPr>
        <w:widowControl/>
        <w:spacing w:line="360" w:lineRule="auto"/>
        <w:ind w:firstLine="480" w:firstLineChars="150"/>
        <w:jc w:val="left"/>
        <w:rPr>
          <w:rFonts w:hint="eastAsia" w:ascii="仿宋" w:hAnsi="仿宋" w:eastAsia="仿宋" w:cs="仿宋"/>
          <w:kern w:val="0"/>
          <w:sz w:val="32"/>
          <w:szCs w:val="32"/>
        </w:rPr>
      </w:pPr>
      <w:r>
        <w:rPr>
          <w:rFonts w:hint="eastAsia" w:ascii="仿宋" w:hAnsi="仿宋" w:eastAsia="仿宋" w:cs="仿宋"/>
          <w:kern w:val="0"/>
          <w:sz w:val="32"/>
          <w:szCs w:val="32"/>
        </w:rPr>
        <w:t>（三）申诉的日期；</w:t>
      </w:r>
    </w:p>
    <w:p>
      <w:pPr>
        <w:widowControl/>
        <w:spacing w:line="360" w:lineRule="auto"/>
        <w:ind w:firstLine="480" w:firstLineChars="150"/>
        <w:jc w:val="left"/>
        <w:rPr>
          <w:rFonts w:hint="eastAsia" w:ascii="仿宋" w:hAnsi="仿宋" w:eastAsia="仿宋" w:cs="仿宋"/>
          <w:kern w:val="0"/>
          <w:sz w:val="32"/>
          <w:szCs w:val="32"/>
        </w:rPr>
      </w:pPr>
      <w:r>
        <w:rPr>
          <w:rFonts w:hint="eastAsia" w:ascii="仿宋" w:hAnsi="仿宋" w:eastAsia="仿宋" w:cs="仿宋"/>
          <w:kern w:val="0"/>
          <w:sz w:val="32"/>
          <w:szCs w:val="32"/>
        </w:rPr>
        <w:t>（四）申诉人详细通讯地址，联系电话。</w:t>
      </w:r>
    </w:p>
    <w:p>
      <w:pPr>
        <w:widowControl/>
        <w:spacing w:line="360" w:lineRule="auto"/>
        <w:jc w:val="center"/>
        <w:rPr>
          <w:rFonts w:hint="eastAsia" w:ascii="仿宋" w:hAnsi="仿宋" w:eastAsia="仿宋" w:cs="仿宋"/>
          <w:b/>
          <w:kern w:val="0"/>
          <w:sz w:val="32"/>
          <w:szCs w:val="32"/>
        </w:rPr>
      </w:pPr>
      <w:bookmarkStart w:id="161" w:name="_Toc32552_WPSOffice_Level1"/>
      <w:r>
        <w:rPr>
          <w:rFonts w:hint="eastAsia" w:ascii="仿宋" w:hAnsi="仿宋" w:eastAsia="仿宋" w:cs="仿宋"/>
          <w:b/>
          <w:kern w:val="0"/>
          <w:sz w:val="32"/>
          <w:szCs w:val="32"/>
        </w:rPr>
        <w:t>第三章   申诉的处理程序</w:t>
      </w:r>
      <w:bookmarkEnd w:id="161"/>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第十一条 </w:t>
      </w:r>
      <w:r>
        <w:rPr>
          <w:rFonts w:hint="eastAsia" w:ascii="仿宋" w:hAnsi="仿宋" w:eastAsia="仿宋" w:cs="仿宋"/>
          <w:kern w:val="0"/>
          <w:sz w:val="32"/>
          <w:szCs w:val="32"/>
        </w:rPr>
        <w:t xml:space="preserve"> 对学生提出的申诉，学校申诉处理委员会应当在接到书面申诉书之日起3个工作日内，根据不同情况，作出如下处理：</w:t>
      </w:r>
    </w:p>
    <w:p>
      <w:pPr>
        <w:widowControl/>
        <w:spacing w:line="360" w:lineRule="auto"/>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（一）同意受理，并书面告知申诉人；</w:t>
      </w:r>
    </w:p>
    <w:p>
      <w:pPr>
        <w:widowControl/>
        <w:spacing w:line="360" w:lineRule="auto"/>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（二）已过申诉期限，不予受理，同时书面告知申诉人；</w:t>
      </w:r>
    </w:p>
    <w:p>
      <w:pPr>
        <w:widowControl/>
        <w:spacing w:line="360" w:lineRule="auto"/>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（三）申诉材料不齐，书面告知需按期限补充的材料，逾期不补齐的，视为放弃申诉。</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第十二条  </w:t>
      </w:r>
      <w:r>
        <w:rPr>
          <w:rFonts w:hint="eastAsia" w:ascii="仿宋" w:hAnsi="仿宋" w:eastAsia="仿宋" w:cs="仿宋"/>
          <w:kern w:val="0"/>
          <w:sz w:val="32"/>
          <w:szCs w:val="32"/>
        </w:rPr>
        <w:t>学校学生申诉处理委员会对学生提出的申诉进行复查，并在接到书面申诉之日起15日内作出复查结论并告知申诉人。情况复杂不能在规定限期内作出结论的，经学校负责人批准，可延长15日。学生申诉处理委员会认为必要的，可以建议学校暂缓执行有关决定。</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第十三条 </w:t>
      </w:r>
      <w:r>
        <w:rPr>
          <w:rFonts w:hint="eastAsia" w:ascii="仿宋" w:hAnsi="仿宋" w:eastAsia="仿宋" w:cs="仿宋"/>
          <w:kern w:val="0"/>
          <w:sz w:val="32"/>
          <w:szCs w:val="32"/>
        </w:rPr>
        <w:t xml:space="preserve"> 学生申诉处理委员会经复查，认为做出处理或者处分的事实、依据、程序等存在不当，可以作出建议撤销或变更的复查意见，要求相关职能部门予以研究，重新提交校长办公会或者专门会议作出决定。</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第十四条 </w:t>
      </w:r>
      <w:r>
        <w:rPr>
          <w:rFonts w:hint="eastAsia" w:ascii="仿宋" w:hAnsi="仿宋" w:eastAsia="仿宋" w:cs="仿宋"/>
          <w:kern w:val="0"/>
          <w:sz w:val="32"/>
          <w:szCs w:val="32"/>
        </w:rPr>
        <w:t xml:space="preserve"> 学校学生申诉处理委员会要将申诉处理决定书及时送达申诉人。送达方式为：</w:t>
      </w:r>
    </w:p>
    <w:p>
      <w:pPr>
        <w:widowControl/>
        <w:numPr>
          <w:ilvl w:val="0"/>
          <w:numId w:val="2"/>
        </w:numPr>
        <w:spacing w:line="360" w:lineRule="auto"/>
        <w:jc w:val="left"/>
        <w:rPr>
          <w:rFonts w:hint="eastAsia" w:ascii="仿宋" w:hAnsi="仿宋" w:eastAsia="仿宋" w:cs="仿宋"/>
          <w:kern w:val="0"/>
          <w:sz w:val="32"/>
          <w:szCs w:val="32"/>
        </w:rPr>
      </w:pPr>
      <w:r>
        <w:rPr>
          <w:rFonts w:hint="eastAsia" w:ascii="仿宋" w:hAnsi="仿宋" w:eastAsia="仿宋" w:cs="仿宋"/>
          <w:kern w:val="0"/>
          <w:sz w:val="32"/>
          <w:szCs w:val="32"/>
        </w:rPr>
        <w:t>申诉人签收；</w:t>
      </w:r>
    </w:p>
    <w:p>
      <w:pPr>
        <w:widowControl/>
        <w:numPr>
          <w:ilvl w:val="0"/>
          <w:numId w:val="2"/>
        </w:numPr>
        <w:spacing w:line="360" w:lineRule="auto"/>
        <w:jc w:val="left"/>
        <w:rPr>
          <w:rFonts w:hint="eastAsia" w:ascii="仿宋" w:hAnsi="仿宋" w:eastAsia="仿宋" w:cs="仿宋"/>
          <w:kern w:val="0"/>
          <w:sz w:val="32"/>
          <w:szCs w:val="32"/>
        </w:rPr>
      </w:pPr>
      <w:r>
        <w:rPr>
          <w:rFonts w:hint="eastAsia" w:ascii="仿宋" w:hAnsi="仿宋" w:eastAsia="仿宋" w:cs="仿宋"/>
          <w:kern w:val="0"/>
          <w:sz w:val="32"/>
          <w:szCs w:val="32"/>
        </w:rPr>
        <w:t>申诉人无法签收或拒绝签收的，按申诉书载明的通讯地址邮寄并在校内公告。</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第十五条 </w:t>
      </w:r>
      <w:r>
        <w:rPr>
          <w:rFonts w:hint="eastAsia" w:ascii="仿宋" w:hAnsi="仿宋" w:eastAsia="仿宋" w:cs="仿宋"/>
          <w:kern w:val="0"/>
          <w:sz w:val="32"/>
          <w:szCs w:val="32"/>
        </w:rPr>
        <w:t xml:space="preserve"> 在申诉期间，原处理或处分决定不停止执行。</w:t>
      </w:r>
    </w:p>
    <w:p>
      <w:pPr>
        <w:widowControl/>
        <w:spacing w:line="360" w:lineRule="auto"/>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第十六条  学生提出申诉后，在学校未做出申诉处理决定前，学生可以撤回申诉。学生撤回申诉的，应当以书面的形式提出。申诉一经撤回，学生不得就同一事实和理由再次向学校提出申诉。</w:t>
      </w:r>
    </w:p>
    <w:p>
      <w:pPr>
        <w:widowControl/>
        <w:spacing w:line="360" w:lineRule="auto"/>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第十七条  学生对复查决定有异议的，在接到学校复查决定书之日起15日内，可以向广西壮族自治区教育厅提出书面申诉。</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第十八条</w:t>
      </w:r>
      <w:r>
        <w:rPr>
          <w:rFonts w:hint="eastAsia" w:ascii="仿宋" w:hAnsi="仿宋" w:eastAsia="仿宋" w:cs="仿宋"/>
          <w:kern w:val="0"/>
          <w:sz w:val="32"/>
          <w:szCs w:val="32"/>
        </w:rPr>
        <w:t xml:space="preserve">  自处理、处分或者复查决定书送达之日起，学生在申诉期内未提出申诉的视为放弃申诉，学校或者广西壮族自治区教育厅不再受理其提出的申诉。</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第十九条 </w:t>
      </w:r>
      <w:r>
        <w:rPr>
          <w:rFonts w:hint="eastAsia" w:ascii="仿宋" w:hAnsi="仿宋" w:eastAsia="仿宋" w:cs="仿宋"/>
          <w:kern w:val="0"/>
          <w:sz w:val="32"/>
          <w:szCs w:val="32"/>
        </w:rPr>
        <w:t xml:space="preserve"> 处理、处分或者复查决定书未告知学生申诉期限的，申诉期限自学生知晓或者应当知道处理或者处分决定之日起计算，但最长不得超过6个月。</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第二十条</w:t>
      </w:r>
      <w:r>
        <w:rPr>
          <w:rFonts w:hint="eastAsia" w:ascii="仿宋" w:hAnsi="仿宋" w:eastAsia="仿宋" w:cs="仿宋"/>
          <w:kern w:val="0"/>
          <w:sz w:val="32"/>
          <w:szCs w:val="32"/>
        </w:rPr>
        <w:t xml:space="preserve">  学生认为学校及其工作人员违反本规定，侵害其合法权益的；或者学校制定的规章制度与法律法规和本规定抵触的，可以向广西壮族自治区教育厅投诉。</w:t>
      </w:r>
    </w:p>
    <w:p>
      <w:pPr>
        <w:widowControl/>
        <w:spacing w:line="360" w:lineRule="auto"/>
        <w:ind w:firstLine="643" w:firstLineChars="200"/>
        <w:jc w:val="center"/>
        <w:rPr>
          <w:rFonts w:hint="eastAsia" w:ascii="仿宋" w:hAnsi="仿宋" w:eastAsia="仿宋" w:cs="仿宋"/>
          <w:b/>
          <w:kern w:val="0"/>
          <w:sz w:val="32"/>
          <w:szCs w:val="32"/>
        </w:rPr>
      </w:pPr>
    </w:p>
    <w:p>
      <w:pPr>
        <w:widowControl/>
        <w:spacing w:line="360" w:lineRule="auto"/>
        <w:ind w:firstLine="643" w:firstLineChars="200"/>
        <w:jc w:val="center"/>
        <w:rPr>
          <w:rFonts w:hint="eastAsia" w:ascii="仿宋" w:hAnsi="仿宋" w:eastAsia="仿宋" w:cs="仿宋"/>
          <w:b/>
          <w:kern w:val="0"/>
          <w:sz w:val="32"/>
          <w:szCs w:val="32"/>
        </w:rPr>
      </w:pPr>
      <w:bookmarkStart w:id="162" w:name="_Toc19221_WPSOffice_Level1"/>
      <w:r>
        <w:rPr>
          <w:rFonts w:hint="eastAsia" w:ascii="仿宋" w:hAnsi="仿宋" w:eastAsia="仿宋" w:cs="仿宋"/>
          <w:b/>
          <w:kern w:val="0"/>
          <w:sz w:val="32"/>
          <w:szCs w:val="32"/>
        </w:rPr>
        <w:t>第四章   附则</w:t>
      </w:r>
      <w:bookmarkEnd w:id="162"/>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第二十一条  </w:t>
      </w:r>
      <w:r>
        <w:rPr>
          <w:rFonts w:hint="eastAsia" w:ascii="仿宋" w:hAnsi="仿宋" w:eastAsia="仿宋" w:cs="仿宋"/>
          <w:kern w:val="0"/>
          <w:sz w:val="32"/>
          <w:szCs w:val="32"/>
        </w:rPr>
        <w:t>本规定自2017年9月1日起施行。原《柳州职业技术学院学生申诉处理办法》同时废止。</w:t>
      </w:r>
    </w:p>
    <w:p>
      <w:pPr>
        <w:widowControl/>
        <w:spacing w:line="360" w:lineRule="auto"/>
        <w:ind w:firstLine="643" w:firstLineChars="200"/>
        <w:jc w:val="left"/>
        <w:rPr>
          <w:rFonts w:hint="eastAsia" w:ascii="仿宋" w:hAnsi="仿宋" w:eastAsia="仿宋" w:cs="仿宋"/>
          <w:kern w:val="0"/>
          <w:sz w:val="32"/>
          <w:szCs w:val="32"/>
        </w:rPr>
      </w:pPr>
      <w:r>
        <w:rPr>
          <w:rFonts w:hint="eastAsia" w:ascii="仿宋" w:hAnsi="仿宋" w:eastAsia="仿宋" w:cs="仿宋"/>
          <w:b/>
          <w:kern w:val="0"/>
          <w:sz w:val="32"/>
          <w:szCs w:val="32"/>
        </w:rPr>
        <w:t xml:space="preserve">第二十二条  </w:t>
      </w:r>
      <w:r>
        <w:rPr>
          <w:rFonts w:hint="eastAsia" w:ascii="仿宋" w:hAnsi="仿宋" w:eastAsia="仿宋" w:cs="仿宋"/>
          <w:kern w:val="0"/>
          <w:sz w:val="32"/>
          <w:szCs w:val="32"/>
        </w:rPr>
        <w:t>本规定由学校学生申诉处理委员会负责解释。</w:t>
      </w:r>
    </w:p>
    <w:p>
      <w:pPr>
        <w:widowControl/>
        <w:spacing w:line="360" w:lineRule="auto"/>
        <w:ind w:firstLine="640" w:firstLineChars="200"/>
        <w:jc w:val="left"/>
        <w:rPr>
          <w:rFonts w:hint="eastAsia" w:ascii="仿宋" w:hAnsi="仿宋" w:eastAsia="仿宋" w:cs="仿宋"/>
          <w:kern w:val="0"/>
          <w:sz w:val="32"/>
          <w:szCs w:val="32"/>
        </w:rPr>
      </w:pPr>
    </w:p>
    <w:p>
      <w:pPr>
        <w:widowControl/>
        <w:spacing w:line="360" w:lineRule="auto"/>
        <w:ind w:firstLine="640" w:firstLineChars="200"/>
        <w:jc w:val="left"/>
        <w:rPr>
          <w:rFonts w:hint="eastAsia" w:ascii="仿宋" w:hAnsi="仿宋" w:eastAsia="仿宋" w:cs="仿宋"/>
          <w:kern w:val="0"/>
          <w:sz w:val="32"/>
          <w:szCs w:val="32"/>
        </w:rPr>
      </w:pPr>
    </w:p>
    <w:p>
      <w:pPr>
        <w:widowControl/>
        <w:spacing w:line="360" w:lineRule="auto"/>
        <w:ind w:firstLine="640" w:firstLineChars="200"/>
        <w:jc w:val="left"/>
        <w:rPr>
          <w:rFonts w:hint="eastAsia" w:ascii="仿宋" w:hAnsi="仿宋" w:eastAsia="仿宋" w:cs="仿宋"/>
          <w:kern w:val="0"/>
          <w:sz w:val="32"/>
          <w:szCs w:val="32"/>
        </w:rPr>
      </w:pPr>
    </w:p>
    <w:p>
      <w:pPr>
        <w:pStyle w:val="2"/>
        <w:outlineLvl w:val="9"/>
        <w:rPr>
          <w:rFonts w:hint="eastAsia" w:ascii="宋体" w:hAnsi="宋体" w:eastAsia="宋体" w:cs="宋体"/>
          <w:color w:val="auto"/>
          <w:sz w:val="36"/>
          <w:szCs w:val="36"/>
        </w:rPr>
      </w:pPr>
      <w:bookmarkStart w:id="163" w:name="_Toc18814"/>
      <w:bookmarkStart w:id="164" w:name="_Toc14434_WPSOffice_Level1"/>
      <w:bookmarkStart w:id="165" w:name="_Toc6532"/>
      <w:bookmarkStart w:id="166" w:name="_Toc7372"/>
      <w:bookmarkStart w:id="167" w:name="_Toc7028"/>
      <w:bookmarkStart w:id="168" w:name="_Toc5567"/>
      <w:bookmarkStart w:id="169" w:name="_Toc51161329"/>
      <w:bookmarkStart w:id="170" w:name="_Toc7561"/>
    </w:p>
    <w:p>
      <w:pPr>
        <w:rPr>
          <w:rFonts w:hint="eastAsia"/>
        </w:rPr>
      </w:pPr>
    </w:p>
    <w:p>
      <w:pPr>
        <w:pStyle w:val="2"/>
        <w:jc w:val="center"/>
        <w:outlineLvl w:val="9"/>
        <w:rPr>
          <w:rFonts w:hint="eastAsia" w:ascii="宋体" w:hAnsi="宋体" w:eastAsia="宋体" w:cs="宋体"/>
          <w:sz w:val="36"/>
          <w:szCs w:val="36"/>
        </w:rPr>
      </w:pPr>
      <w:r>
        <w:rPr>
          <w:rFonts w:hint="eastAsia" w:ascii="宋体" w:hAnsi="宋体" w:eastAsia="宋体" w:cs="宋体"/>
          <w:color w:val="auto"/>
          <w:sz w:val="36"/>
          <w:szCs w:val="36"/>
        </w:rPr>
        <w:t>柳州职业技术学院学生综合素质考评办法</w:t>
      </w:r>
      <w:bookmarkEnd w:id="163"/>
      <w:bookmarkEnd w:id="164"/>
      <w:bookmarkEnd w:id="165"/>
      <w:bookmarkEnd w:id="166"/>
      <w:bookmarkEnd w:id="167"/>
      <w:bookmarkEnd w:id="168"/>
      <w:bookmarkEnd w:id="169"/>
      <w:bookmarkEnd w:id="170"/>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为了贯彻落实党和国家的教育方针，全面推进素质教育，促进学生德、智、体、美、劳全面发展，培养具有创新精神和实践能力的高素质人才，根据我校实际，特制定本办法。</w:t>
      </w:r>
    </w:p>
    <w:p>
      <w:pPr>
        <w:widowControl/>
        <w:spacing w:line="360" w:lineRule="auto"/>
        <w:ind w:firstLine="703" w:firstLineChars="200"/>
        <w:jc w:val="left"/>
        <w:rPr>
          <w:rFonts w:hint="eastAsia" w:ascii="仿宋" w:hAnsi="仿宋" w:eastAsia="仿宋" w:cs="仿宋"/>
          <w:b/>
          <w:spacing w:val="15"/>
          <w:kern w:val="0"/>
          <w:sz w:val="32"/>
          <w:szCs w:val="32"/>
        </w:rPr>
      </w:pPr>
      <w:bookmarkStart w:id="171" w:name="_Toc5742_WPSOffice_Level1"/>
      <w:r>
        <w:rPr>
          <w:rFonts w:hint="eastAsia" w:ascii="仿宋" w:hAnsi="仿宋" w:eastAsia="仿宋" w:cs="仿宋"/>
          <w:b/>
          <w:spacing w:val="15"/>
          <w:kern w:val="0"/>
          <w:sz w:val="32"/>
          <w:szCs w:val="32"/>
        </w:rPr>
        <w:t>一、指导思想</w:t>
      </w:r>
      <w:bookmarkEnd w:id="171"/>
      <w:r>
        <w:rPr>
          <w:rFonts w:hint="eastAsia" w:ascii="仿宋" w:hAnsi="仿宋" w:eastAsia="仿宋" w:cs="仿宋"/>
          <w:b/>
          <w:spacing w:val="15"/>
          <w:kern w:val="0"/>
          <w:sz w:val="32"/>
          <w:szCs w:val="32"/>
        </w:rPr>
        <w:t xml:space="preserve"> </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以学生全面素质考核为目标，对学生的德、智、体、美、劳素质进行测评，力求全面、真实、公正地反映学生的综合素质，引导学生不断提高自身综合素质，不断完善学校学生管理工作的科学化与规范化。</w:t>
      </w:r>
    </w:p>
    <w:p>
      <w:pPr>
        <w:widowControl/>
        <w:spacing w:line="360" w:lineRule="auto"/>
        <w:ind w:firstLine="703" w:firstLineChars="200"/>
        <w:jc w:val="left"/>
        <w:rPr>
          <w:rFonts w:hint="eastAsia" w:ascii="仿宋" w:hAnsi="仿宋" w:eastAsia="仿宋" w:cs="仿宋"/>
          <w:b/>
          <w:spacing w:val="15"/>
          <w:kern w:val="0"/>
          <w:sz w:val="32"/>
          <w:szCs w:val="32"/>
        </w:rPr>
      </w:pPr>
      <w:bookmarkStart w:id="172" w:name="_Toc32483_WPSOffice_Level1"/>
      <w:r>
        <w:rPr>
          <w:rFonts w:hint="eastAsia" w:ascii="仿宋" w:hAnsi="仿宋" w:eastAsia="仿宋" w:cs="仿宋"/>
          <w:b/>
          <w:spacing w:val="15"/>
          <w:kern w:val="0"/>
          <w:sz w:val="32"/>
          <w:szCs w:val="32"/>
        </w:rPr>
        <w:t>二、学生综合素质考评对象</w:t>
      </w:r>
      <w:bookmarkEnd w:id="172"/>
      <w:r>
        <w:rPr>
          <w:rFonts w:hint="eastAsia" w:ascii="仿宋" w:hAnsi="仿宋" w:eastAsia="仿宋" w:cs="仿宋"/>
          <w:b/>
          <w:spacing w:val="15"/>
          <w:kern w:val="0"/>
          <w:sz w:val="32"/>
          <w:szCs w:val="32"/>
        </w:rPr>
        <w:t xml:space="preserve"> </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具有我校学籍的全日制高职在校生。</w:t>
      </w:r>
    </w:p>
    <w:p>
      <w:pPr>
        <w:widowControl/>
        <w:spacing w:line="360" w:lineRule="auto"/>
        <w:ind w:firstLine="703" w:firstLineChars="200"/>
        <w:jc w:val="left"/>
        <w:rPr>
          <w:rFonts w:hint="eastAsia" w:ascii="仿宋" w:hAnsi="仿宋" w:eastAsia="仿宋" w:cs="仿宋"/>
          <w:b/>
          <w:spacing w:val="15"/>
          <w:kern w:val="0"/>
          <w:sz w:val="32"/>
          <w:szCs w:val="32"/>
        </w:rPr>
      </w:pPr>
      <w:bookmarkStart w:id="173" w:name="_Toc8298_WPSOffice_Level1"/>
      <w:r>
        <w:rPr>
          <w:rFonts w:hint="eastAsia" w:ascii="仿宋" w:hAnsi="仿宋" w:eastAsia="仿宋" w:cs="仿宋"/>
          <w:b/>
          <w:spacing w:val="15"/>
          <w:kern w:val="0"/>
          <w:sz w:val="32"/>
          <w:szCs w:val="32"/>
        </w:rPr>
        <w:t>三、学生综合素质考评内容</w:t>
      </w:r>
      <w:bookmarkEnd w:id="173"/>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学生综合素质考评成绩包括学科成绩、学生诚信积分、第二课堂活动分三部分。</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学科成绩：指本学年所有修读课程的总评成绩平均分。</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学生诚信积分：指学生每学年度所获得的诚信积分，详见《柳州职业技术学院学生诚信积分管理办法》。</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第二课堂活动分：指本学年度所获得的第二课堂活动积分数，详见《柳州职业技术学院学生第二课堂活动管理办法》</w:t>
      </w:r>
    </w:p>
    <w:p>
      <w:pPr>
        <w:widowControl/>
        <w:spacing w:line="360" w:lineRule="auto"/>
        <w:ind w:firstLine="703" w:firstLineChars="200"/>
        <w:jc w:val="left"/>
        <w:rPr>
          <w:rFonts w:hint="eastAsia" w:ascii="仿宋" w:hAnsi="仿宋" w:eastAsia="仿宋" w:cs="仿宋"/>
          <w:b/>
          <w:spacing w:val="15"/>
          <w:kern w:val="0"/>
          <w:sz w:val="32"/>
          <w:szCs w:val="32"/>
        </w:rPr>
      </w:pPr>
      <w:bookmarkStart w:id="174" w:name="_Toc17172_WPSOffice_Level1"/>
      <w:r>
        <w:rPr>
          <w:rFonts w:hint="eastAsia" w:ascii="仿宋" w:hAnsi="仿宋" w:eastAsia="仿宋" w:cs="仿宋"/>
          <w:b/>
          <w:spacing w:val="15"/>
          <w:kern w:val="0"/>
          <w:sz w:val="32"/>
          <w:szCs w:val="32"/>
        </w:rPr>
        <w:t>四、学生综合素质考评成绩计算方法</w:t>
      </w:r>
      <w:bookmarkEnd w:id="174"/>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大一学年，综合素质考评成绩=学年各科总评成绩平均分×55%+学年诚信积分/10×35%（每学年有600分基本诚信积分）+第二课堂活动分×100/60×10%（学年满分60分）</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大二学年，综合素质考评成绩=学年各科总评成绩平均分×55%+学年诚信积分/10×35%（每学年有600分基本诚信积分）+第二课堂活动分×100/50×10%（学年满分50分）</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综合素质考评成绩以百分制计。90分以上记为优秀；80—89.9分记为良好；70—79.9分记为中等；60—69.9分记为及格；60分以下记为不及格。</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sz w:val="32"/>
          <w:szCs w:val="32"/>
        </w:rPr>
        <w:t>1.学年各科总评成绩平均分=当学年各科总评成绩的总和/课程门数，即学生本学年所有修读的必修课程总评成绩的平均分</w:t>
      </w:r>
      <w:r>
        <w:rPr>
          <w:rFonts w:hint="eastAsia" w:ascii="仿宋" w:hAnsi="仿宋" w:eastAsia="仿宋" w:cs="仿宋"/>
          <w:bCs/>
          <w:sz w:val="32"/>
          <w:szCs w:val="32"/>
        </w:rPr>
        <w:t>。</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注：（1）有不及格科目的按考试实际成绩计，不得以补考成绩计。（2）每学年各班同学选择不同的选修课，且选修课任课老师之间评分存在个体差异，故所有学生成绩均不涉及选修课（含公共选修课、专业选修课）。</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2.学生诚信积分=每学年度学生所获诚信积分之和。</w:t>
      </w:r>
      <w:r>
        <w:rPr>
          <w:rFonts w:hint="eastAsia" w:ascii="仿宋" w:hAnsi="仿宋" w:eastAsia="仿宋" w:cs="仿宋"/>
          <w:sz w:val="32"/>
          <w:szCs w:val="32"/>
        </w:rPr>
        <w:t>（学年学生诚信积分最高按1000分记）。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bCs/>
          <w:sz w:val="32"/>
          <w:szCs w:val="32"/>
        </w:rPr>
        <w:t>3.学生活动积分=每学年度学生所获活动分之和。</w:t>
      </w:r>
      <w:r>
        <w:rPr>
          <w:rFonts w:hint="eastAsia" w:ascii="仿宋" w:hAnsi="仿宋" w:eastAsia="仿宋" w:cs="仿宋"/>
          <w:sz w:val="32"/>
          <w:szCs w:val="32"/>
        </w:rPr>
        <w:t>（学年第二课堂活动积分大一学年最高按60分记，大二学年最高按50分记，按百分制计算）。</w:t>
      </w:r>
    </w:p>
    <w:p>
      <w:pPr>
        <w:widowControl/>
        <w:spacing w:line="360" w:lineRule="auto"/>
        <w:ind w:firstLine="703" w:firstLineChars="200"/>
        <w:jc w:val="left"/>
        <w:rPr>
          <w:rFonts w:hint="eastAsia" w:ascii="仿宋" w:hAnsi="仿宋" w:eastAsia="仿宋" w:cs="仿宋"/>
          <w:b/>
          <w:spacing w:val="15"/>
          <w:kern w:val="0"/>
          <w:sz w:val="32"/>
          <w:szCs w:val="32"/>
        </w:rPr>
      </w:pPr>
      <w:bookmarkStart w:id="175" w:name="_Toc15749_WPSOffice_Level1"/>
      <w:r>
        <w:rPr>
          <w:rFonts w:hint="eastAsia" w:ascii="仿宋" w:hAnsi="仿宋" w:eastAsia="仿宋" w:cs="仿宋"/>
          <w:b/>
          <w:spacing w:val="15"/>
          <w:kern w:val="0"/>
          <w:sz w:val="32"/>
          <w:szCs w:val="32"/>
        </w:rPr>
        <w:t>五、学生综合素质考评工作组织实施</w:t>
      </w:r>
      <w:bookmarkEnd w:id="175"/>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1.学生综合素质考评只针对大一、大二学年情况，以班级为单位，于每年十一月初进行。</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2.学生素质综合考评工作由学生工作部（处）及校团委、教务与实训管理处、各二级学院共同组织实施。各二级学院成立学生综合素质考评领导小组，确定专人具体负责此项工作。具体考评在辅导员指导下，由班委会、团支部成员以及学生代表组成考评小组组织实施。</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3.考评结果最后在班级内部进行公示一周，如无异议，上报学生工作处汇总、审查。如学生对考评结果有异议，可以向学生工作委员会进行投诉，学生工作委员会在收到投诉七个工作日内给予明确答复。</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4.根据《柳州职业技术学院学生第二课堂活动管理办法》，原则上三年级学生无需计算综合素质考评成绩，但是在学籍期间必须按照相关管理办法完成第二课堂活动积分和诚信积分。</w:t>
      </w:r>
    </w:p>
    <w:p>
      <w:pPr>
        <w:widowControl/>
        <w:spacing w:line="360" w:lineRule="auto"/>
        <w:ind w:firstLine="703" w:firstLineChars="200"/>
        <w:jc w:val="left"/>
        <w:rPr>
          <w:rFonts w:hint="eastAsia" w:ascii="仿宋" w:hAnsi="仿宋" w:eastAsia="仿宋" w:cs="仿宋"/>
          <w:b/>
          <w:spacing w:val="15"/>
          <w:kern w:val="0"/>
          <w:sz w:val="32"/>
          <w:szCs w:val="32"/>
        </w:rPr>
      </w:pPr>
      <w:bookmarkStart w:id="176" w:name="_Toc32342_WPSOffice_Level1"/>
      <w:r>
        <w:rPr>
          <w:rFonts w:hint="eastAsia" w:ascii="仿宋" w:hAnsi="仿宋" w:eastAsia="仿宋" w:cs="仿宋"/>
          <w:b/>
          <w:spacing w:val="15"/>
          <w:kern w:val="0"/>
          <w:sz w:val="32"/>
          <w:szCs w:val="32"/>
        </w:rPr>
        <w:t>六、学生综合素质考评结果</w:t>
      </w:r>
      <w:bookmarkEnd w:id="176"/>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1.学生综合素质考评成绩审核之后由校学生工作部（处）负责备案，并将结果及记入档案。</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2.学生综合素质考评成绩作为奖学金、各类评奖、评优的主要依据。</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3.学生综合素质考评成绩作为评选优秀毕业生、学生直升本科生的重要依据。</w:t>
      </w:r>
    </w:p>
    <w:p>
      <w:pPr>
        <w:spacing w:line="360" w:lineRule="auto"/>
        <w:ind w:firstLine="643" w:firstLineChars="200"/>
        <w:rPr>
          <w:rFonts w:hint="eastAsia" w:ascii="仿宋" w:hAnsi="仿宋" w:eastAsia="仿宋" w:cs="仿宋"/>
          <w:b/>
          <w:bCs/>
          <w:sz w:val="32"/>
          <w:szCs w:val="32"/>
        </w:rPr>
      </w:pPr>
      <w:bookmarkStart w:id="177" w:name="_Toc25898_WPSOffice_Level1"/>
      <w:r>
        <w:rPr>
          <w:rFonts w:hint="eastAsia" w:ascii="仿宋" w:hAnsi="仿宋" w:eastAsia="仿宋" w:cs="仿宋"/>
          <w:b/>
          <w:bCs/>
          <w:sz w:val="32"/>
          <w:szCs w:val="32"/>
        </w:rPr>
        <w:t>七、本办法自2021年9月1日起实施。</w:t>
      </w:r>
      <w:bookmarkEnd w:id="177"/>
    </w:p>
    <w:p>
      <w:pPr>
        <w:spacing w:line="360" w:lineRule="auto"/>
        <w:ind w:firstLine="643" w:firstLineChars="200"/>
        <w:rPr>
          <w:rFonts w:hint="eastAsia" w:ascii="仿宋" w:hAnsi="仿宋" w:eastAsia="仿宋" w:cs="仿宋"/>
          <w:bCs/>
          <w:sz w:val="32"/>
          <w:szCs w:val="32"/>
        </w:rPr>
      </w:pPr>
      <w:bookmarkStart w:id="178" w:name="_Toc18374_WPSOffice_Level1"/>
      <w:r>
        <w:rPr>
          <w:rFonts w:hint="eastAsia" w:ascii="仿宋" w:hAnsi="仿宋" w:eastAsia="仿宋" w:cs="仿宋"/>
          <w:b/>
          <w:bCs/>
          <w:sz w:val="32"/>
          <w:szCs w:val="32"/>
        </w:rPr>
        <w:t>八、本办法由校学生工作部（处）负责解释。</w:t>
      </w:r>
      <w:bookmarkEnd w:id="178"/>
    </w:p>
    <w:p>
      <w:pPr>
        <w:pStyle w:val="2"/>
        <w:jc w:val="center"/>
        <w:outlineLvl w:val="9"/>
        <w:rPr>
          <w:rFonts w:hint="eastAsia" w:ascii="仿宋" w:hAnsi="仿宋" w:eastAsia="仿宋" w:cs="仿宋"/>
          <w:bCs/>
          <w:sz w:val="32"/>
          <w:szCs w:val="32"/>
        </w:rPr>
      </w:pPr>
      <w:bookmarkStart w:id="179" w:name="_Toc51161331"/>
      <w:bookmarkStart w:id="180" w:name="_Toc21218"/>
      <w:bookmarkStart w:id="181" w:name="_Toc8581"/>
      <w:bookmarkStart w:id="182" w:name="_Toc25049_WPSOffice_Level1"/>
      <w:bookmarkStart w:id="183" w:name="_Toc4158"/>
      <w:bookmarkStart w:id="184" w:name="_Toc26335"/>
      <w:bookmarkStart w:id="185" w:name="_Toc15715"/>
      <w:bookmarkStart w:id="186" w:name="_Toc5948"/>
      <w:r>
        <w:rPr>
          <w:rFonts w:hint="eastAsia" w:ascii="宋体" w:hAnsi="宋体" w:eastAsia="宋体" w:cs="宋体"/>
          <w:color w:val="auto"/>
          <w:sz w:val="36"/>
          <w:szCs w:val="36"/>
        </w:rPr>
        <w:t>柳州职业技术学院学生诚信积分管理办法</w:t>
      </w:r>
      <w:bookmarkEnd w:id="179"/>
      <w:bookmarkEnd w:id="180"/>
      <w:bookmarkEnd w:id="181"/>
      <w:bookmarkEnd w:id="182"/>
      <w:bookmarkEnd w:id="183"/>
      <w:bookmarkEnd w:id="184"/>
      <w:bookmarkEnd w:id="185"/>
      <w:bookmarkEnd w:id="186"/>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为了全面贯彻落实党的教育方针，全面推行素质教育，加强学生诚信意识的养成教育，培养“有教养、有本领”的高素质技术技能型人才，促进学生德、智、体、美、劳全面发展，有效激励学生奋发向上的精神，最大限度地调动学生好学上进的积极性，并为各类评优、评先及毕业推荐等工作提供定量依据，特制定本办法。</w:t>
      </w:r>
    </w:p>
    <w:p>
      <w:pPr>
        <w:spacing w:line="360" w:lineRule="auto"/>
        <w:ind w:firstLine="643" w:firstLineChars="200"/>
        <w:rPr>
          <w:rFonts w:hint="eastAsia" w:ascii="仿宋" w:hAnsi="仿宋" w:eastAsia="仿宋" w:cs="仿宋"/>
          <w:b/>
          <w:bCs/>
          <w:sz w:val="32"/>
          <w:szCs w:val="32"/>
        </w:rPr>
      </w:pPr>
      <w:bookmarkStart w:id="187" w:name="_Toc30808_WPSOffice_Level1"/>
      <w:r>
        <w:rPr>
          <w:rFonts w:hint="eastAsia" w:ascii="仿宋" w:hAnsi="仿宋" w:eastAsia="仿宋" w:cs="仿宋"/>
          <w:b/>
          <w:bCs/>
          <w:sz w:val="32"/>
          <w:szCs w:val="32"/>
        </w:rPr>
        <w:t>一、工作目标：</w:t>
      </w:r>
      <w:bookmarkEnd w:id="187"/>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培养诚信学子，培育诚信校风，建设诚信校园。</w:t>
      </w:r>
    </w:p>
    <w:p>
      <w:pPr>
        <w:spacing w:line="360" w:lineRule="auto"/>
        <w:ind w:firstLine="643" w:firstLineChars="200"/>
        <w:rPr>
          <w:rFonts w:hint="eastAsia" w:ascii="仿宋" w:hAnsi="仿宋" w:eastAsia="仿宋" w:cs="仿宋"/>
          <w:b/>
          <w:bCs/>
          <w:sz w:val="32"/>
          <w:szCs w:val="32"/>
        </w:rPr>
      </w:pPr>
      <w:bookmarkStart w:id="188" w:name="_Toc18274_WPSOffice_Level1"/>
      <w:r>
        <w:rPr>
          <w:rFonts w:hint="eastAsia" w:ascii="仿宋" w:hAnsi="仿宋" w:eastAsia="仿宋" w:cs="仿宋"/>
          <w:b/>
          <w:bCs/>
          <w:sz w:val="32"/>
          <w:szCs w:val="32"/>
        </w:rPr>
        <w:t>二、运行机制：</w:t>
      </w:r>
      <w:bookmarkEnd w:id="188"/>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学生诚信积分管理实行以辅导员为实施主体，任课教师密切配合，其它教职员工、学生党员、学生干部、学生入党积极分子共同参与的全员管理机制。</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全校教职员工都有责任对优秀学生给予表扬，对犯错误的学生给予批评教育，同时向学生辅导员提供《诚信积分存扣分申请单》反映学生的行为表现情况。</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辅导员根据教职工反映学生行为的实际情况，根据《柳州职业技术学院诚信积分管理办法》开展学生诚信积分存、扣分工作。诚信积分存、扣分应力求体现测评体系的科学性、评议内容的导向性、测评对象的可比性、测评方法操作性和测评结果的客观性。</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学生诚信积分是学生参与评定各类奖学金及评优、评先活动的定量依据。学生党员、学生干部、学生入党积极分子应率先垂范，以身作则，同时做好在同学中的宣传、教育和监督工作。</w:t>
      </w:r>
    </w:p>
    <w:p>
      <w:pPr>
        <w:spacing w:line="360" w:lineRule="auto"/>
        <w:ind w:firstLine="643" w:firstLineChars="200"/>
        <w:rPr>
          <w:rFonts w:hint="eastAsia" w:ascii="仿宋" w:hAnsi="仿宋" w:eastAsia="仿宋" w:cs="仿宋"/>
          <w:b/>
          <w:bCs/>
          <w:sz w:val="32"/>
          <w:szCs w:val="32"/>
        </w:rPr>
      </w:pPr>
      <w:bookmarkStart w:id="189" w:name="_Toc8353_WPSOffice_Level1"/>
      <w:r>
        <w:rPr>
          <w:rFonts w:hint="eastAsia" w:ascii="仿宋" w:hAnsi="仿宋" w:eastAsia="仿宋" w:cs="仿宋"/>
          <w:b/>
          <w:bCs/>
          <w:sz w:val="32"/>
          <w:szCs w:val="32"/>
        </w:rPr>
        <w:t>三、操作流程：</w:t>
      </w:r>
      <w:bookmarkEnd w:id="189"/>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1.学生诚信积分的记录办法</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（1）学生诚信积分存、扣情况由辅导员在学生个人信息电子档案中即时进行记录；</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（2）诚信积分记录流程：</w:t>
      </w:r>
    </w:p>
    <w:p>
      <w:pPr>
        <w:spacing w:line="360" w:lineRule="auto"/>
        <w:jc w:val="center"/>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2169216" behindDoc="0" locked="0" layoutInCell="1" allowOverlap="1">
                <wp:simplePos x="0" y="0"/>
                <wp:positionH relativeFrom="column">
                  <wp:posOffset>427355</wp:posOffset>
                </wp:positionH>
                <wp:positionV relativeFrom="paragraph">
                  <wp:posOffset>3713480</wp:posOffset>
                </wp:positionV>
                <wp:extent cx="3755390" cy="419100"/>
                <wp:effectExtent l="4445" t="5080" r="12065" b="13970"/>
                <wp:wrapNone/>
                <wp:docPr id="14" name="矩形 14"/>
                <wp:cNvGraphicFramePr/>
                <a:graphic xmlns:a="http://schemas.openxmlformats.org/drawingml/2006/main">
                  <a:graphicData uri="http://schemas.microsoft.com/office/word/2010/wordprocessingShape">
                    <wps:wsp>
                      <wps:cNvSpPr/>
                      <wps:spPr>
                        <a:xfrm>
                          <a:off x="0" y="0"/>
                          <a:ext cx="375539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辅导员将学生存、扣分情况记录到学生电子信息档案</w:t>
                            </w:r>
                          </w:p>
                        </w:txbxContent>
                      </wps:txbx>
                      <wps:bodyPr lIns="0" tIns="0" rIns="0" bIns="0" upright="1"/>
                    </wps:wsp>
                  </a:graphicData>
                </a:graphic>
              </wp:anchor>
            </w:drawing>
          </mc:Choice>
          <mc:Fallback>
            <w:pict>
              <v:rect id="_x0000_s1026" o:spid="_x0000_s1026" o:spt="1" style="position:absolute;left:0pt;margin-left:33.65pt;margin-top:292.4pt;height:33pt;width:295.7pt;z-index:252169216;mso-width-relative:page;mso-height-relative:page;" fillcolor="#FFFFFF" filled="t" stroked="t" coordsize="21600,21600" o:gfxdata="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N1PSLaAAAACgEAAA8AAAAAAAAAAQAgAAAAIgAAAGRycy9kb3du&#10;cmV2LnhtbFBLAQIUABQAAAAIAIdO4kBD5e6c/QEAAA8EAAAOAAAAAAAAAAEAIAAAACkBAABkcnMv&#10;ZTJvRG9jLnhtbFBLBQYAAAAABgAGAFkBAACYBQAAAAA=&#10;">
                <v:fill on="t" focussize="0,0"/>
                <v:stroke color="#000000" joinstyle="miter"/>
                <v:imagedata o:title=""/>
                <o:lock v:ext="edit" aspectratio="f"/>
                <v:textbox inset="0mm,0mm,0mm,0mm">
                  <w:txbxContent>
                    <w:p>
                      <w:pPr>
                        <w:jc w:val="center"/>
                      </w:pPr>
                      <w:r>
                        <w:rPr>
                          <w:rFonts w:hint="eastAsia"/>
                        </w:rPr>
                        <w:t>辅导员将学生存、扣分情况记录到学生电子信息档案</w:t>
                      </w:r>
                    </w:p>
                  </w:txbxContent>
                </v:textbox>
              </v:rect>
            </w:pict>
          </mc:Fallback>
        </mc:AlternateContent>
      </w:r>
      <w:r>
        <w:rPr>
          <w:rFonts w:hint="eastAsia" w:ascii="仿宋" w:hAnsi="仿宋" w:eastAsia="仿宋" w:cs="仿宋"/>
          <w:sz w:val="32"/>
          <w:szCs w:val="32"/>
        </w:rPr>
        <mc:AlternateContent>
          <mc:Choice Requires="wpg">
            <w:drawing>
              <wp:inline distT="0" distB="0" distL="114300" distR="114300">
                <wp:extent cx="5195570" cy="5557520"/>
                <wp:effectExtent l="0" t="0" r="0" b="0"/>
                <wp:docPr id="1" name="组合 1"/>
                <wp:cNvGraphicFramePr/>
                <a:graphic xmlns:a="http://schemas.openxmlformats.org/drawingml/2006/main">
                  <a:graphicData uri="http://schemas.microsoft.com/office/word/2010/wordprocessingGroup">
                    <wpg:wgp>
                      <wpg:cNvGrpSpPr>
                        <a:grpSpLocks noRot="1"/>
                      </wpg:cNvGrpSpPr>
                      <wpg:grpSpPr>
                        <a:xfrm>
                          <a:off x="0" y="0"/>
                          <a:ext cx="5195570" cy="5557520"/>
                          <a:chOff x="12" y="-492"/>
                          <a:chExt cx="8280" cy="8775"/>
                        </a:xfrm>
                        <a:effectLst/>
                      </wpg:grpSpPr>
                      <wps:wsp>
                        <wps:cNvPr id="2" name="矩形 1"/>
                        <wps:cNvSpPr>
                          <a:spLocks noChangeAspect="1"/>
                        </wps:cNvSpPr>
                        <wps:spPr bwMode="auto">
                          <a:xfrm>
                            <a:off x="12" y="-492"/>
                            <a:ext cx="8280" cy="8775"/>
                          </a:xfrm>
                          <a:prstGeom prst="rect">
                            <a:avLst/>
                          </a:prstGeom>
                          <a:noFill/>
                          <a:ln>
                            <a:noFill/>
                          </a:ln>
                          <a:effectLst/>
                        </wps:spPr>
                        <wps:bodyPr rot="0" vert="horz" wrap="square" lIns="91440" tIns="45720" rIns="91440" bIns="45720" anchor="t" anchorCtr="0" upright="1">
                          <a:noAutofit/>
                        </wps:bodyPr>
                      </wps:wsp>
                      <wps:wsp>
                        <wps:cNvPr id="5" name="直接连接符 2"/>
                        <wps:cNvCnPr>
                          <a:cxnSpLocks noChangeShapeType="1"/>
                        </wps:cNvCnPr>
                        <wps:spPr bwMode="auto">
                          <a:xfrm>
                            <a:off x="2340" y="936"/>
                            <a:ext cx="0" cy="0"/>
                          </a:xfrm>
                          <a:prstGeom prst="line">
                            <a:avLst/>
                          </a:prstGeom>
                          <a:noFill/>
                          <a:ln w="9525">
                            <a:solidFill>
                              <a:srgbClr val="000000"/>
                            </a:solidFill>
                            <a:round/>
                            <a:tailEnd type="triangle" w="med" len="med"/>
                          </a:ln>
                          <a:effectLst/>
                        </wps:spPr>
                        <wps:bodyPr/>
                      </wps:wsp>
                      <wps:wsp>
                        <wps:cNvPr id="6" name="直接连接符 3"/>
                        <wps:cNvCnPr>
                          <a:cxnSpLocks noChangeShapeType="1"/>
                        </wps:cNvCnPr>
                        <wps:spPr bwMode="auto">
                          <a:xfrm>
                            <a:off x="3340" y="156"/>
                            <a:ext cx="17" cy="760"/>
                          </a:xfrm>
                          <a:prstGeom prst="line">
                            <a:avLst/>
                          </a:prstGeom>
                          <a:noFill/>
                          <a:ln w="9525">
                            <a:solidFill>
                              <a:srgbClr val="000000"/>
                            </a:solidFill>
                            <a:round/>
                            <a:tailEnd type="triangle" w="med" len="med"/>
                          </a:ln>
                          <a:effectLst/>
                        </wps:spPr>
                        <wps:bodyPr/>
                      </wps:wsp>
                      <wps:wsp>
                        <wps:cNvPr id="7" name="矩形 4"/>
                        <wps:cNvSpPr>
                          <a:spLocks noChangeArrowheads="1"/>
                        </wps:cNvSpPr>
                        <wps:spPr bwMode="auto">
                          <a:xfrm>
                            <a:off x="557" y="912"/>
                            <a:ext cx="5843" cy="695"/>
                          </a:xfrm>
                          <a:prstGeom prst="rect">
                            <a:avLst/>
                          </a:prstGeom>
                          <a:solidFill>
                            <a:srgbClr val="FFFFFF"/>
                          </a:solidFill>
                          <a:ln w="9525">
                            <a:solidFill>
                              <a:srgbClr val="000000"/>
                            </a:solidFill>
                            <a:miter lim="800000"/>
                          </a:ln>
                          <a:effectLst/>
                        </wps:spPr>
                        <wps:txbx>
                          <w:txbxContent>
                            <w:p>
                              <w:pPr>
                                <w:jc w:val="center"/>
                              </w:pPr>
                              <w:r>
                                <w:rPr>
                                  <w:rFonts w:hint="eastAsia"/>
                                </w:rPr>
                                <w:t>教职员工开具《诚信积分存扣分申请单》，并转交至各二级学院</w:t>
                              </w:r>
                            </w:p>
                          </w:txbxContent>
                        </wps:txbx>
                        <wps:bodyPr rot="0" vert="horz" wrap="square" lIns="0" tIns="0" rIns="0" bIns="0" anchor="t" anchorCtr="0" upright="1">
                          <a:noAutofit/>
                        </wps:bodyPr>
                      </wps:wsp>
                      <wps:wsp>
                        <wps:cNvPr id="8" name="矩形 5"/>
                        <wps:cNvSpPr>
                          <a:spLocks noChangeArrowheads="1"/>
                        </wps:cNvSpPr>
                        <wps:spPr bwMode="auto">
                          <a:xfrm>
                            <a:off x="655" y="3828"/>
                            <a:ext cx="5913" cy="564"/>
                          </a:xfrm>
                          <a:prstGeom prst="rect">
                            <a:avLst/>
                          </a:prstGeom>
                          <a:solidFill>
                            <a:srgbClr val="FFFFFF"/>
                          </a:solidFill>
                          <a:ln w="9525">
                            <a:solidFill>
                              <a:srgbClr val="000000"/>
                            </a:solidFill>
                            <a:miter lim="800000"/>
                          </a:ln>
                          <a:effectLst/>
                        </wps:spPr>
                        <wps:txbx>
                          <w:txbxContent>
                            <w:p>
                              <w:pPr>
                                <w:jc w:val="center"/>
                              </w:pPr>
                              <w:r>
                                <w:rPr>
                                  <w:rFonts w:hint="eastAsia"/>
                                </w:rPr>
                                <w:t>辅导员告知学生诚信分存、扣分结论</w:t>
                              </w:r>
                            </w:p>
                          </w:txbxContent>
                        </wps:txbx>
                        <wps:bodyPr rot="0" vert="horz" wrap="square" lIns="0" tIns="0" rIns="0" bIns="0" anchor="t" anchorCtr="0" upright="1">
                          <a:noAutofit/>
                        </wps:bodyPr>
                      </wps:wsp>
                      <wps:wsp>
                        <wps:cNvPr id="9" name="直接连接符 6"/>
                        <wps:cNvCnPr>
                          <a:cxnSpLocks noChangeShapeType="1"/>
                        </wps:cNvCnPr>
                        <wps:spPr bwMode="auto">
                          <a:xfrm>
                            <a:off x="3412" y="4416"/>
                            <a:ext cx="1" cy="780"/>
                          </a:xfrm>
                          <a:prstGeom prst="line">
                            <a:avLst/>
                          </a:prstGeom>
                          <a:noFill/>
                          <a:ln w="9525">
                            <a:solidFill>
                              <a:srgbClr val="000000"/>
                            </a:solidFill>
                            <a:round/>
                            <a:tailEnd type="triangle" w="med" len="med"/>
                          </a:ln>
                          <a:effectLst/>
                        </wps:spPr>
                        <wps:bodyPr/>
                      </wps:wsp>
                      <wps:wsp>
                        <wps:cNvPr id="10" name="矩形 7"/>
                        <wps:cNvSpPr>
                          <a:spLocks noChangeArrowheads="1"/>
                        </wps:cNvSpPr>
                        <wps:spPr bwMode="auto">
                          <a:xfrm>
                            <a:off x="594" y="2352"/>
                            <a:ext cx="5925" cy="803"/>
                          </a:xfrm>
                          <a:prstGeom prst="rect">
                            <a:avLst/>
                          </a:prstGeom>
                          <a:solidFill>
                            <a:srgbClr val="FFFFFF"/>
                          </a:solidFill>
                          <a:ln w="9525">
                            <a:solidFill>
                              <a:srgbClr val="000000"/>
                            </a:solidFill>
                            <a:miter lim="800000"/>
                          </a:ln>
                          <a:effectLst/>
                        </wps:spPr>
                        <wps:txbx>
                          <w:txbxContent>
                            <w:p>
                              <w:pPr>
                                <w:jc w:val="center"/>
                              </w:pPr>
                              <w:r>
                                <w:rPr>
                                  <w:rFonts w:hint="eastAsia"/>
                                </w:rPr>
                                <w:t>各二级学院根据《诚信积分存扣分申请单》核查事实，在两个工作日内做出诚信积分存、扣结论</w:t>
                              </w:r>
                            </w:p>
                          </w:txbxContent>
                        </wps:txbx>
                        <wps:bodyPr rot="0" vert="horz" wrap="square" lIns="0" tIns="0" rIns="0" bIns="0" anchor="t" anchorCtr="0" upright="1">
                          <a:noAutofit/>
                        </wps:bodyPr>
                      </wps:wsp>
                      <wps:wsp>
                        <wps:cNvPr id="27" name="直接连接符 8"/>
                        <wps:cNvCnPr>
                          <a:cxnSpLocks noChangeShapeType="1"/>
                        </wps:cNvCnPr>
                        <wps:spPr bwMode="auto">
                          <a:xfrm>
                            <a:off x="3376" y="3180"/>
                            <a:ext cx="1" cy="624"/>
                          </a:xfrm>
                          <a:prstGeom prst="line">
                            <a:avLst/>
                          </a:prstGeom>
                          <a:noFill/>
                          <a:ln w="9525">
                            <a:solidFill>
                              <a:srgbClr val="000000"/>
                            </a:solidFill>
                            <a:round/>
                            <a:tailEnd type="triangle" w="med" len="med"/>
                          </a:ln>
                          <a:effectLst/>
                        </wps:spPr>
                        <wps:bodyPr/>
                      </wps:wsp>
                      <wps:wsp>
                        <wps:cNvPr id="28" name="直接连接符 11"/>
                        <wps:cNvCnPr>
                          <a:cxnSpLocks noChangeShapeType="1"/>
                        </wps:cNvCnPr>
                        <wps:spPr bwMode="auto">
                          <a:xfrm flipH="1">
                            <a:off x="3371" y="1624"/>
                            <a:ext cx="10" cy="684"/>
                          </a:xfrm>
                          <a:prstGeom prst="line">
                            <a:avLst/>
                          </a:prstGeom>
                          <a:noFill/>
                          <a:ln w="9525">
                            <a:solidFill>
                              <a:srgbClr val="000000"/>
                            </a:solidFill>
                            <a:round/>
                            <a:tailEnd type="triangle" w="med" len="med"/>
                          </a:ln>
                          <a:effectLst/>
                        </wps:spPr>
                        <wps:bodyPr/>
                      </wps:wsp>
                      <wps:wsp>
                        <wps:cNvPr id="29" name="矩形 13"/>
                        <wps:cNvSpPr>
                          <a:spLocks noChangeArrowheads="1"/>
                        </wps:cNvSpPr>
                        <wps:spPr bwMode="auto">
                          <a:xfrm>
                            <a:off x="591" y="-408"/>
                            <a:ext cx="5760" cy="563"/>
                          </a:xfrm>
                          <a:prstGeom prst="rect">
                            <a:avLst/>
                          </a:prstGeom>
                          <a:solidFill>
                            <a:srgbClr val="FFFFFF"/>
                          </a:solidFill>
                          <a:ln w="9525">
                            <a:solidFill>
                              <a:srgbClr val="000000"/>
                            </a:solidFill>
                            <a:miter lim="800000"/>
                          </a:ln>
                          <a:effectLst/>
                        </wps:spPr>
                        <wps:txbx>
                          <w:txbxContent>
                            <w:p>
                              <w:pPr>
                                <w:jc w:val="center"/>
                                <w:rPr>
                                  <w:szCs w:val="28"/>
                                </w:rPr>
                              </w:pPr>
                              <w:r>
                                <w:rPr>
                                  <w:rFonts w:hint="eastAsia"/>
                                  <w:szCs w:val="28"/>
                                </w:rPr>
                                <w:t>发现学生有优秀表现或违纪情况</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437.6pt;width:409.1pt;" coordorigin="12,-492" coordsize="8280,8775" o:gfxdata="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">
                <o:lock v:ext="edit" rotation="t" aspectratio="f"/>
                <v:rect id="矩形 1" o:spid="_x0000_s1026" o:spt="1" style="position:absolute;left:12;top:-492;height:8775;width:828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aspectratio="t"/>
                </v:rect>
                <v:line id="直接连接符 2" o:spid="_x0000_s1026" o:spt="20" style="position:absolute;left:2340;top:936;height:0;width:0;"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3" o:spid="_x0000_s1026" o:spt="20" style="position:absolute;left:3340;top:156;height:760;width:17;" filled="f" stroked="t" coordsize="21600,21600" o:gfxdata="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2Bq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4" o:spid="_x0000_s1026" o:spt="1" style="position:absolute;left:557;top:912;height:695;width:5843;" fillcolor="#FFFFFF" filled="t" stroked="t" coordsize="21600,21600" o:gfxdata="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ZWRD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pPr>
                        <w:r>
                          <w:rPr>
                            <w:rFonts w:hint="eastAsia"/>
                          </w:rPr>
                          <w:t>教职员工开具《诚信积分存扣分申请单》，并转交至各二级学院</w:t>
                        </w:r>
                      </w:p>
                    </w:txbxContent>
                  </v:textbox>
                </v:rect>
                <v:rect id="矩形 5" o:spid="_x0000_s1026" o:spt="1" style="position:absolute;left:655;top:3828;height:564;width:5913;" fillcolor="#FFFFFF" filled="t" stroked="t" coordsize="21600,21600" o:gfxdata="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rwMb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jc w:val="center"/>
                        </w:pPr>
                        <w:r>
                          <w:rPr>
                            <w:rFonts w:hint="eastAsia"/>
                          </w:rPr>
                          <w:t>辅导员告知学生诚信分存、扣分结论</w:t>
                        </w:r>
                      </w:p>
                    </w:txbxContent>
                  </v:textbox>
                </v:rect>
                <v:line id="直接连接符 6" o:spid="_x0000_s1026" o:spt="20" style="position:absolute;left:3412;top:4416;height:780;width:1;"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 o:spid="_x0000_s1026" o:spt="1" style="position:absolute;left:594;top:2352;height:803;width:5925;" fillcolor="#FFFFFF" filled="t" stroked="t" coordsize="21600,21600" o:gfxdata="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iQ+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pPr>
                        <w:r>
                          <w:rPr>
                            <w:rFonts w:hint="eastAsia"/>
                          </w:rPr>
                          <w:t>各二级学院根据《诚信积分存扣分申请单》核查事实，在两个工作日内做出诚信积分存、扣结论</w:t>
                        </w:r>
                      </w:p>
                    </w:txbxContent>
                  </v:textbox>
                </v:rect>
                <v:line id="直接连接符 8" o:spid="_x0000_s1026" o:spt="20" style="position:absolute;left:3376;top:3180;height:624;width:1;"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1" o:spid="_x0000_s1026" o:spt="20" style="position:absolute;left:3371;top:1624;flip:x;height:684;width:10;" filled="f" stroked="t" coordsize="21600,21600" o:gfxdata="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gcz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13" o:spid="_x0000_s1026" o:spt="1" style="position:absolute;left:591;top:-408;height:563;width:5760;"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szCs w:val="28"/>
                          </w:rPr>
                        </w:pPr>
                        <w:r>
                          <w:rPr>
                            <w:rFonts w:hint="eastAsia"/>
                            <w:szCs w:val="28"/>
                          </w:rPr>
                          <w:t>发现学生有优秀表现或违纪情况</w:t>
                        </w:r>
                      </w:p>
                    </w:txbxContent>
                  </v:textbox>
                </v:rect>
                <w10:wrap type="none"/>
                <w10:anchorlock/>
              </v:group>
            </w:pict>
          </mc:Fallback>
        </mc:AlternateConten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（3）学生诚信积分监督机制：</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建立网上公示制度，学生都可通过受权码在校园网中查询个人的诚信档案资料。同时，辅导员必须及时告知学生诚信积分的存、扣分情况。</w:t>
      </w:r>
    </w:p>
    <w:p>
      <w:pPr>
        <w:spacing w:line="360" w:lineRule="auto"/>
        <w:ind w:firstLine="643" w:firstLineChars="200"/>
        <w:rPr>
          <w:rFonts w:hint="eastAsia" w:ascii="仿宋" w:hAnsi="仿宋" w:eastAsia="仿宋" w:cs="仿宋"/>
          <w:b/>
          <w:bCs/>
          <w:sz w:val="32"/>
          <w:szCs w:val="32"/>
        </w:rPr>
      </w:pPr>
      <w:bookmarkStart w:id="190" w:name="_Toc2047_WPSOffice_Level1"/>
      <w:r>
        <w:rPr>
          <w:rFonts w:hint="eastAsia" w:ascii="仿宋" w:hAnsi="仿宋" w:eastAsia="仿宋" w:cs="仿宋"/>
          <w:b/>
          <w:bCs/>
          <w:sz w:val="32"/>
          <w:szCs w:val="32"/>
        </w:rPr>
        <w:t>四、评价实施办法：</w:t>
      </w:r>
      <w:bookmarkEnd w:id="190"/>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1）入学初，学生在签订诚信承诺书后即可获得每学年600分的基本诚信积分。学校根据国家相关管理规定制定《柳州职业技术学院学生诚信积分管理办法》，根据学生在校期间的各项表现进行诚信积分的存、扣，每学年期末进行总评。</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（2）根据学生的诚信积分情况，每学年学校认定学生诚信等级，并作为学生年度评优、评先的重要依据：</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A级——（800分以上，且没有任何不良记录）优秀</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B级——（750-799分）良好</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C级——（600-749分）一般</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D级——（600分以下）不及格</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（3）学生诚信积分存、扣分依据：</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《高等学校学生行为准则》</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《柳州职业技术学院学生违纪处分办法》</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《柳州职业技术学院学生评优规定及奖励办法》</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《柳州职业技术学院学生社团管理章程（试行）》</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《柳州职业技术学院学生行为规范管理办法》</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《柳州职业技术学院学生考勤办法》</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《柳州职业技术学院宿舍管理规定》等</w:t>
      </w:r>
    </w:p>
    <w:p>
      <w:pPr>
        <w:spacing w:line="360" w:lineRule="auto"/>
        <w:ind w:firstLine="643" w:firstLineChars="200"/>
        <w:rPr>
          <w:rFonts w:hint="eastAsia" w:ascii="仿宋" w:hAnsi="仿宋" w:eastAsia="仿宋" w:cs="仿宋"/>
          <w:b/>
          <w:sz w:val="32"/>
          <w:szCs w:val="32"/>
        </w:rPr>
      </w:pPr>
      <w:bookmarkStart w:id="191" w:name="_Toc26111_WPSOffice_Level1"/>
      <w:r>
        <w:rPr>
          <w:rFonts w:hint="eastAsia" w:ascii="仿宋" w:hAnsi="仿宋" w:eastAsia="仿宋" w:cs="仿宋"/>
          <w:b/>
          <w:sz w:val="32"/>
          <w:szCs w:val="32"/>
        </w:rPr>
        <w:t>五、诚信积分的使用：</w:t>
      </w:r>
      <w:bookmarkEnd w:id="191"/>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1.凡诚信等级达到A的学生方有参与评选三好学生、优秀学生干部等校级及其以上级别奖项的资格。</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2.诚信等级达到B的学生方可报名参加学生干部竞聘，在竞聘中优先考虑诚信积分得分高者。</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3.学生诚信积分将如实记录在本人的诚信积分档案中，在择业时供用人单位参考。同等条件下，诚信等级高的学生将优先获得就业推荐机会。</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4.诚信等级为C及以下的学生不得参加各级各类评优活动。</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5.诚信等级为D的学生比例达到或超过10%的班级将取消参评当年度的校级先进班集体，校级先进团支部等各类优秀集体的评选资格。</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6.诚信等级为B以上的同学，才有被列为入党积极分子和获得参加校业余党校学习的资格。</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7.诚信积分三年总额低于1800分者，将被视为思想品行成绩不及格，不予毕业；因诚信积分不合格而未能按时毕业的学生，毕业离校后三个月至学籍年限内，本人申请、所在单位出具其在工作中的德、能、勤、绩、廉等方面的鉴定意见，填写《柳州职业技术学院学生诚信积分补录申请表》（见附件），由二级学院审核，经校学生工作部（处）和教务与实训管理处审查，校领导批准，可办理毕业证书，毕业时间按发证日期填写。</w:t>
      </w:r>
    </w:p>
    <w:p>
      <w:pPr>
        <w:spacing w:line="360" w:lineRule="auto"/>
        <w:ind w:firstLine="643" w:firstLineChars="200"/>
        <w:rPr>
          <w:rFonts w:hint="eastAsia" w:ascii="仿宋" w:hAnsi="仿宋" w:eastAsia="仿宋" w:cs="仿宋"/>
          <w:b/>
          <w:bCs/>
          <w:sz w:val="32"/>
          <w:szCs w:val="32"/>
        </w:rPr>
      </w:pPr>
      <w:bookmarkStart w:id="192" w:name="_Toc1889_WPSOffice_Level1"/>
      <w:r>
        <w:rPr>
          <w:rFonts w:hint="eastAsia" w:ascii="仿宋" w:hAnsi="仿宋" w:eastAsia="仿宋" w:cs="仿宋"/>
          <w:b/>
          <w:bCs/>
          <w:sz w:val="32"/>
          <w:szCs w:val="32"/>
        </w:rPr>
        <w:t>六、附  则</w:t>
      </w:r>
      <w:bookmarkEnd w:id="192"/>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（一）本办法自2021年9月1日起施行。</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（二）本办法由校学生工作部（处）负责解释。</w:t>
      </w: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pStyle w:val="2"/>
        <w:jc w:val="center"/>
        <w:outlineLvl w:val="9"/>
        <w:rPr>
          <w:rFonts w:hint="eastAsia" w:ascii="仿宋" w:hAnsi="仿宋" w:eastAsia="仿宋" w:cs="仿宋"/>
          <w:b/>
          <w:sz w:val="32"/>
          <w:szCs w:val="32"/>
        </w:rPr>
      </w:pPr>
      <w:bookmarkStart w:id="193" w:name="_Toc51767464"/>
      <w:bookmarkStart w:id="194" w:name="_Toc15976"/>
      <w:bookmarkStart w:id="195" w:name="_Toc6755"/>
      <w:bookmarkStart w:id="196" w:name="_Toc2812"/>
      <w:bookmarkStart w:id="197" w:name="_Toc4884"/>
      <w:bookmarkStart w:id="198" w:name="_Toc12060"/>
      <w:bookmarkStart w:id="199" w:name="_Toc9379"/>
      <w:bookmarkStart w:id="200" w:name="_Toc18952_WPSOffice_Level1"/>
      <w:bookmarkStart w:id="201" w:name="_Toc301056801"/>
      <w:bookmarkStart w:id="202" w:name="_Toc334956307"/>
      <w:bookmarkStart w:id="203" w:name="_Toc334956212"/>
      <w:bookmarkStart w:id="204" w:name="_Toc334956117"/>
      <w:bookmarkStart w:id="205" w:name="_Toc301061799"/>
      <w:bookmarkStart w:id="206" w:name="_Toc334955988"/>
      <w:bookmarkStart w:id="207" w:name="_Toc334957627"/>
      <w:r>
        <w:rPr>
          <w:rFonts w:hint="eastAsia" w:ascii="宋体" w:hAnsi="宋体" w:eastAsia="宋体" w:cs="宋体"/>
          <w:color w:val="auto"/>
          <w:sz w:val="36"/>
          <w:szCs w:val="36"/>
        </w:rPr>
        <w:t>柳州职业技术学院易班网络平台管理规定</w:t>
      </w:r>
      <w:bookmarkEnd w:id="193"/>
      <w:bookmarkEnd w:id="194"/>
      <w:bookmarkEnd w:id="195"/>
      <w:bookmarkEnd w:id="196"/>
      <w:bookmarkEnd w:id="197"/>
      <w:bookmarkEnd w:id="198"/>
      <w:bookmarkEnd w:id="199"/>
      <w:bookmarkEnd w:id="200"/>
    </w:p>
    <w:p>
      <w:pPr>
        <w:spacing w:line="360" w:lineRule="auto"/>
        <w:ind w:firstLine="560"/>
        <w:rPr>
          <w:rFonts w:hint="eastAsia" w:ascii="仿宋" w:hAnsi="仿宋" w:eastAsia="仿宋" w:cs="仿宋"/>
          <w:sz w:val="32"/>
          <w:szCs w:val="32"/>
        </w:rPr>
      </w:pPr>
      <w:r>
        <w:rPr>
          <w:rFonts w:hint="eastAsia" w:ascii="仿宋" w:hAnsi="仿宋" w:eastAsia="仿宋" w:cs="仿宋"/>
          <w:sz w:val="32"/>
          <w:szCs w:val="32"/>
        </w:rPr>
        <w:t>为建设清朗网络环境，确保柳州职业技术学院易班网络平台平稳、有序、规范运行，充分发挥网络思想政治教育阵地的思想引领作用，做好大学生思想引领、舆论引导工作，特制定本管理规定。</w:t>
      </w:r>
    </w:p>
    <w:p>
      <w:pPr>
        <w:spacing w:line="360" w:lineRule="auto"/>
        <w:jc w:val="center"/>
        <w:rPr>
          <w:rFonts w:hint="eastAsia" w:ascii="仿宋" w:hAnsi="仿宋" w:eastAsia="仿宋" w:cs="仿宋"/>
          <w:b/>
          <w:sz w:val="32"/>
          <w:szCs w:val="32"/>
        </w:rPr>
      </w:pPr>
      <w:bookmarkStart w:id="208" w:name="_Toc17119_WPSOffice_Level1"/>
      <w:r>
        <w:rPr>
          <w:rFonts w:hint="eastAsia" w:ascii="仿宋" w:hAnsi="仿宋" w:eastAsia="仿宋" w:cs="仿宋"/>
          <w:b/>
          <w:sz w:val="32"/>
          <w:szCs w:val="32"/>
        </w:rPr>
        <w:t>第一章  总则</w:t>
      </w:r>
      <w:bookmarkEnd w:id="208"/>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 xml:space="preserve">第一条  </w:t>
      </w:r>
      <w:r>
        <w:rPr>
          <w:rFonts w:hint="eastAsia" w:ascii="仿宋" w:hAnsi="仿宋" w:eastAsia="仿宋" w:cs="仿宋"/>
          <w:sz w:val="32"/>
          <w:szCs w:val="32"/>
        </w:rPr>
        <w:t>易班是提供思政教育、教育教学、生活服务、文化娱乐的综合性师生互动社区。网站融合了论坛、社交、博客、微博等主流的Web2.0应用，加入了为师生定制的教育信息化一站式服务功能，并支持WEB、手机客户端等多种访问形式。</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第二条</w:t>
      </w:r>
      <w:r>
        <w:rPr>
          <w:rFonts w:hint="eastAsia" w:ascii="仿宋" w:hAnsi="仿宋" w:eastAsia="仿宋" w:cs="仿宋"/>
          <w:sz w:val="32"/>
          <w:szCs w:val="32"/>
        </w:rPr>
        <w:t xml:space="preserve">  我校设立易班发展中心，隶属学生工作部（处），下设易班学生工作站，各二级学院成立易班工作分站，总站及各分站均配备指导老师以及成立易班学生干部队伍。</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第三条</w:t>
      </w:r>
      <w:r>
        <w:rPr>
          <w:rFonts w:hint="eastAsia" w:ascii="仿宋" w:hAnsi="仿宋" w:eastAsia="仿宋" w:cs="仿宋"/>
          <w:sz w:val="32"/>
          <w:szCs w:val="32"/>
        </w:rPr>
        <w:t xml:space="preserve">  易班作为全校网络思想政治教育的主要平台，学校易班发展中心、各易班工作分站负责组织开展形式多样的线上线下主题思想教育活动。</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第四条</w:t>
      </w:r>
      <w:r>
        <w:rPr>
          <w:rFonts w:hint="eastAsia" w:ascii="仿宋" w:hAnsi="仿宋" w:eastAsia="仿宋" w:cs="仿宋"/>
          <w:sz w:val="32"/>
          <w:szCs w:val="32"/>
        </w:rPr>
        <w:t xml:space="preserve">  易班实行学生个人实名制注册制度，各班级建立网络班集体即易班班级群，辅导员为班级群管理员。</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第五条</w:t>
      </w:r>
      <w:r>
        <w:rPr>
          <w:rFonts w:hint="eastAsia" w:ascii="仿宋" w:hAnsi="仿宋" w:eastAsia="仿宋" w:cs="仿宋"/>
          <w:sz w:val="32"/>
          <w:szCs w:val="32"/>
        </w:rPr>
        <w:t xml:space="preserve">  易班发展中心负责学校易班网页建设、管理和运行工作，各二级学院易班分站负责易班分站网页建设建设、管理和运行工作。</w:t>
      </w:r>
    </w:p>
    <w:p>
      <w:pPr>
        <w:spacing w:line="360" w:lineRule="auto"/>
        <w:jc w:val="center"/>
        <w:rPr>
          <w:rFonts w:hint="eastAsia" w:ascii="仿宋" w:hAnsi="仿宋" w:eastAsia="仿宋" w:cs="仿宋"/>
          <w:b/>
          <w:sz w:val="32"/>
          <w:szCs w:val="32"/>
        </w:rPr>
      </w:pPr>
      <w:bookmarkStart w:id="209" w:name="_Toc13924_WPSOffice_Level1"/>
      <w:r>
        <w:rPr>
          <w:rFonts w:hint="eastAsia" w:ascii="仿宋" w:hAnsi="仿宋" w:eastAsia="仿宋" w:cs="仿宋"/>
          <w:b/>
          <w:sz w:val="32"/>
          <w:szCs w:val="32"/>
        </w:rPr>
        <w:t>第二章  易班注册流程</w:t>
      </w:r>
      <w:bookmarkEnd w:id="209"/>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第六条</w:t>
      </w:r>
      <w:r>
        <w:rPr>
          <w:rFonts w:hint="eastAsia" w:ascii="仿宋" w:hAnsi="仿宋" w:eastAsia="仿宋" w:cs="仿宋"/>
          <w:sz w:val="32"/>
          <w:szCs w:val="32"/>
        </w:rPr>
        <w:t xml:space="preserve">  我校新生必须于入学后两周内完成个人在易班网的实名注册，辅导员组织各新生班级完成易班网络班级创建及管理工作。</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 xml:space="preserve">第七条  </w:t>
      </w:r>
      <w:r>
        <w:rPr>
          <w:rFonts w:hint="eastAsia" w:ascii="仿宋" w:hAnsi="仿宋" w:eastAsia="仿宋" w:cs="仿宋"/>
          <w:sz w:val="32"/>
          <w:szCs w:val="32"/>
        </w:rPr>
        <w:t>手机端易班注册流程如下：</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1.手机下载易班APP。</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2.打开APP点击“没有账号”开始注册。</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3.填写个人手机号码获取验证码，并同意“易班用户协议”。</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4.设置昵称，填写学校、入学年份，选择所在的二级学院，并加入所在二级学院机构群。</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5.点击“校方认证”，完善个人信息，完成注册。</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第八条</w:t>
      </w:r>
      <w:r>
        <w:rPr>
          <w:rFonts w:hint="eastAsia" w:ascii="仿宋" w:hAnsi="仿宋" w:eastAsia="仿宋" w:cs="仿宋"/>
          <w:sz w:val="32"/>
          <w:szCs w:val="32"/>
        </w:rPr>
        <w:t xml:space="preserve">  电脑端易班注册流程如下：</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1.访问易班地址www.yiban.cn（建议使用谷歌、360极速浏览器）。</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2.点击右上角“注册”进入注册界面。</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3.填写手机号码注册，获取验证码验证、设置登录密码（可拨打客服电话021-60161000人工找回验证码）。</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4.设置昵称，填写学校，选择所在的二级学院，并加入所在二级学院机构群。</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5.点击首页右上方设置键（齿轮图案），选“管理中心”。</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6.点击“个人信息”，选中“校方认证”，完善个人信息，完成注册认证。</w:t>
      </w:r>
    </w:p>
    <w:p>
      <w:pPr>
        <w:spacing w:line="360" w:lineRule="auto"/>
        <w:jc w:val="center"/>
        <w:rPr>
          <w:rFonts w:hint="eastAsia" w:ascii="仿宋" w:hAnsi="仿宋" w:eastAsia="仿宋" w:cs="仿宋"/>
          <w:b/>
          <w:sz w:val="32"/>
          <w:szCs w:val="32"/>
        </w:rPr>
      </w:pPr>
      <w:bookmarkStart w:id="210" w:name="_Toc8300_WPSOffice_Level1"/>
      <w:r>
        <w:rPr>
          <w:rFonts w:hint="eastAsia" w:ascii="仿宋" w:hAnsi="仿宋" w:eastAsia="仿宋" w:cs="仿宋"/>
          <w:b/>
          <w:sz w:val="32"/>
          <w:szCs w:val="32"/>
        </w:rPr>
        <w:t>第三章  易班网的维护与使用</w:t>
      </w:r>
      <w:bookmarkEnd w:id="210"/>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sz w:val="32"/>
          <w:szCs w:val="32"/>
        </w:rPr>
        <w:t xml:space="preserve">  易班实行直接责任制，即学生对其个人易班账号承担管理责任，辅导员对所带班级公共群承担管理责任，二级学院分站机构号由二级学院易班指导老师负责。易班网络平台内容实行“谁发布，谁负责”的管理制度。</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第十条</w:t>
      </w:r>
      <w:r>
        <w:rPr>
          <w:rFonts w:hint="eastAsia" w:ascii="仿宋" w:hAnsi="仿宋" w:eastAsia="仿宋" w:cs="仿宋"/>
          <w:sz w:val="32"/>
          <w:szCs w:val="32"/>
        </w:rPr>
        <w:t xml:space="preserve">  易班建设工作纳入各二级学院学生工作考核指标体系，考核班级群建设情况、班级开展易班线上线下活动情况以及班级易班活跃度情况。</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第十一条</w:t>
      </w:r>
      <w:r>
        <w:rPr>
          <w:rFonts w:hint="eastAsia" w:ascii="仿宋" w:hAnsi="仿宋" w:eastAsia="仿宋" w:cs="仿宋"/>
          <w:sz w:val="32"/>
          <w:szCs w:val="32"/>
        </w:rPr>
        <w:t xml:space="preserve">  校易班主页最新公告、校园活动、校园大杂烩、微社区、微投票等版块内容由校易班学生工作站上报易班发展中心指导老师审核通过后方可推送。</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第十二条</w:t>
      </w:r>
      <w:r>
        <w:rPr>
          <w:rFonts w:hint="eastAsia" w:ascii="仿宋" w:hAnsi="仿宋" w:eastAsia="仿宋" w:cs="仿宋"/>
          <w:sz w:val="32"/>
          <w:szCs w:val="32"/>
        </w:rPr>
        <w:t xml:space="preserve">  易班网络平台二级学院主页（包括网页端和手机客户端）由二级学院易班学生工作分站进行管理与监控，二级学院易班主页更新和推送内容须经指导老师审核，审核通过后方可发布。</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第十三条</w:t>
      </w:r>
      <w:r>
        <w:rPr>
          <w:rFonts w:hint="eastAsia" w:ascii="仿宋" w:hAnsi="仿宋" w:eastAsia="仿宋" w:cs="仿宋"/>
          <w:sz w:val="32"/>
          <w:szCs w:val="32"/>
        </w:rPr>
        <w:t xml:space="preserve">  班级群平台，由辅导员负责完善班级信息，审核发布动态、话题等内容。</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第十四条</w:t>
      </w:r>
      <w:r>
        <w:rPr>
          <w:rFonts w:hint="eastAsia" w:ascii="仿宋" w:hAnsi="仿宋" w:eastAsia="仿宋" w:cs="仿宋"/>
          <w:sz w:val="32"/>
          <w:szCs w:val="32"/>
        </w:rPr>
        <w:t xml:space="preserve">  校易班发展中心对学生个人、班级公共群及二级学院易班分站发布的信息实行实时监控，对发布不合格信息者，具有撤销信息及处罚的权利。</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第十五条</w:t>
      </w:r>
      <w:r>
        <w:rPr>
          <w:rFonts w:hint="eastAsia" w:ascii="仿宋" w:hAnsi="仿宋" w:eastAsia="仿宋" w:cs="仿宋"/>
          <w:sz w:val="32"/>
          <w:szCs w:val="32"/>
        </w:rPr>
        <w:t xml:space="preserve">  易班快搭轻应用、特色应用审核由校易班学生工作站技术部在易班发展中心老师指导下进行开发与维护。各二级学院组织开展活动需要申请使用快搭，则由易班分站指导老师进行审核，办公系统申报活动流程报校易班发展中心指导老师、学生工作处分管领导审批。 </w:t>
      </w:r>
    </w:p>
    <w:p>
      <w:pPr>
        <w:spacing w:line="360" w:lineRule="auto"/>
        <w:jc w:val="center"/>
        <w:rPr>
          <w:rFonts w:hint="eastAsia" w:ascii="仿宋" w:hAnsi="仿宋" w:eastAsia="仿宋" w:cs="仿宋"/>
          <w:b/>
          <w:sz w:val="32"/>
          <w:szCs w:val="32"/>
        </w:rPr>
      </w:pPr>
      <w:bookmarkStart w:id="211" w:name="_Toc14459_WPSOffice_Level1"/>
      <w:r>
        <w:rPr>
          <w:rFonts w:hint="eastAsia" w:ascii="仿宋" w:hAnsi="仿宋" w:eastAsia="仿宋" w:cs="仿宋"/>
          <w:b/>
          <w:sz w:val="32"/>
          <w:szCs w:val="32"/>
        </w:rPr>
        <w:t>第四章  奖惩</w:t>
      </w:r>
      <w:bookmarkEnd w:id="211"/>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第十六条</w:t>
      </w:r>
      <w:r>
        <w:rPr>
          <w:rFonts w:hint="eastAsia" w:ascii="仿宋" w:hAnsi="仿宋" w:eastAsia="仿宋" w:cs="仿宋"/>
          <w:sz w:val="32"/>
          <w:szCs w:val="32"/>
        </w:rPr>
        <w:t xml:space="preserve">  不得违规操作获取活跃度增长值，按照教育部易班发展中心相关规定，凡涉及违规操作者，执行校内警告、收回网薪处分，严重者则取消在校评先评优或受资助资格。</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第十七条</w:t>
      </w:r>
      <w:r>
        <w:rPr>
          <w:rFonts w:hint="eastAsia" w:ascii="仿宋" w:hAnsi="仿宋" w:eastAsia="仿宋" w:cs="仿宋"/>
          <w:sz w:val="32"/>
          <w:szCs w:val="32"/>
        </w:rPr>
        <w:t xml:space="preserve">  维护易班网络环境健康人人有责，不得以任何形式在易班网络平台发布不当言论。</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第十八条</w:t>
      </w:r>
      <w:r>
        <w:rPr>
          <w:rFonts w:hint="eastAsia" w:ascii="仿宋" w:hAnsi="仿宋" w:eastAsia="仿宋" w:cs="仿宋"/>
          <w:sz w:val="32"/>
          <w:szCs w:val="32"/>
        </w:rPr>
        <w:t xml:space="preserve">  根据易班评优相关规定，由校易班发展中心每学年组织评选易班建设先进集体、优秀易班网络班级、易班优秀用户、易班优秀工作者、易班优秀指导老师，参照《柳州职业技术学院学生评优规定及奖励办法》的规定给予获奖集体和个人荣誉证书、奖金奖励。</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 xml:space="preserve">第十九条  </w:t>
      </w:r>
      <w:r>
        <w:rPr>
          <w:rFonts w:hint="eastAsia" w:ascii="仿宋" w:hAnsi="仿宋" w:eastAsia="仿宋" w:cs="仿宋"/>
          <w:sz w:val="32"/>
          <w:szCs w:val="32"/>
        </w:rPr>
        <w:t>经正当途径获取易班网薪的，可根据网薪额度参与易班发展中心网薪换物活动，获得物质奖励。</w:t>
      </w:r>
    </w:p>
    <w:p>
      <w:pPr>
        <w:adjustRightInd w:val="0"/>
        <w:snapToGrid w:val="0"/>
        <w:spacing w:line="360" w:lineRule="auto"/>
        <w:jc w:val="center"/>
        <w:rPr>
          <w:rFonts w:hint="eastAsia" w:ascii="仿宋" w:hAnsi="仿宋" w:eastAsia="仿宋" w:cs="仿宋"/>
          <w:b/>
          <w:sz w:val="32"/>
          <w:szCs w:val="32"/>
        </w:rPr>
      </w:pPr>
      <w:bookmarkStart w:id="212" w:name="_Toc16903_WPSOffice_Level1"/>
      <w:r>
        <w:rPr>
          <w:rFonts w:hint="eastAsia" w:ascii="仿宋" w:hAnsi="仿宋" w:eastAsia="仿宋" w:cs="仿宋"/>
          <w:b/>
          <w:sz w:val="32"/>
          <w:szCs w:val="32"/>
        </w:rPr>
        <w:t>第五章  附则</w:t>
      </w:r>
      <w:bookmarkEnd w:id="212"/>
    </w:p>
    <w:p>
      <w:pPr>
        <w:adjustRightInd w:val="0"/>
        <w:snapToGrid w:val="0"/>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第二十条</w:t>
      </w:r>
      <w:r>
        <w:rPr>
          <w:rFonts w:hint="eastAsia" w:ascii="仿宋" w:hAnsi="仿宋" w:eastAsia="仿宋" w:cs="仿宋"/>
          <w:sz w:val="32"/>
          <w:szCs w:val="32"/>
        </w:rPr>
        <w:t xml:space="preserve">  本规定自2019年9月1日起施行。</w:t>
      </w:r>
    </w:p>
    <w:p>
      <w:pPr>
        <w:adjustRightInd w:val="0"/>
        <w:snapToGrid w:val="0"/>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第二十一条</w:t>
      </w:r>
      <w:r>
        <w:rPr>
          <w:rFonts w:hint="eastAsia" w:ascii="仿宋" w:hAnsi="仿宋" w:eastAsia="仿宋" w:cs="仿宋"/>
          <w:sz w:val="32"/>
          <w:szCs w:val="32"/>
        </w:rPr>
        <w:t xml:space="preserve">  本规定由校学生工作部（处）负责解释。</w:t>
      </w:r>
    </w:p>
    <w:bookmarkEnd w:id="201"/>
    <w:bookmarkEnd w:id="202"/>
    <w:bookmarkEnd w:id="203"/>
    <w:bookmarkEnd w:id="204"/>
    <w:bookmarkEnd w:id="205"/>
    <w:bookmarkEnd w:id="206"/>
    <w:bookmarkEnd w:id="207"/>
    <w:p>
      <w:pPr>
        <w:spacing w:line="360" w:lineRule="auto"/>
        <w:rPr>
          <w:rFonts w:hint="eastAsia" w:ascii="仿宋" w:hAnsi="仿宋" w:eastAsia="仿宋" w:cs="仿宋"/>
          <w:sz w:val="32"/>
          <w:szCs w:val="32"/>
        </w:rPr>
      </w:pPr>
    </w:p>
    <w:p>
      <w:pPr>
        <w:pStyle w:val="2"/>
        <w:jc w:val="center"/>
        <w:outlineLvl w:val="9"/>
        <w:rPr>
          <w:rFonts w:hint="eastAsia" w:ascii="仿宋" w:hAnsi="仿宋" w:eastAsia="仿宋" w:cs="仿宋"/>
          <w:b/>
          <w:sz w:val="32"/>
          <w:szCs w:val="32"/>
        </w:rPr>
      </w:pPr>
      <w:bookmarkStart w:id="213" w:name="_Toc6697"/>
      <w:bookmarkStart w:id="214" w:name="_Toc43"/>
      <w:bookmarkStart w:id="215" w:name="_Toc6618"/>
      <w:bookmarkStart w:id="216" w:name="_Toc14977"/>
      <w:bookmarkStart w:id="217" w:name="_Toc51767473"/>
      <w:bookmarkStart w:id="218" w:name="_Toc10798"/>
      <w:bookmarkStart w:id="219" w:name="_Toc1287"/>
      <w:bookmarkStart w:id="220" w:name="_Toc29606_WPSOffice_Level1"/>
      <w:r>
        <w:rPr>
          <w:rFonts w:hint="eastAsia" w:ascii="宋体" w:hAnsi="宋体" w:eastAsia="宋体" w:cs="宋体"/>
          <w:color w:val="auto"/>
          <w:sz w:val="36"/>
          <w:szCs w:val="36"/>
        </w:rPr>
        <w:t>柳州职业技术学院服兵役学生国家教育资助管理办法</w:t>
      </w:r>
      <w:bookmarkEnd w:id="213"/>
      <w:bookmarkEnd w:id="214"/>
      <w:bookmarkEnd w:id="215"/>
      <w:bookmarkEnd w:id="216"/>
      <w:bookmarkEnd w:id="217"/>
      <w:bookmarkEnd w:id="218"/>
      <w:bookmarkEnd w:id="219"/>
      <w:bookmarkEnd w:id="220"/>
    </w:p>
    <w:p>
      <w:pPr>
        <w:spacing w:line="360" w:lineRule="auto"/>
        <w:jc w:val="center"/>
        <w:rPr>
          <w:rFonts w:hint="eastAsia" w:ascii="仿宋" w:hAnsi="仿宋" w:eastAsia="仿宋" w:cs="仿宋"/>
          <w:b/>
          <w:sz w:val="32"/>
          <w:szCs w:val="32"/>
        </w:rPr>
      </w:pPr>
      <w:bookmarkStart w:id="221" w:name="_Toc27059_WPSOffice_Level1"/>
      <w:r>
        <w:rPr>
          <w:rFonts w:hint="eastAsia" w:ascii="仿宋" w:hAnsi="仿宋" w:eastAsia="仿宋" w:cs="仿宋"/>
          <w:b/>
          <w:sz w:val="32"/>
          <w:szCs w:val="32"/>
        </w:rPr>
        <w:t>第一章  总则</w:t>
      </w:r>
      <w:bookmarkEnd w:id="221"/>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 xml:space="preserve">第一条  </w:t>
      </w:r>
      <w:r>
        <w:rPr>
          <w:rFonts w:hint="eastAsia" w:ascii="仿宋" w:hAnsi="仿宋" w:eastAsia="仿宋" w:cs="仿宋"/>
          <w:sz w:val="32"/>
          <w:szCs w:val="32"/>
        </w:rPr>
        <w:t>为推进国防和军队现代化建设，鼓励高等学校学生积极应征入伍服兵役，提高兵员征集质量，支持退役士兵接受系统的高等教育，提高退役士兵就业能力，国家对应征入伍服兵役高等学校学生实行国家教育资助。根据《广西壮族自治区财政厅等5部门关于印发广西壮族自治区学生资助管理办法的通知》（桂财规〔2019〕3号）文件精神，结合我校实际，制定本办法。</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第二条</w:t>
      </w:r>
      <w:r>
        <w:rPr>
          <w:rFonts w:hint="eastAsia" w:ascii="仿宋" w:hAnsi="仿宋" w:eastAsia="仿宋" w:cs="仿宋"/>
          <w:sz w:val="32"/>
          <w:szCs w:val="32"/>
        </w:rPr>
        <w:t xml:space="preserve">  本办法中资助对象为我校全日制应（往）届毕业生、在校生和入学新生。</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第三条</w:t>
      </w:r>
      <w:r>
        <w:rPr>
          <w:rFonts w:hint="eastAsia" w:ascii="仿宋" w:hAnsi="仿宋" w:eastAsia="仿宋" w:cs="仿宋"/>
          <w:sz w:val="32"/>
          <w:szCs w:val="32"/>
        </w:rPr>
        <w:t xml:space="preserve">  应征入伍服兵役高校学生国家教育资助（以下简称入伍资助）指：</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（一）应征入伍服义务兵役、招收为士官的我校学生，在入伍时对其在校期间缴纳的学费实行一次性补偿或获得的国家助学贷款实行代偿；</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（二）应征入伍服义务兵役前，在我校就读的学生（含已被录取的新生），按有关规定保留学籍或入学资格、退役后自愿复学或入学的，实行学费减免；</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（三）退役一年以上，自主就业，通过全国统一高考或高职单招考入我校并到校报到的入学新生，实行学费减免。</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第四条</w:t>
      </w:r>
      <w:r>
        <w:rPr>
          <w:rFonts w:hint="eastAsia" w:ascii="仿宋" w:hAnsi="仿宋" w:eastAsia="仿宋" w:cs="仿宋"/>
          <w:sz w:val="32"/>
          <w:szCs w:val="32"/>
        </w:rPr>
        <w:t xml:space="preserve">  下列学生不享受以上入伍资助：</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（一）在校期间已通过其他方式免除全部学费的学生；</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（二）定向生（定向培养士官除外）、委培生和国防生；</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（三）其他不属于服义务兵役或招收士官到部队入伍的学生。</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第五条</w:t>
      </w:r>
      <w:r>
        <w:rPr>
          <w:rFonts w:hint="eastAsia" w:ascii="仿宋" w:hAnsi="仿宋" w:eastAsia="仿宋" w:cs="仿宋"/>
          <w:sz w:val="32"/>
          <w:szCs w:val="32"/>
        </w:rPr>
        <w:t xml:space="preserve">  入伍资助资金全部由中央财政安排。</w:t>
      </w:r>
    </w:p>
    <w:p>
      <w:pPr>
        <w:spacing w:line="360" w:lineRule="auto"/>
        <w:jc w:val="center"/>
        <w:rPr>
          <w:rFonts w:hint="eastAsia" w:ascii="仿宋" w:hAnsi="仿宋" w:eastAsia="仿宋" w:cs="仿宋"/>
          <w:b/>
          <w:sz w:val="32"/>
          <w:szCs w:val="32"/>
        </w:rPr>
      </w:pPr>
      <w:bookmarkStart w:id="222" w:name="_Toc17852_WPSOffice_Level1"/>
      <w:r>
        <w:rPr>
          <w:rFonts w:hint="eastAsia" w:ascii="仿宋" w:hAnsi="仿宋" w:eastAsia="仿宋" w:cs="仿宋"/>
          <w:b/>
          <w:sz w:val="32"/>
          <w:szCs w:val="32"/>
        </w:rPr>
        <w:t>第二章  标准及年限</w:t>
      </w:r>
      <w:bookmarkEnd w:id="222"/>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第六条</w:t>
      </w:r>
      <w:r>
        <w:rPr>
          <w:rFonts w:hint="eastAsia" w:ascii="仿宋" w:hAnsi="仿宋" w:eastAsia="仿宋" w:cs="仿宋"/>
          <w:sz w:val="32"/>
          <w:szCs w:val="32"/>
        </w:rPr>
        <w:t xml:space="preserve">  学费补偿、国家助学贷款代偿以及学费减免的标准，每生每年最高不超过8000元。超出标准部分不予补偿、代偿或减免。其中：</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（一）学费补偿或国家助学贷款代偿金额，按学生实际缴纳的学费或获得的国家助学贷款（包括本金及其全部偿还之前产生的利息，下同）两者金额较高者执行；</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（二）复学或新生入学后学费减免金额，按学校实际收取学费金额执行。</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第七条</w:t>
      </w:r>
      <w:r>
        <w:rPr>
          <w:rFonts w:hint="eastAsia" w:ascii="仿宋" w:hAnsi="仿宋" w:eastAsia="仿宋" w:cs="仿宋"/>
          <w:sz w:val="32"/>
          <w:szCs w:val="32"/>
        </w:rPr>
        <w:t xml:space="preserve">  获学费补偿学生在校期间获得国家助学贷款的，补偿资金应当首先用于偿还国家助学贷款。</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第八条</w:t>
      </w:r>
      <w:r>
        <w:rPr>
          <w:rFonts w:hint="eastAsia" w:ascii="仿宋" w:hAnsi="仿宋" w:eastAsia="仿宋" w:cs="仿宋"/>
          <w:sz w:val="32"/>
          <w:szCs w:val="32"/>
        </w:rPr>
        <w:t xml:space="preserve">  获得国家助学贷款的在校生应征入伍后，国家助学贷款停止发放。</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sz w:val="32"/>
          <w:szCs w:val="32"/>
        </w:rPr>
        <w:t xml:space="preserve">  入伍资助期限为全日制普通高等学历教育一个学制期。对复学或入学后攻读更高层次学历的不在学费减免范围之内。入伍资助年限按照我校规定的基本修业年限据实计算。</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（一）以入伍时间为准，入伍前已完成规定的修业年限，即为学费补偿或国家助学贷款代偿的年限；</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（二）退役复学后继续完成规定的剩余修业年限，即为学费减免的年限；</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（三）退役后考入我校的新生，规定的基本修业年限，即为学费减免的年限。</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中职高职连读学生入伍资助，以高职阶段学习时间计算。中职高职连读毕业生学费补偿或国家助学贷款代偿的年限，按照完成高职阶段学习任务规定的学习时间计算。</w:t>
      </w:r>
    </w:p>
    <w:p>
      <w:pPr>
        <w:spacing w:line="360" w:lineRule="auto"/>
        <w:jc w:val="center"/>
        <w:rPr>
          <w:rFonts w:hint="eastAsia" w:ascii="仿宋" w:hAnsi="仿宋" w:eastAsia="仿宋" w:cs="仿宋"/>
          <w:b/>
          <w:sz w:val="32"/>
          <w:szCs w:val="32"/>
        </w:rPr>
      </w:pPr>
      <w:bookmarkStart w:id="223" w:name="_Toc6725_WPSOffice_Level1"/>
      <w:r>
        <w:rPr>
          <w:rFonts w:hint="eastAsia" w:ascii="仿宋" w:hAnsi="仿宋" w:eastAsia="仿宋" w:cs="仿宋"/>
          <w:b/>
          <w:sz w:val="32"/>
          <w:szCs w:val="32"/>
        </w:rPr>
        <w:t>第三章  申请与审批</w:t>
      </w:r>
      <w:bookmarkEnd w:id="223"/>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第十条</w:t>
      </w:r>
      <w:r>
        <w:rPr>
          <w:rFonts w:hint="eastAsia" w:ascii="仿宋" w:hAnsi="仿宋" w:eastAsia="仿宋" w:cs="仿宋"/>
          <w:sz w:val="32"/>
          <w:szCs w:val="32"/>
        </w:rPr>
        <w:t xml:space="preserve">  申请学费补偿或国家助学贷款代偿应遵循以下程序：</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（一）应征报名的学生登录全国征兵网（www.gfbzb.gov.cn），按要求在线填写、打印《应征入伍服兵役高等学校学生国家教育资助申请表Ⅰ》（附件1，以下简称《申请表Ⅰ》）。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（二）学生在征兵报名时将《申请表Ⅰ》交至入伍所在地县级人民政府征兵办公室（以下简称县级征兵办），学生被批准入伍后，县级征兵办对《申请表Ⅰ》加盖公章并返还学生，同时发放《入伍通知书》。</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（三）应征入伍获批的学生每年9月15日—10月20日，将以下材料交至学生服务中心，由学校相关部门对各项内容进行审核：</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1.《申请表Ⅰ》（一式两份，双面打印）；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2.入伍通知书复印件（一式一份）；</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3.所有年度国家助学贷款借款合同复印件（申请国家助学贷款代偿的学生提供，一式一份）；</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4.本人姓名的农行卡复印件（一式一份）。</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（四）财务处与学生资助中心对学生的资助资格、标准、金额等相关信息进行审核，符合条件的，学生资助管理中心应及时向学生进行学费补偿或国家助学贷款代偿。</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第十一条</w:t>
      </w:r>
      <w:r>
        <w:rPr>
          <w:rFonts w:hint="eastAsia" w:ascii="仿宋" w:hAnsi="仿宋" w:eastAsia="仿宋" w:cs="仿宋"/>
          <w:sz w:val="32"/>
          <w:szCs w:val="32"/>
        </w:rPr>
        <w:t xml:space="preserve">  退役后自愿回校复学或入学的学生和退役后考入我校的入学新生，到学校报到后向学校一次性提出学费减免申请，应遵循以下程序：</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（一）学生登陆全国征兵网（www.gfbzb.gov.cn），按要求在线填写、打印《应征入伍服兵役高等学校学生国家教育资助申请表Ⅱ》（附件2，以下简称《申请表Ⅱ》）。</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（二）学生到退役安置地县级人民政府征兵办公室在《</w:t>
      </w:r>
      <w:r>
        <w:rPr>
          <w:rFonts w:hint="eastAsia" w:ascii="仿宋" w:hAnsi="仿宋" w:eastAsia="仿宋" w:cs="仿宋"/>
          <w:kern w:val="0"/>
          <w:sz w:val="32"/>
          <w:szCs w:val="32"/>
        </w:rPr>
        <w:t>申请表Ⅱ</w:t>
      </w:r>
      <w:r>
        <w:rPr>
          <w:rFonts w:hint="eastAsia" w:ascii="仿宋" w:hAnsi="仿宋" w:eastAsia="仿宋" w:cs="仿宋"/>
          <w:sz w:val="32"/>
          <w:szCs w:val="32"/>
        </w:rPr>
        <w:t>》上加盖公章。</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退役一年后考入我校的入学新生还需到退役安置地退役军人事务部门在《</w:t>
      </w:r>
      <w:r>
        <w:rPr>
          <w:rFonts w:hint="eastAsia" w:ascii="仿宋" w:hAnsi="仿宋" w:eastAsia="仿宋" w:cs="仿宋"/>
          <w:kern w:val="0"/>
          <w:sz w:val="32"/>
          <w:szCs w:val="32"/>
        </w:rPr>
        <w:t>申请表Ⅱ</w:t>
      </w:r>
      <w:r>
        <w:rPr>
          <w:rFonts w:hint="eastAsia" w:ascii="仿宋" w:hAnsi="仿宋" w:eastAsia="仿宋" w:cs="仿宋"/>
          <w:sz w:val="32"/>
          <w:szCs w:val="32"/>
        </w:rPr>
        <w:t>》上加盖公章。</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（三）每年9月15日—10月20日，学生将以下材料上交二级学院，由二级学院统一上交至学生资助管理中心：</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kern w:val="0"/>
          <w:sz w:val="32"/>
          <w:szCs w:val="32"/>
        </w:rPr>
        <w:t>《</w:t>
      </w:r>
      <w:r>
        <w:rPr>
          <w:rFonts w:hint="eastAsia" w:ascii="仿宋" w:hAnsi="仿宋" w:eastAsia="仿宋" w:cs="仿宋"/>
          <w:sz w:val="32"/>
          <w:szCs w:val="32"/>
        </w:rPr>
        <w:t>申请表Ⅱ</w:t>
      </w:r>
      <w:r>
        <w:rPr>
          <w:rFonts w:hint="eastAsia" w:ascii="仿宋" w:hAnsi="仿宋" w:eastAsia="仿宋" w:cs="仿宋"/>
          <w:kern w:val="0"/>
          <w:sz w:val="32"/>
          <w:szCs w:val="32"/>
        </w:rPr>
        <w:t>》</w:t>
      </w:r>
      <w:r>
        <w:rPr>
          <w:rFonts w:hint="eastAsia" w:ascii="仿宋" w:hAnsi="仿宋" w:eastAsia="仿宋" w:cs="仿宋"/>
          <w:sz w:val="32"/>
          <w:szCs w:val="32"/>
        </w:rPr>
        <w:t>（一式两份）；</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2.退出现役证书复印件（一式一份）；</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（四）财务处与学生资助中心对学生申请资格进行审核，符合条件的，及时办理学费减免手续。</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第十二条</w:t>
      </w:r>
      <w:r>
        <w:rPr>
          <w:rFonts w:hint="eastAsia" w:ascii="仿宋" w:hAnsi="仿宋" w:eastAsia="仿宋" w:cs="仿宋"/>
          <w:sz w:val="32"/>
          <w:szCs w:val="32"/>
        </w:rPr>
        <w:t xml:space="preserve"> 入伍资助资金拨付到校后，财务处与学生资助中心核对人员及金额无误后，将申请学费补偿或国家助学贷款代偿的资助资金一次性发放到学生银行卡账户中；将申请学费减免的资助资金缴存至学生学费账户中。</w:t>
      </w:r>
    </w:p>
    <w:p>
      <w:pPr>
        <w:spacing w:line="360" w:lineRule="auto"/>
        <w:jc w:val="center"/>
        <w:rPr>
          <w:rFonts w:hint="eastAsia" w:ascii="仿宋" w:hAnsi="仿宋" w:eastAsia="仿宋" w:cs="仿宋"/>
          <w:b/>
          <w:sz w:val="32"/>
          <w:szCs w:val="32"/>
        </w:rPr>
      </w:pPr>
      <w:bookmarkStart w:id="224" w:name="_Toc14642_WPSOffice_Level1"/>
      <w:r>
        <w:rPr>
          <w:rFonts w:hint="eastAsia" w:ascii="仿宋" w:hAnsi="仿宋" w:eastAsia="仿宋" w:cs="仿宋"/>
          <w:b/>
          <w:sz w:val="32"/>
          <w:szCs w:val="32"/>
        </w:rPr>
        <w:t>第四章</w:t>
      </w:r>
      <w:r>
        <w:rPr>
          <w:rFonts w:hint="eastAsia" w:ascii="仿宋" w:hAnsi="仿宋" w:eastAsia="仿宋" w:cs="仿宋"/>
          <w:b/>
          <w:kern w:val="0"/>
          <w:sz w:val="32"/>
          <w:szCs w:val="32"/>
        </w:rPr>
        <w:t xml:space="preserve">  </w:t>
      </w:r>
      <w:r>
        <w:rPr>
          <w:rFonts w:hint="eastAsia" w:ascii="仿宋" w:hAnsi="仿宋" w:eastAsia="仿宋" w:cs="仿宋"/>
          <w:b/>
          <w:sz w:val="32"/>
          <w:szCs w:val="32"/>
        </w:rPr>
        <w:t>管理与监督</w:t>
      </w:r>
      <w:bookmarkEnd w:id="224"/>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第十三条</w:t>
      </w:r>
      <w:r>
        <w:rPr>
          <w:rFonts w:hint="eastAsia" w:ascii="仿宋" w:hAnsi="仿宋" w:eastAsia="仿宋" w:cs="仿宋"/>
          <w:sz w:val="32"/>
          <w:szCs w:val="32"/>
        </w:rPr>
        <w:t xml:space="preserve">  每年10月31日前，我校学生资助管理中心将本年度入伍资助经费使用等情况，报自治区学生资助管理办公室审核；自治区学生资助管理办公室审核无误后，于每年11月15日前，报送全国学生资助管理中心。</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 xml:space="preserve">第十四条  </w:t>
      </w:r>
      <w:r>
        <w:rPr>
          <w:rFonts w:hint="eastAsia" w:ascii="仿宋" w:hAnsi="仿宋" w:eastAsia="仿宋" w:cs="仿宋"/>
          <w:sz w:val="32"/>
          <w:szCs w:val="32"/>
        </w:rPr>
        <w:t>因故意隐瞒病史或弄虚作假、违法犯罪等行为造成退兵的学生，以及因拒服兵役被部队除名的学生，学校应取消其受助资格。自治区人民政府征兵办公室应在接收退兵后及时将被退回学生的姓名、就读高校、退兵原因等情况逐级上报至国防部征兵办公室，并通报自治区教育厅。</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 xml:space="preserve">第十五条  </w:t>
      </w:r>
      <w:r>
        <w:rPr>
          <w:rFonts w:hint="eastAsia" w:ascii="仿宋" w:hAnsi="仿宋" w:eastAsia="仿宋" w:cs="仿宋"/>
          <w:sz w:val="32"/>
          <w:szCs w:val="32"/>
        </w:rPr>
        <w:t>被部队退回或除名并被取消资助资格的学生，如学生返回其原户籍所在地，已补偿的学费或代偿的国家助学贷款资金由学生户籍所在地县级教育部门会同同级人民政府征兵办公室收回；如学生返回我校，已补偿的学费或代偿的国家助学贷款资金由我校会同退役安置地县级征兵办收回。各县级教育部门和学校应在收回资金后，及时逐级汇总上缴全国学生资助管理中心。收回资金按规定作为下一年度学费补偿或国家助学贷款代偿经费。</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 xml:space="preserve">第十六条  </w:t>
      </w:r>
      <w:r>
        <w:rPr>
          <w:rFonts w:hint="eastAsia" w:ascii="仿宋" w:hAnsi="仿宋" w:eastAsia="仿宋" w:cs="仿宋"/>
          <w:sz w:val="32"/>
          <w:szCs w:val="32"/>
        </w:rPr>
        <w:t>因部队编制员额缩减、国家建设需要、因战因公负伤致残、因病不适宜在部队继续服役、家庭发生重大变故需要退役等原因，经组织批准提前退役的学生，仍具备受助资格。其他非正常退役学生的资助资格认定，由自治区人民政府征兵办公室会同自治区教育厅确定。</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 xml:space="preserve">第十七条  </w:t>
      </w:r>
      <w:r>
        <w:rPr>
          <w:rFonts w:hint="eastAsia" w:ascii="仿宋" w:hAnsi="仿宋" w:eastAsia="仿宋" w:cs="仿宋"/>
          <w:sz w:val="32"/>
          <w:szCs w:val="32"/>
        </w:rPr>
        <w:t>学校要严格按照规定要求，对入伍资助学生的申请进行认真审核，及时办理补偿代偿和学费减免；各级兵役机关要做好申请学费资助学生的入伍和退役的相关认证工作，第一时间发放《入伍通知书》；各级退役军人事务部门要做好自主就业退役士兵的身份认证等工作。</w:t>
      </w:r>
    </w:p>
    <w:p>
      <w:pPr>
        <w:spacing w:line="360" w:lineRule="auto"/>
        <w:jc w:val="center"/>
        <w:rPr>
          <w:rFonts w:hint="eastAsia" w:ascii="仿宋" w:hAnsi="仿宋" w:eastAsia="仿宋" w:cs="仿宋"/>
          <w:b/>
          <w:sz w:val="32"/>
          <w:szCs w:val="32"/>
        </w:rPr>
      </w:pPr>
      <w:bookmarkStart w:id="225" w:name="_Toc17284_WPSOffice_Level1"/>
      <w:r>
        <w:rPr>
          <w:rFonts w:hint="eastAsia" w:ascii="仿宋" w:hAnsi="仿宋" w:eastAsia="仿宋" w:cs="仿宋"/>
          <w:b/>
          <w:sz w:val="32"/>
          <w:szCs w:val="32"/>
        </w:rPr>
        <w:t>第五章</w:t>
      </w:r>
      <w:r>
        <w:rPr>
          <w:rFonts w:hint="eastAsia" w:ascii="仿宋" w:hAnsi="仿宋" w:eastAsia="仿宋" w:cs="仿宋"/>
          <w:b/>
          <w:kern w:val="0"/>
          <w:sz w:val="32"/>
          <w:szCs w:val="32"/>
        </w:rPr>
        <w:t xml:space="preserve">  </w:t>
      </w:r>
      <w:r>
        <w:rPr>
          <w:rFonts w:hint="eastAsia" w:ascii="仿宋" w:hAnsi="仿宋" w:eastAsia="仿宋" w:cs="仿宋"/>
          <w:b/>
          <w:sz w:val="32"/>
          <w:szCs w:val="32"/>
        </w:rPr>
        <w:t>附则</w:t>
      </w:r>
      <w:bookmarkEnd w:id="225"/>
      <w:r>
        <w:rPr>
          <w:rFonts w:hint="eastAsia" w:ascii="仿宋" w:hAnsi="仿宋" w:eastAsia="仿宋" w:cs="仿宋"/>
          <w:b/>
          <w:sz w:val="32"/>
          <w:szCs w:val="32"/>
        </w:rPr>
        <w:t xml:space="preserve"> </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第十八条</w:t>
      </w:r>
      <w:r>
        <w:rPr>
          <w:rFonts w:hint="eastAsia" w:ascii="仿宋" w:hAnsi="仿宋" w:eastAsia="仿宋" w:cs="仿宋"/>
          <w:sz w:val="32"/>
          <w:szCs w:val="32"/>
        </w:rPr>
        <w:t xml:space="preserve">  本办法自公布之日起实，原《柳州职业技术学院直招士官国家资助管理办法》（柳职院学字〔2019〕16号）、《柳州职业技术学院学生应征入伍服义务兵役国家资助管理办法》（柳职院学字〔2019〕17号）、《柳州职业技术学院退役士兵全日制教育学费资助管理办法》（柳职院学字〔2019〕18号）同时废止。</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第十九条</w:t>
      </w:r>
      <w:r>
        <w:rPr>
          <w:rFonts w:hint="eastAsia" w:ascii="仿宋" w:hAnsi="仿宋" w:eastAsia="仿宋" w:cs="仿宋"/>
          <w:sz w:val="32"/>
          <w:szCs w:val="32"/>
        </w:rPr>
        <w:t xml:space="preserve">  本办法由校学生工作部（处）负责解释。</w:t>
      </w:r>
      <w:bookmarkStart w:id="226" w:name="_Toc51161348"/>
      <w:bookmarkStart w:id="227" w:name="_Toc334955991"/>
      <w:bookmarkStart w:id="228" w:name="_Toc334956215"/>
      <w:bookmarkStart w:id="229" w:name="_Toc334956310"/>
      <w:bookmarkStart w:id="230" w:name="_Toc334956120"/>
      <w:bookmarkStart w:id="231" w:name="_Toc334962913"/>
      <w:bookmarkStart w:id="232" w:name="_Toc334957631"/>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p>
    <w:p>
      <w:pPr>
        <w:pStyle w:val="2"/>
        <w:spacing w:line="360" w:lineRule="auto"/>
        <w:jc w:val="center"/>
        <w:outlineLvl w:val="9"/>
        <w:rPr>
          <w:rFonts w:hint="eastAsia" w:ascii="宋体" w:hAnsi="宋体" w:eastAsia="宋体" w:cs="宋体"/>
          <w:b/>
          <w:bCs/>
          <w:sz w:val="36"/>
          <w:szCs w:val="36"/>
        </w:rPr>
      </w:pPr>
      <w:bookmarkStart w:id="233" w:name="_Toc15405"/>
      <w:bookmarkStart w:id="234" w:name="_Toc12028"/>
      <w:bookmarkStart w:id="235" w:name="_Toc11739"/>
      <w:bookmarkStart w:id="236" w:name="_Toc30965"/>
      <w:bookmarkStart w:id="237" w:name="_Toc7710"/>
      <w:bookmarkStart w:id="238" w:name="_Toc31024_WPSOffice_Level1"/>
      <w:bookmarkStart w:id="239" w:name="_Toc7475"/>
      <w:r>
        <w:rPr>
          <w:rFonts w:hint="eastAsia" w:ascii="宋体" w:hAnsi="宋体" w:eastAsia="宋体" w:cs="宋体"/>
          <w:color w:val="auto"/>
          <w:sz w:val="36"/>
          <w:szCs w:val="36"/>
        </w:rPr>
        <w:t>柳州职业技术学院学生宿舍管理规定</w:t>
      </w:r>
      <w:bookmarkEnd w:id="226"/>
      <w:bookmarkEnd w:id="233"/>
      <w:bookmarkEnd w:id="234"/>
      <w:bookmarkEnd w:id="235"/>
      <w:bookmarkEnd w:id="236"/>
      <w:bookmarkEnd w:id="237"/>
      <w:bookmarkEnd w:id="238"/>
      <w:bookmarkEnd w:id="239"/>
    </w:p>
    <w:p>
      <w:pPr>
        <w:spacing w:line="360" w:lineRule="auto"/>
        <w:ind w:firstLine="643" w:firstLineChars="200"/>
        <w:jc w:val="center"/>
        <w:rPr>
          <w:rFonts w:hint="eastAsia" w:ascii="仿宋" w:hAnsi="仿宋" w:eastAsia="仿宋" w:cs="仿宋"/>
          <w:b/>
          <w:bCs/>
          <w:sz w:val="32"/>
          <w:szCs w:val="32"/>
        </w:rPr>
      </w:pPr>
      <w:bookmarkStart w:id="240" w:name="_Toc31860_WPSOffice_Level1"/>
      <w:r>
        <w:rPr>
          <w:rFonts w:hint="eastAsia" w:ascii="仿宋" w:hAnsi="仿宋" w:eastAsia="仿宋" w:cs="仿宋"/>
          <w:b/>
          <w:bCs/>
          <w:sz w:val="32"/>
          <w:szCs w:val="32"/>
        </w:rPr>
        <w:t>第一章 总 则</w:t>
      </w:r>
      <w:bookmarkEnd w:id="240"/>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 xml:space="preserve">第一条 </w:t>
      </w:r>
      <w:r>
        <w:rPr>
          <w:rFonts w:hint="eastAsia" w:ascii="仿宋" w:hAnsi="仿宋" w:eastAsia="仿宋" w:cs="仿宋"/>
          <w:bCs/>
          <w:sz w:val="32"/>
          <w:szCs w:val="32"/>
        </w:rPr>
        <w:t xml:space="preserve"> 为维护我校学生宿舍正常秩序，创造良好的学习、生活环境，依据《教育法》、《普通高等学校学生管理规定》及《高等学校学生行为准则》，制定本规定。</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第二条</w:t>
      </w:r>
      <w:r>
        <w:rPr>
          <w:rFonts w:hint="eastAsia" w:ascii="仿宋" w:hAnsi="仿宋" w:eastAsia="仿宋" w:cs="仿宋"/>
          <w:bCs/>
          <w:sz w:val="32"/>
          <w:szCs w:val="32"/>
        </w:rPr>
        <w:t xml:space="preserve">  住宿学生应当遵守国家的法律、法规和学校的管理制度，按本规定要求服从管理，养成良好的生活习惯，展现大学生良好的精神风貌。</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 xml:space="preserve">第三条 </w:t>
      </w:r>
      <w:r>
        <w:rPr>
          <w:rFonts w:hint="eastAsia" w:ascii="仿宋" w:hAnsi="仿宋" w:eastAsia="仿宋" w:cs="仿宋"/>
          <w:bCs/>
          <w:sz w:val="32"/>
          <w:szCs w:val="32"/>
        </w:rPr>
        <w:t xml:space="preserve"> 本规定所指学生宿舍包括校内由学校建造、改造的用于安排学生住宿的楼舍。</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 xml:space="preserve">第四条 </w:t>
      </w:r>
      <w:r>
        <w:rPr>
          <w:rFonts w:hint="eastAsia" w:ascii="仿宋" w:hAnsi="仿宋" w:eastAsia="仿宋" w:cs="仿宋"/>
          <w:bCs/>
          <w:sz w:val="32"/>
          <w:szCs w:val="32"/>
        </w:rPr>
        <w:t xml:space="preserve"> 本规定适用于我校各级各类学生的住宿管理。</w:t>
      </w:r>
    </w:p>
    <w:p>
      <w:pPr>
        <w:spacing w:line="360" w:lineRule="auto"/>
        <w:jc w:val="center"/>
        <w:rPr>
          <w:rFonts w:hint="eastAsia" w:ascii="仿宋" w:hAnsi="仿宋" w:eastAsia="仿宋" w:cs="仿宋"/>
          <w:b/>
          <w:bCs/>
          <w:sz w:val="32"/>
          <w:szCs w:val="32"/>
        </w:rPr>
      </w:pPr>
      <w:bookmarkStart w:id="241" w:name="_Toc24385_WPSOffice_Level1"/>
      <w:r>
        <w:rPr>
          <w:rFonts w:hint="eastAsia" w:ascii="仿宋" w:hAnsi="仿宋" w:eastAsia="仿宋" w:cs="仿宋"/>
          <w:b/>
          <w:bCs/>
          <w:sz w:val="32"/>
          <w:szCs w:val="32"/>
        </w:rPr>
        <w:t>第二章 住、退宿</w:t>
      </w:r>
      <w:bookmarkEnd w:id="241"/>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第五条</w:t>
      </w:r>
      <w:r>
        <w:rPr>
          <w:rFonts w:hint="eastAsia" w:ascii="仿宋" w:hAnsi="仿宋" w:eastAsia="仿宋" w:cs="仿宋"/>
          <w:bCs/>
          <w:sz w:val="32"/>
          <w:szCs w:val="32"/>
        </w:rPr>
        <w:t xml:space="preserve">  学生宿舍由学生工作处根据学校住宿条件统一调配，由各二级学院具体安排。</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第六条</w:t>
      </w:r>
      <w:r>
        <w:rPr>
          <w:rFonts w:hint="eastAsia" w:ascii="仿宋" w:hAnsi="仿宋" w:eastAsia="仿宋" w:cs="仿宋"/>
          <w:bCs/>
          <w:sz w:val="32"/>
          <w:szCs w:val="32"/>
        </w:rPr>
        <w:t xml:space="preserve">  住宿学生应当按指定房号和床位住宿，未经批准不得自行变更房间、调换床位、移动宿舍内设施。</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第七条</w:t>
      </w:r>
      <w:r>
        <w:rPr>
          <w:rFonts w:hint="eastAsia" w:ascii="仿宋" w:hAnsi="仿宋" w:eastAsia="仿宋" w:cs="仿宋"/>
          <w:bCs/>
          <w:sz w:val="32"/>
          <w:szCs w:val="32"/>
        </w:rPr>
        <w:t xml:space="preserve">  因特殊情况需要调整宿舍的学生，应当向二级学院书面申请，经二级学院审批后，报学生工作处备案。</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第八条</w:t>
      </w:r>
      <w:r>
        <w:rPr>
          <w:rFonts w:hint="eastAsia" w:ascii="仿宋" w:hAnsi="仿宋" w:eastAsia="仿宋" w:cs="仿宋"/>
          <w:bCs/>
          <w:sz w:val="32"/>
          <w:szCs w:val="32"/>
        </w:rPr>
        <w:t xml:space="preserve">  学生因毕业、实习、退学或开除学籍等原因离校，应当按照学校规定的流程及时办理退宿手续，结清相关费用并在规定时间内搬离宿舍。经批准保留入学资格或休学的学生也应办理退宿手续，待复学后重新办理入住手续，重新安排床位。</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第九条</w:t>
      </w:r>
      <w:r>
        <w:rPr>
          <w:rFonts w:hint="eastAsia" w:ascii="仿宋" w:hAnsi="仿宋" w:eastAsia="仿宋" w:cs="仿宋"/>
          <w:bCs/>
          <w:sz w:val="32"/>
          <w:szCs w:val="32"/>
        </w:rPr>
        <w:t xml:space="preserve">  住宿学生退房后，应当及时带走自己的物品，否则，由此造成的损失一概由其本人负责。</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第十条</w:t>
      </w:r>
      <w:r>
        <w:rPr>
          <w:rFonts w:hint="eastAsia" w:ascii="仿宋" w:hAnsi="仿宋" w:eastAsia="仿宋" w:cs="仿宋"/>
          <w:bCs/>
          <w:sz w:val="32"/>
          <w:szCs w:val="32"/>
        </w:rPr>
        <w:t xml:space="preserve">  学生住宿应当由学校统一安排，柳州市区学生因特殊原因需要在家住宿的，应当向二级学院递交外宿申请书，说明需校外住宿的原因，并填写《学生外宿申请表》，经学生家长、辅导员同意后，由二级学院审批，并报学生工作处备案。</w:t>
      </w:r>
    </w:p>
    <w:p>
      <w:pPr>
        <w:spacing w:line="360" w:lineRule="auto"/>
        <w:jc w:val="center"/>
        <w:rPr>
          <w:rFonts w:hint="eastAsia" w:ascii="仿宋" w:hAnsi="仿宋" w:eastAsia="仿宋" w:cs="仿宋"/>
          <w:b/>
          <w:bCs/>
          <w:sz w:val="32"/>
          <w:szCs w:val="32"/>
        </w:rPr>
      </w:pPr>
      <w:bookmarkStart w:id="242" w:name="_Toc9407_WPSOffice_Level1"/>
      <w:r>
        <w:rPr>
          <w:rFonts w:hint="eastAsia" w:ascii="仿宋" w:hAnsi="仿宋" w:eastAsia="仿宋" w:cs="仿宋"/>
          <w:b/>
          <w:bCs/>
          <w:sz w:val="32"/>
          <w:szCs w:val="32"/>
        </w:rPr>
        <w:t>第三章  管 理</w:t>
      </w:r>
      <w:bookmarkEnd w:id="242"/>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第十一条</w:t>
      </w:r>
      <w:r>
        <w:rPr>
          <w:rFonts w:hint="eastAsia" w:ascii="仿宋" w:hAnsi="仿宋" w:eastAsia="仿宋" w:cs="仿宋"/>
          <w:bCs/>
          <w:sz w:val="32"/>
          <w:szCs w:val="32"/>
        </w:rPr>
        <w:t xml:space="preserve">  学生宿舍应当按照文明、整洁、安全、有序的管理要求，在日常生活中做到：文明住宿，讲究卫生，遵守社会公德，爱护公物，维护宿舍秩序，接受学校有关部门和宿舍管理人员指导、检查、教育和管理。</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bCs/>
          <w:sz w:val="32"/>
          <w:szCs w:val="32"/>
        </w:rPr>
        <w:t>学生进出宿舍区须通过人脸识别系统闸机验明身份，严禁任何跨（翻）越闸机的行为。</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第十二条</w:t>
      </w:r>
      <w:r>
        <w:rPr>
          <w:rFonts w:hint="eastAsia" w:ascii="仿宋" w:hAnsi="仿宋" w:eastAsia="仿宋" w:cs="仿宋"/>
          <w:bCs/>
          <w:sz w:val="32"/>
          <w:szCs w:val="32"/>
        </w:rPr>
        <w:t xml:space="preserve">  学生宿舍应设宿舍舍长一名，负责管理本宿舍公物、维护宿舍秩序、处理内务和负责安排卫生等。宿舍成员应团结友爱、相互尊重、谦虚礼让、互帮互助，支持、协助宿舍舍长做好宿舍建设。</w:t>
      </w:r>
    </w:p>
    <w:p>
      <w:pPr>
        <w:autoSpaceDE w:val="0"/>
        <w:autoSpaceDN w:val="0"/>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第十三条</w:t>
      </w:r>
      <w:r>
        <w:rPr>
          <w:rFonts w:hint="eastAsia" w:ascii="仿宋" w:hAnsi="仿宋" w:eastAsia="仿宋" w:cs="仿宋"/>
          <w:bCs/>
          <w:sz w:val="32"/>
          <w:szCs w:val="32"/>
        </w:rPr>
        <w:t xml:space="preserve">  住宿学生不得在宿舍内进行任何形式的赌博或变相赌博活动，不得传播、观看淫秽和内容不健康的音像制品、画报、书刊，不得在宿舍进行各种宗教、邪教、封建迷信活动，不得在宿舍从事违反国家法律法规的违法活动。</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第十四条</w:t>
      </w:r>
      <w:r>
        <w:rPr>
          <w:rFonts w:hint="eastAsia" w:ascii="仿宋" w:hAnsi="仿宋" w:eastAsia="仿宋" w:cs="仿宋"/>
          <w:bCs/>
          <w:sz w:val="32"/>
          <w:szCs w:val="32"/>
        </w:rPr>
        <w:t xml:space="preserve">  宿舍内家具和生活用具应摆放整齐，布置力求美观大方、格调健康；未经有关部门批准不得在宿舍楼内张贴广告宣传品，不得污染宿舍内外环境；电动车（自行车）不得停放在宿舍内。</w:t>
      </w:r>
    </w:p>
    <w:p>
      <w:pPr>
        <w:autoSpaceDE w:val="0"/>
        <w:autoSpaceDN w:val="0"/>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第十五条</w:t>
      </w:r>
      <w:r>
        <w:rPr>
          <w:rFonts w:hint="eastAsia" w:ascii="仿宋" w:hAnsi="仿宋" w:eastAsia="仿宋" w:cs="仿宋"/>
          <w:bCs/>
          <w:sz w:val="32"/>
          <w:szCs w:val="32"/>
        </w:rPr>
        <w:t xml:space="preserve">  住宿学生要养成自我防范的安全意识和良好习惯；人离宿舍要随手关门，要妥善保管宿舍钥匙，应当在宿舍管理值班室备存一把，不得将宿舍钥匙借给外人；不得擅自调换门锁，如确需调换门锁，须向宿舍管理中心报告；宿舍内不宜存放过量现金，贵重物品应妥善保管，防止被盗；发现可疑人员应当及时报告宿管员或拨打110报警；不得携带剧毒、易燃易爆、放射性物品和易污染环境的物品进入宿舍。 </w:t>
      </w:r>
    </w:p>
    <w:p>
      <w:pPr>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第十六条</w:t>
      </w:r>
      <w:r>
        <w:rPr>
          <w:rFonts w:hint="eastAsia" w:ascii="仿宋" w:hAnsi="仿宋" w:eastAsia="仿宋" w:cs="仿宋"/>
          <w:bCs/>
          <w:sz w:val="32"/>
          <w:szCs w:val="32"/>
        </w:rPr>
        <w:t xml:space="preserve">  学生宿舍不得饲养任何宠物。住宿学生应当做好室内清洁卫生工作，保持室内外清洁卫生。不随地吐痰，不向窗外或走廊泼水或乱丢果壳、纸屑等杂物；不从楼上向下倒水；室内的垃圾清扫后应当按要求装袋投放至指定地点，实行垃圾分类的校区，须将本宿舍产生的垃圾按要求分类打包后投放到分类垃圾箱。</w:t>
      </w:r>
    </w:p>
    <w:p>
      <w:pPr>
        <w:autoSpaceDE w:val="0"/>
        <w:autoSpaceDN w:val="0"/>
        <w:spacing w:line="360" w:lineRule="auto"/>
        <w:ind w:firstLine="643" w:firstLineChars="200"/>
        <w:jc w:val="left"/>
        <w:rPr>
          <w:rFonts w:hint="eastAsia" w:ascii="仿宋" w:hAnsi="仿宋" w:eastAsia="仿宋" w:cs="仿宋"/>
          <w:bCs/>
          <w:sz w:val="32"/>
          <w:szCs w:val="32"/>
        </w:rPr>
      </w:pPr>
      <w:r>
        <w:rPr>
          <w:rFonts w:hint="eastAsia" w:ascii="仿宋" w:hAnsi="仿宋" w:eastAsia="仿宋" w:cs="仿宋"/>
          <w:b/>
          <w:bCs/>
          <w:sz w:val="32"/>
          <w:szCs w:val="32"/>
        </w:rPr>
        <w:t>第十七条</w:t>
      </w:r>
      <w:r>
        <w:rPr>
          <w:rFonts w:hint="eastAsia" w:ascii="仿宋" w:hAnsi="仿宋" w:eastAsia="仿宋" w:cs="仿宋"/>
          <w:bCs/>
          <w:sz w:val="32"/>
          <w:szCs w:val="32"/>
        </w:rPr>
        <w:t xml:space="preserve">  合理安排作息时间，休息时间不得在宿舍区内吹拉弹唱、高声谈笑、吵闹喧哗，不得在宿舍区内进行体育活动</w:t>
      </w:r>
      <w:r>
        <w:rPr>
          <w:rFonts w:hint="eastAsia" w:ascii="仿宋" w:hAnsi="仿宋" w:eastAsia="仿宋" w:cs="仿宋"/>
          <w:bCs/>
          <w:strike/>
          <w:sz w:val="32"/>
          <w:szCs w:val="32"/>
        </w:rPr>
        <w:t>等有</w:t>
      </w:r>
      <w:r>
        <w:rPr>
          <w:rFonts w:hint="eastAsia" w:ascii="仿宋" w:hAnsi="仿宋" w:eastAsia="仿宋" w:cs="仿宋"/>
          <w:bCs/>
          <w:sz w:val="32"/>
          <w:szCs w:val="32"/>
        </w:rPr>
        <w:t>及其它妨碍他人学习和休息的活动。注意锻炼身体，养成良好的生活习惯。非因特殊情况（如参加学校或二级学院统一安排的实习、实训、晚会等），住宿学生应当在23:00以前返回宿舍就寝，超过23:30返回宿舍的学生有义务向宿管员说明原因并从人脸识别闸机进入宿舍区；无患病等紧急情况，在11:30后不得外出。</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 xml:space="preserve">第十八条 </w:t>
      </w:r>
      <w:r>
        <w:rPr>
          <w:rFonts w:hint="eastAsia" w:ascii="仿宋" w:hAnsi="仿宋" w:eastAsia="仿宋" w:cs="仿宋"/>
          <w:bCs/>
          <w:sz w:val="32"/>
          <w:szCs w:val="32"/>
        </w:rPr>
        <w:t xml:space="preserve"> 学校范围内为禁烟区域，学生不得在宿舍内吸烟，不得在宿舍内推销国家法律法规禁止物品或从事传销等活动。</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第十九条</w:t>
      </w:r>
      <w:r>
        <w:rPr>
          <w:rFonts w:hint="eastAsia" w:ascii="仿宋" w:hAnsi="仿宋" w:eastAsia="仿宋" w:cs="仿宋"/>
          <w:bCs/>
          <w:sz w:val="32"/>
          <w:szCs w:val="32"/>
        </w:rPr>
        <w:t xml:space="preserve">  爱护公共设施设备，对宿舍内门窗、玻璃、桌凳、床、水电、电话、热水、开水供应器等家具及其它公共设施应妥善使用、保管和爱护，不得私自拆装；未经后勤保障处同意，家具不得拆卸或搬出室外；宿舍内家具设备若有自然损坏，应及时到宿舍管理员处登记报修，若是人为损坏则由损坏人照价赔偿；无人承担责任的，则由宿舍内学生共同赔偿；对故意损坏公物者，除照价赔偿外，还将按有关规定严肃处理。</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 xml:space="preserve">第二十条 </w:t>
      </w:r>
      <w:r>
        <w:rPr>
          <w:rFonts w:hint="eastAsia" w:ascii="仿宋" w:hAnsi="仿宋" w:eastAsia="仿宋" w:cs="仿宋"/>
          <w:bCs/>
          <w:sz w:val="32"/>
          <w:szCs w:val="32"/>
        </w:rPr>
        <w:t xml:space="preserve"> 要合理使用卫生间，不得丢硬纸杂物入便池、水池，否则若造成堵塞，由学生自行清理。若需聘请工人清理，费用则由学生自付。</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第二十一条</w:t>
      </w:r>
      <w:r>
        <w:rPr>
          <w:rFonts w:hint="eastAsia" w:ascii="仿宋" w:hAnsi="仿宋" w:eastAsia="仿宋" w:cs="仿宋"/>
          <w:bCs/>
          <w:sz w:val="32"/>
          <w:szCs w:val="32"/>
        </w:rPr>
        <w:t xml:space="preserve">  维护公共安全，注意安全用电，增强消防意识。非火警情况下不得擅自挪用消防器材；住宿学生不准在宿舍内使用明火和电炉、电磁炉、电饭锅、电吹风、电冰箱等违规电器设备，杜绝火灾隐患；不得私拉电线和网络线；违者除按有关规定严肃处理外，若造成损失和危害，将追究民事、刑事责任。</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第二十二条</w:t>
      </w:r>
      <w:r>
        <w:rPr>
          <w:rFonts w:hint="eastAsia" w:ascii="仿宋" w:hAnsi="仿宋" w:eastAsia="仿宋" w:cs="仿宋"/>
          <w:bCs/>
          <w:sz w:val="32"/>
          <w:szCs w:val="32"/>
        </w:rPr>
        <w:t>住宿学生不得在宿舍内酗酒、起哄、砸酒瓶等；住宿学生应当自觉服从并配合学校开展的卫生、安全和纪律检查。</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 xml:space="preserve">第二十三条 </w:t>
      </w:r>
      <w:r>
        <w:rPr>
          <w:rFonts w:hint="eastAsia" w:ascii="仿宋" w:hAnsi="仿宋" w:eastAsia="仿宋" w:cs="仿宋"/>
          <w:bCs/>
          <w:sz w:val="32"/>
          <w:szCs w:val="32"/>
        </w:rPr>
        <w:t xml:space="preserve"> 住宿学生应当养成节约用水、用电的良好习惯；学生宿舍用水、用电实行计量制，每生每月用水为5吨，用电为5度，超过部分由学生自行付费。目前我校学生宿舍用电实行的是充值式用电，每学期开学前学校先按宿舍住宿人数每人每月5度电免费充值，超过部分学生可根据本宿舍用电情况自行到物业管理处充值。</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第二十四条</w:t>
      </w:r>
      <w:r>
        <w:rPr>
          <w:rFonts w:hint="eastAsia" w:ascii="仿宋" w:hAnsi="仿宋" w:eastAsia="仿宋" w:cs="仿宋"/>
          <w:bCs/>
          <w:sz w:val="32"/>
          <w:szCs w:val="32"/>
        </w:rPr>
        <w:t xml:space="preserve">  学校根据实际情况对学生宿舍实行用电和网络管制。</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第二十五条</w:t>
      </w:r>
      <w:r>
        <w:rPr>
          <w:rFonts w:hint="eastAsia" w:ascii="仿宋" w:hAnsi="仿宋" w:eastAsia="仿宋" w:cs="仿宋"/>
          <w:bCs/>
          <w:sz w:val="32"/>
          <w:szCs w:val="32"/>
        </w:rPr>
        <w:t xml:space="preserve">  </w:t>
      </w:r>
      <w:r>
        <w:rPr>
          <w:rFonts w:hint="eastAsia" w:ascii="仿宋" w:hAnsi="仿宋" w:eastAsia="仿宋" w:cs="仿宋"/>
          <w:sz w:val="32"/>
          <w:szCs w:val="32"/>
        </w:rPr>
        <w:t>校外人员来访，须出示有效证件，说明事由并进行登记备案。</w:t>
      </w:r>
      <w:r>
        <w:rPr>
          <w:rFonts w:hint="eastAsia" w:ascii="仿宋" w:hAnsi="仿宋" w:eastAsia="仿宋" w:cs="仿宋"/>
          <w:bCs/>
          <w:sz w:val="32"/>
          <w:szCs w:val="32"/>
        </w:rPr>
        <w:t>携带贵重物品进出宿舍区应办理登记手续。</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第二十六条</w:t>
      </w:r>
      <w:r>
        <w:rPr>
          <w:rFonts w:hint="eastAsia" w:ascii="仿宋" w:hAnsi="仿宋" w:eastAsia="仿宋" w:cs="仿宋"/>
          <w:bCs/>
          <w:sz w:val="32"/>
          <w:szCs w:val="32"/>
        </w:rPr>
        <w:t xml:space="preserve">  严禁带异性朋友进入学生宿舍，未经批准，不得留宿外来人员。</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第二十七条</w:t>
      </w:r>
      <w:r>
        <w:rPr>
          <w:rFonts w:hint="eastAsia" w:ascii="仿宋" w:hAnsi="仿宋" w:eastAsia="仿宋" w:cs="仿宋"/>
          <w:bCs/>
          <w:sz w:val="32"/>
          <w:szCs w:val="32"/>
        </w:rPr>
        <w:t xml:space="preserve">  学生工作处对住宿床位实行动态调整，对因学生毕业、实习、休学、退学等原因而空出的床位可根据需要及时调整，住宿人员应当服从调整。</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第二十八条</w:t>
      </w:r>
      <w:r>
        <w:rPr>
          <w:rFonts w:hint="eastAsia" w:ascii="仿宋" w:hAnsi="仿宋" w:eastAsia="仿宋" w:cs="仿宋"/>
          <w:bCs/>
          <w:sz w:val="32"/>
          <w:szCs w:val="32"/>
        </w:rPr>
        <w:t xml:space="preserve">  寒、暑假期间，因特殊情况需要在学生宿舍住宿者，要向二级学院提出申请，并办理相关留宿手续，在学生工作处统一安排下，方可入住。</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第二十九条</w:t>
      </w:r>
      <w:r>
        <w:rPr>
          <w:rFonts w:hint="eastAsia" w:ascii="仿宋" w:hAnsi="仿宋" w:eastAsia="仿宋" w:cs="仿宋"/>
          <w:bCs/>
          <w:sz w:val="32"/>
          <w:szCs w:val="32"/>
        </w:rPr>
        <w:t xml:space="preserve">  学生离校（包括毕业、实习、放假）都应当把本宿舍打扫干净，非毕业生应当把室内的东西捆扎封口并摆放整齐。</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 xml:space="preserve">第三十条 </w:t>
      </w:r>
      <w:r>
        <w:rPr>
          <w:rFonts w:hint="eastAsia" w:ascii="仿宋" w:hAnsi="仿宋" w:eastAsia="仿宋" w:cs="仿宋"/>
          <w:bCs/>
          <w:sz w:val="32"/>
          <w:szCs w:val="32"/>
        </w:rPr>
        <w:t xml:space="preserve"> 在学生宿舍内安装及使用电脑，其接线座、插头必须符合安全要求。使用互联网终端（含电脑、手机）应遵循国家、自治区及学校关于计算机信息网络使用的有关规定，不得传播有害信息，不信谣、不传谣、不造谣。</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 xml:space="preserve">第三十一条 </w:t>
      </w:r>
      <w:r>
        <w:rPr>
          <w:rFonts w:hint="eastAsia" w:ascii="仿宋" w:hAnsi="仿宋" w:eastAsia="仿宋" w:cs="仿宋"/>
          <w:bCs/>
          <w:sz w:val="32"/>
          <w:szCs w:val="32"/>
        </w:rPr>
        <w:t xml:space="preserve"> 学校组织相关人员，不定时对学生宿舍进行内务、卫生、物品财产保管使用、纪律等方面的检查。每学期开展 “健康柳职”之星级宿舍创建评比，并对荣获称号的宿舍给予表彰奖励（具体方案见《柳州职业技术学院“健康柳职”之星级宿舍创建实施方案》、《柳州职业技术学院“健康柳职”之星级宿舍创建办法》、《柳州职业技术学院“健康柳职”之星级宿舍创建评分表（社湾、官塘）》）。</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第三十二条</w:t>
      </w:r>
      <w:r>
        <w:rPr>
          <w:rFonts w:hint="eastAsia" w:ascii="仿宋" w:hAnsi="仿宋" w:eastAsia="仿宋" w:cs="仿宋"/>
          <w:bCs/>
          <w:sz w:val="32"/>
          <w:szCs w:val="32"/>
        </w:rPr>
        <w:t xml:space="preserve">  学生工作处负责宿舍住宿安排及文化建设，后勤保障处负责宿舍设施配置、大型维修；物业公司负责宿舍日常管理及日常维修；宿舍内使用的电话线路及网络应通过校园报修系统报有关部门负责维修。</w:t>
      </w:r>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第三十三条</w:t>
      </w:r>
      <w:r>
        <w:rPr>
          <w:rFonts w:hint="eastAsia" w:ascii="仿宋" w:hAnsi="仿宋" w:eastAsia="仿宋" w:cs="仿宋"/>
          <w:bCs/>
          <w:sz w:val="32"/>
          <w:szCs w:val="32"/>
        </w:rPr>
        <w:t xml:space="preserve">  住宿学生违反本规定的，按《柳州职业技术学院学生违纪处分规定》处理。</w:t>
      </w:r>
    </w:p>
    <w:p>
      <w:pPr>
        <w:spacing w:line="360" w:lineRule="auto"/>
        <w:ind w:firstLine="640" w:firstLineChars="200"/>
        <w:rPr>
          <w:rFonts w:hint="eastAsia" w:ascii="仿宋" w:hAnsi="仿宋" w:eastAsia="仿宋" w:cs="仿宋"/>
          <w:bCs/>
          <w:sz w:val="32"/>
          <w:szCs w:val="32"/>
        </w:rPr>
      </w:pPr>
    </w:p>
    <w:p>
      <w:pPr>
        <w:spacing w:line="360" w:lineRule="auto"/>
        <w:ind w:firstLine="640" w:firstLineChars="200"/>
        <w:rPr>
          <w:rFonts w:hint="eastAsia" w:ascii="仿宋" w:hAnsi="仿宋" w:eastAsia="仿宋" w:cs="仿宋"/>
          <w:bCs/>
          <w:sz w:val="32"/>
          <w:szCs w:val="32"/>
        </w:rPr>
      </w:pPr>
    </w:p>
    <w:p>
      <w:pPr>
        <w:spacing w:before="156" w:beforeLines="50" w:after="156" w:afterLines="50" w:line="360" w:lineRule="auto"/>
        <w:jc w:val="center"/>
        <w:rPr>
          <w:rFonts w:hint="eastAsia" w:ascii="仿宋" w:hAnsi="仿宋" w:eastAsia="仿宋" w:cs="仿宋"/>
          <w:b/>
          <w:bCs/>
          <w:sz w:val="32"/>
          <w:szCs w:val="32"/>
        </w:rPr>
      </w:pPr>
      <w:bookmarkStart w:id="243" w:name="_Toc12167_WPSOffice_Level1"/>
      <w:r>
        <w:rPr>
          <w:rFonts w:hint="eastAsia" w:ascii="仿宋" w:hAnsi="仿宋" w:eastAsia="仿宋" w:cs="仿宋"/>
          <w:b/>
          <w:bCs/>
          <w:sz w:val="32"/>
          <w:szCs w:val="32"/>
        </w:rPr>
        <w:t>第四章   附  则</w:t>
      </w:r>
      <w:bookmarkEnd w:id="243"/>
    </w:p>
    <w:p>
      <w:pPr>
        <w:spacing w:line="360" w:lineRule="auto"/>
        <w:ind w:firstLine="643" w:firstLineChars="200"/>
        <w:rPr>
          <w:rFonts w:hint="eastAsia" w:ascii="仿宋" w:hAnsi="仿宋" w:eastAsia="仿宋" w:cs="仿宋"/>
          <w:bCs/>
          <w:sz w:val="32"/>
          <w:szCs w:val="32"/>
        </w:rPr>
      </w:pPr>
      <w:r>
        <w:rPr>
          <w:rFonts w:hint="eastAsia" w:ascii="仿宋" w:hAnsi="仿宋" w:eastAsia="仿宋" w:cs="仿宋"/>
          <w:b/>
          <w:bCs/>
          <w:sz w:val="32"/>
          <w:szCs w:val="32"/>
        </w:rPr>
        <w:t xml:space="preserve">第三十四条  </w:t>
      </w:r>
      <w:r>
        <w:rPr>
          <w:rFonts w:hint="eastAsia" w:ascii="仿宋" w:hAnsi="仿宋" w:eastAsia="仿宋" w:cs="仿宋"/>
          <w:bCs/>
          <w:sz w:val="32"/>
          <w:szCs w:val="32"/>
        </w:rPr>
        <w:t>本规定自2021年9月1日起施行，原《柳州职业技术学院学生住宿管理规定》同时废止。</w:t>
      </w:r>
    </w:p>
    <w:p>
      <w:pPr>
        <w:spacing w:line="360" w:lineRule="auto"/>
        <w:ind w:firstLine="643" w:firstLineChars="200"/>
        <w:rPr>
          <w:rFonts w:hint="eastAsia" w:ascii="仿宋" w:hAnsi="仿宋" w:eastAsia="仿宋" w:cs="仿宋"/>
          <w:bCs/>
          <w:sz w:val="32"/>
          <w:szCs w:val="32"/>
        </w:rPr>
      </w:pPr>
      <w:bookmarkStart w:id="244" w:name="_Toc20118_WPSOffice_Level1"/>
      <w:r>
        <w:rPr>
          <w:rFonts w:hint="eastAsia" w:ascii="仿宋" w:hAnsi="仿宋" w:eastAsia="仿宋" w:cs="仿宋"/>
          <w:b/>
          <w:bCs/>
          <w:sz w:val="32"/>
          <w:szCs w:val="32"/>
        </w:rPr>
        <w:t xml:space="preserve">第三十五条  </w:t>
      </w:r>
      <w:r>
        <w:rPr>
          <w:rFonts w:hint="eastAsia" w:ascii="仿宋" w:hAnsi="仿宋" w:eastAsia="仿宋" w:cs="仿宋"/>
          <w:bCs/>
          <w:sz w:val="32"/>
          <w:szCs w:val="32"/>
        </w:rPr>
        <w:t>本规定由校学生工作处负责解释</w:t>
      </w:r>
      <w:bookmarkEnd w:id="244"/>
    </w:p>
    <w:p>
      <w:pPr>
        <w:spacing w:line="360" w:lineRule="auto"/>
        <w:rPr>
          <w:rFonts w:hint="eastAsia" w:ascii="仿宋" w:hAnsi="仿宋" w:eastAsia="仿宋" w:cs="仿宋"/>
          <w:sz w:val="32"/>
          <w:szCs w:val="32"/>
        </w:rPr>
      </w:pPr>
    </w:p>
    <w:p>
      <w:pPr>
        <w:pStyle w:val="2"/>
        <w:spacing w:line="360" w:lineRule="auto"/>
        <w:outlineLvl w:val="9"/>
        <w:rPr>
          <w:rFonts w:hint="eastAsia" w:ascii="仿宋" w:hAnsi="仿宋" w:eastAsia="仿宋" w:cs="仿宋"/>
          <w:color w:val="auto"/>
          <w:sz w:val="32"/>
          <w:szCs w:val="32"/>
        </w:rPr>
      </w:pPr>
    </w:p>
    <w:p>
      <w:pPr>
        <w:rPr>
          <w:rFonts w:hint="eastAsia" w:ascii="仿宋" w:hAnsi="仿宋" w:eastAsia="仿宋" w:cs="仿宋"/>
          <w:sz w:val="32"/>
          <w:szCs w:val="32"/>
        </w:rPr>
      </w:pPr>
    </w:p>
    <w:p>
      <w:pPr>
        <w:pStyle w:val="2"/>
        <w:spacing w:line="360" w:lineRule="auto"/>
        <w:outlineLvl w:val="9"/>
        <w:rPr>
          <w:rFonts w:hint="eastAsia" w:ascii="仿宋" w:hAnsi="仿宋" w:eastAsia="仿宋" w:cs="仿宋"/>
          <w:color w:val="auto"/>
          <w:sz w:val="32"/>
          <w:szCs w:val="32"/>
        </w:rPr>
      </w:pPr>
    </w:p>
    <w:p>
      <w:pPr>
        <w:pStyle w:val="2"/>
        <w:jc w:val="center"/>
        <w:outlineLvl w:val="9"/>
        <w:rPr>
          <w:rFonts w:hint="eastAsia" w:ascii="仿宋" w:hAnsi="仿宋" w:eastAsia="仿宋" w:cs="仿宋"/>
          <w:b/>
          <w:sz w:val="32"/>
          <w:szCs w:val="32"/>
        </w:rPr>
      </w:pPr>
      <w:r>
        <w:rPr>
          <w:rFonts w:hint="eastAsia" w:ascii="仿宋" w:hAnsi="仿宋" w:eastAsia="仿宋" w:cs="仿宋"/>
          <w:color w:val="auto"/>
          <w:sz w:val="32"/>
          <w:szCs w:val="32"/>
        </w:rPr>
        <w:br w:type="page"/>
      </w:r>
      <w:bookmarkEnd w:id="227"/>
      <w:bookmarkEnd w:id="228"/>
      <w:bookmarkEnd w:id="229"/>
      <w:bookmarkEnd w:id="230"/>
      <w:bookmarkEnd w:id="231"/>
      <w:bookmarkEnd w:id="232"/>
      <w:bookmarkStart w:id="245" w:name="_Toc28471"/>
      <w:bookmarkStart w:id="246" w:name="_Toc23820"/>
      <w:bookmarkStart w:id="247" w:name="_Toc459024693"/>
      <w:bookmarkStart w:id="248" w:name="_Toc397710714"/>
      <w:bookmarkStart w:id="249" w:name="_Toc51161349"/>
      <w:bookmarkStart w:id="250" w:name="_Toc765"/>
      <w:bookmarkStart w:id="251" w:name="_Toc6887"/>
      <w:bookmarkStart w:id="252" w:name="_Toc32674_WPSOffice_Level1"/>
      <w:bookmarkStart w:id="253" w:name="_Toc16627"/>
      <w:bookmarkStart w:id="254" w:name="_Toc26762"/>
      <w:r>
        <w:rPr>
          <w:rFonts w:hint="eastAsia" w:ascii="宋体" w:hAnsi="宋体" w:eastAsia="宋体" w:cs="宋体"/>
          <w:color w:val="auto"/>
          <w:sz w:val="36"/>
          <w:szCs w:val="36"/>
        </w:rPr>
        <w:t>柳州职业技术学院学生宿舍内务管理办法</w:t>
      </w:r>
      <w:bookmarkEnd w:id="245"/>
      <w:bookmarkEnd w:id="246"/>
      <w:bookmarkEnd w:id="247"/>
      <w:bookmarkEnd w:id="248"/>
      <w:bookmarkEnd w:id="249"/>
      <w:bookmarkEnd w:id="250"/>
      <w:bookmarkEnd w:id="251"/>
      <w:bookmarkEnd w:id="252"/>
      <w:bookmarkEnd w:id="253"/>
      <w:bookmarkEnd w:id="254"/>
    </w:p>
    <w:p>
      <w:pPr>
        <w:spacing w:line="360" w:lineRule="auto"/>
        <w:jc w:val="center"/>
        <w:rPr>
          <w:rFonts w:hint="eastAsia" w:ascii="仿宋" w:hAnsi="仿宋" w:eastAsia="仿宋" w:cs="仿宋"/>
          <w:b/>
          <w:sz w:val="32"/>
          <w:szCs w:val="32"/>
        </w:rPr>
      </w:pPr>
      <w:bookmarkStart w:id="255" w:name="_Toc7306_WPSOffice_Level1"/>
      <w:r>
        <w:rPr>
          <w:rFonts w:hint="eastAsia" w:ascii="仿宋" w:hAnsi="仿宋" w:eastAsia="仿宋" w:cs="仿宋"/>
          <w:b/>
          <w:sz w:val="32"/>
          <w:szCs w:val="32"/>
        </w:rPr>
        <w:t>第一章  总  则</w:t>
      </w:r>
      <w:bookmarkEnd w:id="255"/>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第一条</w:t>
      </w:r>
      <w:r>
        <w:rPr>
          <w:rFonts w:hint="eastAsia" w:ascii="仿宋" w:hAnsi="仿宋" w:eastAsia="仿宋" w:cs="仿宋"/>
          <w:sz w:val="32"/>
          <w:szCs w:val="32"/>
        </w:rPr>
        <w:t xml:space="preserve"> 为加强我校学生宿舍内务管理，特制定本办法。</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第二条</w:t>
      </w:r>
      <w:r>
        <w:rPr>
          <w:rFonts w:hint="eastAsia" w:ascii="仿宋" w:hAnsi="仿宋" w:eastAsia="仿宋" w:cs="仿宋"/>
          <w:sz w:val="32"/>
          <w:szCs w:val="32"/>
        </w:rPr>
        <w:t xml:space="preserve"> 宿舍内务包括卫生、秩序、生活格调三个方面。本办法是学生宿舍行为的准则，是衡量学生宿舍行为的依据。</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第三条</w:t>
      </w:r>
      <w:r>
        <w:rPr>
          <w:rFonts w:hint="eastAsia" w:ascii="仿宋" w:hAnsi="仿宋" w:eastAsia="仿宋" w:cs="仿宋"/>
          <w:sz w:val="32"/>
          <w:szCs w:val="32"/>
        </w:rPr>
        <w:t xml:space="preserve"> 学生宿舍内务状况关系着学生的成长和进步，是学</w:t>
      </w:r>
      <w:r>
        <w:rPr>
          <w:rFonts w:hint="eastAsia" w:ascii="仿宋" w:hAnsi="仿宋" w:eastAsia="仿宋" w:cs="仿宋"/>
          <w:bCs/>
          <w:sz w:val="32"/>
          <w:szCs w:val="32"/>
        </w:rPr>
        <w:t>校</w:t>
      </w:r>
      <w:r>
        <w:rPr>
          <w:rFonts w:hint="eastAsia" w:ascii="仿宋" w:hAnsi="仿宋" w:eastAsia="仿宋" w:cs="仿宋"/>
          <w:sz w:val="32"/>
          <w:szCs w:val="32"/>
        </w:rPr>
        <w:t>人才培养的重要内容。</w:t>
      </w:r>
    </w:p>
    <w:p>
      <w:pPr>
        <w:spacing w:line="360" w:lineRule="auto"/>
        <w:jc w:val="center"/>
        <w:rPr>
          <w:rFonts w:hint="eastAsia" w:ascii="仿宋" w:hAnsi="仿宋" w:eastAsia="仿宋" w:cs="仿宋"/>
          <w:b/>
          <w:sz w:val="32"/>
          <w:szCs w:val="32"/>
        </w:rPr>
      </w:pPr>
      <w:bookmarkStart w:id="256" w:name="_Toc26016_WPSOffice_Level1"/>
      <w:r>
        <w:rPr>
          <w:rFonts w:hint="eastAsia" w:ascii="仿宋" w:hAnsi="仿宋" w:eastAsia="仿宋" w:cs="仿宋"/>
          <w:b/>
          <w:sz w:val="32"/>
          <w:szCs w:val="32"/>
        </w:rPr>
        <w:t>第二章 卫生管理的基本要求</w:t>
      </w:r>
      <w:bookmarkEnd w:id="256"/>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第四条</w:t>
      </w:r>
      <w:r>
        <w:rPr>
          <w:rFonts w:hint="eastAsia" w:ascii="仿宋" w:hAnsi="仿宋" w:eastAsia="仿宋" w:cs="仿宋"/>
          <w:sz w:val="32"/>
          <w:szCs w:val="32"/>
        </w:rPr>
        <w:t xml:space="preserve"> 学生宿舍卫生状况关系学生的身心健康，反映学生的精神面貌。保持良好的宿舍卫生和个人卫生是每位住宿学生的义务和责任。</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第五条</w:t>
      </w:r>
      <w:r>
        <w:rPr>
          <w:rFonts w:hint="eastAsia" w:ascii="仿宋" w:hAnsi="仿宋" w:eastAsia="仿宋" w:cs="仿宋"/>
          <w:sz w:val="32"/>
          <w:szCs w:val="32"/>
        </w:rPr>
        <w:t xml:space="preserve"> 学生个人卫生的基本要求是：保持正常、合理的生活规律，积极锻炼身体，有病及时医治，经常洗澡，理发，及时换洗衣服、床单、枕巾、被套，早晚洗漱。</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第六条</w:t>
      </w:r>
      <w:r>
        <w:rPr>
          <w:rFonts w:hint="eastAsia" w:ascii="仿宋" w:hAnsi="仿宋" w:eastAsia="仿宋" w:cs="仿宋"/>
          <w:sz w:val="32"/>
          <w:szCs w:val="32"/>
        </w:rPr>
        <w:t xml:space="preserve"> 学生应自觉保持宿舍室内卫生。每天上午7:00至8:00，下午14:00至15:00将室内垃圾装袋，放置到宿舍区内的大垃圾桶内或其它指定的地点，实行垃圾分类投放的校区，须将本宿舍产生的垃圾按分类要求打包后，投放到分类垃圾箱。不得将垃圾随意清扫到公共走廊。</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第七条</w:t>
      </w:r>
      <w:r>
        <w:rPr>
          <w:rFonts w:hint="eastAsia" w:ascii="仿宋" w:hAnsi="仿宋" w:eastAsia="仿宋" w:cs="仿宋"/>
          <w:sz w:val="32"/>
          <w:szCs w:val="32"/>
        </w:rPr>
        <w:t xml:space="preserve"> 学生宿舍内卫生的基本要求是：布局合理、整齐，地面干净，空气新鲜，被子、枕头、衣服、鞋帽、书籍、脸盆、水杯、壶、箱子等生活用品摆放整齐、有序、合理，门窗、墙壁、房顶干净、无污迹、无蜘蛛网，桌面、灯具上无杂物和尘土，及时清理垃圾。</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第八条</w:t>
      </w:r>
      <w:r>
        <w:rPr>
          <w:rFonts w:hint="eastAsia" w:ascii="仿宋" w:hAnsi="仿宋" w:eastAsia="仿宋" w:cs="仿宋"/>
          <w:sz w:val="32"/>
          <w:szCs w:val="32"/>
        </w:rPr>
        <w:t xml:space="preserve"> 学生个人卫生，个人床铺（包括床上、床下）和个人物品的整洁由本人负责。</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sz w:val="32"/>
          <w:szCs w:val="32"/>
        </w:rPr>
        <w:t xml:space="preserve"> 学生宿舍室内卫生由该宿舍全体人员共同负责，各学生宿舍需自行制定轮流值日制度，有轮值表，宿舍长负责督促值日生完成值日工作。宿舍值日生的职责是：</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1.按宿舍室内卫生的基本要求打扫，整理房间。早晨、下午各做一次。</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2.督促本宿舍同学整理个人卫生和物品。</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3.完成本宿室规定的其他值日工作。</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第十条</w:t>
      </w:r>
      <w:r>
        <w:rPr>
          <w:rFonts w:hint="eastAsia" w:ascii="仿宋" w:hAnsi="仿宋" w:eastAsia="仿宋" w:cs="仿宋"/>
          <w:sz w:val="32"/>
          <w:szCs w:val="32"/>
        </w:rPr>
        <w:t xml:space="preserve"> 学生应自觉保持和维护宿舍楼公共场所卫生，做到：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1.不在楼道和楼梯泼水，不随地吐痰，垃圾要按要求投放到指定地方，不乱扔杂物。</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2.不在宿舍楼内使用明火煮食及其他学校规定不得使用的大功率电器。</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3.不在楼道里摆放自行车和杂物。</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4.不向窗外倒水、扔杂物、吐痰。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5.不将剩饭、剩菜倒入水池、走廊、卫生间。</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6.保持墙壁干净，不在墙壁上涂写刻画，乱张贴字画。</w:t>
      </w:r>
    </w:p>
    <w:p>
      <w:pPr>
        <w:spacing w:line="360" w:lineRule="auto"/>
        <w:jc w:val="center"/>
        <w:rPr>
          <w:rFonts w:hint="eastAsia" w:ascii="仿宋" w:hAnsi="仿宋" w:eastAsia="仿宋" w:cs="仿宋"/>
          <w:b/>
          <w:sz w:val="32"/>
          <w:szCs w:val="32"/>
        </w:rPr>
      </w:pPr>
      <w:bookmarkStart w:id="257" w:name="_Toc23331_WPSOffice_Level1"/>
      <w:r>
        <w:rPr>
          <w:rFonts w:hint="eastAsia" w:ascii="仿宋" w:hAnsi="仿宋" w:eastAsia="仿宋" w:cs="仿宋"/>
          <w:b/>
          <w:sz w:val="32"/>
          <w:szCs w:val="32"/>
        </w:rPr>
        <w:t>第三章 秩序管理的基本要求</w:t>
      </w:r>
      <w:bookmarkEnd w:id="257"/>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第十一条</w:t>
      </w:r>
      <w:r>
        <w:rPr>
          <w:rFonts w:hint="eastAsia" w:ascii="仿宋" w:hAnsi="仿宋" w:eastAsia="仿宋" w:cs="仿宋"/>
          <w:sz w:val="32"/>
          <w:szCs w:val="32"/>
        </w:rPr>
        <w:t xml:space="preserve"> 学生宿舍楼内正常的秩序是学生休息、学习、娱乐的基本保障，所有学生都应自觉维护。</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第十二条</w:t>
      </w:r>
      <w:r>
        <w:rPr>
          <w:rFonts w:hint="eastAsia" w:ascii="仿宋" w:hAnsi="仿宋" w:eastAsia="仿宋" w:cs="仿宋"/>
          <w:sz w:val="32"/>
          <w:szCs w:val="32"/>
        </w:rPr>
        <w:t xml:space="preserve"> 学生宿舍楼秩序的基本要求是：遵守规章制度，服从管理人员管理，互相照顾、体谅，敢于向不良现象作斗争。</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第十三条</w:t>
      </w:r>
      <w:r>
        <w:rPr>
          <w:rFonts w:hint="eastAsia" w:ascii="仿宋" w:hAnsi="仿宋" w:eastAsia="仿宋" w:cs="仿宋"/>
          <w:sz w:val="32"/>
          <w:szCs w:val="32"/>
        </w:rPr>
        <w:t xml:space="preserve"> 学生在宿舍楼内应做到：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全校所有校区为禁烟区域，学生不准在宿舍内外及其它公共区域吸烟。</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1.按分配的房间、床位住宿，不擅自调换房间或床位，不将房间内的家具搬出本宿舍。</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2.遵守作息时间，按规定的时间熄灯就寝。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3.保持安静，不大声喧哗，午休时间和熄灯后保持安静。</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4.不在宿舍内、楼道上打球、跑步、打闹等。</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5.不饲养任何宠物，不私自留宿外来人员。</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6.不乱扔杂物，停电时不使用蜡烛照明。</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7.保管好自己的钱和贵重物品，离开房间时应将门窗关好。</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8.遇有灾害天气注意关窗，发生意外灾害时不惊慌，听从管理人员的疏导。</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9.在宿舍及学校的其它区域内不准从事任何宗教活动，不准从事黄赌毒及其它国家禁止的活动，自觉抵制任何校内外人员的违法活动。</w:t>
      </w:r>
    </w:p>
    <w:p>
      <w:pPr>
        <w:spacing w:line="360" w:lineRule="auto"/>
        <w:ind w:firstLine="640" w:firstLineChars="200"/>
        <w:rPr>
          <w:rFonts w:hint="eastAsia" w:ascii="仿宋" w:hAnsi="仿宋" w:eastAsia="仿宋" w:cs="仿宋"/>
          <w:bCs/>
          <w:sz w:val="32"/>
          <w:szCs w:val="32"/>
        </w:rPr>
      </w:pPr>
      <w:r>
        <w:rPr>
          <w:rFonts w:hint="eastAsia" w:ascii="仿宋" w:hAnsi="仿宋" w:eastAsia="仿宋" w:cs="仿宋"/>
          <w:sz w:val="32"/>
          <w:szCs w:val="32"/>
        </w:rPr>
        <w:t>10.不得在宿舍区域</w:t>
      </w:r>
      <w:r>
        <w:rPr>
          <w:rFonts w:hint="eastAsia" w:ascii="仿宋" w:hAnsi="仿宋" w:eastAsia="仿宋" w:cs="仿宋"/>
          <w:bCs/>
          <w:sz w:val="32"/>
          <w:szCs w:val="32"/>
        </w:rPr>
        <w:t>推销国家法律法规禁止物品或从事传销等活动。</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11.男女生不得互窜宿舍（学校组织的检查等活动除外）。</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12.爱护宿舍区消防设施，不得私自挪用或损坏。</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第十四条</w:t>
      </w:r>
      <w:r>
        <w:rPr>
          <w:rFonts w:hint="eastAsia" w:ascii="仿宋" w:hAnsi="仿宋" w:eastAsia="仿宋" w:cs="仿宋"/>
          <w:sz w:val="32"/>
          <w:szCs w:val="32"/>
        </w:rPr>
        <w:t xml:space="preserve"> 对于宿舍楼内发生的违反上述规定的行为，学校一经发现将按有关规定给予纪律处分。</w:t>
      </w:r>
    </w:p>
    <w:p>
      <w:pPr>
        <w:spacing w:line="360" w:lineRule="auto"/>
        <w:jc w:val="center"/>
        <w:rPr>
          <w:rFonts w:hint="eastAsia" w:ascii="仿宋" w:hAnsi="仿宋" w:eastAsia="仿宋" w:cs="仿宋"/>
          <w:b/>
          <w:sz w:val="32"/>
          <w:szCs w:val="32"/>
        </w:rPr>
      </w:pPr>
      <w:bookmarkStart w:id="258" w:name="_Toc14265_WPSOffice_Level1"/>
      <w:r>
        <w:rPr>
          <w:rFonts w:hint="eastAsia" w:ascii="仿宋" w:hAnsi="仿宋" w:eastAsia="仿宋" w:cs="仿宋"/>
          <w:b/>
          <w:sz w:val="32"/>
          <w:szCs w:val="32"/>
        </w:rPr>
        <w:t>第四章  生活格调的基本要求</w:t>
      </w:r>
      <w:bookmarkEnd w:id="258"/>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第十五条</w:t>
      </w:r>
      <w:r>
        <w:rPr>
          <w:rFonts w:hint="eastAsia" w:ascii="仿宋" w:hAnsi="仿宋" w:eastAsia="仿宋" w:cs="仿宋"/>
          <w:sz w:val="32"/>
          <w:szCs w:val="32"/>
        </w:rPr>
        <w:t xml:space="preserve"> 学生的生活应积极向上，朝气蓬勃，在学生宿舍中体现出的生活格调应是健康、进取、高尚。宿舍应成为同学获得友谊、帮助和温暖的家。</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第十六条</w:t>
      </w:r>
      <w:r>
        <w:rPr>
          <w:rFonts w:hint="eastAsia" w:ascii="仿宋" w:hAnsi="仿宋" w:eastAsia="仿宋" w:cs="仿宋"/>
          <w:sz w:val="32"/>
          <w:szCs w:val="32"/>
        </w:rPr>
        <w:t xml:space="preserve"> 在宿舍里学生应在学习、生活等方面互相关心、互相爱护、互相帮助、互相鼓励、互相学习。</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第十七条</w:t>
      </w:r>
      <w:r>
        <w:rPr>
          <w:rFonts w:hint="eastAsia" w:ascii="仿宋" w:hAnsi="仿宋" w:eastAsia="仿宋" w:cs="仿宋"/>
          <w:sz w:val="32"/>
          <w:szCs w:val="32"/>
        </w:rPr>
        <w:t xml:space="preserve"> 宿舍的装饰物应符合大学生的身份和欣赏水平，具有美观、优雅的效果。</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第十八条</w:t>
      </w:r>
      <w:r>
        <w:rPr>
          <w:rFonts w:hint="eastAsia" w:ascii="仿宋" w:hAnsi="仿宋" w:eastAsia="仿宋" w:cs="仿宋"/>
          <w:sz w:val="32"/>
          <w:szCs w:val="32"/>
        </w:rPr>
        <w:t xml:space="preserve"> 宿舍应是同学们谈论理想、志向、学习、国家大事等，进行集体活动，提高生活情趣的场所。</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第十九条</w:t>
      </w:r>
      <w:r>
        <w:rPr>
          <w:rFonts w:hint="eastAsia" w:ascii="仿宋" w:hAnsi="仿宋" w:eastAsia="仿宋" w:cs="仿宋"/>
          <w:sz w:val="32"/>
          <w:szCs w:val="32"/>
        </w:rPr>
        <w:t xml:space="preserve"> 学生在宿舍中应开展健康、有益、适度的娱乐活动，不应沉溺于游戏，不影响他人。</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第二十条</w:t>
      </w:r>
      <w:r>
        <w:rPr>
          <w:rFonts w:hint="eastAsia" w:ascii="仿宋" w:hAnsi="仿宋" w:eastAsia="仿宋" w:cs="仿宋"/>
          <w:sz w:val="32"/>
          <w:szCs w:val="32"/>
        </w:rPr>
        <w:t xml:space="preserve"> 爱护门窗、床铺、家具、用电设施等所有公物，如有损坏，照价赔偿；节约水电是每个学生应有的品德。</w:t>
      </w:r>
    </w:p>
    <w:p>
      <w:pPr>
        <w:spacing w:line="360" w:lineRule="auto"/>
        <w:jc w:val="center"/>
        <w:rPr>
          <w:rFonts w:hint="eastAsia" w:ascii="仿宋" w:hAnsi="仿宋" w:eastAsia="仿宋" w:cs="仿宋"/>
          <w:b/>
          <w:sz w:val="32"/>
          <w:szCs w:val="32"/>
        </w:rPr>
      </w:pPr>
      <w:bookmarkStart w:id="259" w:name="_Toc7237_WPSOffice_Level1"/>
      <w:r>
        <w:rPr>
          <w:rFonts w:hint="eastAsia" w:ascii="仿宋" w:hAnsi="仿宋" w:eastAsia="仿宋" w:cs="仿宋"/>
          <w:b/>
          <w:sz w:val="32"/>
          <w:szCs w:val="32"/>
        </w:rPr>
        <w:t>第五章  安全文明宿舍的检查和评比办法</w:t>
      </w:r>
      <w:bookmarkEnd w:id="259"/>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第二十一条 学</w:t>
      </w:r>
      <w:r>
        <w:rPr>
          <w:rFonts w:hint="eastAsia" w:ascii="仿宋" w:hAnsi="仿宋" w:eastAsia="仿宋" w:cs="仿宋"/>
          <w:sz w:val="32"/>
          <w:szCs w:val="32"/>
        </w:rPr>
        <w:t>校学生工作处负责统筹指导学生宿舍管理工作。辅导员对本班学生在宿舍的行为管理负有直接责任，各二级学院负责对学生宿舍的内务、卫生进行检查和评比，每月进行一次“健康柳职”之星级宿舍创建评比；学校学生工作处在经常性督促检查与指导的基础上，每月不定期对学生宿舍进行一次抽查和验收，通报抽查情况。</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第二十二条</w:t>
      </w:r>
      <w:r>
        <w:rPr>
          <w:rFonts w:hint="eastAsia" w:ascii="仿宋" w:hAnsi="仿宋" w:eastAsia="仿宋" w:cs="仿宋"/>
          <w:sz w:val="32"/>
          <w:szCs w:val="32"/>
        </w:rPr>
        <w:t xml:space="preserve">  星级宿舍评比采用百分制，60分以下为不合格。</w:t>
      </w:r>
    </w:p>
    <w:p>
      <w:pPr>
        <w:adjustRightInd w:val="0"/>
        <w:snapToGrid w:val="0"/>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第二十三条</w:t>
      </w:r>
      <w:r>
        <w:rPr>
          <w:rFonts w:hint="eastAsia" w:ascii="仿宋" w:hAnsi="仿宋" w:eastAsia="仿宋" w:cs="仿宋"/>
          <w:sz w:val="32"/>
          <w:szCs w:val="32"/>
        </w:rPr>
        <w:t xml:space="preserve">  以一个月为周期，根据总评分的平均值认定“星级宿舍”（当月检查中有一次不合格的宿舍，取消评星资格）：</w:t>
      </w:r>
    </w:p>
    <w:p>
      <w:pPr>
        <w:adjustRightInd w:val="0"/>
        <w:snapToGrid w:val="0"/>
        <w:spacing w:line="360" w:lineRule="auto"/>
        <w:ind w:firstLine="800" w:firstLineChars="250"/>
        <w:rPr>
          <w:rFonts w:hint="eastAsia" w:ascii="仿宋" w:hAnsi="仿宋" w:eastAsia="仿宋" w:cs="仿宋"/>
          <w:sz w:val="32"/>
          <w:szCs w:val="32"/>
        </w:rPr>
      </w:pPr>
      <w:r>
        <w:rPr>
          <w:rFonts w:hint="eastAsia" w:ascii="仿宋" w:hAnsi="仿宋" w:eastAsia="仿宋" w:cs="仿宋"/>
          <w:sz w:val="32"/>
          <w:szCs w:val="32"/>
        </w:rPr>
        <w:t>1.一月内总评分的平均值排名前5%并大于90分，认定为“五星宿舍”。</w:t>
      </w:r>
    </w:p>
    <w:p>
      <w:pPr>
        <w:adjustRightInd w:val="0"/>
        <w:snapToGrid w:val="0"/>
        <w:spacing w:line="360" w:lineRule="auto"/>
        <w:ind w:firstLine="800" w:firstLineChars="250"/>
        <w:rPr>
          <w:rFonts w:hint="eastAsia" w:ascii="仿宋" w:hAnsi="仿宋" w:eastAsia="仿宋" w:cs="仿宋"/>
          <w:sz w:val="32"/>
          <w:szCs w:val="32"/>
        </w:rPr>
      </w:pPr>
      <w:r>
        <w:rPr>
          <w:rFonts w:hint="eastAsia" w:ascii="仿宋" w:hAnsi="仿宋" w:eastAsia="仿宋" w:cs="仿宋"/>
          <w:sz w:val="32"/>
          <w:szCs w:val="32"/>
        </w:rPr>
        <w:t>2.一月内总评分的平均值排名前15%并大于80分，（当月已被评定为五星宿舍的除外）认定为“四星宿舍”。</w:t>
      </w:r>
    </w:p>
    <w:p>
      <w:pPr>
        <w:spacing w:line="360" w:lineRule="auto"/>
        <w:ind w:firstLine="643" w:firstLineChars="200"/>
        <w:jc w:val="center"/>
        <w:rPr>
          <w:rFonts w:hint="eastAsia" w:ascii="仿宋" w:hAnsi="仿宋" w:eastAsia="仿宋" w:cs="仿宋"/>
          <w:b/>
          <w:sz w:val="32"/>
          <w:szCs w:val="32"/>
        </w:rPr>
      </w:pPr>
      <w:bookmarkStart w:id="260" w:name="_Toc10918_WPSOffice_Level1"/>
      <w:r>
        <w:rPr>
          <w:rFonts w:hint="eastAsia" w:ascii="仿宋" w:hAnsi="仿宋" w:eastAsia="仿宋" w:cs="仿宋"/>
          <w:b/>
          <w:sz w:val="32"/>
          <w:szCs w:val="32"/>
        </w:rPr>
        <w:t>第六章  奖 惩</w:t>
      </w:r>
      <w:bookmarkEnd w:id="260"/>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 xml:space="preserve">第二十四条 </w:t>
      </w:r>
      <w:r>
        <w:rPr>
          <w:rFonts w:hint="eastAsia" w:ascii="仿宋" w:hAnsi="仿宋" w:eastAsia="仿宋" w:cs="仿宋"/>
          <w:sz w:val="32"/>
          <w:szCs w:val="32"/>
        </w:rPr>
        <w:t>学生宿舍内务卫生评比坚持以物质奖励和精神奖励相结合；以说服教育与制度管理相结合，必要时采取通报批评直至行政处分的方式督促后进。</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第二十五条</w:t>
      </w:r>
      <w:r>
        <w:rPr>
          <w:rFonts w:hint="eastAsia" w:ascii="仿宋" w:hAnsi="仿宋" w:eastAsia="仿宋" w:cs="仿宋"/>
          <w:sz w:val="32"/>
          <w:szCs w:val="32"/>
        </w:rPr>
        <w:t>对当月获得四星级及以上的宿舍，统一悬挂流动的“星级宿舍（五星/四星）”标识在宿舍门口，并给予一定的物质奖励（电费、生活用品等，奖励办法另附）。另外，所在宿舍每人每次奖励诚信分50/40分。；对于当月两次及以上星级宿舍评比检查不合格（低于60分）宿舍，该宿舍成员每人每次扣诚信20分，并责令限时整改。对于不积极、不配合的宿舍，要严肃批评教育学生本人。对于态度恶劣，屡教不改的学生，宿舍将被采取限电等措施以示惩戒，由学生工作处全校通报批评。</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第二十六条</w:t>
      </w:r>
      <w:r>
        <w:rPr>
          <w:rFonts w:hint="eastAsia" w:ascii="仿宋" w:hAnsi="仿宋" w:eastAsia="仿宋" w:cs="仿宋"/>
          <w:sz w:val="32"/>
          <w:szCs w:val="32"/>
        </w:rPr>
        <w:t xml:space="preserve"> 对于学期内学生宿舍合格率不足70%的班级（以检查次数统计），由二级学院取消其评选优秀班集体资格。</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 xml:space="preserve">第二十七条 </w:t>
      </w:r>
      <w:r>
        <w:rPr>
          <w:rFonts w:hint="eastAsia" w:ascii="仿宋" w:hAnsi="仿宋" w:eastAsia="仿宋" w:cs="仿宋"/>
          <w:sz w:val="32"/>
          <w:szCs w:val="32"/>
        </w:rPr>
        <w:t>在学生宿舍内饲养宠物，经教育不改者，给予警告至记过处分。</w:t>
      </w:r>
    </w:p>
    <w:p>
      <w:pPr>
        <w:spacing w:line="360" w:lineRule="auto"/>
        <w:ind w:firstLine="643" w:firstLineChars="200"/>
        <w:jc w:val="center"/>
        <w:rPr>
          <w:rFonts w:hint="eastAsia" w:ascii="仿宋" w:hAnsi="仿宋" w:eastAsia="仿宋" w:cs="仿宋"/>
          <w:b/>
          <w:sz w:val="32"/>
          <w:szCs w:val="32"/>
        </w:rPr>
      </w:pPr>
      <w:bookmarkStart w:id="261" w:name="_Toc2721_WPSOffice_Level1"/>
      <w:r>
        <w:rPr>
          <w:rFonts w:hint="eastAsia" w:ascii="仿宋" w:hAnsi="仿宋" w:eastAsia="仿宋" w:cs="仿宋"/>
          <w:b/>
          <w:sz w:val="32"/>
          <w:szCs w:val="32"/>
        </w:rPr>
        <w:t>第七章     附  则</w:t>
      </w:r>
      <w:bookmarkEnd w:id="261"/>
    </w:p>
    <w:p>
      <w:pPr>
        <w:adjustRightInd w:val="0"/>
        <w:snapToGrid w:val="0"/>
        <w:spacing w:line="480" w:lineRule="auto"/>
        <w:ind w:firstLine="482" w:firstLineChars="150"/>
        <w:rPr>
          <w:rFonts w:hint="eastAsia" w:ascii="仿宋" w:hAnsi="仿宋" w:eastAsia="仿宋" w:cs="仿宋"/>
          <w:b/>
          <w:sz w:val="32"/>
          <w:szCs w:val="32"/>
        </w:rPr>
      </w:pPr>
      <w:r>
        <w:rPr>
          <w:rFonts w:hint="eastAsia" w:ascii="仿宋" w:hAnsi="仿宋" w:eastAsia="仿宋" w:cs="仿宋"/>
          <w:b/>
          <w:sz w:val="32"/>
          <w:szCs w:val="32"/>
        </w:rPr>
        <w:t>第二十八条</w:t>
      </w:r>
      <w:r>
        <w:rPr>
          <w:rFonts w:hint="eastAsia" w:ascii="仿宋" w:hAnsi="仿宋" w:eastAsia="仿宋" w:cs="仿宋"/>
          <w:sz w:val="32"/>
          <w:szCs w:val="32"/>
        </w:rPr>
        <w:t>本办法自2021年9月1日起施行。</w:t>
      </w:r>
    </w:p>
    <w:p>
      <w:pPr>
        <w:adjustRightInd w:val="0"/>
        <w:snapToGrid w:val="0"/>
        <w:spacing w:line="480" w:lineRule="auto"/>
        <w:ind w:firstLine="482" w:firstLineChars="150"/>
        <w:rPr>
          <w:rFonts w:hint="eastAsia" w:ascii="仿宋" w:hAnsi="仿宋" w:eastAsia="仿宋" w:cs="仿宋"/>
          <w:sz w:val="32"/>
          <w:szCs w:val="32"/>
        </w:rPr>
      </w:pPr>
      <w:r>
        <w:rPr>
          <w:rFonts w:hint="eastAsia" w:ascii="仿宋" w:hAnsi="仿宋" w:eastAsia="仿宋" w:cs="仿宋"/>
          <w:b/>
          <w:sz w:val="32"/>
          <w:szCs w:val="32"/>
        </w:rPr>
        <w:t xml:space="preserve">第二十九条  </w:t>
      </w:r>
      <w:r>
        <w:rPr>
          <w:rFonts w:hint="eastAsia" w:ascii="仿宋" w:hAnsi="仿宋" w:eastAsia="仿宋" w:cs="仿宋"/>
          <w:sz w:val="32"/>
          <w:szCs w:val="32"/>
        </w:rPr>
        <w:t>本办法由校学生工作部（处）负责解释。</w:t>
      </w:r>
    </w:p>
    <w:p>
      <w:pPr>
        <w:pStyle w:val="2"/>
        <w:outlineLvl w:val="9"/>
        <w:rPr>
          <w:rFonts w:hint="eastAsia" w:ascii="仿宋" w:hAnsi="仿宋" w:eastAsia="仿宋" w:cs="仿宋"/>
          <w:b w:val="0"/>
          <w:color w:val="auto"/>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pStyle w:val="2"/>
        <w:jc w:val="center"/>
        <w:outlineLvl w:val="9"/>
        <w:rPr>
          <w:rFonts w:hint="eastAsia" w:ascii="宋体" w:hAnsi="宋体" w:eastAsia="宋体" w:cs="宋体"/>
          <w:sz w:val="36"/>
          <w:szCs w:val="36"/>
        </w:rPr>
      </w:pPr>
      <w:bookmarkStart w:id="262" w:name="_Toc24894"/>
      <w:bookmarkStart w:id="263" w:name="_Toc21072"/>
      <w:bookmarkStart w:id="264" w:name="_Toc24747"/>
      <w:bookmarkStart w:id="265" w:name="_Toc51161350"/>
      <w:bookmarkStart w:id="266" w:name="_Toc20684"/>
      <w:bookmarkStart w:id="267" w:name="_Toc4678"/>
      <w:bookmarkStart w:id="268" w:name="_Toc12292"/>
      <w:bookmarkStart w:id="269" w:name="_Toc19400_WPSOffice_Level1"/>
      <w:r>
        <w:rPr>
          <w:rFonts w:hint="eastAsia" w:ascii="宋体" w:hAnsi="宋体" w:eastAsia="宋体" w:cs="宋体"/>
          <w:color w:val="auto"/>
          <w:sz w:val="36"/>
          <w:szCs w:val="36"/>
        </w:rPr>
        <w:t>柳州职业技术学院学生校外住宿管理办法</w:t>
      </w:r>
      <w:bookmarkEnd w:id="262"/>
      <w:bookmarkEnd w:id="263"/>
      <w:bookmarkEnd w:id="264"/>
      <w:bookmarkEnd w:id="265"/>
      <w:bookmarkEnd w:id="266"/>
      <w:bookmarkEnd w:id="267"/>
      <w:bookmarkEnd w:id="268"/>
      <w:bookmarkEnd w:id="269"/>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为进一步加强和规范我校学生校外住宿的管理，确保学生人身和财产安全，保障学校正常的教学和生活秩序，根据教育部《关于切实加强高校学生住宿管理的通知》精神和要求，结合我校实际，特制定本办法。</w:t>
      </w:r>
    </w:p>
    <w:p>
      <w:pPr>
        <w:spacing w:line="360" w:lineRule="auto"/>
        <w:ind w:firstLine="643" w:firstLineChars="200"/>
        <w:rPr>
          <w:rFonts w:hint="eastAsia" w:ascii="仿宋" w:hAnsi="仿宋" w:eastAsia="仿宋" w:cs="仿宋"/>
          <w:b/>
          <w:sz w:val="32"/>
          <w:szCs w:val="32"/>
        </w:rPr>
      </w:pPr>
      <w:bookmarkStart w:id="270" w:name="_Toc7617_WPSOffice_Level1"/>
      <w:r>
        <w:rPr>
          <w:rFonts w:hint="eastAsia" w:ascii="仿宋" w:hAnsi="仿宋" w:eastAsia="仿宋" w:cs="仿宋"/>
          <w:b/>
          <w:sz w:val="32"/>
          <w:szCs w:val="32"/>
        </w:rPr>
        <w:t>一、原则要求</w:t>
      </w:r>
      <w:bookmarkEnd w:id="270"/>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1.学校积极创造条件为学生解决住宿问题，原则上不允许学生私自在校外租房居住。</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2.凡我校的全日制学生原则上均应在学校安排的学生宿舍住宿。因家在本市或确有特殊原因需在校外住宿的，应当按照本办法进行申请并履行相关手续，并遵守有关规定，承担有关责任和义务。</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3.学校对学生校外住宿实行审批制度。各二级学院负责本学院学生校外住宿的审批，并报学生工作处宿舍管理中心备案。</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二级学院应向申请校外住宿的学生说明校外住宿可能产生的后果和个人应承担的责任等，严格控制学生校外住宿，并负责校外住宿学生的教育、管理工作，及时了解和掌握校外住宿学生的情况，做到工作到位、责任到位。</w:t>
      </w:r>
    </w:p>
    <w:p>
      <w:pPr>
        <w:spacing w:line="360" w:lineRule="auto"/>
        <w:ind w:firstLine="643" w:firstLineChars="200"/>
        <w:rPr>
          <w:rFonts w:hint="eastAsia" w:ascii="仿宋" w:hAnsi="仿宋" w:eastAsia="仿宋" w:cs="仿宋"/>
          <w:b/>
          <w:sz w:val="32"/>
          <w:szCs w:val="32"/>
        </w:rPr>
      </w:pPr>
      <w:bookmarkStart w:id="271" w:name="_Toc32128_WPSOffice_Level1"/>
      <w:r>
        <w:rPr>
          <w:rFonts w:hint="eastAsia" w:ascii="仿宋" w:hAnsi="仿宋" w:eastAsia="仿宋" w:cs="仿宋"/>
          <w:b/>
          <w:sz w:val="32"/>
          <w:szCs w:val="32"/>
        </w:rPr>
        <w:t>二、学生申请校外住宿的条件</w:t>
      </w:r>
      <w:bookmarkEnd w:id="271"/>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1．家庭住址为柳州市区； </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2．因身体、精神状况不适合居住学生集体宿舍（须有三级甲等以上医院证明）；</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3.其他特殊原因。</w:t>
      </w:r>
    </w:p>
    <w:p>
      <w:pPr>
        <w:spacing w:line="360" w:lineRule="auto"/>
        <w:ind w:firstLine="643" w:firstLineChars="200"/>
        <w:rPr>
          <w:rFonts w:hint="eastAsia" w:ascii="仿宋" w:hAnsi="仿宋" w:eastAsia="仿宋" w:cs="仿宋"/>
          <w:b/>
          <w:sz w:val="32"/>
          <w:szCs w:val="32"/>
        </w:rPr>
      </w:pPr>
      <w:bookmarkStart w:id="272" w:name="_Toc23413_WPSOffice_Level1"/>
      <w:r>
        <w:rPr>
          <w:rFonts w:hint="eastAsia" w:ascii="仿宋" w:hAnsi="仿宋" w:eastAsia="仿宋" w:cs="仿宋"/>
          <w:b/>
          <w:sz w:val="32"/>
          <w:szCs w:val="32"/>
        </w:rPr>
        <w:t>三、学生申请校外住宿的程序</w:t>
      </w:r>
      <w:bookmarkEnd w:id="272"/>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1.书面申请。由学生本人提出书面申请，填写《柳州职业技术学院学生外宿申请表》；</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2.家长同意并签字确认；</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3.辅导员复核，二级学院审批；</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4.学生工作处宿舍管理中心备案。</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5．申请时须提供如下材料：</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（1）本人书面申请（如实写明个人基本信息、校外住宿原因、拟住宿地情况）；</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（2）相关证明材料。如在校外租房居住的，须提供租房契约（出租屋须有派出所的出租许可证）。</w:t>
      </w:r>
    </w:p>
    <w:p>
      <w:pPr>
        <w:spacing w:line="360" w:lineRule="auto"/>
        <w:ind w:firstLine="643" w:firstLineChars="200"/>
        <w:rPr>
          <w:rFonts w:hint="eastAsia" w:ascii="仿宋" w:hAnsi="仿宋" w:eastAsia="仿宋" w:cs="仿宋"/>
          <w:b/>
          <w:sz w:val="32"/>
          <w:szCs w:val="32"/>
        </w:rPr>
      </w:pPr>
      <w:bookmarkStart w:id="273" w:name="_Toc3949_WPSOffice_Level1"/>
      <w:r>
        <w:rPr>
          <w:rFonts w:hint="eastAsia" w:ascii="仿宋" w:hAnsi="仿宋" w:eastAsia="仿宋" w:cs="仿宋"/>
          <w:b/>
          <w:sz w:val="32"/>
          <w:szCs w:val="32"/>
        </w:rPr>
        <w:t>四、学生在校外住宿应承担的责任和义务</w:t>
      </w:r>
      <w:bookmarkEnd w:id="273"/>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学生在校外住宿应当自觉遵守国家有关法律、法规及学校规章制度，学生如有违反国家法律法规的所有活动，由学生本人承担由此而引起的一切法律后果，学校将同时按照有关规章制度给予相应的纪律处分。外宿学生应加强个人人身及财产安全的自我保护，不得从事影响学校形象的活动，不得影响学生本人在校内的学习和集体活动。凡在校外住宿而引起的人身、财产安全等一切伤害责任事故，后果由学生本人负责。</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2.外宿学生应经常保持与所在二级学院的辅导员或同学联系，定期向辅导员汇报学习、生活等状况。若在校外住宿地址或联系方式发生改变时，必须及时通知家长、辅导员。</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3.各二级学院要加强对本学院校外住宿学生的教育、引导和管理，定期了解学生校外住宿期间的情况，定期与学生家长的联系，并建立校外住宿学生档案。</w:t>
      </w:r>
    </w:p>
    <w:p>
      <w:pPr>
        <w:spacing w:line="360" w:lineRule="auto"/>
        <w:ind w:firstLine="643" w:firstLineChars="200"/>
        <w:rPr>
          <w:rFonts w:hint="eastAsia" w:ascii="仿宋" w:hAnsi="仿宋" w:eastAsia="仿宋" w:cs="仿宋"/>
          <w:b/>
          <w:sz w:val="32"/>
          <w:szCs w:val="32"/>
        </w:rPr>
      </w:pPr>
      <w:bookmarkStart w:id="274" w:name="_Toc31148_WPSOffice_Level1"/>
      <w:r>
        <w:rPr>
          <w:rFonts w:hint="eastAsia" w:ascii="仿宋" w:hAnsi="仿宋" w:eastAsia="仿宋" w:cs="仿宋"/>
          <w:b/>
          <w:sz w:val="32"/>
          <w:szCs w:val="32"/>
        </w:rPr>
        <w:t>五、学生校外住宿的办理时间</w:t>
      </w:r>
      <w:bookmarkEnd w:id="274"/>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1.每学年结束前两周为集中办理校外住宿申请审批手续，具体时间由各二级学院通知。为便于宿舍管理和财务收费管理，申请校外住宿期限以整学年计算。</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2.校外住宿的学生如需回校住宿，应在每学期开学前1周向所在二级学院提出书面申请，并到所在二级学院办理回校住宿手续。</w:t>
      </w:r>
    </w:p>
    <w:p>
      <w:pPr>
        <w:spacing w:line="360" w:lineRule="auto"/>
        <w:ind w:firstLine="643" w:firstLineChars="200"/>
        <w:rPr>
          <w:rFonts w:hint="eastAsia" w:ascii="仿宋" w:hAnsi="仿宋" w:eastAsia="仿宋" w:cs="仿宋"/>
          <w:b/>
          <w:sz w:val="32"/>
          <w:szCs w:val="32"/>
        </w:rPr>
      </w:pPr>
      <w:bookmarkStart w:id="275" w:name="_Toc6504_WPSOffice_Level1"/>
      <w:r>
        <w:rPr>
          <w:rFonts w:hint="eastAsia" w:ascii="仿宋" w:hAnsi="仿宋" w:eastAsia="仿宋" w:cs="仿宋"/>
          <w:b/>
          <w:sz w:val="32"/>
          <w:szCs w:val="32"/>
        </w:rPr>
        <w:t>六、附 则</w:t>
      </w:r>
      <w:bookmarkEnd w:id="275"/>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1.本办法自2021年9月1日起实施。</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2.本办法由学生工作处负责解释。</w:t>
      </w:r>
    </w:p>
    <w:p>
      <w:pPr>
        <w:widowControl/>
        <w:jc w:val="center"/>
        <w:rPr>
          <w:rFonts w:hint="eastAsia" w:ascii="仿宋" w:hAnsi="仿宋" w:eastAsia="仿宋" w:cs="仿宋"/>
          <w:b/>
          <w:bCs/>
          <w:sz w:val="32"/>
          <w:szCs w:val="32"/>
        </w:rPr>
      </w:pPr>
    </w:p>
    <w:p>
      <w:pPr>
        <w:widowControl/>
        <w:jc w:val="center"/>
        <w:rPr>
          <w:rFonts w:hint="eastAsia" w:ascii="仿宋" w:hAnsi="仿宋" w:eastAsia="仿宋" w:cs="仿宋"/>
          <w:b/>
          <w:bCs/>
          <w:sz w:val="32"/>
          <w:szCs w:val="32"/>
        </w:rPr>
      </w:pPr>
    </w:p>
    <w:p>
      <w:pPr>
        <w:widowControl/>
        <w:jc w:val="center"/>
        <w:rPr>
          <w:rFonts w:hint="eastAsia" w:ascii="仿宋" w:hAnsi="仿宋" w:eastAsia="仿宋" w:cs="仿宋"/>
          <w:b/>
          <w:bCs/>
          <w:sz w:val="32"/>
          <w:szCs w:val="32"/>
        </w:rPr>
      </w:pPr>
    </w:p>
    <w:p>
      <w:pPr>
        <w:widowControl/>
        <w:jc w:val="center"/>
        <w:rPr>
          <w:rFonts w:hint="eastAsia" w:ascii="仿宋" w:hAnsi="仿宋" w:eastAsia="仿宋" w:cs="仿宋"/>
          <w:b/>
          <w:bCs/>
          <w:sz w:val="32"/>
          <w:szCs w:val="32"/>
        </w:rPr>
      </w:pPr>
    </w:p>
    <w:p>
      <w:pPr>
        <w:widowControl/>
        <w:jc w:val="both"/>
        <w:rPr>
          <w:rFonts w:hint="eastAsia" w:ascii="仿宋" w:hAnsi="仿宋" w:eastAsia="仿宋" w:cs="仿宋"/>
          <w:b/>
          <w:bCs/>
          <w:sz w:val="32"/>
          <w:szCs w:val="32"/>
        </w:rPr>
      </w:pPr>
    </w:p>
    <w:p>
      <w:pPr>
        <w:widowControl/>
        <w:jc w:val="left"/>
        <w:rPr>
          <w:rFonts w:hint="eastAsia" w:ascii="仿宋" w:hAnsi="仿宋" w:eastAsia="仿宋" w:cs="仿宋"/>
          <w:b/>
          <w:bCs/>
          <w:sz w:val="32"/>
          <w:szCs w:val="32"/>
        </w:rPr>
      </w:pPr>
    </w:p>
    <w:p>
      <w:pPr>
        <w:pageBreakBefore w:val="0"/>
        <w:numPr>
          <w:ilvl w:val="0"/>
          <w:numId w:val="0"/>
        </w:numPr>
        <w:kinsoku/>
        <w:overflowPunct/>
        <w:topLinePunct w:val="0"/>
        <w:bidi w:val="0"/>
        <w:outlineLvl w:val="9"/>
        <w:rPr>
          <w:rFonts w:hint="default"/>
          <w:sz w:val="32"/>
          <w:szCs w:val="32"/>
          <w:lang w:val="en-US" w:eastAsia="zh-CN"/>
        </w:rPr>
        <w:sectPr>
          <w:pgSz w:w="11906" w:h="16838"/>
          <w:pgMar w:top="1440" w:right="1474" w:bottom="1440" w:left="158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276" w:name="_Toc51161324"/>
      <w:bookmarkStart w:id="277" w:name="_Toc3211"/>
      <w:bookmarkStart w:id="278" w:name="_Toc3977"/>
      <w:bookmarkStart w:id="279" w:name="_Toc6777"/>
      <w:bookmarkStart w:id="280" w:name="_Toc32269"/>
      <w:bookmarkStart w:id="281" w:name="_Toc7687"/>
      <w:bookmarkStart w:id="282" w:name="_Toc3065_WPSOffice_Level1"/>
      <w:r>
        <w:rPr>
          <w:rFonts w:hint="eastAsia"/>
          <w:b/>
          <w:color w:val="000000"/>
          <w:sz w:val="36"/>
          <w:szCs w:val="36"/>
        </w:rPr>
        <w:t>柳州职业技术学院学生学籍管理规定</w:t>
      </w:r>
      <w:bookmarkEnd w:id="276"/>
      <w:r>
        <w:rPr>
          <w:rFonts w:hint="eastAsia"/>
          <w:b/>
          <w:color w:val="000000"/>
          <w:sz w:val="36"/>
          <w:szCs w:val="36"/>
        </w:rPr>
        <w:t>（修订稿）</w:t>
      </w:r>
      <w:bookmarkEnd w:id="277"/>
      <w:bookmarkEnd w:id="278"/>
      <w:bookmarkEnd w:id="279"/>
      <w:bookmarkEnd w:id="280"/>
      <w:bookmarkEnd w:id="281"/>
      <w:bookmarkEnd w:id="282"/>
    </w:p>
    <w:p>
      <w:pPr>
        <w:pageBreakBefore w:val="0"/>
        <w:widowControl/>
        <w:kinsoku/>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w:t>
      </w:r>
      <w:r>
        <w:rPr>
          <w:rFonts w:hint="eastAsia" w:ascii="仿宋_GB2312" w:eastAsia="仿宋_GB2312"/>
          <w:sz w:val="32"/>
          <w:szCs w:val="32"/>
        </w:rPr>
        <w:t>柳职院教字〔2021〕21号)</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为了贯彻执行党的教育方针，维护学校正常的教学秩序，不断提高教育教学质量，保障学生的合法权益，促进学生德、智、体、美、劳全面发展，培养高素质技术技能型人才。结合我校办学实际情况和实行学分制的具体要求，依据中华人民共和国教育部令41号《普通高等学校学生管理规定》制定本规定。</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83" w:name="_Toc14188_WPSOffice_Level1"/>
      <w:r>
        <w:rPr>
          <w:rFonts w:hint="eastAsia" w:ascii="黑体" w:hAnsi="黑体" w:eastAsia="黑体"/>
          <w:b/>
          <w:sz w:val="32"/>
          <w:szCs w:val="32"/>
        </w:rPr>
        <w:t>第一章  入学与注册</w:t>
      </w:r>
      <w:bookmarkEnd w:id="283"/>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按照国家招生规定由本校录取的新生，须持录取通知书和学校规定的有关证件，按期到校办理入学手续。因故不能按期办理入学手续者，应书面并附相关证明向学校请假，请假一般不得超过两周。未请假或者请假逾期未到校办理相关手续者，除因不可抗力等正当事由以外，视为放弃入学资格。</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第二条 </w:t>
      </w:r>
      <w:r>
        <w:rPr>
          <w:rFonts w:hint="eastAsia" w:ascii="仿宋_GB2312" w:eastAsia="仿宋_GB2312"/>
          <w:sz w:val="32"/>
          <w:szCs w:val="32"/>
        </w:rPr>
        <w:t xml:space="preserve"> 学校在报到时对新生入学资格进行初步审查，审查合格的办理入学手续，予以注册学籍；审查发现新生的录取通知、考生信息等证明材料，与本人实际情况不符，或者有其他违反国家招生考试规定情形的，取消入学资格。</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有以下情况者，新生可以申请保留入学资格：</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1.患有身体疾病，不适合在校学习者；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2.录取后应征参加中国人民解放军（含中国人民武装警察部队）者；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3.开展创新创业实践者；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4.其它有正当理由需要保留入学资格者。</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保留入学资格期限</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1.患有身体疾病，不适合在校学习者，经二级甲等以上医院诊断证明通过短期治疗可以达到健康标准的，由本人申请，学校批准，可准许保留入学资格一年，并回家治疗。</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2.录取后应征入伍者，保留入学资格至退役后2年。</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3.开展创新创业实践者和其它有正当理由需要保留入学资格者，需持有效证件，提供相应的证明材料，经学校审核批准后，可准许保留入学资格，保留的时间最长不超过2年。</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新生在保留入学资格期间不具有学籍，不享受在校生待遇，已报到的学生须在一周内办理离校手续。保留入学资格期满前的学生，须在下学年开学前向学校提交入学申请，符合入学要求者，方可重新办理入学手续。复查不合格或逾期不办理入学手续者，取消入学资格。</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学生入学后三个月内，学校按照国家招生规定进行复查。复查内容主要包括以下方面：</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（一）录取手续及程序等是否合乎国家招生规定；</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（二）所获得的录取资格是否真实、合乎相关规定；</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（三）本人及身份证明与录取通知、考生档案等是否一致；</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（四）身心健康状况是否符合报考专业或者专业类别体检要求，能否保证在校正常学习、生活。</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复查由教务与实训管理处发起，各二级学院、招生就业处、学生工作处配合开展。</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复查中发现学生存在弄虚作假、徇私舞弊等情形的，确定为复查不合格，取消学籍；情节严重的，移交有关部门调查处理。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复查中发现学生身心状况不适宜在校学习，经二级甲等以上医院诊断，需要在家休养的，可以按照第四条的规定申请保留入学资格。</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每学期开学时，学生应当按时到所在的二级学院办理注册手续，经注册后方可取得学籍就读。因故不能如期注册者，应当履行暂缓注册手续。未经请假或未办理任何手续逾期两周不注册者，按退学处理。凡休学、保留学籍或其他原因离校的学生，未办理复学手续，不予注册。</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学生应按学年在规定时间办理缴费手续。因家庭经济困难暂时无法交清费用的学生，可申请缓交、贷款或其他形式的资助，办理相关手续后注册。（缓交、贷款或其他形式的资助仅指学费，其他杂费及代收费必须一次性交清）。不能在缓交期内交清学费者，可申请休学。未办理缴费相关手续、不按时缴纳学费者，不予注册。学生未经注册，学校可认定其参加的各项教学活动无效。</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新生办理入学手续时，填写姓名、民族、身份证号等个人信息均以录取名册和本人档案材料为准。</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84" w:name="_Toc592_WPSOffice_Level1"/>
      <w:r>
        <w:rPr>
          <w:rFonts w:hint="eastAsia" w:ascii="黑体" w:hAnsi="黑体" w:eastAsia="黑体"/>
          <w:b/>
          <w:sz w:val="32"/>
          <w:szCs w:val="32"/>
        </w:rPr>
        <w:t>第二章  学制与修业年限</w:t>
      </w:r>
      <w:bookmarkEnd w:id="284"/>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各专业的学制以教育部或自治区教育厅规定的学制为准。</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学生在校基本修业年限以学制规定的年限为准。我校实施弹性修业年限2-</w:t>
      </w:r>
      <w:r>
        <w:rPr>
          <w:rFonts w:hint="eastAsia" w:ascii="仿宋_GB2312" w:eastAsia="仿宋_GB2312"/>
          <w:sz w:val="32"/>
          <w:szCs w:val="32"/>
        </w:rPr>
        <w:softHyphen/>
      </w:r>
      <w:r>
        <w:rPr>
          <w:rFonts w:hint="eastAsia" w:ascii="仿宋_GB2312" w:eastAsia="仿宋_GB2312"/>
          <w:sz w:val="32"/>
          <w:szCs w:val="32"/>
        </w:rPr>
        <w:t>8年（从录取年份算起，含休学时间），学生须在最长修业年限内完成学校规定的学分要求。</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应征入伍的学生，服役期间不计算在修业年限内；退役后至复学期间（最长不超过2年）不计算在修业年限内。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保留学籍休学创新创业的学生，休学时间不算入其学习年限。</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85" w:name="_Toc30169_WPSOffice_Level1"/>
      <w:r>
        <w:rPr>
          <w:rFonts w:hint="eastAsia" w:ascii="黑体" w:hAnsi="黑体" w:eastAsia="黑体"/>
          <w:b/>
          <w:sz w:val="32"/>
          <w:szCs w:val="32"/>
        </w:rPr>
        <w:t>第三章  考核与成绩记载</w:t>
      </w:r>
      <w:bookmarkEnd w:id="285"/>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学生应当参加学校人才培养方案规定的课程及各种教育教学环节（以下统称课程）的考核，考核成绩及学分均归入本人档案。</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课程考核方法与成绩评定方式由课程管理部门审核确定。</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考核成绩的评定一般采用百分制，某些考查或实践性课程亦可采用五级记分制，即优秀、良好、中等、及格、不及格。五级记分制与百分制的对应换算为：优秀——95分；良好——85分；中等——75分；及格——60分；不及格——50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课程考核成绩在及格以上，即可取得该门课程的学分，不及格没有学分（以0学分记）。</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学生思想品德的考核、鉴定，以《普通高等学校学生管理规定》第四条为主要依据，采取个人小结，师生民主评议等形式进行。</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《体育与健康》为必修课，学生成绩根据考勤、课内教学和课外锻炼活动和体质健康等情况综合评定。</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学生应按要求参加课程考核。凡因故不能按要求参加考核者，必须在考前由本人申请，办理缓考手续，否则以缺考论处。</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申请缓考的学生，按照该门课程补考的时间进行考核，成绩按考核的实际成绩记录。</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缺考、违纪、取消考试资格等情况的成绩记录</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学生未按要求参加课程考核，该门课程考核成绩按0分计，记录为“缺考”；</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学生在考核过程中违纪或作弊，该门课程考核成绩按0分计，记录为“违纪”；</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学生无故缺课累计超过所修课程教学时数三分之一者，或作业缺交达到三分之一者，则取消该门课程考试资格，该门课程考核成绩按0分计，记录为“取消考试资格”。</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第十九条</w:t>
      </w:r>
      <w:r>
        <w:rPr>
          <w:rFonts w:hint="eastAsia" w:ascii="仿宋_GB2312" w:eastAsia="仿宋_GB2312"/>
          <w:sz w:val="32"/>
          <w:szCs w:val="32"/>
        </w:rPr>
        <w:t>　必修课期评成绩不及格者，应在下学期参加补考，补考合格者，成绩按“60分”或“及格”记录，并取得该门课程的学分。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选修课不及格者，可根据已选修的总学分多少重选或改选，直至修满规定的最低选修学分。</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学生参加创新创业、社会实践等活动以及发表论文、获得专利授权等与专业学习、学业要求相关的经历、成果，由学生个人提出申请，经所在二级学院认定，学校审核后，可以折算为学分，计入学业成绩。</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第二十一条 </w:t>
      </w:r>
      <w:r>
        <w:rPr>
          <w:rFonts w:hint="eastAsia" w:ascii="仿宋_GB2312" w:eastAsia="仿宋_GB2312"/>
          <w:sz w:val="32"/>
          <w:szCs w:val="32"/>
        </w:rPr>
        <w:t xml:space="preserve"> 学生根据学校有关规定，可以申请辅修校内其他专业或者选修其他专业课程；可以申请跨校辅修专业或者修读课程，参加学校认可的开放式网络课程学习。学生修读的课程成绩（学分），经学校审核同意后，予以承认。</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学生因退学等情况中止学业，其在校学习期间所修课程及已获得学分，予以记录。学生重新参加入学考试、符合录取条件，再次入学的，其已获得学分，经所在二级学院认定，学校予以承认。</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86" w:name="_Toc10958_WPSOffice_Level1"/>
      <w:r>
        <w:rPr>
          <w:rFonts w:hint="eastAsia" w:ascii="黑体" w:hAnsi="黑体" w:eastAsia="黑体"/>
          <w:b/>
          <w:sz w:val="32"/>
          <w:szCs w:val="32"/>
        </w:rPr>
        <w:t>第四章  课程重修</w:t>
      </w:r>
      <w:bookmarkEnd w:id="286"/>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第二十三条</w:t>
      </w:r>
      <w:r>
        <w:rPr>
          <w:rFonts w:hint="eastAsia" w:ascii="仿宋_GB2312" w:eastAsia="仿宋_GB2312"/>
          <w:sz w:val="32"/>
          <w:szCs w:val="32"/>
        </w:rPr>
        <w:t>　学生在校期间，必修课有以下几种情况者，须参加重修：</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1.缺考；</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2.违纪或作弊；</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3.补考不及格；</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4.被取消考试资格；</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5.纯实训性质的必修课不及格；</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6.重修课程不及格。</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第二十四条</w:t>
      </w:r>
      <w:r>
        <w:rPr>
          <w:rFonts w:hint="eastAsia" w:ascii="仿宋_GB2312" w:eastAsia="仿宋_GB2312"/>
          <w:sz w:val="32"/>
          <w:szCs w:val="32"/>
        </w:rPr>
        <w:t>　需要重修的学生应在每学期开学初，提出申请，办理重修手续，并缴纳重修费用，参加重修课程学习。</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第二十五条</w:t>
      </w:r>
      <w:r>
        <w:rPr>
          <w:rFonts w:hint="eastAsia" w:ascii="仿宋_GB2312" w:eastAsia="仿宋_GB2312"/>
          <w:sz w:val="32"/>
          <w:szCs w:val="32"/>
        </w:rPr>
        <w:t>　参加重修的学生必须按时上课或参加辅导，凡缺课三分之一以上者取消考试资格，未按要求参加课程考核者，按缺考处理。</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第二十六条</w:t>
      </w:r>
      <w:r>
        <w:rPr>
          <w:rFonts w:hint="eastAsia" w:ascii="仿宋_GB2312" w:eastAsia="仿宋_GB2312"/>
          <w:sz w:val="32"/>
          <w:szCs w:val="32"/>
        </w:rPr>
        <w:t>　重修考核合格者，成绩按“60分”或“及格”记录，并取得该门课程的学分。重修考核仍不及格者，可在最长修业年限内申请再次重修。</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87" w:name="_Toc30895_WPSOffice_Level1"/>
      <w:r>
        <w:rPr>
          <w:rFonts w:hint="eastAsia" w:ascii="黑体" w:hAnsi="黑体" w:eastAsia="黑体"/>
          <w:b/>
          <w:sz w:val="32"/>
          <w:szCs w:val="32"/>
        </w:rPr>
        <w:t>第五章  免  修</w:t>
      </w:r>
      <w:bookmarkEnd w:id="287"/>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第二十七条</w:t>
      </w:r>
      <w:r>
        <w:rPr>
          <w:rFonts w:hint="eastAsia" w:ascii="仿宋_GB2312" w:eastAsia="仿宋_GB2312"/>
          <w:sz w:val="32"/>
          <w:szCs w:val="32"/>
        </w:rPr>
        <w:t>　学生在校期间，必修课有以下几种情况者，可申请免修：</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学生参加国民教育系列高等教育自学考试同层次、相同或相近专业正式学习课程考试成绩合格者，可向学生所在的二级学院提出免修申请，经审核通过后，可免修。免修课程成绩以原课程实际得分计，并获得免修课程学分。申请免修的课程学分不得超过专业规定总学分的50%。</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学生通过自学，确已掌握某门课程的内容，且已修的必修课程平均分在80分以上者，可在该课程开课前一学期提出免修申请，同时提交自学该课程的材料，经主讲教师审核、二级学院（部）主管领导同意，由二级学院（部）在课程开课前组织免修考试，成绩在70分以上者方可获准免修，成绩以实际考核分数计，获得相应学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3.在校生（含新生）参军入伍退役后复学或入学，可免修公共体育、军事技能和军事理论等课程，课程成绩按85分计，记录为“免修”。</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思政系列课程、实验及教学实践环节不得免修。《体育与健康》、军事技能课程原则上不得免修。确因身体疾病或某种生理缺陷不能正常参加《体育与健康》、军事技能课程的学习及考核者，由学生本人在开学后两周内办理免修手续，并附二级甲等以上医院证明。经免修课程所在教学团队和二级学院（部）审核批准，报教务与实训管理处复核，符合条件的课程成绩记为“免修”，不作为必修课程。</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88" w:name="_Toc13950_WPSOffice_Level1"/>
      <w:r>
        <w:rPr>
          <w:rFonts w:hint="eastAsia" w:ascii="黑体" w:hAnsi="黑体" w:eastAsia="黑体"/>
          <w:b/>
          <w:sz w:val="32"/>
          <w:szCs w:val="32"/>
        </w:rPr>
        <w:t>第六章  转专业与转学</w:t>
      </w:r>
      <w:bookmarkEnd w:id="288"/>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第二十八条</w:t>
      </w:r>
      <w:r>
        <w:rPr>
          <w:rFonts w:hint="eastAsia" w:ascii="仿宋_GB2312" w:eastAsia="仿宋_GB2312"/>
          <w:sz w:val="32"/>
          <w:szCs w:val="32"/>
        </w:rPr>
        <w:t>　学生应按招生录取时确定的专业就读，有下列情况之一者，可申请转专业：</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1.在学习期间对其他专业有兴趣和专长，转专业更能发挥其专长，且第一学期公共必修课平均分排名在同年级同专业前40%、无补考无重修者；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2.学生入学后发现患有某种疾病或生理缺陷，经学校指定的医疗单位检查证明，不能在原专业学习，但尚能在本校其它专业学习者；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3.经学校认可，学生确有某种特殊困难，不转专业则无法继续学习者；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4.休学后复学时，本专业无后续班级者；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5.应征入伍退役后复学者；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6.休学创新创业后复学者。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学校根据社会对人才需求情况的发展变化，经学生同意，必要时可以适当调整学生所学专业。</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第二十九条</w:t>
      </w:r>
      <w:r>
        <w:rPr>
          <w:rFonts w:hint="eastAsia" w:ascii="仿宋_GB2312" w:eastAsia="仿宋_GB2312"/>
          <w:sz w:val="32"/>
          <w:szCs w:val="32"/>
        </w:rPr>
        <w:t>　学生申请转专业按下列规定办理：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学生本人提出转专业申请，经所在二级学院审核，报招生就业处、教务与实训管理处复核，拟转入二级学院签署意见，报学校审批。学生在校期间，一般只能申请一次转专业；申请转专业时只能填报一个转入专业。</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2.学生转专业手续应在入学第一学期结束前一周申请办理。</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第三十条</w:t>
      </w:r>
      <w:r>
        <w:rPr>
          <w:rFonts w:hint="eastAsia" w:ascii="仿宋_GB2312" w:eastAsia="仿宋_GB2312"/>
          <w:sz w:val="32"/>
          <w:szCs w:val="32"/>
        </w:rPr>
        <w:t>　有下列情况之一者，不允许转专业：</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1.高考为文史类考生申请转入只招收高考理工类考生的专业者；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2.高考为艺术类考生申请转入非艺术类专业，或体育类考生申请转入非体育类专业者；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3.招生时国家已有明确规定不能转专业者（如定向生、国防生等）；</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4.不同招生类别（如普高生、单独招生、对口、3+2、2+3等）之间转专业者；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5.受到记过及以上纪律处分者；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6.未达到拟转入专业身体条件要求者（按当年招生专业身体条件要求）；</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7.无其它正当理由者。</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第三十一条</w:t>
      </w:r>
      <w:r>
        <w:rPr>
          <w:rFonts w:hint="eastAsia" w:ascii="仿宋_GB2312" w:eastAsia="仿宋_GB2312"/>
          <w:sz w:val="32"/>
          <w:szCs w:val="32"/>
        </w:rPr>
        <w:t xml:space="preserve">  转专业学生须按转入专业的标准交纳学费。如新专业标准高于原录取专业标准的，按新专业标准补交一个学期学费差额后予以办理；如新专业标准低于原录取专业标准的，已多交学费留抵下一个学期学费。</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第三十二条</w:t>
      </w:r>
      <w:r>
        <w:rPr>
          <w:rFonts w:hint="eastAsia" w:ascii="仿宋_GB2312" w:eastAsia="仿宋_GB2312"/>
          <w:sz w:val="32"/>
          <w:szCs w:val="32"/>
        </w:rPr>
        <w:t>　学生一般应当在被录取学校完成学业。因患病或者有特殊困难、特别需要，无法继续在本校学习或者不适应本校学习要求的，可以申请转学。有下列情形之一，不得转学：</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1.入学未满一学期或者毕业前一年者；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2.高考成绩低于拟转入学校相关专业同一生源地相应年份录取成绩的；</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3.由低学历层次转为高学历层次的；</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4.以定向就业招生录取的；</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5.无正当转学理由的。</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学生因学校培养条件改变等非本人原因需要转学的，学校出具证明，由广西壮族自治区教育厅协调转学到同层次学校。</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除节假日外，学校全年受理转学申请。转入学生应在接到学校同意转入通知后，在指定时间内到我校办理入学报到手续，逾期视为放弃入学资格。转学手续按照广西壮族自治区教育厅的相关规定办理。</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89" w:name="_Toc32175_WPSOffice_Level1"/>
      <w:r>
        <w:rPr>
          <w:rFonts w:hint="eastAsia" w:ascii="黑体" w:hAnsi="黑体" w:eastAsia="黑体"/>
          <w:b/>
          <w:sz w:val="32"/>
          <w:szCs w:val="32"/>
        </w:rPr>
        <w:t>第七章  休学、保留学籍与复学</w:t>
      </w:r>
      <w:bookmarkEnd w:id="289"/>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第三十三条</w:t>
      </w:r>
      <w:r>
        <w:rPr>
          <w:rFonts w:hint="eastAsia" w:ascii="仿宋_GB2312" w:eastAsia="仿宋_GB2312"/>
          <w:sz w:val="32"/>
          <w:szCs w:val="32"/>
        </w:rPr>
        <w:t>　学生休学一般以1年为期（因病经学校批准，可连续休学两年），学生休学累计不得超过2年。</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第三十四条</w:t>
      </w:r>
      <w:r>
        <w:rPr>
          <w:rFonts w:hint="eastAsia" w:ascii="仿宋_GB2312" w:eastAsia="仿宋_GB2312"/>
          <w:sz w:val="32"/>
          <w:szCs w:val="32"/>
        </w:rPr>
        <w:t>　学生有下列情况之一者，经二级学院审核，教务与实训管理处批准，应办理休学。</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1.因患病经指定医院诊断，须停课治疗、休养占一学期总学时三分之一以上者；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2.根据考勤记录，一学期请假、缺课超过该学期总学时三分之一者；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3.因特殊原因（家庭困难、创业等）需暂时中断学业者。</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第三十五条　</w:t>
      </w:r>
      <w:r>
        <w:rPr>
          <w:rFonts w:hint="eastAsia" w:ascii="仿宋_GB2312" w:eastAsia="仿宋_GB2312"/>
          <w:sz w:val="32"/>
          <w:szCs w:val="32"/>
        </w:rPr>
        <w:t>凡达到退学条件的学生，不得申请休学；凡未取得学籍的新生，不得申请休学。</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第三十六条　</w:t>
      </w:r>
      <w:r>
        <w:rPr>
          <w:rFonts w:hint="eastAsia" w:ascii="仿宋_GB2312" w:eastAsia="仿宋_GB2312"/>
          <w:sz w:val="32"/>
          <w:szCs w:val="32"/>
        </w:rPr>
        <w:t>休学学生的有关问题，按照下列规定办理：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1.休学学生应当办理休学和离校手续；</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2.休学学生，休学期间不享受奖、助学金；</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3.因病休学的学生，应当回家疗养；</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4.学生休学回家，往返路费自理；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5.休学学生的户口、档案不迁出学校；</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6.休学学生不享受在校生待遇。</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第三十七条</w:t>
      </w:r>
      <w:r>
        <w:rPr>
          <w:rFonts w:hint="eastAsia" w:ascii="仿宋_GB2312" w:eastAsia="仿宋_GB2312"/>
          <w:sz w:val="32"/>
          <w:szCs w:val="32"/>
        </w:rPr>
        <w:t xml:space="preserve">  允许学生保留学籍休学创新创业。学生休学创新创业的，可连续休学，申请休学创新创业的次数不得超过2次且累计休学时间不得超过3年，其创新创业休学时间不算入其学习年限。</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第三十八条</w:t>
      </w:r>
      <w:r>
        <w:rPr>
          <w:rFonts w:hint="eastAsia" w:ascii="仿宋_GB2312" w:eastAsia="仿宋_GB2312"/>
          <w:sz w:val="32"/>
          <w:szCs w:val="32"/>
        </w:rPr>
        <w:t xml:space="preserve">  学生应征参加中国人民解放军（含中国人民武装警察部队），应在获得入伍通知书后两周内向学校申请保留学籍，学校可保留其学籍至退役后两年，其保留学籍时间不算入其学习年限。</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学生参加学校组织的跨校联合培养项目，在联合培养学校学习期间，学校同时为其保留学籍。</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学生保留学籍期间，与其实际所在的部队、学校等组织建立管理关系。</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第三十九条</w:t>
      </w:r>
      <w:r>
        <w:rPr>
          <w:rFonts w:hint="eastAsia" w:ascii="仿宋_GB2312" w:eastAsia="仿宋_GB2312"/>
          <w:sz w:val="32"/>
          <w:szCs w:val="32"/>
        </w:rPr>
        <w:t>　学生应在休学手续单上指定复学时间之前，向学校申请复学。学生复学按下列规定办理：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1.因伤病休学的学生，申请复学时必须由县级以上医院诊断、证明恢复健康，并经学校复查合格，方可复学；对于患特殊疾病的学生，回校后还须到学校指定的医院复查，合格方可复学；</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2.学生应征参加中国人民解放军（含中国人民武装警察部队）的，在退役后2年内凭退役证或退伍证明等相关材料办理复学手续。</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学生复学后编入原专业的低一年级学习，低一年级若无原学习专业时，编入低一年级相近专业学习，原则上应按编入年级、专业的人才培养方案要求完成学业。原考核通过的课程可申请免修，免修课程成绩按原考核得分计，记录为“免修”。</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4.休学期间，如有严重违法乱纪行为者，取消复学资格。</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第四十条</w:t>
      </w:r>
      <w:r>
        <w:rPr>
          <w:rFonts w:hint="eastAsia" w:ascii="仿宋_GB2312" w:eastAsia="仿宋_GB2312"/>
          <w:sz w:val="32"/>
          <w:szCs w:val="32"/>
        </w:rPr>
        <w:t>　学生在保留入学资格、保留学籍、休学期间，不得参加本校考试。</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第四十一条</w:t>
      </w:r>
      <w:r>
        <w:rPr>
          <w:rFonts w:hint="eastAsia" w:ascii="仿宋_GB2312" w:eastAsia="仿宋_GB2312"/>
          <w:sz w:val="32"/>
          <w:szCs w:val="32"/>
        </w:rPr>
        <w:t xml:space="preserve">  学生休学复学手续应报学校财务处，并办理相关的费用结算。</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90" w:name="_Toc372_WPSOffice_Level1"/>
      <w:r>
        <w:rPr>
          <w:rFonts w:hint="eastAsia" w:ascii="黑体" w:hAnsi="黑体" w:eastAsia="黑体"/>
          <w:b/>
          <w:sz w:val="32"/>
          <w:szCs w:val="32"/>
        </w:rPr>
        <w:t>第八章    专升本、学业警示及转入低一年级</w:t>
      </w:r>
      <w:bookmarkEnd w:id="290"/>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第四十二条</w:t>
      </w:r>
      <w:r>
        <w:rPr>
          <w:rFonts w:hint="eastAsia" w:ascii="仿宋_GB2312" w:eastAsia="仿宋_GB2312"/>
          <w:sz w:val="32"/>
          <w:szCs w:val="32"/>
        </w:rPr>
        <w:t xml:space="preserve">  学生按规定经过一定选拔程序可以升入本科学习（具体规定按有关政策执行）。</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第四十三条</w:t>
      </w:r>
      <w:r>
        <w:rPr>
          <w:rFonts w:hint="eastAsia" w:ascii="仿宋_GB2312" w:eastAsia="仿宋_GB2312"/>
          <w:sz w:val="32"/>
          <w:szCs w:val="32"/>
        </w:rPr>
        <w:t xml:space="preserve">  学生一学期内未通过考核的必修课程达2门及以上或学分达6分及以上者，给予学业警示；</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学生入学后累计未通过考核的必修课程达4门及以上或学分达12分及以上者，给予学业警示。</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第四十四条</w:t>
      </w:r>
      <w:r>
        <w:rPr>
          <w:rFonts w:hint="eastAsia" w:ascii="仿宋_GB2312" w:eastAsia="仿宋_GB2312"/>
          <w:sz w:val="32"/>
          <w:szCs w:val="32"/>
        </w:rPr>
        <w:t>　学生一学年内累计未通过考核的必修课程达6门及以上或学分达18分及以上者，应转入低一年级；</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学生入学后累计未通过考核的必修课程达8门及以上或学分达24分及以上者，应转入低一年级。</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第四十五条</w:t>
      </w:r>
      <w:r>
        <w:rPr>
          <w:rFonts w:hint="eastAsia" w:ascii="仿宋_GB2312" w:eastAsia="仿宋_GB2312"/>
          <w:sz w:val="32"/>
          <w:szCs w:val="32"/>
        </w:rPr>
        <w:t xml:space="preserve">  学生未通过考核的必修课程门数按下列规定计算：</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1.期评成绩不及格且未参加补考、重修的必修课程按一门计算；</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2.期评成绩不及格且经补考、重修仍不及格的必修课程按一门计算；</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3.已报名参加重修，但尚未完成考核的必修课程按一门计算；</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4.跨学期讲授且每个学期分别进行考核的必修课程，每学期各按一门课程计算；</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5.凡单独设置、单列成绩的实验、实训和其它实践教学环节，各按一门课程计算；</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6.毕业设计（论文）、各阶段顶岗实习分别按一门课程计算；</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7.选修课、辅修课程、因身体疾病等特殊原因不能参加的公共体育课或军事技能课程不及格不计入未通过考核必修课程门数。</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第四十六条</w:t>
      </w:r>
      <w:r>
        <w:rPr>
          <w:rFonts w:hint="eastAsia" w:ascii="仿宋_GB2312" w:eastAsia="仿宋_GB2312"/>
          <w:sz w:val="32"/>
          <w:szCs w:val="32"/>
        </w:rPr>
        <w:t>　学生因学习困难或有其它特殊情况，可申请转入低一年级。</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第四十七条</w:t>
      </w:r>
      <w:r>
        <w:rPr>
          <w:rFonts w:hint="eastAsia" w:ascii="仿宋_GB2312" w:eastAsia="仿宋_GB2312"/>
          <w:sz w:val="32"/>
          <w:szCs w:val="32"/>
        </w:rPr>
        <w:t>　凡达到转入低一年级条件的学生，由所在二级学院提交审核材料，报学生工作处、教务与实训管理处审核批准，编入低一年级相同或相近的专业进行学习。</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第四十八条</w:t>
      </w:r>
      <w:r>
        <w:rPr>
          <w:rFonts w:hint="eastAsia" w:ascii="仿宋_GB2312" w:eastAsia="仿宋_GB2312"/>
          <w:sz w:val="32"/>
          <w:szCs w:val="32"/>
        </w:rPr>
        <w:t xml:space="preserve">  转入低一年级的学生应按转入后的专业人才培养方案要求完成学业，并按该专业的收费标准缴费；原考核通过的课程可申请免修，免修课程成绩按原考核得分计，记录为“免修”。</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第四十九条</w:t>
      </w:r>
      <w:r>
        <w:rPr>
          <w:rFonts w:hint="eastAsia" w:ascii="仿宋_GB2312" w:eastAsia="仿宋_GB2312"/>
          <w:sz w:val="32"/>
          <w:szCs w:val="32"/>
        </w:rPr>
        <w:t xml:space="preserve">  学生在校期间转入低一年级以一次为限。原则上，毕业年级的学生不再转入低一年级。</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91" w:name="_Toc6283_WPSOffice_Level1"/>
      <w:r>
        <w:rPr>
          <w:rFonts w:hint="eastAsia" w:ascii="黑体" w:hAnsi="黑体" w:eastAsia="黑体"/>
          <w:b/>
          <w:sz w:val="32"/>
          <w:szCs w:val="32"/>
        </w:rPr>
        <w:t>第九章  退  学</w:t>
      </w:r>
      <w:bookmarkEnd w:id="291"/>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第五十条</w:t>
      </w:r>
      <w:r>
        <w:rPr>
          <w:rFonts w:hint="eastAsia" w:ascii="仿宋_GB2312" w:eastAsia="仿宋_GB2312"/>
          <w:sz w:val="32"/>
          <w:szCs w:val="32"/>
        </w:rPr>
        <w:t xml:space="preserve">  学生有下列情形之一者，应给予退学：</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1.在学校规定的学习年限内未完成学业者；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2.休学、保留学籍期满，在学校规定期限内未提出复学申请或者申请复学经复查不合格者；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3.未请假离校连续两周且未参加学校规定教学活动者；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4.经学校指定医院诊断，患有疾病或者意外伤残无法继续在校学习者；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5.超过学校规定期限未注册而又未办理暂缓注册手续且无正当事由者；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6.应征入伍未在退役后2年内申请复学者；</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7.在学校规定的学习年限内，未通过考核的必修课程门数累计达12门及以上或者学分达36分及以上者；</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第五十一条</w:t>
      </w:r>
      <w:r>
        <w:rPr>
          <w:rFonts w:hint="eastAsia" w:ascii="仿宋_GB2312" w:eastAsia="仿宋_GB2312"/>
          <w:sz w:val="32"/>
          <w:szCs w:val="32"/>
        </w:rPr>
        <w:t>　凡因上述原因退学的学生，由学生所在二级学院提出申请并附有关材料，经学生工作处、教务与实训管理处审核，报校长办公会研究决定。被退学的学生，学校将出具退学决定书送交本人，并通知家长（监护人），无法送达的在校内公告视同送达。</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学生本人申请退学的，经学生工作处、教务与实训管理处审核同意后，办理退学手续。</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第五十二条</w:t>
      </w:r>
      <w:r>
        <w:rPr>
          <w:rFonts w:hint="eastAsia" w:ascii="仿宋_GB2312" w:eastAsia="仿宋_GB2312"/>
          <w:sz w:val="32"/>
          <w:szCs w:val="32"/>
        </w:rPr>
        <w:t xml:space="preserve">  学生退学的后续问题，按下列规定办理：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1.退学的学生，必须在退学决定书送达或公告之日起两周内办理手续离校，档案、户口退回其家庭户籍所在地；</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2.经诊断为精神疾病等不符合在校学习者（包括意外致残），由家长或监护人负责领回；</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3.退学的学生，不得申请复学；</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4.学生对退学处理有异议的，参照《柳州职业技术学院学生管理规定》有关条款办理。</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92" w:name="_Toc8388_WPSOffice_Level1"/>
      <w:r>
        <w:rPr>
          <w:rFonts w:hint="eastAsia" w:ascii="黑体" w:hAnsi="黑体" w:eastAsia="黑体"/>
          <w:b/>
          <w:sz w:val="32"/>
          <w:szCs w:val="32"/>
        </w:rPr>
        <w:t>第十章  毕业 、结业与肄业</w:t>
      </w:r>
      <w:bookmarkEnd w:id="292"/>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第五十三条</w:t>
      </w:r>
      <w:r>
        <w:rPr>
          <w:rFonts w:hint="eastAsia" w:ascii="仿宋_GB2312" w:eastAsia="仿宋_GB2312"/>
          <w:sz w:val="32"/>
          <w:szCs w:val="32"/>
        </w:rPr>
        <w:t>　学生在学校规定年限内，通过</w:t>
      </w:r>
      <w:r>
        <w:fldChar w:fldCharType="begin"/>
      </w:r>
      <w:r>
        <w:instrText xml:space="preserve"> HYPERLINK "http://www.so.com/s?q=%E5%AD%A6%E7%B1%8D&amp;ie=utf-8&amp;src=wenda_link" \t "_blank" </w:instrText>
      </w:r>
      <w:r>
        <w:fldChar w:fldCharType="separate"/>
      </w:r>
      <w:r>
        <w:rPr>
          <w:rFonts w:hint="eastAsia" w:ascii="仿宋_GB2312" w:eastAsia="仿宋_GB2312"/>
          <w:sz w:val="32"/>
          <w:szCs w:val="32"/>
        </w:rPr>
        <w:t>学籍</w:t>
      </w:r>
      <w:r>
        <w:rPr>
          <w:rFonts w:hint="eastAsia" w:ascii="仿宋_GB2312" w:eastAsia="仿宋_GB2312"/>
          <w:sz w:val="32"/>
          <w:szCs w:val="32"/>
        </w:rPr>
        <w:fldChar w:fldCharType="end"/>
      </w:r>
      <w:r>
        <w:rPr>
          <w:rFonts w:hint="eastAsia" w:ascii="仿宋_GB2312" w:eastAsia="仿宋_GB2312"/>
          <w:sz w:val="32"/>
          <w:szCs w:val="32"/>
        </w:rPr>
        <w:t>注册，修完人才培养方案规定内容，并达到毕业学分要求及其它毕业规定要求，且无纪律处分者，准予毕业，颁发毕业证书。</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学生成绩优秀，提前完成人才培养计划规定的全部内容，获得毕业所要求的学分，达到毕业规定要求，可以根据学校有关规定申请提前毕业。</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第五十四条</w:t>
      </w:r>
      <w:r>
        <w:rPr>
          <w:rFonts w:hint="eastAsia" w:ascii="仿宋_GB2312" w:eastAsia="仿宋_GB2312"/>
          <w:sz w:val="32"/>
          <w:szCs w:val="32"/>
        </w:rPr>
        <w:t>　学生在学校规定的基本修业年限内，修完人才培养方案规定的内容，但未达到学校毕业要求，作结业处理，发给结业证书。</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结业的学生，在学校规定最长修业年限内（含休学），可回学校申请重修，经考核达到毕业要求的，换发毕业证书。合格后颁发的毕业证书，毕业时间按照发证日期填写。</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第五十五条</w:t>
      </w:r>
      <w:r>
        <w:rPr>
          <w:rFonts w:hint="eastAsia" w:ascii="仿宋_GB2312" w:eastAsia="仿宋_GB2312"/>
          <w:sz w:val="32"/>
          <w:szCs w:val="32"/>
        </w:rPr>
        <w:t>　在校学习时间达一学年以上退学的学生，经本人申请，颁发肄业证书；在校学习时间未达一学年的学生，经本人申请，学校可开具写实性学习证明。</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第五十六条　</w:t>
      </w:r>
      <w:r>
        <w:rPr>
          <w:rFonts w:hint="eastAsia" w:ascii="仿宋_GB2312" w:eastAsia="仿宋_GB2312"/>
          <w:sz w:val="32"/>
          <w:szCs w:val="32"/>
        </w:rPr>
        <w:t>对违反国家招生规定入学者，学校不得发给学历证书；已发的学历证书，学校应当予以追回并报教育行政部门宣布证书无效。</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第五十七条</w:t>
      </w:r>
      <w:r>
        <w:rPr>
          <w:rFonts w:hint="eastAsia" w:ascii="仿宋_GB2312" w:eastAsia="仿宋_GB2312"/>
          <w:sz w:val="32"/>
          <w:szCs w:val="32"/>
        </w:rPr>
        <w:t>　毕业、结业、肄业证书遗失或者损坏，经本人申请，学校核实后可出具相应的证明书。证明书与原证书具有同等效力。</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93" w:name="_Toc16778_WPSOffice_Level1"/>
      <w:r>
        <w:rPr>
          <w:rFonts w:hint="eastAsia" w:ascii="黑体" w:hAnsi="黑体" w:eastAsia="黑体"/>
          <w:b/>
          <w:sz w:val="32"/>
          <w:szCs w:val="32"/>
        </w:rPr>
        <w:t>第十一章  学分奖励</w:t>
      </w:r>
      <w:bookmarkEnd w:id="293"/>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第五十八条</w:t>
      </w:r>
      <w:r>
        <w:rPr>
          <w:rFonts w:hint="eastAsia" w:ascii="仿宋_GB2312" w:eastAsia="仿宋_GB2312"/>
          <w:sz w:val="32"/>
          <w:szCs w:val="32"/>
        </w:rPr>
        <w:t xml:space="preserve">  学校鼓励学生积极参与各类专业技能竞赛、创新创业竞赛，英语口语、数学建模等学科竞赛，鼓励学生积极开展科学研究、发明创造、创业实践等创新创业活动，对取得成果者给予一定的学分奖励。具体见《柳州职业技术学院学生专业技能竞赛经费管理和奖励办法》、《柳州职业技术学院创新创业活动学分奖励管理办法》等相关管理办法。</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294" w:name="_Toc3351_WPSOffice_Level1"/>
      <w:r>
        <w:rPr>
          <w:rFonts w:hint="eastAsia" w:ascii="黑体" w:hAnsi="黑体" w:eastAsia="黑体"/>
          <w:b/>
          <w:sz w:val="32"/>
          <w:szCs w:val="32"/>
        </w:rPr>
        <w:t>第十二章  附  则</w:t>
      </w:r>
      <w:bookmarkEnd w:id="294"/>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第五十九条</w:t>
      </w:r>
      <w:r>
        <w:rPr>
          <w:rFonts w:hint="eastAsia" w:ascii="仿宋_GB2312" w:eastAsia="仿宋_GB2312"/>
          <w:sz w:val="32"/>
          <w:szCs w:val="32"/>
        </w:rPr>
        <w:t xml:space="preserve">  本规定适用于我校高等职业教育专科全日制的学生学籍管理。本规定自2021年9月1日起实施，若之前其他文件规定内容与本规定不符的，以本规定为准。</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第六十条</w:t>
      </w:r>
      <w:r>
        <w:rPr>
          <w:rFonts w:hint="eastAsia" w:ascii="仿宋_GB2312" w:eastAsia="仿宋_GB2312"/>
          <w:sz w:val="32"/>
          <w:szCs w:val="32"/>
        </w:rPr>
        <w:t>　本规定由教务与实训管理处进行解释。</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第六十一条</w:t>
      </w:r>
      <w:r>
        <w:rPr>
          <w:rFonts w:hint="eastAsia" w:ascii="仿宋_GB2312" w:eastAsia="仿宋_GB2312"/>
          <w:sz w:val="32"/>
          <w:szCs w:val="32"/>
        </w:rPr>
        <w:t xml:space="preserve">  本规定如有与上级教育行政主管部门颁布的学籍管理规定相抵触者，以上级颁布的规定为准。</w:t>
      </w:r>
    </w:p>
    <w:p>
      <w:pPr>
        <w:pageBreakBefore w:val="0"/>
        <w:widowControl/>
        <w:kinsoku/>
        <w:overflowPunct/>
        <w:topLinePunct w:val="0"/>
        <w:bidi w:val="0"/>
        <w:jc w:val="left"/>
        <w:outlineLvl w:val="9"/>
        <w:rPr>
          <w:rFonts w:ascii="仿宋_GB2312" w:eastAsia="仿宋_GB2312"/>
          <w:bCs/>
          <w:sz w:val="32"/>
          <w:szCs w:val="32"/>
        </w:rPr>
      </w:pPr>
      <w:r>
        <w:rPr>
          <w:rFonts w:ascii="仿宋_GB2312" w:eastAsia="仿宋_GB2312"/>
          <w:bCs/>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295" w:name="_Toc8041"/>
      <w:bookmarkStart w:id="296" w:name="_Toc15567"/>
      <w:bookmarkStart w:id="297" w:name="_Toc12636"/>
      <w:bookmarkStart w:id="298" w:name="_Toc21061_WPSOffice_Level1"/>
      <w:bookmarkStart w:id="299" w:name="_Toc21370"/>
      <w:bookmarkStart w:id="300" w:name="_Toc534377794"/>
      <w:r>
        <w:rPr>
          <w:rFonts w:hint="eastAsia"/>
          <w:b/>
          <w:color w:val="000000"/>
          <w:sz w:val="36"/>
          <w:szCs w:val="36"/>
        </w:rPr>
        <w:t>柳州职业技术学院学生实习管理办法</w:t>
      </w:r>
      <w:bookmarkEnd w:id="295"/>
      <w:bookmarkEnd w:id="296"/>
      <w:bookmarkEnd w:id="297"/>
      <w:bookmarkEnd w:id="298"/>
      <w:bookmarkEnd w:id="299"/>
      <w:bookmarkEnd w:id="300"/>
    </w:p>
    <w:p>
      <w:pPr>
        <w:pStyle w:val="10"/>
        <w:pageBreakBefore w:val="0"/>
        <w:kinsoku/>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（柳职院教字〔2017〕4号）</w:t>
      </w:r>
    </w:p>
    <w:p>
      <w:pPr>
        <w:pageBreakBefore w:val="0"/>
        <w:kinsoku/>
        <w:overflowPunct/>
        <w:topLinePunct w:val="0"/>
        <w:bidi w:val="0"/>
        <w:spacing w:line="580" w:lineRule="exact"/>
        <w:jc w:val="center"/>
        <w:outlineLvl w:val="9"/>
        <w:rPr>
          <w:rFonts w:ascii="宋体" w:hAnsi="宋体" w:cs="宋体"/>
          <w:b/>
          <w:bCs/>
          <w:color w:val="000000"/>
          <w:kern w:val="0"/>
          <w:sz w:val="36"/>
          <w:szCs w:val="36"/>
        </w:rPr>
      </w:pPr>
    </w:p>
    <w:p>
      <w:pPr>
        <w:pageBreakBefore w:val="0"/>
        <w:kinsoku/>
        <w:overflowPunct/>
        <w:topLinePunct w:val="0"/>
        <w:bidi w:val="0"/>
        <w:spacing w:line="580" w:lineRule="exact"/>
        <w:ind w:firstLine="643" w:firstLineChars="200"/>
        <w:jc w:val="center"/>
        <w:outlineLvl w:val="9"/>
        <w:rPr>
          <w:rFonts w:ascii="黑体" w:hAnsi="黑体" w:eastAsia="黑体"/>
          <w:b/>
          <w:sz w:val="32"/>
          <w:szCs w:val="32"/>
        </w:rPr>
      </w:pPr>
      <w:bookmarkStart w:id="301" w:name="_Toc14054_WPSOffice_Level1"/>
      <w:r>
        <w:rPr>
          <w:rFonts w:hint="eastAsia" w:ascii="黑体" w:hAnsi="黑体" w:eastAsia="黑体"/>
          <w:b/>
          <w:sz w:val="32"/>
          <w:szCs w:val="32"/>
        </w:rPr>
        <w:t>第一章</w:t>
      </w:r>
      <w:r>
        <w:rPr>
          <w:rFonts w:ascii="黑体" w:hAnsi="黑体" w:eastAsia="黑体"/>
          <w:b/>
          <w:sz w:val="32"/>
          <w:szCs w:val="32"/>
        </w:rPr>
        <w:t xml:space="preserve"> </w:t>
      </w:r>
      <w:r>
        <w:rPr>
          <w:rFonts w:hint="eastAsia" w:ascii="黑体" w:hAnsi="黑体" w:eastAsia="黑体"/>
          <w:b/>
          <w:sz w:val="32"/>
          <w:szCs w:val="32"/>
        </w:rPr>
        <w:t xml:space="preserve">   总则</w:t>
      </w:r>
      <w:bookmarkEnd w:id="301"/>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第一条</w:t>
      </w:r>
      <w:r>
        <w:rPr>
          <w:rFonts w:ascii="仿宋_GB2312" w:eastAsia="仿宋_GB2312"/>
          <w:sz w:val="32"/>
          <w:szCs w:val="32"/>
        </w:rPr>
        <w:t xml:space="preserve">  </w:t>
      </w:r>
      <w:r>
        <w:rPr>
          <w:rFonts w:hint="eastAsia" w:ascii="仿宋_GB2312" w:eastAsia="仿宋_GB2312"/>
          <w:sz w:val="32"/>
          <w:szCs w:val="32"/>
        </w:rPr>
        <w:t>为规范和加强学生实习工作，维护学生、学校、实习单位的合法权益，提高技术技能人才培养质量，增强学生社会责任感、创新精神和实践能力，更好服务产业转型升级需要，依据教育部、财政部、人力资源社会保障部、安全监管总局、中国保监会五部门印发的《职业学校学生实习管理规定》（教职成</w:t>
      </w:r>
      <w:r>
        <w:rPr>
          <w:rFonts w:ascii="仿宋_GB2312" w:eastAsia="仿宋_GB2312"/>
          <w:sz w:val="32"/>
          <w:szCs w:val="32"/>
        </w:rPr>
        <w:t>[2016]3</w:t>
      </w:r>
      <w:r>
        <w:rPr>
          <w:rFonts w:hint="eastAsia" w:ascii="仿宋_GB2312" w:eastAsia="仿宋_GB2312"/>
          <w:sz w:val="32"/>
          <w:szCs w:val="32"/>
        </w:rPr>
        <w:t>号）和学校的实际情况，制定本管理办法。</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第二条</w:t>
      </w:r>
      <w:r>
        <w:rPr>
          <w:rFonts w:ascii="仿宋_GB2312" w:eastAsia="仿宋_GB2312"/>
          <w:sz w:val="32"/>
          <w:szCs w:val="32"/>
        </w:rPr>
        <w:t xml:space="preserve">  </w:t>
      </w:r>
      <w:r>
        <w:rPr>
          <w:rFonts w:hint="eastAsia" w:ascii="仿宋_GB2312" w:eastAsia="仿宋_GB2312"/>
          <w:sz w:val="32"/>
          <w:szCs w:val="32"/>
        </w:rPr>
        <w:t>本管理办法所指实习，是指实施全日制学历教育的学生按照专业培养目标要求和人才培养方案安排，由学校安排或者经学校批准自行到企（事）业等单位（以下简称实习单位）进行专业技能培养的实践性教育教学活动，包括认识实习、跟岗实习、顶岗实习等形式。</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认识实习是指学生由学校组织到实习单位参观、观摩和体验，形成对实习单位和相关岗位的初步认识的活动。</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跟岗实习是指不具有独立操作能力、不能完全适应实习岗位要求的学生，由学校组织到实习单位的相应岗位，在专业人员指导下部分参与实际辅助工作的活动。</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顶岗实习是指初步具备实践岗位独立工作能力的学生，到相应实习岗位，相对独立参与实际工作的活动。</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学生实习是实现培养目标，增强学生综合能力的基本环节，应当科学组织、依法实施，遵循学生成长规律和职业能力形成规律，保护学生合法权益；应当坚持理论与实践相结合，强化校企协同育人，将职业精神养成教育贯穿学生实习全过程，促进职业技能与职业精神高度融合，服务学生全面发展，提高技术技能人才培养质量和就业创业能力。</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第四条</w:t>
      </w:r>
      <w:r>
        <w:rPr>
          <w:rFonts w:ascii="仿宋_GB2312" w:eastAsia="仿宋_GB2312"/>
          <w:sz w:val="32"/>
          <w:szCs w:val="32"/>
        </w:rPr>
        <w:t xml:space="preserve">  </w:t>
      </w:r>
      <w:r>
        <w:rPr>
          <w:rFonts w:hint="eastAsia" w:ascii="仿宋_GB2312" w:eastAsia="仿宋_GB2312"/>
          <w:sz w:val="32"/>
          <w:szCs w:val="32"/>
        </w:rPr>
        <w:t>学生实习采用课程化的管理方式，如无特别规定和说明，则按照课程管理的有关制度和规定执行。</w:t>
      </w:r>
    </w:p>
    <w:p>
      <w:pPr>
        <w:pageBreakBefore w:val="0"/>
        <w:kinsoku/>
        <w:overflowPunct/>
        <w:topLinePunct w:val="0"/>
        <w:bidi w:val="0"/>
        <w:spacing w:line="580" w:lineRule="exact"/>
        <w:jc w:val="center"/>
        <w:outlineLvl w:val="9"/>
        <w:rPr>
          <w:rFonts w:ascii="黑体" w:hAnsi="黑体" w:eastAsia="黑体"/>
          <w:b/>
          <w:sz w:val="32"/>
          <w:szCs w:val="32"/>
        </w:rPr>
      </w:pPr>
      <w:bookmarkStart w:id="302" w:name="_Toc10611_WPSOffice_Level1"/>
      <w:r>
        <w:rPr>
          <w:rFonts w:hint="eastAsia" w:ascii="黑体" w:hAnsi="黑体" w:eastAsia="黑体"/>
          <w:b/>
          <w:sz w:val="32"/>
          <w:szCs w:val="32"/>
        </w:rPr>
        <w:t>第二章</w:t>
      </w:r>
      <w:r>
        <w:rPr>
          <w:rFonts w:ascii="黑体" w:hAnsi="黑体" w:eastAsia="黑体"/>
          <w:b/>
          <w:sz w:val="32"/>
          <w:szCs w:val="32"/>
        </w:rPr>
        <w:t xml:space="preserve"> </w:t>
      </w:r>
      <w:r>
        <w:rPr>
          <w:rFonts w:hint="eastAsia" w:ascii="黑体" w:hAnsi="黑体" w:eastAsia="黑体"/>
          <w:b/>
          <w:sz w:val="32"/>
          <w:szCs w:val="32"/>
        </w:rPr>
        <w:t xml:space="preserve">   实习组织</w:t>
      </w:r>
      <w:bookmarkEnd w:id="302"/>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第五条</w:t>
      </w:r>
      <w:r>
        <w:rPr>
          <w:rFonts w:ascii="仿宋_GB2312" w:eastAsia="仿宋_GB2312"/>
          <w:sz w:val="32"/>
          <w:szCs w:val="32"/>
        </w:rPr>
        <w:t xml:space="preserve">  </w:t>
      </w:r>
      <w:r>
        <w:rPr>
          <w:rFonts w:hint="eastAsia" w:ascii="仿宋_GB2312" w:eastAsia="仿宋_GB2312"/>
          <w:sz w:val="32"/>
          <w:szCs w:val="32"/>
        </w:rPr>
        <w:t>学生实习接受教育行政部门、主管部门的统筹指导、监督管理，根据教育行政部门、主管部门的要求，将学生跟岗实习、顶岗实习情况报主管部门备案等。二级学院报教务与实训管理处，教务与实训管理处报上级主管部门备案。</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第六条</w:t>
      </w:r>
      <w:r>
        <w:rPr>
          <w:rFonts w:ascii="仿宋_GB2312" w:eastAsia="仿宋_GB2312"/>
          <w:sz w:val="32"/>
          <w:szCs w:val="32"/>
        </w:rPr>
        <w:t xml:space="preserve">  </w:t>
      </w:r>
      <w:r>
        <w:rPr>
          <w:rFonts w:hint="eastAsia" w:ascii="仿宋_GB2312" w:eastAsia="仿宋_GB2312"/>
          <w:sz w:val="32"/>
          <w:szCs w:val="32"/>
        </w:rPr>
        <w:t>教务与实训管理处是学生实习的业务管理部门，负责全校学生实习规划，审核实习计划，审核实习协议，指导和帮助二级学院建立健全实习管理制度，协调不同部门间的工作。</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第七条</w:t>
      </w:r>
      <w:r>
        <w:rPr>
          <w:rFonts w:ascii="仿宋_GB2312" w:eastAsia="仿宋_GB2312"/>
          <w:sz w:val="32"/>
          <w:szCs w:val="32"/>
        </w:rPr>
        <w:t xml:space="preserve">  </w:t>
      </w:r>
      <w:r>
        <w:rPr>
          <w:rFonts w:hint="eastAsia" w:ascii="仿宋_GB2312" w:eastAsia="仿宋_GB2312"/>
          <w:sz w:val="32"/>
          <w:szCs w:val="32"/>
        </w:rPr>
        <w:t>校企合作处、就业处负责指导和帮助二级学院选择和联系实习单位，审核实习协议，处理学校和实习单位之间产生的与实习协议有关的条款变更、赔偿纠纷等。</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第八条</w:t>
      </w:r>
      <w:r>
        <w:rPr>
          <w:rFonts w:ascii="仿宋_GB2312" w:eastAsia="仿宋_GB2312"/>
          <w:sz w:val="32"/>
          <w:szCs w:val="32"/>
        </w:rPr>
        <w:t xml:space="preserve">  </w:t>
      </w:r>
      <w:r>
        <w:rPr>
          <w:rFonts w:hint="eastAsia" w:ascii="仿宋_GB2312" w:eastAsia="仿宋_GB2312"/>
          <w:sz w:val="32"/>
          <w:szCs w:val="32"/>
        </w:rPr>
        <w:t>学生工作处负责实习学生的实习责任保险相关事务，审核实习协议，指导和帮助二级学院做好实习过程中学生的思想工作、心理调适、安全纪律教育等；指导和帮助二级学院处理实习过程中的各种突发事件。</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第九条</w:t>
      </w:r>
      <w:r>
        <w:rPr>
          <w:rFonts w:ascii="仿宋_GB2312" w:eastAsia="仿宋_GB2312"/>
          <w:sz w:val="32"/>
          <w:szCs w:val="32"/>
        </w:rPr>
        <w:t xml:space="preserve">  </w:t>
      </w:r>
      <w:r>
        <w:rPr>
          <w:rFonts w:hint="eastAsia" w:ascii="仿宋_GB2312" w:eastAsia="仿宋_GB2312"/>
          <w:sz w:val="32"/>
          <w:szCs w:val="32"/>
        </w:rPr>
        <w:t>二级学院是学生实习的具体实施单位。负责考察遴选实习单位，制定实习计划，选派指导教师、制定应急预案、协商签订实习协议、开展安全教育、学生成绩考核、实习过程管理、实习工作总结等工作。学生实习工作流程见附件</w:t>
      </w:r>
      <w:r>
        <w:rPr>
          <w:rFonts w:ascii="仿宋_GB2312" w:eastAsia="仿宋_GB2312"/>
          <w:sz w:val="32"/>
          <w:szCs w:val="32"/>
        </w:rPr>
        <w:t>1</w:t>
      </w:r>
      <w:r>
        <w:rPr>
          <w:rFonts w:hint="eastAsia" w:ascii="仿宋_GB2312" w:eastAsia="仿宋_GB2312"/>
          <w:sz w:val="32"/>
          <w:szCs w:val="32"/>
        </w:rPr>
        <w:t>。</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第十条</w:t>
      </w:r>
      <w:r>
        <w:rPr>
          <w:rFonts w:ascii="仿宋_GB2312" w:eastAsia="仿宋_GB2312"/>
          <w:sz w:val="32"/>
          <w:szCs w:val="32"/>
        </w:rPr>
        <w:t xml:space="preserve">  </w:t>
      </w:r>
      <w:r>
        <w:rPr>
          <w:rFonts w:hint="eastAsia" w:ascii="仿宋_GB2312" w:eastAsia="仿宋_GB2312"/>
          <w:sz w:val="32"/>
          <w:szCs w:val="32"/>
        </w:rPr>
        <w:t>实习标准是组织开展实习的教学基本文件，实习标准要落实专业培养目标和规格，对接职业标准和企业岗位规范，突出实习的职业性和针对性。二级学院要根据人才培养目标，制定切实可行的实习标准，并不断完善。</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实习标准包括适用范围、实习目标、时间安排、实习条件、实习内容、实习成果、考核评价、实习管理和必要的附件等部分。</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第十一条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实习单位应当合法经营、管理规范、实习设备完备、符合安全生产法律法规要求。在确定实习单位前，二级学院应进行实地考察评估并形成书面报告，考察内容应包括：单位资质、诚信状况、管理水平、实习岗位性质和内容、工作时间、工作环境、生活环境以及健康保障、安全防护等方面。实习岗位应符合专业培养目标要求，与学生所学专业对口、相近或相关。学生实习单位评估表（参考）见附件</w:t>
      </w:r>
      <w:r>
        <w:rPr>
          <w:rFonts w:ascii="仿宋_GB2312" w:eastAsia="仿宋_GB2312"/>
          <w:sz w:val="32"/>
          <w:szCs w:val="32"/>
        </w:rPr>
        <w:t>2</w:t>
      </w:r>
      <w:r>
        <w:rPr>
          <w:rFonts w:hint="eastAsia" w:ascii="仿宋_GB2312" w:eastAsia="仿宋_GB2312"/>
          <w:sz w:val="32"/>
          <w:szCs w:val="32"/>
        </w:rPr>
        <w:t>。</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第十二条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二级学院负责与实习单位共同协商实习协议。在保障学生权益的前提下，兼顾多方的需求。实习协议的签订，按照学校有关规定执行，须校企合作处、就业处、学生工作处、教务与实训管理处审核，法律顾问、学校领导审批。校企合作处、就业处侧重审核协议中实习单位资质以及就业相关内容，教务与实训管理处侧重审核教学以及指导教师相关内容，学生工作处侧重审核保险、学生管理相关内容。实习协议（参考）见附件</w:t>
      </w:r>
      <w:r>
        <w:rPr>
          <w:rFonts w:ascii="仿宋_GB2312" w:eastAsia="仿宋_GB2312"/>
          <w:sz w:val="32"/>
          <w:szCs w:val="32"/>
        </w:rPr>
        <w:t>3</w:t>
      </w:r>
      <w:r>
        <w:rPr>
          <w:rFonts w:hint="eastAsia" w:ascii="仿宋_GB2312" w:eastAsia="仿宋_GB2312"/>
          <w:sz w:val="32"/>
          <w:szCs w:val="32"/>
        </w:rPr>
        <w:t>。</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第十三条</w:t>
      </w:r>
      <w:r>
        <w:rPr>
          <w:rFonts w:ascii="仿宋_GB2312" w:eastAsia="仿宋_GB2312"/>
          <w:sz w:val="32"/>
          <w:szCs w:val="32"/>
        </w:rPr>
        <w:t xml:space="preserve">  </w:t>
      </w:r>
      <w:r>
        <w:rPr>
          <w:rFonts w:hint="eastAsia" w:ascii="仿宋_GB2312" w:eastAsia="仿宋_GB2312"/>
          <w:sz w:val="32"/>
          <w:szCs w:val="32"/>
        </w:rPr>
        <w:t>二级学院应当会同实习单位共同组织实施学生实习。实习开始前，应当根据专业人才培养方案，与实习单位共同制订实习计划，明确实习目标、实习任务、必要的实习准备、实习指导教师、考核标准等，并开展实习前培训，使学生了解各实习阶段的学习目标、任务和考核标准。实习计划（参考）见附件</w:t>
      </w:r>
      <w:r>
        <w:rPr>
          <w:rFonts w:ascii="仿宋_GB2312" w:eastAsia="仿宋_GB2312"/>
          <w:sz w:val="32"/>
          <w:szCs w:val="32"/>
        </w:rPr>
        <w:t>4</w:t>
      </w:r>
      <w:r>
        <w:rPr>
          <w:rFonts w:hint="eastAsia" w:ascii="仿宋_GB2312" w:eastAsia="仿宋_GB2312"/>
          <w:sz w:val="32"/>
          <w:szCs w:val="32"/>
        </w:rPr>
        <w:t>。</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第十四条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二级学院和实习单位应当双方选派经验丰富、业务素质好、责任心强、安全防范意识高的实习指导教师全程指导、管理、考核实习学生。二级学院应建立企业实习指导教师信息库。</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第十五条</w:t>
      </w:r>
      <w:r>
        <w:rPr>
          <w:rFonts w:ascii="仿宋_GB2312" w:eastAsia="仿宋_GB2312"/>
          <w:sz w:val="32"/>
          <w:szCs w:val="32"/>
        </w:rPr>
        <w:t xml:space="preserve">  </w:t>
      </w:r>
      <w:r>
        <w:rPr>
          <w:rFonts w:hint="eastAsia" w:ascii="仿宋_GB2312" w:eastAsia="仿宋_GB2312"/>
          <w:sz w:val="32"/>
          <w:szCs w:val="32"/>
        </w:rPr>
        <w:t>经本人申请，二级学院同意，学生可以自行选择顶岗实习单位。对自行选择顶岗实习单位的学生，二级学院要安排实习指导教师跟踪了解实习情况，实习单位应安排专门人员指导学生实习，对学生实习进行监督和考核。自行选择顶岗实习单位的学生需提交学生实习申请表（参考）见附件</w:t>
      </w:r>
      <w:r>
        <w:rPr>
          <w:rFonts w:ascii="仿宋_GB2312" w:eastAsia="仿宋_GB2312"/>
          <w:sz w:val="32"/>
          <w:szCs w:val="32"/>
        </w:rPr>
        <w:t>5</w:t>
      </w:r>
      <w:r>
        <w:rPr>
          <w:rFonts w:hint="eastAsia" w:ascii="仿宋_GB2312" w:eastAsia="仿宋_GB2312"/>
          <w:sz w:val="32"/>
          <w:szCs w:val="32"/>
        </w:rPr>
        <w:t>。</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认识实习、跟岗实习由二级学院安排，学生不得自行选择实习单位。</w:t>
      </w:r>
    </w:p>
    <w:p>
      <w:pPr>
        <w:pageBreakBefore w:val="0"/>
        <w:kinsoku/>
        <w:overflowPunct/>
        <w:topLinePunct w:val="0"/>
        <w:bidi w:val="0"/>
        <w:spacing w:line="580" w:lineRule="exact"/>
        <w:jc w:val="center"/>
        <w:outlineLvl w:val="9"/>
        <w:rPr>
          <w:rFonts w:ascii="黑体" w:hAnsi="黑体" w:eastAsia="黑体"/>
          <w:b/>
          <w:sz w:val="32"/>
          <w:szCs w:val="32"/>
        </w:rPr>
      </w:pPr>
      <w:bookmarkStart w:id="303" w:name="_Toc13781_WPSOffice_Level1"/>
      <w:r>
        <w:rPr>
          <w:rFonts w:hint="eastAsia" w:ascii="黑体" w:hAnsi="黑体" w:eastAsia="黑体"/>
          <w:b/>
          <w:sz w:val="32"/>
          <w:szCs w:val="32"/>
        </w:rPr>
        <w:t>第三章</w:t>
      </w:r>
      <w:r>
        <w:rPr>
          <w:rFonts w:ascii="黑体" w:hAnsi="黑体" w:eastAsia="黑体"/>
          <w:b/>
          <w:sz w:val="32"/>
          <w:szCs w:val="32"/>
        </w:rPr>
        <w:t xml:space="preserve"> </w:t>
      </w:r>
      <w:r>
        <w:rPr>
          <w:rFonts w:hint="eastAsia" w:ascii="黑体" w:hAnsi="黑体" w:eastAsia="黑体"/>
          <w:b/>
          <w:sz w:val="32"/>
          <w:szCs w:val="32"/>
        </w:rPr>
        <w:t xml:space="preserve">   实习管理</w:t>
      </w:r>
      <w:bookmarkEnd w:id="303"/>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第十六条</w:t>
      </w:r>
      <w:r>
        <w:rPr>
          <w:rFonts w:ascii="仿宋_GB2312" w:eastAsia="仿宋_GB2312"/>
          <w:sz w:val="32"/>
          <w:szCs w:val="32"/>
        </w:rPr>
        <w:t xml:space="preserve">  </w:t>
      </w:r>
      <w:r>
        <w:rPr>
          <w:rFonts w:hint="eastAsia" w:ascii="仿宋_GB2312" w:eastAsia="仿宋_GB2312"/>
          <w:sz w:val="32"/>
          <w:szCs w:val="32"/>
        </w:rPr>
        <w:t>学生参加跟岗实习、顶岗实习前，学校、实习单位、学生三方须签订实习协议。协议文本由当事方各执一份。学生自行选择实习单位的顶岗实习，学生应在实习前将实习协议提交二级学院。未按规定签订实习协议的，不得安排学生实习。</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认识实习按照校外活动有关规定进行管理。</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第十七条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实习协议应明确各方的责任、权利和义务，协议约定的内容不得违反相关法律法规。</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实习协议应包括但不限于以下内容：</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（一）各方基本信息；</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（二）实习的时间、地点、内容、要求与条件保障；</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（三）实习期间的食宿和休假安排；</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（四）实习期间劳动保护和劳动安全、卫生、职业病危害防护条件；</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（五）责任保险与伤亡事故处理办法，对不属于保险赔付范围或者超出保险赔付额度部分的约定责任；</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（六）实习考核方式；</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（七）违约责任；</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（八）其他事项。</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顶岗实习的实习协议内容还应当包括实习报酬及支付方式。</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第十八条</w:t>
      </w:r>
      <w:r>
        <w:rPr>
          <w:rFonts w:ascii="仿宋_GB2312" w:eastAsia="仿宋_GB2312"/>
          <w:sz w:val="32"/>
          <w:szCs w:val="32"/>
        </w:rPr>
        <w:t xml:space="preserve">  </w:t>
      </w:r>
      <w:r>
        <w:rPr>
          <w:rFonts w:hint="eastAsia" w:ascii="仿宋_GB2312" w:eastAsia="仿宋_GB2312"/>
          <w:sz w:val="32"/>
          <w:szCs w:val="32"/>
        </w:rPr>
        <w:t>为保证家校沟通顺畅，确保实习安全，以下情况下均需取得学生监护人知情同意书：学生参加学校统一组织的实习；学生自行选择顶岗实习单位实习；学生实习期间中途变更实习单位；学生在实习期间外宿；学生实习期间未满</w:t>
      </w:r>
      <w:r>
        <w:rPr>
          <w:rFonts w:ascii="仿宋_GB2312" w:eastAsia="仿宋_GB2312"/>
          <w:sz w:val="32"/>
          <w:szCs w:val="32"/>
        </w:rPr>
        <w:t>18</w:t>
      </w:r>
      <w:r>
        <w:rPr>
          <w:rFonts w:hint="eastAsia" w:ascii="仿宋_GB2312" w:eastAsia="仿宋_GB2312"/>
          <w:sz w:val="32"/>
          <w:szCs w:val="32"/>
        </w:rPr>
        <w:t>周岁；学生因健康等原因不能实习。知情同意书（参考）见附件</w:t>
      </w:r>
      <w:r>
        <w:rPr>
          <w:rFonts w:ascii="仿宋_GB2312" w:eastAsia="仿宋_GB2312"/>
          <w:sz w:val="32"/>
          <w:szCs w:val="32"/>
        </w:rPr>
        <w:t>6</w:t>
      </w:r>
      <w:r>
        <w:rPr>
          <w:rFonts w:hint="eastAsia" w:ascii="仿宋_GB2312" w:eastAsia="仿宋_GB2312"/>
          <w:sz w:val="32"/>
          <w:szCs w:val="32"/>
        </w:rPr>
        <w:t>。</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第十九条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实习单位应当合理确定顶岗实习学生占在岗人数的比例，顶岗实习学生的人数不超过实习单位在岗职工总数的</w:t>
      </w:r>
      <w:r>
        <w:rPr>
          <w:rFonts w:ascii="仿宋_GB2312" w:eastAsia="仿宋_GB2312"/>
          <w:sz w:val="32"/>
          <w:szCs w:val="32"/>
        </w:rPr>
        <w:t>10%</w:t>
      </w:r>
      <w:r>
        <w:rPr>
          <w:rFonts w:hint="eastAsia" w:ascii="仿宋_GB2312" w:eastAsia="仿宋_GB2312"/>
          <w:sz w:val="32"/>
          <w:szCs w:val="32"/>
        </w:rPr>
        <w:t>，在具体岗位顶岗实习的学生人数不高于同类岗位在岗职工总人数的</w:t>
      </w:r>
      <w:r>
        <w:rPr>
          <w:rFonts w:ascii="仿宋_GB2312" w:eastAsia="仿宋_GB2312"/>
          <w:sz w:val="32"/>
          <w:szCs w:val="32"/>
        </w:rPr>
        <w:t>20%</w:t>
      </w:r>
      <w:r>
        <w:rPr>
          <w:rFonts w:hint="eastAsia" w:ascii="仿宋_GB2312" w:eastAsia="仿宋_GB2312"/>
          <w:sz w:val="32"/>
          <w:szCs w:val="32"/>
        </w:rPr>
        <w:t>。</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第二十条</w:t>
      </w:r>
      <w:r>
        <w:rPr>
          <w:rFonts w:ascii="仿宋_GB2312" w:eastAsia="仿宋_GB2312"/>
          <w:sz w:val="32"/>
          <w:szCs w:val="32"/>
        </w:rPr>
        <w:t xml:space="preserve">  </w:t>
      </w:r>
      <w:r>
        <w:rPr>
          <w:rFonts w:hint="eastAsia" w:ascii="仿宋_GB2312" w:eastAsia="仿宋_GB2312"/>
          <w:sz w:val="32"/>
          <w:szCs w:val="32"/>
        </w:rPr>
        <w:t>实习单位应参考本单位相同岗位的报酬标准和顶岗实习学生的工作量、工作强度、工作时间等因素，合理确定顶岗实习报酬，原则上不低于本单位相同岗位试用期工资标准的</w:t>
      </w:r>
      <w:r>
        <w:rPr>
          <w:rFonts w:ascii="仿宋_GB2312" w:eastAsia="仿宋_GB2312"/>
          <w:sz w:val="32"/>
          <w:szCs w:val="32"/>
        </w:rPr>
        <w:t>80%</w:t>
      </w:r>
      <w:r>
        <w:rPr>
          <w:rFonts w:hint="eastAsia" w:ascii="仿宋_GB2312" w:eastAsia="仿宋_GB2312"/>
          <w:sz w:val="32"/>
          <w:szCs w:val="32"/>
        </w:rPr>
        <w:t>，并以货币形式及时、足额支付给学生。</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第二十一条</w:t>
      </w:r>
      <w:r>
        <w:rPr>
          <w:rFonts w:ascii="仿宋_GB2312" w:eastAsia="仿宋_GB2312"/>
          <w:sz w:val="32"/>
          <w:szCs w:val="32"/>
        </w:rPr>
        <w:t xml:space="preserve">  </w:t>
      </w:r>
      <w:r>
        <w:rPr>
          <w:rFonts w:hint="eastAsia" w:ascii="仿宋_GB2312" w:eastAsia="仿宋_GB2312"/>
          <w:sz w:val="32"/>
          <w:szCs w:val="32"/>
        </w:rPr>
        <w:t>二级学院应当会同实习单位制定学生实习工作具体管理办法和安全管理规定、实习学生安全及突发事件应急预案等制度性文件，并指定实习指导教师具体负责学生实习过程的管理。</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实习指导教师对学生的指导有跟班指导和巡查指导两种形式。一个完整班级或者</w:t>
      </w:r>
      <w:r>
        <w:rPr>
          <w:rFonts w:ascii="仿宋_GB2312" w:eastAsia="仿宋_GB2312"/>
          <w:sz w:val="32"/>
          <w:szCs w:val="32"/>
        </w:rPr>
        <w:t>20</w:t>
      </w:r>
      <w:r>
        <w:rPr>
          <w:rFonts w:hint="eastAsia" w:ascii="仿宋_GB2312" w:eastAsia="仿宋_GB2312"/>
          <w:sz w:val="32"/>
          <w:szCs w:val="32"/>
        </w:rPr>
        <w:t>人以上的集中实习，应安排实习指导教师跟班指导。实习地点分散的，应安排实习指导教师巡查指导，原则上巡查指导教师由专业班主任或辅导员担任。</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实习指导教师负责处理实习学生的日常事务，与实习单位进行日常沟通，检查学生的实习情况，指导和考核实习学生，填报学生实习成绩。跟班指导每天检查学生的实习情况，每天与实习单位沟通实习情况，每周为实习学生开展与专业相关的教育不少于</w:t>
      </w:r>
      <w:r>
        <w:rPr>
          <w:rFonts w:ascii="仿宋_GB2312" w:eastAsia="仿宋_GB2312"/>
          <w:sz w:val="32"/>
          <w:szCs w:val="32"/>
        </w:rPr>
        <w:t>2</w:t>
      </w:r>
      <w:r>
        <w:rPr>
          <w:rFonts w:hint="eastAsia" w:ascii="仿宋_GB2312" w:eastAsia="仿宋_GB2312"/>
          <w:sz w:val="32"/>
          <w:szCs w:val="32"/>
        </w:rPr>
        <w:t>学时。巡查指导教师要保持与实习学生通信交流通畅，并根据需要实地探访实习学生。巡查指导教师接到实习学生或实习单位有关信息应在</w:t>
      </w:r>
      <w:r>
        <w:rPr>
          <w:rFonts w:ascii="仿宋_GB2312" w:eastAsia="仿宋_GB2312"/>
          <w:sz w:val="32"/>
          <w:szCs w:val="32"/>
        </w:rPr>
        <w:t>24</w:t>
      </w:r>
      <w:r>
        <w:rPr>
          <w:rFonts w:hint="eastAsia" w:ascii="仿宋_GB2312" w:eastAsia="仿宋_GB2312"/>
          <w:sz w:val="32"/>
          <w:szCs w:val="32"/>
        </w:rPr>
        <w:t>小时内处理或上报。</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第二十二条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学校和实习单位均应依法保障实习学生的基本权利，并不得有下列情形：</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（一）安排、接收一年级在校学生顶岗实习；</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（二）安排未满</w:t>
      </w:r>
      <w:r>
        <w:rPr>
          <w:rFonts w:ascii="仿宋_GB2312" w:eastAsia="仿宋_GB2312"/>
          <w:sz w:val="32"/>
          <w:szCs w:val="32"/>
        </w:rPr>
        <w:t>16</w:t>
      </w:r>
      <w:r>
        <w:rPr>
          <w:rFonts w:hint="eastAsia" w:ascii="仿宋_GB2312" w:eastAsia="仿宋_GB2312"/>
          <w:sz w:val="32"/>
          <w:szCs w:val="32"/>
        </w:rPr>
        <w:t>周岁的学生跟岗实习、顶岗实习；</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（三）安排未成年学生从事《未成年工特殊保护规定》中禁忌从事的劳动；</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（四）安排实习的女学生从事《女职工劳动保护特别规定》中禁忌从事的劳动；</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（五）安排学生到酒吧、夜总会、歌厅、洗浴中心等营业性娱乐场所实习；</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（六）通过中介机构或有偿代理组织、安排和管理学生实习工作。</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第二十三条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除相关专业和实习岗位有特殊要求，并报上级主管部门备案的实习安排外，学生跟岗和顶岗实习期间，实习单位应遵守国家关于工作时间和休息休假的规定，并不得有以下情形：</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（一）安排学生从事高空、井下、放射性、有毒、易燃易爆，以及其他具有较高安全风险的实习；</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（二）安排学生在法定节假日实习；</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（三）安排学生加班和夜班。</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第二十四条</w:t>
      </w:r>
      <w:r>
        <w:rPr>
          <w:rFonts w:ascii="仿宋_GB2312" w:eastAsia="仿宋_GB2312"/>
          <w:sz w:val="32"/>
          <w:szCs w:val="32"/>
        </w:rPr>
        <w:t xml:space="preserve">  </w:t>
      </w:r>
      <w:r>
        <w:rPr>
          <w:rFonts w:hint="eastAsia" w:ascii="仿宋_GB2312" w:eastAsia="仿宋_GB2312"/>
          <w:sz w:val="32"/>
          <w:szCs w:val="32"/>
        </w:rPr>
        <w:t>不得向学生收取实习押金、顶岗实习报酬提成、管理费或者其他形式的实习费用，不得扣押学生的居民身份证，不得要求学生提供担保或者以其他名义收取学生财物。</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第二十五条</w:t>
      </w:r>
      <w:r>
        <w:rPr>
          <w:rFonts w:ascii="仿宋_GB2312" w:eastAsia="仿宋_GB2312"/>
          <w:sz w:val="32"/>
          <w:szCs w:val="32"/>
        </w:rPr>
        <w:t xml:space="preserve">  </w:t>
      </w:r>
      <w:r>
        <w:rPr>
          <w:rFonts w:hint="eastAsia" w:ascii="仿宋_GB2312" w:eastAsia="仿宋_GB2312"/>
          <w:sz w:val="32"/>
          <w:szCs w:val="32"/>
        </w:rPr>
        <w:t>二级学院根据专业特点、岗位要求、考核要求等制定学生实习手册，学生实习手册包括但不限于实习日志、实习报告、实习考核评分表三部分内容。学生应遵守学校的实习要求和实习单位的规章制度、实习纪律及实习协议，爱护实习单位设施设备，完成规定的实习任务，撰写实习日志和实习报告，并在实习结束时提交实习手册。学生实习手册（参考）见附件</w:t>
      </w:r>
      <w:r>
        <w:rPr>
          <w:rFonts w:ascii="仿宋_GB2312" w:eastAsia="仿宋_GB2312"/>
          <w:sz w:val="32"/>
          <w:szCs w:val="32"/>
        </w:rPr>
        <w:t>7</w:t>
      </w:r>
      <w:r>
        <w:rPr>
          <w:rFonts w:hint="eastAsia" w:ascii="仿宋_GB2312" w:eastAsia="仿宋_GB2312"/>
          <w:sz w:val="32"/>
          <w:szCs w:val="32"/>
        </w:rPr>
        <w:t>。</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第二十六条</w:t>
      </w:r>
      <w:r>
        <w:rPr>
          <w:rFonts w:ascii="仿宋_GB2312" w:eastAsia="仿宋_GB2312"/>
          <w:sz w:val="32"/>
          <w:szCs w:val="32"/>
        </w:rPr>
        <w:t xml:space="preserve">  </w:t>
      </w:r>
      <w:r>
        <w:rPr>
          <w:rFonts w:hint="eastAsia" w:ascii="仿宋_GB2312" w:eastAsia="仿宋_GB2312"/>
          <w:sz w:val="32"/>
          <w:szCs w:val="32"/>
        </w:rPr>
        <w:t>建立学生实习信息通报制度，加强安全生产、职业道德、职业精神等方面的教育。实习指导教师做好业务指导和日常巡视记录，并定期向二级学院和实习单位报告学生实习情况。实习跟班</w:t>
      </w:r>
      <w:r>
        <w:rPr>
          <w:rFonts w:ascii="仿宋_GB2312" w:eastAsia="仿宋_GB2312"/>
          <w:sz w:val="32"/>
          <w:szCs w:val="32"/>
        </w:rPr>
        <w:t>/</w:t>
      </w:r>
      <w:r>
        <w:rPr>
          <w:rFonts w:hint="eastAsia" w:ascii="仿宋_GB2312" w:eastAsia="仿宋_GB2312"/>
          <w:sz w:val="32"/>
          <w:szCs w:val="32"/>
        </w:rPr>
        <w:t>巡查指导记录表（参考）见附件</w:t>
      </w:r>
      <w:r>
        <w:rPr>
          <w:rFonts w:ascii="仿宋_GB2312" w:eastAsia="仿宋_GB2312"/>
          <w:sz w:val="32"/>
          <w:szCs w:val="32"/>
        </w:rPr>
        <w:t>8</w:t>
      </w:r>
      <w:r>
        <w:rPr>
          <w:rFonts w:hint="eastAsia" w:ascii="仿宋_GB2312" w:eastAsia="仿宋_GB2312"/>
          <w:sz w:val="32"/>
          <w:szCs w:val="32"/>
        </w:rPr>
        <w:t>。</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第二十七条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二级学院组织学生到外地实习，应当安排学生统一住宿，和实习单位一起建立实习学生住宿制度和请销假制度。学生因特殊原因申请在统一安排的宿舍以外住宿的，需提出书面申请，并须取得学生监护人签字的知情同意书，由二级学院备案后方可办理。</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第二十八条</w:t>
      </w:r>
      <w:r>
        <w:rPr>
          <w:rFonts w:ascii="仿宋_GB2312" w:eastAsia="仿宋_GB2312"/>
          <w:sz w:val="32"/>
          <w:szCs w:val="32"/>
        </w:rPr>
        <w:t xml:space="preserve">  </w:t>
      </w:r>
      <w:r>
        <w:rPr>
          <w:rFonts w:hint="eastAsia" w:ascii="仿宋_GB2312" w:eastAsia="仿宋_GB2312"/>
          <w:sz w:val="32"/>
          <w:szCs w:val="32"/>
        </w:rPr>
        <w:t>鼓励学生赴国（境）外实习。安排学生赴国（境）外实习的，要选派实习指导教师全程参与。</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第二十九条</w:t>
      </w:r>
      <w:r>
        <w:rPr>
          <w:rFonts w:ascii="仿宋_GB2312" w:eastAsia="仿宋_GB2312"/>
          <w:sz w:val="32"/>
          <w:szCs w:val="32"/>
        </w:rPr>
        <w:t xml:space="preserve">  </w:t>
      </w:r>
      <w:r>
        <w:rPr>
          <w:rFonts w:hint="eastAsia" w:ascii="仿宋_GB2312" w:eastAsia="仿宋_GB2312"/>
          <w:sz w:val="32"/>
          <w:szCs w:val="32"/>
        </w:rPr>
        <w:t>认识实习、跟岗实习由二级学院统一安排，学生不得擅自变更实习单位。如学生确因特殊情况，中途需变更实习单位的，须本人提出书面申请，实习指导教师审核，实习单位和二级学院批准。</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自行选择顶岗实习单位的实习学生，如需中途变更实习单位的，必须提出书面申请，由实习指导教师审核，实习单位和二级学院批准。</w:t>
      </w:r>
    </w:p>
    <w:p>
      <w:pPr>
        <w:pageBreakBefore w:val="0"/>
        <w:kinsoku/>
        <w:overflowPunct/>
        <w:topLinePunct w:val="0"/>
        <w:bidi w:val="0"/>
        <w:spacing w:line="580" w:lineRule="exact"/>
        <w:jc w:val="center"/>
        <w:outlineLvl w:val="9"/>
        <w:rPr>
          <w:rFonts w:ascii="黑体" w:hAnsi="黑体" w:eastAsia="黑体"/>
          <w:b/>
          <w:sz w:val="32"/>
          <w:szCs w:val="32"/>
        </w:rPr>
      </w:pPr>
      <w:bookmarkStart w:id="304" w:name="_Toc19852_WPSOffice_Level1"/>
      <w:r>
        <w:rPr>
          <w:rFonts w:hint="eastAsia" w:ascii="黑体" w:hAnsi="黑体" w:eastAsia="黑体"/>
          <w:b/>
          <w:sz w:val="32"/>
          <w:szCs w:val="32"/>
        </w:rPr>
        <w:t>第四章</w:t>
      </w:r>
      <w:r>
        <w:rPr>
          <w:rFonts w:ascii="黑体" w:hAnsi="黑体" w:eastAsia="黑体"/>
          <w:b/>
          <w:sz w:val="32"/>
          <w:szCs w:val="32"/>
        </w:rPr>
        <w:t xml:space="preserve"> </w:t>
      </w:r>
      <w:r>
        <w:rPr>
          <w:rFonts w:hint="eastAsia" w:ascii="黑体" w:hAnsi="黑体" w:eastAsia="黑体"/>
          <w:b/>
          <w:sz w:val="32"/>
          <w:szCs w:val="32"/>
        </w:rPr>
        <w:t xml:space="preserve">   实习考核</w:t>
      </w:r>
      <w:bookmarkEnd w:id="304"/>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第三十条</w:t>
      </w:r>
      <w:r>
        <w:rPr>
          <w:rFonts w:ascii="仿宋_GB2312" w:eastAsia="仿宋_GB2312"/>
          <w:sz w:val="32"/>
          <w:szCs w:val="32"/>
        </w:rPr>
        <w:t xml:space="preserve">  </w:t>
      </w:r>
      <w:r>
        <w:rPr>
          <w:rFonts w:hint="eastAsia" w:ascii="仿宋_GB2312" w:eastAsia="仿宋_GB2312"/>
          <w:sz w:val="32"/>
          <w:szCs w:val="32"/>
        </w:rPr>
        <w:t>二级学院要建立实习考核制度，对于学生跟岗实习和顶岗实习，要会同实习单位根据实习标准，制定具体考核方式和评分标准，实施考核工作。</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第三十一条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跟岗实习和顶岗实习的考核管理以课程方式开展，考核结果记入实习学生学业成绩，考核结果分优秀、良好、合格和不合格四个等次。考核合格以上等次，获得相应学分；实习考核不合格者，不予毕业。</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第三十二条</w:t>
      </w:r>
      <w:r>
        <w:rPr>
          <w:rFonts w:ascii="仿宋_GB2312" w:eastAsia="仿宋_GB2312"/>
          <w:sz w:val="32"/>
          <w:szCs w:val="32"/>
        </w:rPr>
        <w:t xml:space="preserve">  </w:t>
      </w:r>
      <w:r>
        <w:rPr>
          <w:rFonts w:hint="eastAsia" w:ascii="仿宋_GB2312" w:eastAsia="仿宋_GB2312"/>
          <w:sz w:val="32"/>
          <w:szCs w:val="32"/>
        </w:rPr>
        <w:t>学生因健康等原因不能进行跟岗实习或顶岗实习，由学生向二级学院提出申请，二级学院审批。二级学院确保实习效果的情况下，另行安排实习单位、实习岗位、实习内容。</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第三十三条</w:t>
      </w:r>
      <w:r>
        <w:rPr>
          <w:rFonts w:ascii="仿宋_GB2312" w:eastAsia="仿宋_GB2312"/>
          <w:sz w:val="32"/>
          <w:szCs w:val="32"/>
        </w:rPr>
        <w:t xml:space="preserve">  </w:t>
      </w:r>
      <w:r>
        <w:rPr>
          <w:rFonts w:hint="eastAsia" w:ascii="仿宋_GB2312" w:eastAsia="仿宋_GB2312"/>
          <w:sz w:val="32"/>
          <w:szCs w:val="32"/>
        </w:rPr>
        <w:t>对违反规章制度、实习纪律、实习协议的学生，由二级学院和实习单位进行批评教育。学生违规情节严重的，经双方研究后，由学校给予纪律处分；给实习单位造成财产损失的，应当依法予以赔偿。</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第三十四条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二级学院做好学生实习情况的立卷归档工作。实习材料包括但不限于以下内容：</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）实习标准；</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）实习工作方案；</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）实习协议；</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）实习计划；</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）安全教育记录；</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（6）保险购买凭证；</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（7）学生实习手册（含实习日志、实习报告、实习考核表）；</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（8）实习检查记录；</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（9）实习工作总结。</w:t>
      </w:r>
    </w:p>
    <w:p>
      <w:pPr>
        <w:pageBreakBefore w:val="0"/>
        <w:kinsoku/>
        <w:overflowPunct/>
        <w:topLinePunct w:val="0"/>
        <w:bidi w:val="0"/>
        <w:spacing w:line="580" w:lineRule="exact"/>
        <w:jc w:val="center"/>
        <w:outlineLvl w:val="9"/>
        <w:rPr>
          <w:rFonts w:ascii="黑体" w:hAnsi="黑体" w:eastAsia="黑体"/>
          <w:b/>
          <w:sz w:val="32"/>
          <w:szCs w:val="32"/>
        </w:rPr>
      </w:pPr>
      <w:bookmarkStart w:id="305" w:name="_Toc27074_WPSOffice_Level1"/>
      <w:r>
        <w:rPr>
          <w:rFonts w:hint="eastAsia" w:ascii="黑体" w:hAnsi="黑体" w:eastAsia="黑体"/>
          <w:b/>
          <w:sz w:val="32"/>
          <w:szCs w:val="32"/>
        </w:rPr>
        <w:t>第五章</w:t>
      </w:r>
      <w:r>
        <w:rPr>
          <w:rFonts w:ascii="黑体" w:hAnsi="黑体" w:eastAsia="黑体"/>
          <w:b/>
          <w:sz w:val="32"/>
          <w:szCs w:val="32"/>
        </w:rPr>
        <w:t xml:space="preserve"> </w:t>
      </w:r>
      <w:r>
        <w:rPr>
          <w:rFonts w:hint="eastAsia" w:ascii="黑体" w:hAnsi="黑体" w:eastAsia="黑体"/>
          <w:b/>
          <w:sz w:val="32"/>
          <w:szCs w:val="32"/>
        </w:rPr>
        <w:t xml:space="preserve">   安全职责</w:t>
      </w:r>
      <w:bookmarkEnd w:id="305"/>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第三十五条</w:t>
      </w:r>
      <w:r>
        <w:rPr>
          <w:rFonts w:ascii="仿宋_GB2312" w:eastAsia="仿宋_GB2312"/>
          <w:sz w:val="32"/>
          <w:szCs w:val="32"/>
        </w:rPr>
        <w:t xml:space="preserve">  </w:t>
      </w:r>
      <w:r>
        <w:rPr>
          <w:rFonts w:hint="eastAsia" w:ascii="仿宋_GB2312" w:eastAsia="仿宋_GB2312"/>
          <w:sz w:val="32"/>
          <w:szCs w:val="32"/>
        </w:rPr>
        <w:t>要确立安全第一的原则，严格执行国家及地方安全生产和职业卫生有关规定。要对实习学生进行安全防护知识、岗位操作规程教育和培训并进行考核。未经教育培训和未通过考核的学生不得参加实习。二级学院需要求学生及相关人员在实习前签署实习安全责任书。实习安全责任书（参考）见附件</w:t>
      </w:r>
      <w:r>
        <w:rPr>
          <w:rFonts w:ascii="仿宋_GB2312" w:eastAsia="仿宋_GB2312"/>
          <w:sz w:val="32"/>
          <w:szCs w:val="32"/>
        </w:rPr>
        <w:t>9</w:t>
      </w:r>
      <w:r>
        <w:rPr>
          <w:rFonts w:hint="eastAsia" w:ascii="仿宋_GB2312" w:eastAsia="仿宋_GB2312"/>
          <w:sz w:val="32"/>
          <w:szCs w:val="32"/>
        </w:rPr>
        <w:t>。</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第三十六条</w:t>
      </w:r>
      <w:r>
        <w:rPr>
          <w:rFonts w:ascii="仿宋_GB2312" w:eastAsia="仿宋_GB2312"/>
          <w:sz w:val="32"/>
          <w:szCs w:val="32"/>
        </w:rPr>
        <w:t xml:space="preserve">  </w:t>
      </w:r>
      <w:r>
        <w:rPr>
          <w:rFonts w:hint="eastAsia" w:ascii="仿宋_GB2312" w:eastAsia="仿宋_GB2312"/>
          <w:sz w:val="32"/>
          <w:szCs w:val="32"/>
        </w:rPr>
        <w:t>实习单位应当健全本单位生产安全责任制，执行相关安全生产标准，健全安全生产规章制度和操作规程，制定生产安全事故应急救援预案，配备必要的安全保障器材和劳动防护用品，加强对实习学生的安全生产教育培训和管理，保障学生实习期间的人身安全和健康。</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第三十七条</w:t>
      </w:r>
      <w:r>
        <w:rPr>
          <w:rFonts w:ascii="仿宋_GB2312" w:eastAsia="仿宋_GB2312"/>
          <w:sz w:val="32"/>
          <w:szCs w:val="32"/>
        </w:rPr>
        <w:t xml:space="preserve">  </w:t>
      </w:r>
      <w:r>
        <w:rPr>
          <w:rFonts w:hint="eastAsia" w:ascii="仿宋_GB2312" w:eastAsia="仿宋_GB2312"/>
          <w:sz w:val="32"/>
          <w:szCs w:val="32"/>
        </w:rPr>
        <w:t>要为进行跟岗实习和顶岗实习的学生投保实习责任保险。责任保险范围应覆盖实习活动的全过程，包括学生实习期间遭受意外事故及由于被保险人疏忽或过失导致的学生人身伤亡，被保险人依法应承担的责任，以及相关法律费用等。</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鼓励由实习单位支付投保经费。由学校投保的，学生实习责任保险的经费可从学费中列支；免除学费的可从免学费补助资金中列支</w:t>
      </w:r>
      <w:r>
        <w:rPr>
          <w:rFonts w:ascii="仿宋_GB2312" w:eastAsia="仿宋_GB2312"/>
          <w:sz w:val="32"/>
          <w:szCs w:val="32"/>
        </w:rPr>
        <w:t>,</w:t>
      </w:r>
      <w:r>
        <w:rPr>
          <w:rFonts w:hint="eastAsia" w:ascii="仿宋_GB2312" w:eastAsia="仿宋_GB2312"/>
          <w:sz w:val="32"/>
          <w:szCs w:val="32"/>
        </w:rPr>
        <w:t>不得向学生另行收取或从学生实习报酬中抵扣。</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第三十八条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学生在实习期间受到人身伤害，应当妥善做好救治和善后工作。属于实习责任保险赔付范围的，由承保保险公司按保险合同赔付标准进行赔付。不属于保险赔付范围或者超出保险赔付额度的部分，由实习单位、学校、学生按照实习协议约定承担责任。</w:t>
      </w:r>
    </w:p>
    <w:p>
      <w:pPr>
        <w:pageBreakBefore w:val="0"/>
        <w:kinsoku/>
        <w:overflowPunct/>
        <w:topLinePunct w:val="0"/>
        <w:bidi w:val="0"/>
        <w:spacing w:line="580" w:lineRule="exact"/>
        <w:jc w:val="center"/>
        <w:outlineLvl w:val="9"/>
        <w:rPr>
          <w:rFonts w:ascii="黑体" w:hAnsi="黑体" w:eastAsia="黑体"/>
          <w:b/>
          <w:sz w:val="32"/>
          <w:szCs w:val="32"/>
        </w:rPr>
      </w:pPr>
      <w:bookmarkStart w:id="306" w:name="_Toc21309_WPSOffice_Level1"/>
      <w:r>
        <w:rPr>
          <w:rFonts w:hint="eastAsia" w:ascii="黑体" w:hAnsi="黑体" w:eastAsia="黑体"/>
          <w:b/>
          <w:sz w:val="32"/>
          <w:szCs w:val="32"/>
        </w:rPr>
        <w:t>第六章</w:t>
      </w:r>
      <w:r>
        <w:rPr>
          <w:rFonts w:ascii="黑体" w:hAnsi="黑体" w:eastAsia="黑体"/>
          <w:b/>
          <w:sz w:val="32"/>
          <w:szCs w:val="32"/>
        </w:rPr>
        <w:t xml:space="preserve"> </w:t>
      </w:r>
      <w:r>
        <w:rPr>
          <w:rFonts w:hint="eastAsia" w:ascii="黑体" w:hAnsi="黑体" w:eastAsia="黑体"/>
          <w:b/>
          <w:sz w:val="32"/>
          <w:szCs w:val="32"/>
        </w:rPr>
        <w:t xml:space="preserve">   实习经费</w:t>
      </w:r>
      <w:bookmarkEnd w:id="306"/>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第三十九条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实习中发生的费用从以下项目经费支出：按当年在校生数划拨的实习经费；其他可列支的经费（补助资金、专项项目经费等）。</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支出范围包括：</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）实习责任保险费；</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）劳动保护用品费；</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）实习日常经费：包括实习联系费（含电话费）、接待费等；</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）聘请实习单位指导教师上课所需课酬（实习单位指导教师上课按照学校外聘教师课酬标准计算）；</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）差旅费：企业考察评估、调研检查、巡查指导发生的差旅费用（含交通、住宿费、伙食补贴等）；在实习企业不提供住宿情况下，市外跟班指导教师的住宿费；</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）其他与实习有关工作发生的费用。</w:t>
      </w:r>
    </w:p>
    <w:p>
      <w:pPr>
        <w:pageBreakBefore w:val="0"/>
        <w:kinsoku/>
        <w:overflowPunct/>
        <w:topLinePunct w:val="0"/>
        <w:bidi w:val="0"/>
        <w:spacing w:line="580" w:lineRule="exact"/>
        <w:ind w:firstLine="643" w:firstLineChars="200"/>
        <w:outlineLvl w:val="9"/>
        <w:rPr>
          <w:rFonts w:ascii="仿宋_GB2312" w:eastAsia="仿宋_GB2312"/>
          <w:sz w:val="32"/>
          <w:szCs w:val="32"/>
        </w:rPr>
      </w:pPr>
      <w:bookmarkStart w:id="307" w:name="_Toc25577_WPSOffice_Level1"/>
      <w:r>
        <w:rPr>
          <w:rFonts w:hint="eastAsia" w:ascii="仿宋_GB2312" w:eastAsia="仿宋_GB2312"/>
          <w:b/>
          <w:sz w:val="32"/>
          <w:szCs w:val="32"/>
        </w:rPr>
        <w:t>第四十条</w:t>
      </w:r>
      <w:r>
        <w:rPr>
          <w:rFonts w:ascii="仿宋_GB2312" w:eastAsia="仿宋_GB2312"/>
          <w:sz w:val="32"/>
          <w:szCs w:val="32"/>
        </w:rPr>
        <w:t xml:space="preserve">  </w:t>
      </w:r>
      <w:r>
        <w:rPr>
          <w:rFonts w:hint="eastAsia" w:ascii="仿宋_GB2312" w:eastAsia="仿宋_GB2312"/>
          <w:sz w:val="32"/>
          <w:szCs w:val="32"/>
        </w:rPr>
        <w:t>实习指导教师的报酬按照下述方法计算：</w:t>
      </w:r>
      <w:bookmarkEnd w:id="307"/>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市外跟班指导：辅导员跟班指导的，按照其行政工作量给予报酬，不再单独另计；教师担任跟班指导的，以行政人员同等待遇给予报酬。此外，在途期间的城市间交通费、住宿费、伙食补助费和市内交通费按学校公务出差管理办法执行。</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）市内跟班指导：辅导员跟班指导的，按照其行政工作量给予报酬，不再单独另计；教师担任跟班指导的，以行政人员同等待遇给予报酬。</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）市外巡查指导：按照公务出差管理办法执行。</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）市内巡查指导：辅导员巡查指导的，按照其行政工作量给予报酬，不再单独另计；教师巡查指导的，按照巡查天数折算为同等行政工作量，以行政人员同等待遇给予报酬。</w:t>
      </w:r>
    </w:p>
    <w:p>
      <w:pPr>
        <w:pageBreakBefore w:val="0"/>
        <w:kinsoku/>
        <w:overflowPunct/>
        <w:topLinePunct w:val="0"/>
        <w:bidi w:val="0"/>
        <w:spacing w:line="580" w:lineRule="exact"/>
        <w:jc w:val="center"/>
        <w:outlineLvl w:val="9"/>
        <w:rPr>
          <w:rFonts w:ascii="黑体" w:hAnsi="黑体" w:eastAsia="黑体"/>
          <w:b/>
          <w:sz w:val="32"/>
          <w:szCs w:val="32"/>
        </w:rPr>
      </w:pPr>
      <w:bookmarkStart w:id="308" w:name="_Toc29753_WPSOffice_Level1"/>
      <w:r>
        <w:rPr>
          <w:rFonts w:hint="eastAsia" w:ascii="黑体" w:hAnsi="黑体" w:eastAsia="黑体"/>
          <w:b/>
          <w:sz w:val="32"/>
          <w:szCs w:val="32"/>
        </w:rPr>
        <w:t>第七章</w:t>
      </w:r>
      <w:r>
        <w:rPr>
          <w:rFonts w:ascii="黑体" w:hAnsi="黑体" w:eastAsia="黑体"/>
          <w:b/>
          <w:sz w:val="32"/>
          <w:szCs w:val="32"/>
        </w:rPr>
        <w:t xml:space="preserve"> </w:t>
      </w:r>
      <w:r>
        <w:rPr>
          <w:rFonts w:hint="eastAsia" w:ascii="黑体" w:hAnsi="黑体" w:eastAsia="黑体"/>
          <w:b/>
          <w:sz w:val="32"/>
          <w:szCs w:val="32"/>
        </w:rPr>
        <w:t xml:space="preserve">   其他</w:t>
      </w:r>
      <w:bookmarkEnd w:id="308"/>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第四十一条</w:t>
      </w:r>
      <w:r>
        <w:rPr>
          <w:rFonts w:ascii="仿宋_GB2312" w:eastAsia="仿宋_GB2312"/>
          <w:sz w:val="32"/>
          <w:szCs w:val="32"/>
        </w:rPr>
        <w:t xml:space="preserve">  </w:t>
      </w:r>
      <w:r>
        <w:rPr>
          <w:rFonts w:hint="eastAsia" w:ascii="仿宋_GB2312" w:eastAsia="仿宋_GB2312"/>
          <w:sz w:val="32"/>
          <w:szCs w:val="32"/>
        </w:rPr>
        <w:t>鼓励二级学院根据本管理办法，制定实施细则或相关管理规定，优化和细化有关管理过程及学生实习材料。</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第四十二条</w:t>
      </w:r>
      <w:r>
        <w:rPr>
          <w:rFonts w:hint="eastAsia" w:ascii="仿宋_GB2312" w:eastAsia="仿宋_GB2312"/>
          <w:sz w:val="32"/>
          <w:szCs w:val="32"/>
        </w:rPr>
        <w:t xml:space="preserve"> 本管理办法的附件2至附件9为参考性文本，二级学院可根据具体情况另行设计，另行设计的文本必须符合本管理办法的要求，报教务与实训管理处审核备案。</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第四十三条</w:t>
      </w:r>
      <w:r>
        <w:rPr>
          <w:rFonts w:ascii="仿宋_GB2312" w:eastAsia="仿宋_GB2312"/>
          <w:sz w:val="32"/>
          <w:szCs w:val="32"/>
        </w:rPr>
        <w:t xml:space="preserve">  </w:t>
      </w:r>
      <w:r>
        <w:rPr>
          <w:rFonts w:hint="eastAsia" w:ascii="仿宋_GB2312" w:eastAsia="仿宋_GB2312"/>
          <w:sz w:val="32"/>
          <w:szCs w:val="32"/>
        </w:rPr>
        <w:t>本管理办法由教务与实训管理处负责解释，自颁布之日起实施。</w:t>
      </w:r>
      <w:r>
        <w:rPr>
          <w:rFonts w:ascii="仿宋_GB2312" w:eastAsia="仿宋_GB2312"/>
          <w:sz w:val="32"/>
          <w:szCs w:val="32"/>
        </w:rPr>
        <w:t>2009</w:t>
      </w:r>
      <w:r>
        <w:rPr>
          <w:rFonts w:hint="eastAsia" w:ascii="仿宋_GB2312" w:eastAsia="仿宋_GB2312"/>
          <w:sz w:val="32"/>
          <w:szCs w:val="32"/>
        </w:rPr>
        <w:t>年</w:t>
      </w:r>
      <w:r>
        <w:rPr>
          <w:rFonts w:ascii="仿宋_GB2312" w:eastAsia="仿宋_GB2312"/>
          <w:sz w:val="32"/>
          <w:szCs w:val="32"/>
        </w:rPr>
        <w:t>4</w:t>
      </w:r>
      <w:r>
        <w:rPr>
          <w:rFonts w:hint="eastAsia" w:ascii="仿宋_GB2312" w:eastAsia="仿宋_GB2312"/>
          <w:sz w:val="32"/>
          <w:szCs w:val="32"/>
        </w:rPr>
        <w:t>月</w:t>
      </w:r>
      <w:r>
        <w:rPr>
          <w:rFonts w:ascii="仿宋_GB2312" w:eastAsia="仿宋_GB2312"/>
          <w:sz w:val="32"/>
          <w:szCs w:val="32"/>
        </w:rPr>
        <w:t>7</w:t>
      </w:r>
      <w:r>
        <w:rPr>
          <w:rFonts w:hint="eastAsia" w:ascii="仿宋_GB2312" w:eastAsia="仿宋_GB2312"/>
          <w:sz w:val="32"/>
          <w:szCs w:val="32"/>
        </w:rPr>
        <w:t>日颁发的《柳州职业技术学院顶岗实习管理办法》（柳职院教字〔</w:t>
      </w:r>
      <w:r>
        <w:rPr>
          <w:rFonts w:ascii="仿宋_GB2312" w:eastAsia="仿宋_GB2312"/>
          <w:sz w:val="32"/>
          <w:szCs w:val="32"/>
        </w:rPr>
        <w:t>2009</w:t>
      </w:r>
      <w:r>
        <w:rPr>
          <w:rFonts w:hint="eastAsia" w:ascii="仿宋_GB2312" w:eastAsia="仿宋_GB2312"/>
          <w:sz w:val="32"/>
          <w:szCs w:val="32"/>
        </w:rPr>
        <w:t>〕</w:t>
      </w:r>
      <w:r>
        <w:rPr>
          <w:rFonts w:ascii="仿宋_GB2312" w:eastAsia="仿宋_GB2312"/>
          <w:sz w:val="32"/>
          <w:szCs w:val="32"/>
        </w:rPr>
        <w:t>13</w:t>
      </w:r>
      <w:r>
        <w:rPr>
          <w:rFonts w:hint="eastAsia" w:ascii="仿宋_GB2312" w:eastAsia="仿宋_GB2312"/>
          <w:sz w:val="32"/>
          <w:szCs w:val="32"/>
        </w:rPr>
        <w:t>号）同时废止。</w:t>
      </w:r>
    </w:p>
    <w:p>
      <w:pPr>
        <w:pageBreakBefore w:val="0"/>
        <w:kinsoku/>
        <w:overflowPunct/>
        <w:topLinePunct w:val="0"/>
        <w:bidi w:val="0"/>
        <w:spacing w:line="580" w:lineRule="exact"/>
        <w:ind w:firstLine="640" w:firstLineChars="200"/>
        <w:outlineLvl w:val="9"/>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309" w:name="_Toc32332"/>
      <w:bookmarkStart w:id="310" w:name="_Toc2249"/>
      <w:bookmarkStart w:id="311" w:name="_Toc7243"/>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312" w:name="_Toc16190_WPSOffice_Level1"/>
      <w:bookmarkStart w:id="313" w:name="_Toc28396"/>
      <w:bookmarkStart w:id="314" w:name="_Toc26156"/>
      <w:r>
        <w:rPr>
          <w:rFonts w:hint="eastAsia"/>
          <w:b/>
          <w:color w:val="000000"/>
          <w:sz w:val="36"/>
          <w:szCs w:val="36"/>
        </w:rPr>
        <w:t>柳州职业技术学院学生转专业管理办法（2021年修订版）</w:t>
      </w:r>
      <w:bookmarkEnd w:id="309"/>
      <w:bookmarkEnd w:id="310"/>
      <w:bookmarkEnd w:id="311"/>
      <w:bookmarkEnd w:id="312"/>
      <w:bookmarkEnd w:id="313"/>
      <w:bookmarkEnd w:id="314"/>
    </w:p>
    <w:p>
      <w:pPr>
        <w:pageBreakBefore w:val="0"/>
        <w:widowControl/>
        <w:kinsoku/>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柳职院教字〔2021〕11号)</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为进一步规范我校学生转专业管理程序，维护我校教育公平环境，充分尊重学生的自主选择权和专业学习兴趣，满足学生个性发展需要，根据《普通高等学校学生管理规定》（教育部第4</w:t>
      </w:r>
      <w:r>
        <w:rPr>
          <w:rFonts w:ascii="仿宋_GB2312" w:eastAsia="仿宋_GB2312"/>
          <w:sz w:val="32"/>
          <w:szCs w:val="32"/>
        </w:rPr>
        <w:t>1</w:t>
      </w:r>
      <w:r>
        <w:rPr>
          <w:rFonts w:hint="eastAsia" w:ascii="仿宋_GB2312" w:eastAsia="仿宋_GB2312"/>
          <w:sz w:val="32"/>
          <w:szCs w:val="32"/>
        </w:rPr>
        <w:t>号令）、《关于做好我区普通高等学校学生转专业工作的通知》（桂教学生〔2016〕</w:t>
      </w:r>
      <w:r>
        <w:rPr>
          <w:rFonts w:ascii="仿宋_GB2312" w:eastAsia="仿宋_GB2312"/>
          <w:sz w:val="32"/>
          <w:szCs w:val="32"/>
        </w:rPr>
        <w:t>6</w:t>
      </w:r>
      <w:r>
        <w:rPr>
          <w:rFonts w:hint="eastAsia" w:ascii="仿宋_GB2312" w:eastAsia="仿宋_GB2312"/>
          <w:sz w:val="32"/>
          <w:szCs w:val="32"/>
        </w:rPr>
        <w:t>号）等文件的有关精神，特制定本办法。</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第一条</w:t>
      </w:r>
      <w:r>
        <w:rPr>
          <w:rFonts w:hint="eastAsia" w:ascii="仿宋_GB2312" w:eastAsia="仿宋_GB2312"/>
          <w:sz w:val="32"/>
          <w:szCs w:val="32"/>
        </w:rPr>
        <w:t xml:space="preserve">  转专业工作必须按照公开、公平、公正与择优原则进行。坚持以学生的发展为本，尊重学生的专业兴趣爱好。同时兼顾办学资源的平衡，从学校教学资源的实际情况出发，确保人才培养的条件。</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 xml:space="preserve">第二条 </w:t>
      </w:r>
      <w:r>
        <w:rPr>
          <w:rFonts w:hint="eastAsia" w:ascii="仿宋_GB2312" w:eastAsia="仿宋_GB2312"/>
          <w:sz w:val="32"/>
          <w:szCs w:val="32"/>
        </w:rPr>
        <w:t xml:space="preserve"> 学生应按招生录取时确定的专业就读，有下列情况之一者，可申请转专业：</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在学习期间对其他专业有兴趣和专长</w:t>
      </w:r>
      <w:r>
        <w:rPr>
          <w:rFonts w:hint="eastAsia" w:ascii="仿宋_GB2312" w:eastAsia="仿宋_GB2312"/>
          <w:sz w:val="32"/>
          <w:szCs w:val="32"/>
        </w:rPr>
        <w:t>，转专业更能发挥其专长，且第一学期公共必修课平均分排名在同年级同专业前40%、无补考无重修者；</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（二）学生入学后发现患有某种疾病或生理缺陷，经学校指定的医疗单位检查证明，不能在原专业学习，但尚能在本校其它专业学习者；</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（三）经学校认可，学生确有某种特殊困难，不转专业则无法继续学习者；</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（四）休学后复学时，本专业无后续班级者；</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（五）休学创业后复学者；</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（六）应征入伍退役后复学者。</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第三条</w:t>
      </w:r>
      <w:r>
        <w:rPr>
          <w:rFonts w:hint="eastAsia" w:ascii="仿宋_GB2312" w:eastAsia="仿宋_GB2312"/>
          <w:sz w:val="32"/>
          <w:szCs w:val="32"/>
        </w:rPr>
        <w:t xml:space="preserve">  申请转专业者须提供相应的证明材料。因身体原因转专业的，应提供二级甲等以上医院诊断的原始病历；确有专长，转专业更能发挥其特长的，应提供相关成果或专家证明等；参军退役者复学申请转专业的，应提供退役相关证明材料。</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第四条</w:t>
      </w:r>
      <w:r>
        <w:rPr>
          <w:rFonts w:hint="eastAsia" w:ascii="仿宋_GB2312" w:eastAsia="仿宋_GB2312"/>
          <w:sz w:val="32"/>
          <w:szCs w:val="32"/>
        </w:rPr>
        <w:t xml:space="preserve">  学生在校期间，一般只能申请一次转专业；申请转专业时只能填报一个转入专业。</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第五条</w:t>
      </w:r>
      <w:r>
        <w:rPr>
          <w:rFonts w:hint="eastAsia" w:ascii="仿宋_GB2312" w:eastAsia="仿宋_GB2312"/>
          <w:sz w:val="32"/>
          <w:szCs w:val="32"/>
        </w:rPr>
        <w:t xml:space="preserve">  学校根据社会对人才需求情况的发展变化，经学生同意，必要时可以适当调整学生所学专业。</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第六条</w:t>
      </w:r>
      <w:r>
        <w:rPr>
          <w:rFonts w:hint="eastAsia" w:ascii="仿宋_GB2312" w:eastAsia="仿宋_GB2312"/>
          <w:sz w:val="32"/>
          <w:szCs w:val="32"/>
        </w:rPr>
        <w:t xml:space="preserve">  应征入伍退役后复学者申请转专业，不受录取批次、录取类型、转专业时间及学习成绩的条件限制，但需满足转入专业身体条件要求。</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 xml:space="preserve">第七条 </w:t>
      </w:r>
      <w:r>
        <w:rPr>
          <w:rFonts w:hint="eastAsia" w:ascii="仿宋_GB2312" w:eastAsia="仿宋_GB2312"/>
          <w:sz w:val="32"/>
          <w:szCs w:val="32"/>
        </w:rPr>
        <w:t xml:space="preserve"> 有下列情况之一者，不允许转专业：</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（一）高考为文史类考生申请转入只招收高考理工类考生的专业者；</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（二）高考为艺术类考生申请转入非艺术类专业，或体育类考生申请转入非体育类专业者；</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（三）招生时国家已有明确规定不能转专业者（如定向生、国防生等）；</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（四）不同招生类别（如普高生、单独招生、对口、</w:t>
      </w:r>
      <w:r>
        <w:rPr>
          <w:rFonts w:ascii="仿宋_GB2312" w:eastAsia="仿宋_GB2312"/>
          <w:sz w:val="32"/>
          <w:szCs w:val="32"/>
        </w:rPr>
        <w:t>3+2</w:t>
      </w:r>
      <w:r>
        <w:rPr>
          <w:rFonts w:hint="eastAsia" w:ascii="仿宋_GB2312" w:eastAsia="仿宋_GB2312"/>
          <w:sz w:val="32"/>
          <w:szCs w:val="32"/>
        </w:rPr>
        <w:t>、</w:t>
      </w:r>
      <w:r>
        <w:rPr>
          <w:rFonts w:ascii="仿宋_GB2312" w:eastAsia="仿宋_GB2312"/>
          <w:sz w:val="32"/>
          <w:szCs w:val="32"/>
        </w:rPr>
        <w:t>2+3</w:t>
      </w:r>
      <w:r>
        <w:rPr>
          <w:rFonts w:hint="eastAsia" w:ascii="仿宋_GB2312" w:eastAsia="仿宋_GB2312"/>
          <w:sz w:val="32"/>
          <w:szCs w:val="32"/>
        </w:rPr>
        <w:t>等）之间转专业者；</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（五）受到记过及以上纪律处分者；</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（六）未达到拟转入专业身体条件要求者（按当年招生专业身体条件要求）；</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（七）无其他正当理由者。</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 xml:space="preserve">第八条 </w:t>
      </w:r>
      <w:r>
        <w:rPr>
          <w:rFonts w:hint="eastAsia" w:ascii="仿宋_GB2312" w:eastAsia="仿宋_GB2312"/>
          <w:sz w:val="32"/>
          <w:szCs w:val="32"/>
        </w:rPr>
        <w:t xml:space="preserve"> 转专业手续的办理</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 转专业由学生本人提出申请，填写《柳州职业技术学院转专业申请表》（见附件2），经相关部门审核，报学校审批同意后，方可取得拟转入专业学籍。</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2. 学生应在指定时间内提交转专业申请（一般为第一学期的最后1周，具体时间以当年转专业工作通知为准），其余时间不受理转专业申请。</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第九条</w:t>
      </w:r>
      <w:r>
        <w:rPr>
          <w:rFonts w:hint="eastAsia" w:ascii="仿宋_GB2312" w:eastAsia="仿宋_GB2312"/>
          <w:sz w:val="32"/>
          <w:szCs w:val="32"/>
        </w:rPr>
        <w:t xml:space="preserve">  各二级学院应当根据当年度实际情况，制定各专业转入要求，并确定接收转入学生名额，由教务与实训管理处统一公布。</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 xml:space="preserve">第十条 </w:t>
      </w:r>
      <w:r>
        <w:rPr>
          <w:rFonts w:hint="eastAsia" w:ascii="仿宋_GB2312" w:eastAsia="仿宋_GB2312"/>
          <w:sz w:val="32"/>
          <w:szCs w:val="32"/>
        </w:rPr>
        <w:t xml:space="preserve"> 转专业后的课程与成绩管理</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（一）学生在原录取专业已修的必修课程，如与转入专业人才培养方案开设课程相同的，不需要重新修读，由转入专业所在二级学院审定，课程成绩按原实际考核成绩记录。</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（二）学生在原录取专业已修的必修课程，如与转入专业人才培养方案开设课程相近的，可申请免修；课程免修由学生本人申请，由转入专业所在二级学院审定，课程成绩按原实际考核成绩记录。</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三）学生在原录取专业已修的必修课程，如转入专业人才培养方案不开设的，可申请转换为专业选修课或公共选修课（每门课不高于2学分）；课程转换由学生本人申请，由转入专业所在二级学院审定，课程成绩按原实际考核成绩记录。</w:t>
      </w: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（四）学生转专业后，转入专业已开设的必修课程，由学生本人申请补修，一般应在一年内完成。</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 xml:space="preserve">第十一条 </w:t>
      </w:r>
      <w:r>
        <w:rPr>
          <w:rFonts w:hint="eastAsia" w:ascii="仿宋_GB2312" w:eastAsia="仿宋_GB2312"/>
          <w:sz w:val="32"/>
          <w:szCs w:val="32"/>
        </w:rPr>
        <w:t xml:space="preserve"> 转专业审批程序完成后，相关部门依据教务与实训管理处发布的转专业学生名单文件，自文件下发后的2周内完成转专业学生的学籍、成绩、住宿、缴费、课程安排和班级管理等事项的调整变更工作。</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第十二条</w:t>
      </w:r>
      <w:r>
        <w:rPr>
          <w:rFonts w:hint="eastAsia" w:ascii="仿宋_GB2312" w:eastAsia="仿宋_GB2312"/>
          <w:sz w:val="32"/>
          <w:szCs w:val="32"/>
        </w:rPr>
        <w:t xml:space="preserve"> 本办法自发布之日起实施，《柳州职业技术学院学生转专业管理办法》</w:t>
      </w:r>
      <w:r>
        <w:rPr>
          <w:rFonts w:ascii="仿宋_GB2312" w:eastAsia="仿宋_GB2312"/>
          <w:sz w:val="32"/>
          <w:szCs w:val="32"/>
        </w:rPr>
        <w:t>(</w:t>
      </w:r>
      <w:r>
        <w:rPr>
          <w:rFonts w:hint="eastAsia" w:ascii="仿宋_GB2312" w:eastAsia="仿宋_GB2312"/>
          <w:sz w:val="32"/>
          <w:szCs w:val="32"/>
        </w:rPr>
        <w:t>柳职院教字〔</w:t>
      </w:r>
      <w:r>
        <w:rPr>
          <w:rFonts w:ascii="仿宋_GB2312" w:eastAsia="仿宋_GB2312"/>
          <w:sz w:val="32"/>
          <w:szCs w:val="32"/>
        </w:rPr>
        <w:t>201</w:t>
      </w:r>
      <w:r>
        <w:rPr>
          <w:rFonts w:hint="eastAsia" w:ascii="仿宋_GB2312" w:eastAsia="仿宋_GB2312"/>
          <w:sz w:val="32"/>
          <w:szCs w:val="32"/>
        </w:rPr>
        <w:t>7〕23号</w:t>
      </w:r>
      <w:r>
        <w:rPr>
          <w:rFonts w:ascii="仿宋_GB2312" w:eastAsia="仿宋_GB2312"/>
          <w:sz w:val="32"/>
          <w:szCs w:val="32"/>
        </w:rPr>
        <w:t>)</w:t>
      </w:r>
      <w:r>
        <w:rPr>
          <w:rFonts w:hint="eastAsia" w:ascii="仿宋_GB2312" w:eastAsia="仿宋_GB2312"/>
          <w:sz w:val="32"/>
          <w:szCs w:val="32"/>
        </w:rPr>
        <w:t>同时废止。</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第十三条</w:t>
      </w:r>
      <w:r>
        <w:rPr>
          <w:rFonts w:hint="eastAsia" w:ascii="仿宋_GB2312" w:eastAsia="仿宋_GB2312"/>
          <w:sz w:val="32"/>
          <w:szCs w:val="32"/>
        </w:rPr>
        <w:t xml:space="preserve">  如上级管理部门另有相关规定，则按相关规定执行。</w:t>
      </w:r>
    </w:p>
    <w:p>
      <w:pPr>
        <w:pageBreakBefore w:val="0"/>
        <w:kinsoku/>
        <w:overflowPunct/>
        <w:topLinePunct w:val="0"/>
        <w:bidi w:val="0"/>
        <w:spacing w:line="596" w:lineRule="exact"/>
        <w:ind w:firstLine="643" w:firstLineChars="200"/>
        <w:outlineLvl w:val="9"/>
        <w:rPr>
          <w:rFonts w:ascii="仿宋_GB2312" w:eastAsia="仿宋_GB2312"/>
          <w:sz w:val="32"/>
          <w:szCs w:val="32"/>
        </w:rPr>
      </w:pPr>
      <w:r>
        <w:rPr>
          <w:rFonts w:hint="eastAsia" w:ascii="黑体" w:hAnsi="黑体" w:eastAsia="黑体"/>
          <w:b/>
          <w:sz w:val="32"/>
          <w:szCs w:val="32"/>
        </w:rPr>
        <w:t>第十四条</w:t>
      </w:r>
      <w:r>
        <w:rPr>
          <w:rFonts w:hint="eastAsia" w:ascii="仿宋_GB2312" w:eastAsia="仿宋_GB2312"/>
          <w:sz w:val="32"/>
          <w:szCs w:val="32"/>
        </w:rPr>
        <w:t xml:space="preserve">  本办法由教务与实训管理处、招生就业处负责解释。</w:t>
      </w:r>
    </w:p>
    <w:p>
      <w:pPr>
        <w:pageBreakBefore w:val="0"/>
        <w:kinsoku/>
        <w:overflowPunct/>
        <w:topLinePunct w:val="0"/>
        <w:bidi w:val="0"/>
        <w:spacing w:line="596" w:lineRule="exact"/>
        <w:ind w:firstLine="640" w:firstLineChars="200"/>
        <w:outlineLvl w:val="9"/>
        <w:rPr>
          <w:rFonts w:ascii="仿宋_GB2312" w:eastAsia="仿宋_GB2312"/>
          <w:sz w:val="32"/>
          <w:szCs w:val="32"/>
        </w:rPr>
      </w:pP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附件：1.转专业办理流程</w:t>
      </w:r>
    </w:p>
    <w:p>
      <w:pPr>
        <w:pageBreakBefore w:val="0"/>
        <w:kinsoku/>
        <w:overflowPunct/>
        <w:topLinePunct w:val="0"/>
        <w:bidi w:val="0"/>
        <w:spacing w:line="596" w:lineRule="exact"/>
        <w:ind w:firstLine="1600" w:firstLineChars="500"/>
        <w:outlineLvl w:val="9"/>
        <w:rPr>
          <w:rFonts w:ascii="黑体" w:eastAsia="黑体"/>
          <w:bCs/>
          <w:sz w:val="30"/>
          <w:szCs w:val="30"/>
        </w:rPr>
      </w:pPr>
      <w:bookmarkStart w:id="315" w:name="_Toc24961_WPSOffice_Level1"/>
      <w:r>
        <w:rPr>
          <w:rFonts w:hint="eastAsia" w:ascii="仿宋_GB2312" w:eastAsia="仿宋_GB2312"/>
          <w:sz w:val="32"/>
          <w:szCs w:val="32"/>
        </w:rPr>
        <w:t>2.柳州职业技术学院转专业申请表</w:t>
      </w:r>
      <w:bookmarkEnd w:id="315"/>
    </w:p>
    <w:p>
      <w:pPr>
        <w:pageBreakBefore w:val="0"/>
        <w:kinsoku/>
        <w:overflowPunct/>
        <w:topLinePunct w:val="0"/>
        <w:bidi w:val="0"/>
        <w:spacing w:line="596" w:lineRule="exact"/>
        <w:outlineLvl w:val="9"/>
        <w:rPr>
          <w:rFonts w:ascii="黑体" w:eastAsia="黑体"/>
          <w:bCs/>
          <w:sz w:val="30"/>
          <w:szCs w:val="30"/>
        </w:rPr>
      </w:pPr>
      <w:r>
        <w:rPr>
          <w:rFonts w:hint="eastAsia" w:ascii="黑体" w:eastAsia="黑体"/>
          <w:bCs/>
          <w:sz w:val="30"/>
          <w:szCs w:val="30"/>
        </w:rPr>
        <w:br w:type="page"/>
      </w:r>
    </w:p>
    <w:p>
      <w:pPr>
        <w:pageBreakBefore w:val="0"/>
        <w:kinsoku/>
        <w:overflowPunct/>
        <w:topLinePunct w:val="0"/>
        <w:bidi w:val="0"/>
        <w:spacing w:line="560" w:lineRule="exact"/>
        <w:outlineLvl w:val="9"/>
        <w:rPr>
          <w:rFonts w:ascii="黑体" w:eastAsia="黑体"/>
          <w:bCs/>
          <w:sz w:val="30"/>
          <w:szCs w:val="30"/>
        </w:rPr>
      </w:pPr>
      <w:bookmarkStart w:id="316" w:name="_Toc19245_WPSOffice_Level1"/>
      <w:r>
        <w:rPr>
          <w:rFonts w:hint="eastAsia" w:ascii="黑体" w:eastAsia="黑体"/>
          <w:bCs/>
          <w:sz w:val="30"/>
          <w:szCs w:val="30"/>
        </w:rPr>
        <w:t>附件</w:t>
      </w:r>
      <w:r>
        <w:rPr>
          <w:rFonts w:ascii="黑体" w:eastAsia="黑体"/>
          <w:bCs/>
          <w:sz w:val="30"/>
          <w:szCs w:val="30"/>
        </w:rPr>
        <w:t>1</w:t>
      </w:r>
      <w:r>
        <w:rPr>
          <w:rFonts w:hint="eastAsia" w:ascii="黑体" w:eastAsia="黑体"/>
          <w:bCs/>
          <w:sz w:val="30"/>
          <w:szCs w:val="30"/>
        </w:rPr>
        <w:t>：</w:t>
      </w:r>
      <w:bookmarkEnd w:id="316"/>
    </w:p>
    <w:p>
      <w:pPr>
        <w:pageBreakBefore w:val="0"/>
        <w:kinsoku/>
        <w:overflowPunct/>
        <w:topLinePunct w:val="0"/>
        <w:bidi w:val="0"/>
        <w:spacing w:line="560" w:lineRule="exact"/>
        <w:jc w:val="center"/>
        <w:outlineLvl w:val="9"/>
        <w:rPr>
          <w:b/>
          <w:color w:val="000000"/>
          <w:sz w:val="32"/>
          <w:szCs w:val="32"/>
        </w:rPr>
      </w:pPr>
      <w:r>
        <w:rPr>
          <w:rFonts w:hint="eastAsia"/>
          <w:b/>
          <w:color w:val="000000"/>
          <w:sz w:val="32"/>
          <w:szCs w:val="32"/>
        </w:rPr>
        <w:t>转专业办理流程</w:t>
      </w:r>
    </w:p>
    <w:tbl>
      <w:tblPr>
        <w:tblStyle w:val="14"/>
        <w:tblW w:w="99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550"/>
        <w:gridCol w:w="1133"/>
        <w:gridCol w:w="963"/>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90" w:hRule="atLeast"/>
          <w:jc w:val="center"/>
        </w:trPr>
        <w:tc>
          <w:tcPr>
            <w:tcW w:w="3550" w:type="dxa"/>
            <w:vAlign w:val="center"/>
          </w:tcPr>
          <w:p>
            <w:pPr>
              <w:pageBreakBefore w:val="0"/>
              <w:kinsoku/>
              <w:overflowPunct/>
              <w:topLinePunct w:val="0"/>
              <w:bidi w:val="0"/>
              <w:jc w:val="center"/>
              <w:outlineLvl w:val="9"/>
              <w:rPr>
                <w:rFonts w:ascii="宋体" w:hAnsi="宋体"/>
                <w:b/>
                <w:sz w:val="16"/>
                <w:szCs w:val="18"/>
              </w:rPr>
            </w:pPr>
            <w:r>
              <w:rPr>
                <w:rFonts w:hint="eastAsia" w:ascii="宋体" w:hAnsi="宋体"/>
                <w:b/>
                <w:sz w:val="16"/>
                <w:szCs w:val="18"/>
              </w:rPr>
              <w:t>流程图</w:t>
            </w:r>
          </w:p>
        </w:tc>
        <w:tc>
          <w:tcPr>
            <w:tcW w:w="1133" w:type="dxa"/>
            <w:vAlign w:val="center"/>
          </w:tcPr>
          <w:p>
            <w:pPr>
              <w:pageBreakBefore w:val="0"/>
              <w:kinsoku/>
              <w:overflowPunct/>
              <w:topLinePunct w:val="0"/>
              <w:bidi w:val="0"/>
              <w:jc w:val="center"/>
              <w:outlineLvl w:val="9"/>
              <w:rPr>
                <w:rFonts w:ascii="宋体" w:hAnsi="宋体"/>
                <w:b/>
                <w:sz w:val="16"/>
                <w:szCs w:val="18"/>
              </w:rPr>
            </w:pPr>
            <w:r>
              <w:rPr>
                <w:rFonts w:hint="eastAsia" w:ascii="宋体" w:hAnsi="宋体"/>
                <w:b/>
                <w:sz w:val="16"/>
                <w:szCs w:val="18"/>
              </w:rPr>
              <w:t>责任人</w:t>
            </w:r>
          </w:p>
        </w:tc>
        <w:tc>
          <w:tcPr>
            <w:tcW w:w="963" w:type="dxa"/>
            <w:vAlign w:val="center"/>
          </w:tcPr>
          <w:p>
            <w:pPr>
              <w:pageBreakBefore w:val="0"/>
              <w:kinsoku/>
              <w:overflowPunct/>
              <w:topLinePunct w:val="0"/>
              <w:bidi w:val="0"/>
              <w:jc w:val="center"/>
              <w:outlineLvl w:val="9"/>
              <w:rPr>
                <w:rFonts w:ascii="宋体" w:hAnsi="宋体"/>
                <w:b/>
                <w:sz w:val="16"/>
                <w:szCs w:val="18"/>
              </w:rPr>
            </w:pPr>
            <w:r>
              <w:rPr>
                <w:rFonts w:hint="eastAsia" w:ascii="宋体" w:hAnsi="宋体"/>
                <w:b/>
                <w:sz w:val="16"/>
                <w:szCs w:val="18"/>
              </w:rPr>
              <w:t>实施部门</w:t>
            </w:r>
          </w:p>
        </w:tc>
        <w:tc>
          <w:tcPr>
            <w:tcW w:w="4305" w:type="dxa"/>
            <w:vAlign w:val="center"/>
          </w:tcPr>
          <w:p>
            <w:pPr>
              <w:pageBreakBefore w:val="0"/>
              <w:kinsoku/>
              <w:overflowPunct/>
              <w:topLinePunct w:val="0"/>
              <w:bidi w:val="0"/>
              <w:jc w:val="center"/>
              <w:outlineLvl w:val="9"/>
              <w:rPr>
                <w:rFonts w:ascii="宋体" w:hAnsi="宋体"/>
                <w:b/>
                <w:sz w:val="16"/>
                <w:szCs w:val="18"/>
              </w:rPr>
            </w:pPr>
            <w:r>
              <w:rPr>
                <w:rFonts w:hint="eastAsia" w:ascii="宋体" w:hAnsi="宋体"/>
                <w:b/>
                <w:sz w:val="16"/>
                <w:szCs w:val="18"/>
              </w:rPr>
              <w:t>过程描述及注意事项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51" w:hRule="atLeast"/>
          <w:jc w:val="center"/>
        </w:trPr>
        <w:tc>
          <w:tcPr>
            <w:tcW w:w="3550" w:type="dxa"/>
            <w:vMerge w:val="restart"/>
            <w:vAlign w:val="center"/>
          </w:tcPr>
          <w:p>
            <w:pPr>
              <w:pageBreakBefore w:val="0"/>
              <w:kinsoku/>
              <w:overflowPunct/>
              <w:topLinePunct w:val="0"/>
              <w:bidi w:val="0"/>
              <w:outlineLvl w:val="9"/>
              <w:rPr>
                <w:rFonts w:ascii="宋体" w:hAnsi="宋体"/>
                <w:sz w:val="16"/>
                <w:szCs w:val="21"/>
              </w:rPr>
            </w:pPr>
            <w:r>
              <w:rPr>
                <w:rFonts w:ascii="宋体" w:hAnsi="宋体"/>
                <w:sz w:val="16"/>
                <w:szCs w:val="21"/>
              </w:rPr>
              <mc:AlternateContent>
                <mc:Choice Requires="wps">
                  <w:drawing>
                    <wp:anchor distT="0" distB="0" distL="114300" distR="114300" simplePos="0" relativeHeight="252199936" behindDoc="0" locked="0" layoutInCell="1" allowOverlap="1">
                      <wp:simplePos x="0" y="0"/>
                      <wp:positionH relativeFrom="margin">
                        <wp:posOffset>615315</wp:posOffset>
                      </wp:positionH>
                      <wp:positionV relativeFrom="paragraph">
                        <wp:posOffset>5407025</wp:posOffset>
                      </wp:positionV>
                      <wp:extent cx="1434465" cy="821055"/>
                      <wp:effectExtent l="9525" t="5715" r="22860" b="11430"/>
                      <wp:wrapNone/>
                      <wp:docPr id="213" name="流程图: 决策 154"/>
                      <wp:cNvGraphicFramePr/>
                      <a:graphic xmlns:a="http://schemas.openxmlformats.org/drawingml/2006/main">
                        <a:graphicData uri="http://schemas.microsoft.com/office/word/2010/wordprocessingShape">
                          <wps:wsp>
                            <wps:cNvSpPr>
                              <a:spLocks noChangeArrowheads="1"/>
                            </wps:cNvSpPr>
                            <wps:spPr bwMode="auto">
                              <a:xfrm>
                                <a:off x="0" y="0"/>
                                <a:ext cx="1434465" cy="821055"/>
                              </a:xfrm>
                              <a:prstGeom prst="flowChartDecision">
                                <a:avLst/>
                              </a:prstGeom>
                              <a:solidFill>
                                <a:srgbClr val="FFFFFF"/>
                              </a:solidFill>
                              <a:ln w="9525">
                                <a:solidFill>
                                  <a:srgbClr val="000000"/>
                                </a:solidFill>
                                <a:miter lim="800000"/>
                              </a:ln>
                            </wps:spPr>
                            <wps:txbx>
                              <w:txbxContent>
                                <w:p>
                                  <w:pPr>
                                    <w:adjustRightInd w:val="0"/>
                                    <w:snapToGrid w:val="0"/>
                                    <w:ind w:left="1"/>
                                    <w:jc w:val="center"/>
                                    <w:rPr>
                                      <w:sz w:val="18"/>
                                      <w:szCs w:val="18"/>
                                    </w:rPr>
                                  </w:pPr>
                                  <w:r>
                                    <w:rPr>
                                      <w:rFonts w:hint="eastAsia"/>
                                      <w:sz w:val="18"/>
                                      <w:szCs w:val="18"/>
                                    </w:rPr>
                                    <w:t>招生就业处审核</w:t>
                                  </w:r>
                                </w:p>
                              </w:txbxContent>
                            </wps:txbx>
                            <wps:bodyPr rot="0" vert="horz" wrap="square" lIns="91440" tIns="45720" rIns="91440" bIns="45720" anchor="t" anchorCtr="0" upright="1">
                              <a:noAutofit/>
                            </wps:bodyPr>
                          </wps:wsp>
                        </a:graphicData>
                      </a:graphic>
                    </wp:anchor>
                  </w:drawing>
                </mc:Choice>
                <mc:Fallback>
                  <w:pict>
                    <v:shape id="流程图: 决策 154" o:spid="_x0000_s1026" o:spt="110" type="#_x0000_t110" style="position:absolute;left:0pt;margin-left:48.45pt;margin-top:425.75pt;height:64.65pt;width:112.95pt;mso-position-horizontal-relative:margin;z-index:252199936;mso-width-relative:page;mso-height-relative:page;" fillcolor="#FFFFFF" filled="t" stroked="t" coordsize="21600,21600" o:gfxdata="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CmSC9kAAAAKAQAADwAAAAAAAAABACAAAAAiAAAAZHJz&#10;L2Rvd25yZXYueG1sUEsBAhQAFAAAAAgAh07iQECZRds8AgAASAQAAA4AAAAAAAAAAQAgAAAAKAEA&#10;AGRycy9lMm9Eb2MueG1sUEsFBgAAAAAGAAYAWQEAANYFAAAAAA==&#10;">
                      <v:fill on="t" focussize="0,0"/>
                      <v:stroke color="#000000" miterlimit="8" joinstyle="miter"/>
                      <v:imagedata o:title=""/>
                      <o:lock v:ext="edit" aspectratio="f"/>
                      <v:textbox>
                        <w:txbxContent>
                          <w:p>
                            <w:pPr>
                              <w:adjustRightInd w:val="0"/>
                              <w:snapToGrid w:val="0"/>
                              <w:ind w:left="1"/>
                              <w:jc w:val="center"/>
                              <w:rPr>
                                <w:sz w:val="18"/>
                                <w:szCs w:val="18"/>
                              </w:rPr>
                            </w:pPr>
                            <w:r>
                              <w:rPr>
                                <w:rFonts w:hint="eastAsia"/>
                                <w:sz w:val="18"/>
                                <w:szCs w:val="18"/>
                              </w:rPr>
                              <w:t>招生就业处审核</w:t>
                            </w:r>
                          </w:p>
                        </w:txbxContent>
                      </v:textbox>
                    </v:shape>
                  </w:pict>
                </mc:Fallback>
              </mc:AlternateContent>
            </w:r>
            <w:r>
              <w:rPr>
                <w:rFonts w:ascii="宋体" w:hAnsi="宋体"/>
                <w:sz w:val="16"/>
                <w:szCs w:val="21"/>
              </w:rPr>
              <mc:AlternateContent>
                <mc:Choice Requires="wps">
                  <w:drawing>
                    <wp:anchor distT="0" distB="0" distL="114300" distR="114300" simplePos="0" relativeHeight="252204032" behindDoc="0" locked="0" layoutInCell="1" allowOverlap="1">
                      <wp:simplePos x="0" y="0"/>
                      <wp:positionH relativeFrom="column">
                        <wp:posOffset>1332230</wp:posOffset>
                      </wp:positionH>
                      <wp:positionV relativeFrom="paragraph">
                        <wp:posOffset>6228080</wp:posOffset>
                      </wp:positionV>
                      <wp:extent cx="635" cy="683895"/>
                      <wp:effectExtent l="0" t="0" r="0" b="0"/>
                      <wp:wrapNone/>
                      <wp:docPr id="129" name="直接连接符 129"/>
                      <wp:cNvGraphicFramePr/>
                      <a:graphic xmlns:a="http://schemas.openxmlformats.org/drawingml/2006/main">
                        <a:graphicData uri="http://schemas.microsoft.com/office/word/2010/wordprocessingShape">
                          <wps:wsp>
                            <wps:cNvCnPr/>
                            <wps:spPr>
                              <a:xfrm flipH="1">
                                <a:off x="0" y="0"/>
                                <a:ext cx="635" cy="683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4.9pt;margin-top:490.4pt;height:53.85pt;width:0.05pt;z-index:252204032;mso-width-relative:page;mso-height-relative:page;" filled="f" stroked="t" coordsize="21600,21600" o:gfxdata="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fZ8atgAAAAMAQAADwAAAAAAAAABACAAAAAi&#10;AAAAZHJzL2Rvd25yZXYueG1sUEsBAhQAFAAAAAgAh07iQANrE5fRAQAAcgMAAA4AAAAAAAAAAQAg&#10;AAAAJwEAAGRycy9lMm9Eb2MueG1sUEsFBgAAAAAGAAYAWQEAAGoFAAAAAA==&#10;">
                      <v:fill on="f" focussize="0,0"/>
                      <v:stroke weight="0.5pt" color="#000000 [3213]" miterlimit="8" joinstyle="miter"/>
                      <v:imagedata o:title=""/>
                      <o:lock v:ext="edit" aspectratio="f"/>
                    </v:line>
                  </w:pict>
                </mc:Fallback>
              </mc:AlternateContent>
            </w:r>
            <w:r>
              <w:rPr>
                <w:rFonts w:ascii="宋体" w:hAnsi="宋体"/>
                <w:sz w:val="16"/>
                <w:szCs w:val="21"/>
              </w:rPr>
              <mc:AlternateContent>
                <mc:Choice Requires="wps">
                  <w:drawing>
                    <wp:anchor distT="0" distB="0" distL="114300" distR="114300" simplePos="0" relativeHeight="252203008" behindDoc="0" locked="0" layoutInCell="1" allowOverlap="1">
                      <wp:simplePos x="0" y="0"/>
                      <wp:positionH relativeFrom="column">
                        <wp:posOffset>118110</wp:posOffset>
                      </wp:positionH>
                      <wp:positionV relativeFrom="paragraph">
                        <wp:posOffset>3758565</wp:posOffset>
                      </wp:positionV>
                      <wp:extent cx="416560" cy="0"/>
                      <wp:effectExtent l="0" t="0" r="0" b="0"/>
                      <wp:wrapNone/>
                      <wp:docPr id="130" name="直接连接符 130"/>
                      <wp:cNvGraphicFramePr/>
                      <a:graphic xmlns:a="http://schemas.openxmlformats.org/drawingml/2006/main">
                        <a:graphicData uri="http://schemas.microsoft.com/office/word/2010/wordprocessingShape">
                          <wps:wsp>
                            <wps:cNvCnPr/>
                            <wps:spPr>
                              <a:xfrm flipH="1">
                                <a:off x="0" y="0"/>
                                <a:ext cx="416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9.3pt;margin-top:295.95pt;height:0pt;width:32.8pt;z-index:252203008;mso-width-relative:page;mso-height-relative:page;" filled="f" stroked="t" coordsize="21600,21600" o:gfxdata="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pzRlvVAAAACQEAAA8AAAAAAAAAAQAgAAAAIgAAAGRy&#10;cy9kb3ducmV2LnhtbFBLAQIUABQAAAAIAIdO4kA2AI4ezwEAAHADAAAOAAAAAAAAAAEAIAAAACQB&#10;AABkcnMvZTJvRG9jLnhtbFBLBQYAAAAABgAGAFkBAABlBQAAAAA=&#10;">
                      <v:fill on="f" focussize="0,0"/>
                      <v:stroke weight="0.5pt" color="#000000 [3213]" miterlimit="8" joinstyle="miter"/>
                      <v:imagedata o:title=""/>
                      <o:lock v:ext="edit" aspectratio="f"/>
                    </v:line>
                  </w:pict>
                </mc:Fallback>
              </mc:AlternateContent>
            </w:r>
            <w:r>
              <w:rPr>
                <w:rFonts w:ascii="宋体" w:hAnsi="宋体"/>
                <w:sz w:val="16"/>
                <w:szCs w:val="21"/>
              </w:rPr>
              <mc:AlternateContent>
                <mc:Choice Requires="wps">
                  <w:drawing>
                    <wp:anchor distT="0" distB="0" distL="114300" distR="114300" simplePos="0" relativeHeight="252201984" behindDoc="0" locked="0" layoutInCell="1" allowOverlap="1">
                      <wp:simplePos x="0" y="0"/>
                      <wp:positionH relativeFrom="column">
                        <wp:posOffset>107315</wp:posOffset>
                      </wp:positionH>
                      <wp:positionV relativeFrom="paragraph">
                        <wp:posOffset>5814060</wp:posOffset>
                      </wp:positionV>
                      <wp:extent cx="501650" cy="0"/>
                      <wp:effectExtent l="0" t="0" r="0" b="0"/>
                      <wp:wrapNone/>
                      <wp:docPr id="131" name="直接连接符 131"/>
                      <wp:cNvGraphicFramePr/>
                      <a:graphic xmlns:a="http://schemas.openxmlformats.org/drawingml/2006/main">
                        <a:graphicData uri="http://schemas.microsoft.com/office/word/2010/wordprocessingShape">
                          <wps:wsp>
                            <wps:cNvCnPr/>
                            <wps:spPr>
                              <a:xfrm flipH="1">
                                <a:off x="0" y="0"/>
                                <a:ext cx="50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8.45pt;margin-top:457.8pt;height:0pt;width:39.5pt;z-index:252201984;mso-width-relative:page;mso-height-relative:page;" filled="f" stroked="t" coordsize="21600,21600" o:gfxdata="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gtEpjVAAAACQEAAA8AAAAAAAAAAQAgAAAAIgAAAGRy&#10;cy9kb3ducmV2LnhtbFBLAQIUABQAAAAIAIdO4kDLWkxQzwEAAHADAAAOAAAAAAAAAAEAIAAAACQB&#10;AABkcnMvZTJvRG9jLnhtbFBLBQYAAAAABgAGAFkBAABlBQAAAAA=&#10;">
                      <v:fill on="f" focussize="0,0"/>
                      <v:stroke weight="0.5pt" color="#000000 [3213]" miterlimit="8" joinstyle="miter"/>
                      <v:imagedata o:title=""/>
                      <o:lock v:ext="edit" aspectratio="f"/>
                    </v:line>
                  </w:pict>
                </mc:Fallback>
              </mc:AlternateContent>
            </w:r>
            <w:r>
              <w:rPr>
                <w:rFonts w:ascii="宋体" w:hAnsi="宋体"/>
                <w:sz w:val="16"/>
                <w:szCs w:val="21"/>
              </w:rPr>
              <mc:AlternateContent>
                <mc:Choice Requires="wps">
                  <w:drawing>
                    <wp:anchor distT="0" distB="0" distL="114300" distR="114300" simplePos="0" relativeHeight="252200960" behindDoc="0" locked="0" layoutInCell="1" allowOverlap="1">
                      <wp:simplePos x="0" y="0"/>
                      <wp:positionH relativeFrom="column">
                        <wp:posOffset>1330960</wp:posOffset>
                      </wp:positionH>
                      <wp:positionV relativeFrom="paragraph">
                        <wp:posOffset>4270375</wp:posOffset>
                      </wp:positionV>
                      <wp:extent cx="1905" cy="1136650"/>
                      <wp:effectExtent l="36195" t="0" r="38100" b="6350"/>
                      <wp:wrapNone/>
                      <wp:docPr id="132" name="直接箭头连接符 132"/>
                      <wp:cNvGraphicFramePr/>
                      <a:graphic xmlns:a="http://schemas.openxmlformats.org/drawingml/2006/main">
                        <a:graphicData uri="http://schemas.microsoft.com/office/word/2010/wordprocessingShape">
                          <wps:wsp>
                            <wps:cNvCnPr/>
                            <wps:spPr>
                              <a:xfrm>
                                <a:off x="0" y="0"/>
                                <a:ext cx="1905" cy="1136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4.8pt;margin-top:336.25pt;height:89.5pt;width:0.15pt;z-index:252200960;mso-width-relative:page;mso-height-relative:page;" filled="f" stroked="t" coordsize="21600,21600" o:gfxdata="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738Y9gAAAALAQAADwAAAAAAAAABACAAAAAiAAAAZHJzL2Rvd25yZXYueG1sUEsBAhQAFAAA&#10;AAgAh07iQD6ljInvAQAAmgMAAA4AAAAAAAAAAQAgAAAAJwEAAGRycy9lMm9Eb2MueG1sUEsFBgAA&#10;AAAGAAYAWQEAAIgFAAAAAA==&#10;">
                      <v:fill on="f" focussize="0,0"/>
                      <v:stroke weight="0.5pt" color="#000000 [3213]" miterlimit="8" joinstyle="miter" endarrow="block"/>
                      <v:imagedata o:title=""/>
                      <o:lock v:ext="edit" aspectratio="f"/>
                    </v:shape>
                  </w:pict>
                </mc:Fallback>
              </mc:AlternateContent>
            </w:r>
            <w:r>
              <w:rPr>
                <w:rFonts w:ascii="宋体" w:hAnsi="宋体"/>
                <w:sz w:val="16"/>
                <w:szCs w:val="21"/>
              </w:rPr>
              <mc:AlternateContent>
                <mc:Choice Requires="wps">
                  <w:drawing>
                    <wp:anchor distT="0" distB="0" distL="114300" distR="114300" simplePos="0" relativeHeight="252196864" behindDoc="0" locked="0" layoutInCell="1" allowOverlap="1">
                      <wp:simplePos x="0" y="0"/>
                      <wp:positionH relativeFrom="margin">
                        <wp:posOffset>529590</wp:posOffset>
                      </wp:positionH>
                      <wp:positionV relativeFrom="paragraph">
                        <wp:posOffset>3255645</wp:posOffset>
                      </wp:positionV>
                      <wp:extent cx="1605280" cy="1009650"/>
                      <wp:effectExtent l="8890" t="5715" r="24130" b="13335"/>
                      <wp:wrapNone/>
                      <wp:docPr id="214" name="菱形 214"/>
                      <wp:cNvGraphicFramePr/>
                      <a:graphic xmlns:a="http://schemas.openxmlformats.org/drawingml/2006/main">
                        <a:graphicData uri="http://schemas.microsoft.com/office/word/2010/wordprocessingShape">
                          <wps:wsp>
                            <wps:cNvSpPr>
                              <a:spLocks noChangeArrowheads="1"/>
                            </wps:cNvSpPr>
                            <wps:spPr bwMode="auto">
                              <a:xfrm>
                                <a:off x="0" y="0"/>
                                <a:ext cx="1605280" cy="1009650"/>
                              </a:xfrm>
                              <a:prstGeom prst="diamond">
                                <a:avLst/>
                              </a:prstGeom>
                              <a:solidFill>
                                <a:srgbClr val="FFFFFF"/>
                              </a:solidFill>
                              <a:ln w="9525">
                                <a:solidFill>
                                  <a:srgbClr val="000000"/>
                                </a:solidFill>
                                <a:miter lim="800000"/>
                              </a:ln>
                            </wps:spPr>
                            <wps:txbx>
                              <w:txbxContent>
                                <w:p>
                                  <w:pPr>
                                    <w:adjustRightInd w:val="0"/>
                                    <w:snapToGrid w:val="0"/>
                                    <w:ind w:left="1"/>
                                    <w:jc w:val="center"/>
                                    <w:rPr>
                                      <w:szCs w:val="21"/>
                                    </w:rPr>
                                  </w:pPr>
                                  <w:r>
                                    <w:rPr>
                                      <w:rFonts w:hint="eastAsia"/>
                                      <w:sz w:val="21"/>
                                      <w:szCs w:val="21"/>
                                    </w:rPr>
                                    <w:t>转出二级学院审批</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41.7pt;margin-top:256.35pt;height:79.5pt;width:126.4pt;mso-position-horizontal-relative:margin;z-index:252196864;mso-width-relative:page;mso-height-relative:page;" fillcolor="#FFFFFF" filled="t" stroked="t" coordsize="21600,21600" o:gfxdata="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LgNA2QAAAAoBAAAPAAAAAAAAAAEAIAAAACIAAABkcnMvZG93bnJldi54bWxQSwECFAAUAAAACACH&#10;TuJAN+3WVyMCAAA0BAAADgAAAAAAAAABACAAAAAoAQAAZHJzL2Uyb0RvYy54bWxQSwUGAAAAAAYA&#10;BgBZAQAAvQUAAAAA&#10;">
                      <v:fill on="t" focussize="0,0"/>
                      <v:stroke color="#000000" miterlimit="8" joinstyle="miter"/>
                      <v:imagedata o:title=""/>
                      <o:lock v:ext="edit" aspectratio="f"/>
                      <v:textbox>
                        <w:txbxContent>
                          <w:p>
                            <w:pPr>
                              <w:adjustRightInd w:val="0"/>
                              <w:snapToGrid w:val="0"/>
                              <w:ind w:left="1"/>
                              <w:jc w:val="center"/>
                              <w:rPr>
                                <w:szCs w:val="21"/>
                              </w:rPr>
                            </w:pPr>
                            <w:r>
                              <w:rPr>
                                <w:rFonts w:hint="eastAsia"/>
                                <w:sz w:val="21"/>
                                <w:szCs w:val="21"/>
                              </w:rPr>
                              <w:t>转出二级学院审批</w:t>
                            </w:r>
                          </w:p>
                        </w:txbxContent>
                      </v:textbox>
                    </v:shape>
                  </w:pict>
                </mc:Fallback>
              </mc:AlternateContent>
            </w:r>
            <w:r>
              <w:rPr>
                <w:rFonts w:ascii="宋体" w:hAnsi="宋体"/>
                <w:sz w:val="16"/>
                <w:szCs w:val="21"/>
              </w:rPr>
              <mc:AlternateContent>
                <mc:Choice Requires="wps">
                  <w:drawing>
                    <wp:anchor distT="0" distB="0" distL="114300" distR="114300" simplePos="0" relativeHeight="252198912" behindDoc="0" locked="0" layoutInCell="1" allowOverlap="1">
                      <wp:simplePos x="0" y="0"/>
                      <wp:positionH relativeFrom="column">
                        <wp:posOffset>-23495</wp:posOffset>
                      </wp:positionH>
                      <wp:positionV relativeFrom="paragraph">
                        <wp:posOffset>177165</wp:posOffset>
                      </wp:positionV>
                      <wp:extent cx="696595" cy="810895"/>
                      <wp:effectExtent l="4445" t="4445" r="22860" b="22860"/>
                      <wp:wrapNone/>
                      <wp:docPr id="215" name="流程图: 过程 153"/>
                      <wp:cNvGraphicFramePr/>
                      <a:graphic xmlns:a="http://schemas.openxmlformats.org/drawingml/2006/main">
                        <a:graphicData uri="http://schemas.microsoft.com/office/word/2010/wordprocessingShape">
                          <wps:wsp>
                            <wps:cNvSpPr>
                              <a:spLocks noChangeArrowheads="1"/>
                            </wps:cNvSpPr>
                            <wps:spPr bwMode="auto">
                              <a:xfrm>
                                <a:off x="0" y="0"/>
                                <a:ext cx="696595" cy="810895"/>
                              </a:xfrm>
                              <a:prstGeom prst="flowChartProcess">
                                <a:avLst/>
                              </a:prstGeom>
                              <a:solidFill>
                                <a:srgbClr val="FFFFFF"/>
                              </a:solidFill>
                              <a:ln w="9525">
                                <a:solidFill>
                                  <a:srgbClr val="000000"/>
                                </a:solidFill>
                                <a:miter lim="800000"/>
                              </a:ln>
                            </wps:spPr>
                            <wps:txbx>
                              <w:txbxContent>
                                <w:p>
                                  <w:pPr>
                                    <w:jc w:val="center"/>
                                    <w:rPr>
                                      <w:szCs w:val="21"/>
                                    </w:rPr>
                                  </w:pPr>
                                  <w:r>
                                    <w:rPr>
                                      <w:rFonts w:hint="eastAsia"/>
                                      <w:sz w:val="21"/>
                                      <w:szCs w:val="21"/>
                                    </w:rPr>
                                    <w:t>二级学院通知学生</w:t>
                                  </w:r>
                                </w:p>
                              </w:txbxContent>
                            </wps:txbx>
                            <wps:bodyPr rot="0" vert="horz" wrap="square" lIns="91440" tIns="45720" rIns="91440" bIns="45720" anchor="t" anchorCtr="0" upright="1">
                              <a:noAutofit/>
                            </wps:bodyPr>
                          </wps:wsp>
                        </a:graphicData>
                      </a:graphic>
                    </wp:anchor>
                  </w:drawing>
                </mc:Choice>
                <mc:Fallback>
                  <w:pict>
                    <v:shape id="流程图: 过程 153" o:spid="_x0000_s1026" o:spt="109" type="#_x0000_t109" style="position:absolute;left:0pt;margin-left:-1.85pt;margin-top:13.95pt;height:63.85pt;width:54.85pt;z-index:252198912;mso-width-relative:page;mso-height-relative:page;" fillcolor="#FFFFFF" filled="t" stroked="t" coordsize="21600,21600" o:gfxdata="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UDsOdkAAAAJAQAADwAAAAAAAAABACAAAAAiAAAAZHJzL2Rvd25yZXYu&#10;eG1sUEsBAhQAFAAAAAgAh07iQATsqkozAgAARgQAAA4AAAAAAAAAAQAgAAAAKAEAAGRycy9lMm9E&#10;b2MueG1sUEsFBgAAAAAGAAYAWQEAAM0FAAAAAA==&#10;">
                      <v:fill on="t" focussize="0,0"/>
                      <v:stroke color="#000000" miterlimit="8" joinstyle="miter"/>
                      <v:imagedata o:title=""/>
                      <o:lock v:ext="edit" aspectratio="f"/>
                      <v:textbox>
                        <w:txbxContent>
                          <w:p>
                            <w:pPr>
                              <w:jc w:val="center"/>
                              <w:rPr>
                                <w:szCs w:val="21"/>
                              </w:rPr>
                            </w:pPr>
                            <w:r>
                              <w:rPr>
                                <w:rFonts w:hint="eastAsia"/>
                                <w:sz w:val="21"/>
                                <w:szCs w:val="21"/>
                              </w:rPr>
                              <w:t>二级学院通知学生</w:t>
                            </w:r>
                          </w:p>
                        </w:txbxContent>
                      </v:textbox>
                    </v:shape>
                  </w:pict>
                </mc:Fallback>
              </mc:AlternateContent>
            </w:r>
            <w:r>
              <w:rPr>
                <w:rFonts w:ascii="宋体" w:hAnsi="宋体"/>
                <w:sz w:val="16"/>
                <w:szCs w:val="21"/>
              </w:rPr>
              <mc:AlternateContent>
                <mc:Choice Requires="wpc">
                  <w:drawing>
                    <wp:inline distT="0" distB="0" distL="0" distR="0">
                      <wp:extent cx="2158365" cy="6953250"/>
                      <wp:effectExtent l="0" t="0" r="0" b="0"/>
                      <wp:docPr id="251" name="画布 251"/>
                      <wp:cNvGraphicFramePr/>
                      <a:graphic xmlns:a="http://schemas.openxmlformats.org/drawingml/2006/main">
                        <a:graphicData uri="http://schemas.microsoft.com/office/word/2010/wordprocessingCanvas">
                          <wpc:wpc>
                            <wpc:bg>
                              <a:noFill/>
                            </wpc:bg>
                            <wpc:whole>
                              <a:ln>
                                <a:noFill/>
                              </a:ln>
                            </wpc:whole>
                            <wps:wsp>
                              <wps:cNvPr id="216" name="AutoShape 1077"/>
                              <wps:cNvSpPr>
                                <a:spLocks noChangeArrowheads="1"/>
                              </wps:cNvSpPr>
                              <wps:spPr bwMode="auto">
                                <a:xfrm>
                                  <a:off x="748030" y="159495"/>
                                  <a:ext cx="1165860" cy="361315"/>
                                </a:xfrm>
                                <a:prstGeom prst="flowChartAlternateProcess">
                                  <a:avLst/>
                                </a:prstGeom>
                                <a:solidFill>
                                  <a:srgbClr val="FFFFFF"/>
                                </a:solidFill>
                                <a:ln w="9525">
                                  <a:solidFill>
                                    <a:srgbClr val="000000"/>
                                  </a:solidFill>
                                  <a:miter lim="800000"/>
                                </a:ln>
                              </wps:spPr>
                              <wps:txbx>
                                <w:txbxContent>
                                  <w:p>
                                    <w:pPr>
                                      <w:rPr>
                                        <w:szCs w:val="21"/>
                                      </w:rPr>
                                    </w:pPr>
                                    <w:r>
                                      <w:rPr>
                                        <w:rFonts w:hint="eastAsia"/>
                                        <w:sz w:val="21"/>
                                        <w:szCs w:val="21"/>
                                      </w:rPr>
                                      <w:t>发布转专业通知</w:t>
                                    </w:r>
                                  </w:p>
                                  <w:p>
                                    <w:pPr>
                                      <w:rPr>
                                        <w:szCs w:val="21"/>
                                      </w:rPr>
                                    </w:pPr>
                                  </w:p>
                                </w:txbxContent>
                              </wps:txbx>
                              <wps:bodyPr rot="0" vert="horz" wrap="square" lIns="91440" tIns="45720" rIns="91440" bIns="45720" anchor="t" anchorCtr="0" upright="1">
                                <a:noAutofit/>
                              </wps:bodyPr>
                            </wps:wsp>
                            <wps:wsp>
                              <wps:cNvPr id="217" name="AutoShape 1079"/>
                              <wps:cNvSpPr>
                                <a:spLocks noChangeArrowheads="1"/>
                              </wps:cNvSpPr>
                              <wps:spPr bwMode="auto">
                                <a:xfrm>
                                  <a:off x="303633" y="1874650"/>
                                  <a:ext cx="347980" cy="379095"/>
                                </a:xfrm>
                                <a:prstGeom prst="flowChartProcess">
                                  <a:avLst/>
                                </a:prstGeom>
                                <a:solidFill>
                                  <a:srgbClr val="FFFFFF"/>
                                </a:solidFill>
                                <a:ln>
                                  <a:noFill/>
                                </a:ln>
                              </wps:spPr>
                              <wps:txbx>
                                <w:txbxContent>
                                  <w:p>
                                    <w:pPr>
                                      <w:rPr>
                                        <w:szCs w:val="21"/>
                                      </w:rPr>
                                    </w:pPr>
                                    <w:r>
                                      <w:rPr>
                                        <w:rFonts w:hint="eastAsia"/>
                                        <w:sz w:val="21"/>
                                        <w:szCs w:val="21"/>
                                      </w:rPr>
                                      <w:t>否</w:t>
                                    </w:r>
                                  </w:p>
                                </w:txbxContent>
                              </wps:txbx>
                              <wps:bodyPr rot="0" vert="horz" wrap="square" lIns="91440" tIns="45720" rIns="91440" bIns="45720" anchor="t" anchorCtr="0" upright="1">
                                <a:noAutofit/>
                              </wps:bodyPr>
                            </wps:wsp>
                            <wps:wsp>
                              <wps:cNvPr id="218" name="AutoShape 1080"/>
                              <wps:cNvSpPr>
                                <a:spLocks noChangeArrowheads="1"/>
                              </wps:cNvSpPr>
                              <wps:spPr bwMode="auto">
                                <a:xfrm>
                                  <a:off x="190260" y="3390493"/>
                                  <a:ext cx="347980" cy="379095"/>
                                </a:xfrm>
                                <a:prstGeom prst="flowChartProcess">
                                  <a:avLst/>
                                </a:prstGeom>
                                <a:solidFill>
                                  <a:srgbClr val="FFFFFF"/>
                                </a:solidFill>
                                <a:ln>
                                  <a:noFill/>
                                </a:ln>
                              </wps:spPr>
                              <wps:txbx>
                                <w:txbxContent>
                                  <w:p>
                                    <w:pPr>
                                      <w:rPr>
                                        <w:szCs w:val="21"/>
                                      </w:rPr>
                                    </w:pPr>
                                    <w:r>
                                      <w:rPr>
                                        <w:rFonts w:hint="eastAsia"/>
                                        <w:sz w:val="21"/>
                                        <w:szCs w:val="21"/>
                                      </w:rPr>
                                      <w:t>否</w:t>
                                    </w:r>
                                  </w:p>
                                </w:txbxContent>
                              </wps:txbx>
                              <wps:bodyPr rot="0" vert="horz" wrap="square" lIns="91440" tIns="45720" rIns="91440" bIns="45720" anchor="t" anchorCtr="0" upright="1">
                                <a:noAutofit/>
                              </wps:bodyPr>
                            </wps:wsp>
                            <wps:wsp>
                              <wps:cNvPr id="219" name="AutoShape 1082"/>
                              <wps:cNvSpPr>
                                <a:spLocks noChangeArrowheads="1"/>
                              </wps:cNvSpPr>
                              <wps:spPr bwMode="auto">
                                <a:xfrm>
                                  <a:off x="263410" y="5444168"/>
                                  <a:ext cx="347980" cy="379095"/>
                                </a:xfrm>
                                <a:prstGeom prst="flowChartProcess">
                                  <a:avLst/>
                                </a:prstGeom>
                                <a:solidFill>
                                  <a:srgbClr val="FFFFFF"/>
                                </a:solidFill>
                                <a:ln>
                                  <a:noFill/>
                                </a:ln>
                              </wps:spPr>
                              <wps:txbx>
                                <w:txbxContent>
                                  <w:p>
                                    <w:pPr>
                                      <w:rPr>
                                        <w:szCs w:val="21"/>
                                      </w:rPr>
                                    </w:pPr>
                                    <w:r>
                                      <w:rPr>
                                        <w:rFonts w:hint="eastAsia"/>
                                        <w:sz w:val="21"/>
                                        <w:szCs w:val="21"/>
                                      </w:rPr>
                                      <w:t>否</w:t>
                                    </w:r>
                                  </w:p>
                                </w:txbxContent>
                              </wps:txbx>
                              <wps:bodyPr rot="0" vert="horz" wrap="square" lIns="91440" tIns="45720" rIns="91440" bIns="45720" anchor="t" anchorCtr="0" upright="1">
                                <a:noAutofit/>
                              </wps:bodyPr>
                            </wps:wsp>
                            <wps:wsp>
                              <wps:cNvPr id="220" name="AutoShape 1085"/>
                              <wps:cNvSpPr>
                                <a:spLocks noChangeArrowheads="1"/>
                              </wps:cNvSpPr>
                              <wps:spPr bwMode="auto">
                                <a:xfrm>
                                  <a:off x="810733" y="1117595"/>
                                  <a:ext cx="1043940" cy="379095"/>
                                </a:xfrm>
                                <a:prstGeom prst="flowChartProcess">
                                  <a:avLst/>
                                </a:prstGeom>
                                <a:solidFill>
                                  <a:srgbClr val="FFFFFF"/>
                                </a:solidFill>
                                <a:ln w="9525">
                                  <a:solidFill>
                                    <a:srgbClr val="000000"/>
                                  </a:solidFill>
                                  <a:miter lim="800000"/>
                                </a:ln>
                              </wps:spPr>
                              <wps:txbx>
                                <w:txbxContent>
                                  <w:p>
                                    <w:pPr>
                                      <w:jc w:val="center"/>
                                      <w:rPr>
                                        <w:szCs w:val="21"/>
                                      </w:rPr>
                                    </w:pPr>
                                    <w:r>
                                      <w:rPr>
                                        <w:rFonts w:hint="eastAsia"/>
                                        <w:sz w:val="21"/>
                                        <w:szCs w:val="21"/>
                                      </w:rPr>
                                      <w:t>学生提出申请</w:t>
                                    </w:r>
                                  </w:p>
                                </w:txbxContent>
                              </wps:txbx>
                              <wps:bodyPr rot="0" vert="horz" wrap="square" lIns="91440" tIns="45720" rIns="91440" bIns="45720" anchor="t" anchorCtr="0" upright="1">
                                <a:noAutofit/>
                              </wps:bodyPr>
                            </wps:wsp>
                            <wps:wsp>
                              <wps:cNvPr id="221" name="AutoShape 1086"/>
                              <wps:cNvSpPr>
                                <a:spLocks noChangeArrowheads="1"/>
                              </wps:cNvSpPr>
                              <wps:spPr bwMode="auto">
                                <a:xfrm>
                                  <a:off x="638959" y="1742524"/>
                                  <a:ext cx="1393190" cy="870585"/>
                                </a:xfrm>
                                <a:prstGeom prst="diamond">
                                  <a:avLst/>
                                </a:prstGeom>
                                <a:solidFill>
                                  <a:srgbClr val="FFFFFF"/>
                                </a:solidFill>
                                <a:ln w="9525">
                                  <a:solidFill>
                                    <a:srgbClr val="000000"/>
                                  </a:solidFill>
                                  <a:miter lim="800000"/>
                                </a:ln>
                              </wps:spPr>
                              <wps:txbx>
                                <w:txbxContent>
                                  <w:p>
                                    <w:pPr>
                                      <w:adjustRightInd w:val="0"/>
                                      <w:snapToGrid w:val="0"/>
                                      <w:jc w:val="center"/>
                                      <w:rPr>
                                        <w:szCs w:val="21"/>
                                      </w:rPr>
                                    </w:pPr>
                                    <w:r>
                                      <w:rPr>
                                        <w:rFonts w:hint="eastAsia"/>
                                        <w:sz w:val="21"/>
                                        <w:szCs w:val="21"/>
                                      </w:rPr>
                                      <w:t>审核申请材料</w:t>
                                    </w:r>
                                  </w:p>
                                </w:txbxContent>
                              </wps:txbx>
                              <wps:bodyPr rot="0" vert="horz" wrap="square" lIns="91440" tIns="45720" rIns="91440" bIns="45720" anchor="t" anchorCtr="0" upright="1">
                                <a:noAutofit/>
                              </wps:bodyPr>
                            </wps:wsp>
                            <wps:wsp>
                              <wps:cNvPr id="222" name="直接箭头连接符 3"/>
                              <wps:cNvCnPr/>
                              <wps:spPr>
                                <a:xfrm flipV="1">
                                  <a:off x="106326" y="934720"/>
                                  <a:ext cx="10632" cy="59201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直接箭头连接符 4"/>
                              <wps:cNvCnPr/>
                              <wps:spPr>
                                <a:xfrm>
                                  <a:off x="1330960" y="520810"/>
                                  <a:ext cx="1743" cy="5967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直接箭头连接符 6"/>
                              <wps:cNvCnPr/>
                              <wps:spPr>
                                <a:xfrm>
                                  <a:off x="1332703" y="1496690"/>
                                  <a:ext cx="2851" cy="2458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直接箭头连接符 22"/>
                              <wps:cNvCnPr/>
                              <wps:spPr>
                                <a:xfrm flipH="1">
                                  <a:off x="1335527" y="2613109"/>
                                  <a:ext cx="27" cy="5766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直接连接符 102"/>
                              <wps:cNvCnPr/>
                              <wps:spPr>
                                <a:xfrm flipH="1">
                                  <a:off x="106324" y="2180822"/>
                                  <a:ext cx="5337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547.5pt;width:169.95pt;" coordsize="2158365,6953250" editas="canvas" o:gfxdata="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">
                      <o:lock v:ext="edit" aspectratio="f"/>
                      <v:shape id="_x0000_s1026" o:spid="_x0000_s1026" style="position:absolute;left:0;top:0;height:6953250;width:2158365;" filled="f" stroked="f" coordsize="21600,21600" o:gfxdata="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wa7Tj9cA&#10;AAAGAQAADwAAAAAAAAABACAAAAAiAAAAZHJzL2Rvd25yZXYueG1sUEsBAhQAFAAAAAgAh07iQGlD&#10;JoXMBAAAChwAAA4AAAAAAAAAAQAgAAAAJgEAAGRycy9lMm9Eb2MueG1sUEsFBgAAAAAGAAYAWQEA&#10;AGQIAAAAAA==&#10;">
                        <v:fill on="f" focussize="0,0"/>
                        <v:stroke on="f"/>
                        <v:imagedata o:title=""/>
                        <o:lock v:ext="edit" aspectratio="f"/>
                      </v:shape>
                      <v:shape id="AutoShape 1077" o:spid="_x0000_s1026" o:spt="176" type="#_x0000_t176" style="position:absolute;left:748030;top:159495;height:361315;width:1165860;" fillcolor="#FFFFFF" filled="t" stroked="t" coordsize="21600,21600" o:gfxdata="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z6lYHUAAAABgEAAA8AAAAAAAAAAQAgAAAAIgAAAGRycy9kb3ducmV2LnhtbFBLAQIUABQA&#10;AAAIAIdO4kA77NgDLQIAAFMEAAAOAAAAAAAAAAEAIAAAACMBAABkcnMvZTJvRG9jLnhtbFBLBQYA&#10;AAAABgAGAFkBAADCBQAAAAA=&#10;">
                        <v:fill on="t" focussize="0,0"/>
                        <v:stroke color="#000000" miterlimit="8" joinstyle="miter"/>
                        <v:imagedata o:title=""/>
                        <o:lock v:ext="edit" aspectratio="f"/>
                        <v:textbox>
                          <w:txbxContent>
                            <w:p>
                              <w:pPr>
                                <w:rPr>
                                  <w:szCs w:val="21"/>
                                </w:rPr>
                              </w:pPr>
                              <w:r>
                                <w:rPr>
                                  <w:rFonts w:hint="eastAsia"/>
                                  <w:sz w:val="21"/>
                                  <w:szCs w:val="21"/>
                                </w:rPr>
                                <w:t>发布转专业通知</w:t>
                              </w:r>
                            </w:p>
                            <w:p>
                              <w:pPr>
                                <w:rPr>
                                  <w:szCs w:val="21"/>
                                </w:rPr>
                              </w:pPr>
                            </w:p>
                          </w:txbxContent>
                        </v:textbox>
                      </v:shape>
                      <v:shape id="AutoShape 1079" o:spid="_x0000_s1026" o:spt="109" type="#_x0000_t109" style="position:absolute;left:303633;top:1874650;height:379095;width:347980;" fillcolor="#FFFFFF" filled="t" stroked="f" coordsize="21600,21600" o:gfxdata="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FuDm1gAAAAYBAAAPAAAAAAAAAAEAIAAA&#10;ACIAAABkcnMvZG93bnJldi54bWxQSwECFAAUAAAACACHTuJAVQIgiw4CAAABBAAADgAAAAAAAAAB&#10;ACAAAAAlAQAAZHJzL2Uyb0RvYy54bWxQSwUGAAAAAAYABgBZAQAApQUAAAAA&#10;">
                        <v:fill on="t" focussize="0,0"/>
                        <v:stroke on="f"/>
                        <v:imagedata o:title=""/>
                        <o:lock v:ext="edit" aspectratio="f"/>
                        <v:textbox>
                          <w:txbxContent>
                            <w:p>
                              <w:pPr>
                                <w:rPr>
                                  <w:szCs w:val="21"/>
                                </w:rPr>
                              </w:pPr>
                              <w:r>
                                <w:rPr>
                                  <w:rFonts w:hint="eastAsia"/>
                                  <w:sz w:val="21"/>
                                  <w:szCs w:val="21"/>
                                </w:rPr>
                                <w:t>否</w:t>
                              </w:r>
                            </w:p>
                          </w:txbxContent>
                        </v:textbox>
                      </v:shape>
                      <v:shape id="AutoShape 1080" o:spid="_x0000_s1026" o:spt="109" type="#_x0000_t109" style="position:absolute;left:190260;top:3390493;height:379095;width:347980;" fillcolor="#FFFFFF" filled="t" stroked="f" coordsize="21600,21600" o:gfxdata="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Bbg5tYAAAAGAQAADwAAAAAAAAABACAA&#10;AAAiAAAAZHJzL2Rvd25yZXYueG1sUEsBAhQAFAAAAAgAh07iQARL3nsPAgAAAQQAAA4AAAAAAAAA&#10;AQAgAAAAJQEAAGRycy9lMm9Eb2MueG1sUEsFBgAAAAAGAAYAWQEAAKYFAAAAAA==&#10;">
                        <v:fill on="t" focussize="0,0"/>
                        <v:stroke on="f"/>
                        <v:imagedata o:title=""/>
                        <o:lock v:ext="edit" aspectratio="f"/>
                        <v:textbox>
                          <w:txbxContent>
                            <w:p>
                              <w:pPr>
                                <w:rPr>
                                  <w:szCs w:val="21"/>
                                </w:rPr>
                              </w:pPr>
                              <w:r>
                                <w:rPr>
                                  <w:rFonts w:hint="eastAsia"/>
                                  <w:sz w:val="21"/>
                                  <w:szCs w:val="21"/>
                                </w:rPr>
                                <w:t>否</w:t>
                              </w:r>
                            </w:p>
                          </w:txbxContent>
                        </v:textbox>
                      </v:shape>
                      <v:shape id="AutoShape 1082" o:spid="_x0000_s1026" o:spt="109" type="#_x0000_t109" style="position:absolute;left:263410;top:5444168;height:379095;width:347980;" fillcolor="#FFFFFF" filled="t" stroked="f" coordsize="21600,21600" o:gfxdata="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QW4ObWAAAABgEAAA8AAAAAAAAAAQAg&#10;AAAAIgAAAGRycy9kb3ducmV2LnhtbFBLAQIUABQAAAAIAIdO4kAVCMZxEAIAAAEEAAAOAAAAAAAA&#10;AAEAIAAAACUBAABkcnMvZTJvRG9jLnhtbFBLBQYAAAAABgAGAFkBAACnBQAAAAA=&#10;">
                        <v:fill on="t" focussize="0,0"/>
                        <v:stroke on="f"/>
                        <v:imagedata o:title=""/>
                        <o:lock v:ext="edit" aspectratio="f"/>
                        <v:textbox>
                          <w:txbxContent>
                            <w:p>
                              <w:pPr>
                                <w:rPr>
                                  <w:szCs w:val="21"/>
                                </w:rPr>
                              </w:pPr>
                              <w:r>
                                <w:rPr>
                                  <w:rFonts w:hint="eastAsia"/>
                                  <w:sz w:val="21"/>
                                  <w:szCs w:val="21"/>
                                </w:rPr>
                                <w:t>否</w:t>
                              </w:r>
                            </w:p>
                          </w:txbxContent>
                        </v:textbox>
                      </v:shape>
                      <v:shape id="AutoShape 1085" o:spid="_x0000_s1026" o:spt="109" type="#_x0000_t109" style="position:absolute;left:810733;top:1117595;height:379095;width:1043940;" fillcolor="#FFFFFF" filled="t" stroked="t" coordsize="21600,21600" o:gfxdata="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a6+nNYAAAAGAQAADwAAAAAAAAABACAAAAAiAAAAZHJzL2Rvd25yZXYueG1sUEsBAhQAFAAAAAgA&#10;h07iQChgs3EnAgAASwQAAA4AAAAAAAAAAQAgAAAAJQEAAGRycy9lMm9Eb2MueG1sUEsFBgAAAAAG&#10;AAYAWQEAAL4FAAAAAA==&#10;">
                        <v:fill on="t" focussize="0,0"/>
                        <v:stroke color="#000000" miterlimit="8" joinstyle="miter"/>
                        <v:imagedata o:title=""/>
                        <o:lock v:ext="edit" aspectratio="f"/>
                        <v:textbox>
                          <w:txbxContent>
                            <w:p>
                              <w:pPr>
                                <w:jc w:val="center"/>
                                <w:rPr>
                                  <w:szCs w:val="21"/>
                                </w:rPr>
                              </w:pPr>
                              <w:r>
                                <w:rPr>
                                  <w:rFonts w:hint="eastAsia"/>
                                  <w:sz w:val="21"/>
                                  <w:szCs w:val="21"/>
                                </w:rPr>
                                <w:t>学生提出申请</w:t>
                              </w:r>
                            </w:p>
                          </w:txbxContent>
                        </v:textbox>
                      </v:shape>
                      <v:shape id="AutoShape 1086" o:spid="_x0000_s1026" o:spt="4" type="#_x0000_t4" style="position:absolute;left:638959;top:1742524;height:870585;width:1393190;" fillcolor="#FFFFFF" filled="t" stroked="t" coordsize="21600,21600" o:gfxdata="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EkSD7V&#10;AAAABgEAAA8AAAAAAAAAAQAgAAAAIgAAAGRycy9kb3ducmV2LnhtbFBLAQIUABQAAAAIAIdO4kA8&#10;YHgQIwIAAEIEAAAOAAAAAAAAAAEAIAAAACQBAABkcnMvZTJvRG9jLnhtbFBLBQYAAAAABgAGAFkB&#10;AAC5BQAAAAA=&#10;">
                        <v:fill on="t" focussize="0,0"/>
                        <v:stroke color="#000000" miterlimit="8" joinstyle="miter"/>
                        <v:imagedata o:title=""/>
                        <o:lock v:ext="edit" aspectratio="f"/>
                        <v:textbox>
                          <w:txbxContent>
                            <w:p>
                              <w:pPr>
                                <w:adjustRightInd w:val="0"/>
                                <w:snapToGrid w:val="0"/>
                                <w:jc w:val="center"/>
                                <w:rPr>
                                  <w:szCs w:val="21"/>
                                </w:rPr>
                              </w:pPr>
                              <w:r>
                                <w:rPr>
                                  <w:rFonts w:hint="eastAsia"/>
                                  <w:sz w:val="21"/>
                                  <w:szCs w:val="21"/>
                                </w:rPr>
                                <w:t>审核申请材料</w:t>
                              </w:r>
                            </w:p>
                          </w:txbxContent>
                        </v:textbox>
                      </v:shape>
                      <v:shape id="直接箭头连接符 3" o:spid="_x0000_s1026" o:spt="32" type="#_x0000_t32" style="position:absolute;left:106326;top:934720;flip:y;height:5920105;width:10632;" filled="f" stroked="t" coordsize="21600,21600" o:gfxdata="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WY6h1gAAAAYBAAAPAAAAAAAAAAEAIAAAACIAAABkcnMvZG93bnJldi54&#10;bWxQSwECFAAUAAAACACHTuJA7MCFIvwBAACtAwAADgAAAAAAAAABACAAAAAlAQAAZHJzL2Uyb0Rv&#10;Yy54bWxQSwUGAAAAAAYABgBZAQAAkwUAAAAA&#10;">
                        <v:fill on="f" focussize="0,0"/>
                        <v:stroke weight="0.5pt" color="#000000 [3213]" miterlimit="8" joinstyle="miter" endarrow="block"/>
                        <v:imagedata o:title=""/>
                        <o:lock v:ext="edit" aspectratio="f"/>
                      </v:shape>
                      <v:shape id="直接箭头连接符 4" o:spid="_x0000_s1026" o:spt="32" type="#_x0000_t32" style="position:absolute;left:1330960;top:520810;height:596785;width:1743;" filled="f" stroked="t" coordsize="21600,21600" o:gfxdata="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DVBVdMAAAAGAQAADwAAAAAAAAABACAAAAAiAAAAZHJzL2Rvd25yZXYueG1sUEsB&#10;AhQAFAAAAAgAh07iQE536UL6AQAAogMAAA4AAAAAAAAAAQAgAAAAIgEAAGRycy9lMm9Eb2MueG1s&#10;UEsFBgAAAAAGAAYAWQEAAI4FAAAAAA==&#10;">
                        <v:fill on="f" focussize="0,0"/>
                        <v:stroke weight="0.5pt" color="#000000 [3213]" miterlimit="8" joinstyle="miter" endarrow="block"/>
                        <v:imagedata o:title=""/>
                        <o:lock v:ext="edit" aspectratio="f"/>
                      </v:shape>
                      <v:shape id="直接箭头连接符 6" o:spid="_x0000_s1026" o:spt="32" type="#_x0000_t32" style="position:absolute;left:1332703;top:1496690;height:245834;width:2851;" filled="f" stroked="t" coordsize="21600,21600" o:gfxdata="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g1QVXTAAAABgEAAA8AAAAAAAAAAQAgAAAAIgAAAGRycy9kb3ducmV2LnhtbFBL&#10;AQIUABQAAAAIAIdO4kBkeRLW+wEAAKMDAAAOAAAAAAAAAAEAIAAAACIBAABkcnMvZTJvRG9jLnht&#10;bFBLBQYAAAAABgAGAFkBAACPBQAAAAA=&#10;">
                        <v:fill on="f" focussize="0,0"/>
                        <v:stroke weight="0.5pt" color="#000000 [3213]" miterlimit="8" joinstyle="miter" endarrow="block"/>
                        <v:imagedata o:title=""/>
                        <o:lock v:ext="edit" aspectratio="f"/>
                      </v:shape>
                      <v:shape id="直接箭头连接符 22" o:spid="_x0000_s1026" o:spt="32" type="#_x0000_t32" style="position:absolute;left:1335527;top:2613109;flip:x;height:576658;width:27;" filled="f" stroked="t" coordsize="21600,21600" o:gfxdata="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1ZjqHWAAAABgEAAA8AAAAAAAAAAQAgAAAAIgAAAGRycy9kb3ducmV2&#10;LnhtbFBLAQIUABQAAAAIAIdO4kAjQd6M/gEAAKwDAAAOAAAAAAAAAAEAIAAAACUBAABkcnMvZTJv&#10;RG9jLnhtbFBLBQYAAAAABgAGAFkBAACVBQAAAAA=&#10;">
                        <v:fill on="f" focussize="0,0"/>
                        <v:stroke weight="0.5pt" color="#000000 [3213]" miterlimit="8" joinstyle="miter" endarrow="block"/>
                        <v:imagedata o:title=""/>
                        <o:lock v:ext="edit" aspectratio="f"/>
                      </v:shape>
                      <v:line id="直接连接符 102" o:spid="_x0000_s1026" o:spt="20" style="position:absolute;left:106324;top:2180822;flip:x;height:0;width:533742;" filled="f" stroked="t" coordsize="21600,21600" o:gfxdata="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ryZOf1AAAAAYBAAAPAAAA&#10;AAAAAAEAIAAAACIAAABkcnMvZG93bnJldi54bWxQSwECFAAUAAAACACHTuJAjvNdIuABAAB7AwAA&#10;DgAAAAAAAAABACAAAAAjAQAAZHJzL2Uyb0RvYy54bWxQSwUGAAAAAAYABgBZAQAAdQUAAAAA&#10;">
                        <v:fill on="f" focussize="0,0"/>
                        <v:stroke weight="0.5pt" color="#000000 [3213]" miterlimit="8" joinstyle="miter"/>
                        <v:imagedata o:title=""/>
                        <o:lock v:ext="edit" aspectratio="f"/>
                      </v:line>
                      <w10:wrap type="none"/>
                      <w10:anchorlock/>
                    </v:group>
                  </w:pict>
                </mc:Fallback>
              </mc:AlternateContent>
            </w:r>
          </w:p>
          <w:p>
            <w:pPr>
              <w:pageBreakBefore w:val="0"/>
              <w:kinsoku/>
              <w:overflowPunct/>
              <w:topLinePunct w:val="0"/>
              <w:bidi w:val="0"/>
              <w:outlineLvl w:val="9"/>
              <w:rPr>
                <w:rFonts w:ascii="宋体" w:hAnsi="宋体"/>
                <w:sz w:val="16"/>
                <w:szCs w:val="21"/>
              </w:rPr>
            </w:pPr>
            <w:r>
              <w:rPr>
                <w:sz w:val="16"/>
              </w:rPr>
              <mc:AlternateContent>
                <mc:Choice Requires="wps">
                  <w:drawing>
                    <wp:anchor distT="0" distB="0" distL="114300" distR="114300" simplePos="0" relativeHeight="252207104" behindDoc="0" locked="0" layoutInCell="1" allowOverlap="1">
                      <wp:simplePos x="0" y="0"/>
                      <wp:positionH relativeFrom="column">
                        <wp:posOffset>1303020</wp:posOffset>
                      </wp:positionH>
                      <wp:positionV relativeFrom="paragraph">
                        <wp:posOffset>6942455</wp:posOffset>
                      </wp:positionV>
                      <wp:extent cx="0" cy="371475"/>
                      <wp:effectExtent l="38100" t="0" r="38100" b="9525"/>
                      <wp:wrapNone/>
                      <wp:docPr id="133" name="直接箭头连接符 133"/>
                      <wp:cNvGraphicFramePr/>
                      <a:graphic xmlns:a="http://schemas.openxmlformats.org/drawingml/2006/main">
                        <a:graphicData uri="http://schemas.microsoft.com/office/word/2010/wordprocessingShape">
                          <wps:wsp>
                            <wps:cNvCnPr/>
                            <wps:spPr>
                              <a:xfrm>
                                <a:off x="1991360" y="7647305"/>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2.6pt;margin-top:546.65pt;height:29.25pt;width:0pt;z-index:252207104;mso-width-relative:page;mso-height-relative:page;" filled="f" stroked="t" coordsize="21600,21600" o:gfxdata="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B6ZdNcAAAANAQAADwAAAAAAAAABACAAAAAiAAAAZHJzL2Rvd25yZXYueG1s&#10;UEsBAhQAFAAAAAgAh07iQNFlHXz5AQAAogMAAA4AAAAAAAAAAQAgAAAAJgEAAGRycy9lMm9Eb2Mu&#10;eG1sUEsFBgAAAAAGAAYAWQEAAJEFAAAAAA==&#10;">
                      <v:fill on="f" focussize="0,0"/>
                      <v:stroke weight="0.5pt" color="#000000 [3213]" miterlimit="8" joinstyle="miter" endarrow="block"/>
                      <v:imagedata o:title=""/>
                      <o:lock v:ext="edit" aspectratio="f"/>
                    </v:shape>
                  </w:pict>
                </mc:Fallback>
              </mc:AlternateContent>
            </w:r>
            <w:r>
              <w:rPr>
                <w:rFonts w:ascii="宋体" w:hAnsi="宋体"/>
                <w:sz w:val="16"/>
                <w:szCs w:val="21"/>
              </w:rPr>
              <mc:AlternateContent>
                <mc:Choice Requires="wps">
                  <w:drawing>
                    <wp:anchor distT="0" distB="0" distL="114300" distR="114300" simplePos="0" relativeHeight="252206080" behindDoc="0" locked="0" layoutInCell="1" allowOverlap="1">
                      <wp:simplePos x="0" y="0"/>
                      <wp:positionH relativeFrom="column">
                        <wp:posOffset>129540</wp:posOffset>
                      </wp:positionH>
                      <wp:positionV relativeFrom="paragraph">
                        <wp:posOffset>664210</wp:posOffset>
                      </wp:positionV>
                      <wp:extent cx="412750" cy="0"/>
                      <wp:effectExtent l="0" t="0" r="0" b="0"/>
                      <wp:wrapNone/>
                      <wp:docPr id="134" name="直接连接符 134"/>
                      <wp:cNvGraphicFramePr/>
                      <a:graphic xmlns:a="http://schemas.openxmlformats.org/drawingml/2006/main">
                        <a:graphicData uri="http://schemas.microsoft.com/office/word/2010/wordprocessingShape">
                          <wps:wsp>
                            <wps:cNvCnPr/>
                            <wps:spPr>
                              <a:xfrm flipH="1">
                                <a:off x="0" y="0"/>
                                <a:ext cx="412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2pt;margin-top:52.3pt;height:0pt;width:32.5pt;z-index:252206080;mso-width-relative:page;mso-height-relative:page;" filled="f" stroked="t" coordsize="21600,21600" o:gfxdata="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OcFsXVAAAACQEAAA8AAAAAAAAAAQAgAAAAIgAAAGRy&#10;cy9kb3ducmV2LnhtbFBLAQIUABQAAAAIAIdO4kAKrY/8zwEAAHADAAAOAAAAAAAAAAEAIAAAACQB&#10;AABkcnMvZTJvRG9jLnhtbFBLBQYAAAAABgAGAFkBAABlBQAAAAA=&#10;">
                      <v:fill on="f" focussize="0,0"/>
                      <v:stroke weight="0.5pt" color="#000000 [3213]" miterlimit="8" joinstyle="miter"/>
                      <v:imagedata o:title=""/>
                      <o:lock v:ext="edit" aspectratio="f"/>
                    </v:line>
                  </w:pict>
                </mc:Fallback>
              </mc:AlternateContent>
            </w:r>
            <w:r>
              <w:rPr>
                <w:rFonts w:ascii="宋体" w:hAnsi="宋体"/>
                <w:sz w:val="16"/>
                <w:szCs w:val="21"/>
              </w:rPr>
              <mc:AlternateContent>
                <mc:Choice Requires="wps">
                  <w:drawing>
                    <wp:anchor distT="0" distB="0" distL="114300" distR="114300" simplePos="0" relativeHeight="252205056" behindDoc="0" locked="0" layoutInCell="1" allowOverlap="1">
                      <wp:simplePos x="0" y="0"/>
                      <wp:positionH relativeFrom="column">
                        <wp:posOffset>1304290</wp:posOffset>
                      </wp:positionH>
                      <wp:positionV relativeFrom="paragraph">
                        <wp:posOffset>1082040</wp:posOffset>
                      </wp:positionV>
                      <wp:extent cx="1905" cy="172720"/>
                      <wp:effectExtent l="36830" t="0" r="37465" b="17780"/>
                      <wp:wrapNone/>
                      <wp:docPr id="135" name="直接箭头连接符 135"/>
                      <wp:cNvGraphicFramePr/>
                      <a:graphic xmlns:a="http://schemas.openxmlformats.org/drawingml/2006/main">
                        <a:graphicData uri="http://schemas.microsoft.com/office/word/2010/wordprocessingShape">
                          <wps:wsp>
                            <wps:cNvCnPr/>
                            <wps:spPr>
                              <a:xfrm>
                                <a:off x="0" y="0"/>
                                <a:ext cx="1905" cy="172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2.7pt;margin-top:85.2pt;height:13.6pt;width:0.15pt;z-index:252205056;mso-width-relative:page;mso-height-relative:page;" filled="f" stroked="t" coordsize="21600,21600" o:gfxdata="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6yerXAAAACwEAAA8AAAAAAAAAAQAgAAAAIgAAAGRycy9kb3ducmV2LnhtbFBLAQIUABQAAAAI&#10;AIdO4kAK3FP17gEAAJkDAAAOAAAAAAAAAAEAIAAAACYBAABkcnMvZTJvRG9jLnhtbFBLBQYAAAAA&#10;BgAGAFkBAACGBQAAAAA=&#10;">
                      <v:fill on="f" focussize="0,0"/>
                      <v:stroke weight="0.5pt" color="#000000 [3213]" miterlimit="8" joinstyle="miter" endarrow="block"/>
                      <v:imagedata o:title=""/>
                      <o:lock v:ext="edit" aspectratio="f"/>
                    </v:shape>
                  </w:pict>
                </mc:Fallback>
              </mc:AlternateContent>
            </w:r>
            <w:r>
              <w:rPr>
                <w:rFonts w:ascii="宋体" w:hAnsi="宋体"/>
                <w:sz w:val="16"/>
                <w:szCs w:val="21"/>
              </w:rPr>
              <mc:AlternateContent>
                <mc:Choice Requires="wps">
                  <w:drawing>
                    <wp:anchor distT="0" distB="0" distL="114300" distR="114300" simplePos="0" relativeHeight="252197888" behindDoc="0" locked="0" layoutInCell="1" allowOverlap="1">
                      <wp:simplePos x="0" y="0"/>
                      <wp:positionH relativeFrom="column">
                        <wp:posOffset>547370</wp:posOffset>
                      </wp:positionH>
                      <wp:positionV relativeFrom="paragraph">
                        <wp:posOffset>258445</wp:posOffset>
                      </wp:positionV>
                      <wp:extent cx="1510665" cy="822960"/>
                      <wp:effectExtent l="10160" t="5715" r="22225" b="9525"/>
                      <wp:wrapNone/>
                      <wp:docPr id="137" name="流程图: 决策 137"/>
                      <wp:cNvGraphicFramePr/>
                      <a:graphic xmlns:a="http://schemas.openxmlformats.org/drawingml/2006/main">
                        <a:graphicData uri="http://schemas.microsoft.com/office/word/2010/wordprocessingShape">
                          <wps:wsp>
                            <wps:cNvSpPr>
                              <a:spLocks noChangeArrowheads="1"/>
                            </wps:cNvSpPr>
                            <wps:spPr bwMode="auto">
                              <a:xfrm>
                                <a:off x="0" y="0"/>
                                <a:ext cx="1510665" cy="822960"/>
                              </a:xfrm>
                              <a:prstGeom prst="flowChartDecision">
                                <a:avLst/>
                              </a:prstGeom>
                              <a:solidFill>
                                <a:srgbClr val="FFFFFF"/>
                              </a:solidFill>
                              <a:ln w="9525">
                                <a:solidFill>
                                  <a:srgbClr val="000000"/>
                                </a:solidFill>
                                <a:miter lim="800000"/>
                              </a:ln>
                            </wps:spPr>
                            <wps:txbx>
                              <w:txbxContent>
                                <w:p>
                                  <w:pPr>
                                    <w:adjustRightInd w:val="0"/>
                                    <w:snapToGrid w:val="0"/>
                                    <w:ind w:left="1"/>
                                    <w:jc w:val="center"/>
                                    <w:rPr>
                                      <w:sz w:val="18"/>
                                      <w:szCs w:val="18"/>
                                    </w:rPr>
                                  </w:pPr>
                                  <w:r>
                                    <w:rPr>
                                      <w:rFonts w:hint="eastAsia"/>
                                      <w:sz w:val="18"/>
                                      <w:szCs w:val="18"/>
                                    </w:rPr>
                                    <w:t>转入二级</w:t>
                                  </w:r>
                                </w:p>
                                <w:p>
                                  <w:pPr>
                                    <w:adjustRightInd w:val="0"/>
                                    <w:snapToGrid w:val="0"/>
                                    <w:ind w:left="1"/>
                                    <w:jc w:val="center"/>
                                    <w:rPr>
                                      <w:sz w:val="18"/>
                                      <w:szCs w:val="18"/>
                                    </w:rPr>
                                  </w:pPr>
                                  <w:r>
                                    <w:rPr>
                                      <w:rFonts w:hint="eastAsia"/>
                                      <w:sz w:val="18"/>
                                      <w:szCs w:val="18"/>
                                    </w:rPr>
                                    <w:t>学院审核</w:t>
                                  </w:r>
                                </w:p>
                                <w:p>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110" type="#_x0000_t110" style="position:absolute;left:0pt;margin-left:43.1pt;margin-top:20.35pt;height:64.8pt;width:118.95pt;z-index:252197888;mso-width-relative:page;mso-height-relative:page;" fillcolor="#FFFFFF" filled="t" stroked="t" coordsize="21600,21600" o:gfxdata="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ffp7YAAAACQEAAA8AAAAAAAAAAQAgAAAAIgAAAGRycy9k&#10;b3ducmV2LnhtbFBLAQIUABQAAAAIAIdO4kCmu5xoOwIAAEgEAAAOAAAAAAAAAAEAIAAAACcBAABk&#10;cnMvZTJvRG9jLnhtbFBLBQYAAAAABgAGAFkBAADUBQAAAAA=&#10;">
                      <v:fill on="t" focussize="0,0"/>
                      <v:stroke color="#000000" miterlimit="8" joinstyle="miter"/>
                      <v:imagedata o:title=""/>
                      <o:lock v:ext="edit" aspectratio="f"/>
                      <v:textbox>
                        <w:txbxContent>
                          <w:p>
                            <w:pPr>
                              <w:adjustRightInd w:val="0"/>
                              <w:snapToGrid w:val="0"/>
                              <w:ind w:left="1"/>
                              <w:jc w:val="center"/>
                              <w:rPr>
                                <w:sz w:val="18"/>
                                <w:szCs w:val="18"/>
                              </w:rPr>
                            </w:pPr>
                            <w:r>
                              <w:rPr>
                                <w:rFonts w:hint="eastAsia"/>
                                <w:sz w:val="18"/>
                                <w:szCs w:val="18"/>
                              </w:rPr>
                              <w:t>转入二级</w:t>
                            </w:r>
                          </w:p>
                          <w:p>
                            <w:pPr>
                              <w:adjustRightInd w:val="0"/>
                              <w:snapToGrid w:val="0"/>
                              <w:ind w:left="1"/>
                              <w:jc w:val="center"/>
                              <w:rPr>
                                <w:sz w:val="18"/>
                                <w:szCs w:val="18"/>
                              </w:rPr>
                            </w:pPr>
                            <w:r>
                              <w:rPr>
                                <w:rFonts w:hint="eastAsia"/>
                                <w:sz w:val="18"/>
                                <w:szCs w:val="18"/>
                              </w:rPr>
                              <w:t>学院审核</w:t>
                            </w:r>
                          </w:p>
                          <w:p>
                            <w:pPr>
                              <w:jc w:val="center"/>
                              <w:rPr>
                                <w:szCs w:val="21"/>
                              </w:rPr>
                            </w:pPr>
                          </w:p>
                        </w:txbxContent>
                      </v:textbox>
                    </v:shape>
                  </w:pict>
                </mc:Fallback>
              </mc:AlternateContent>
            </w:r>
            <w:r>
              <w:rPr>
                <w:rFonts w:hint="eastAsia" w:ascii="宋体" w:hAnsi="宋体"/>
                <w:sz w:val="16"/>
                <w:szCs w:val="21"/>
              </w:rPr>
              <w:t xml:space="preserve"> </w:t>
            </w:r>
            <w:r>
              <w:rPr>
                <w:rFonts w:ascii="宋体" w:hAnsi="宋体"/>
                <w:sz w:val="16"/>
                <w:szCs w:val="21"/>
              </w:rPr>
              <mc:AlternateContent>
                <mc:Choice Requires="wpc">
                  <w:drawing>
                    <wp:inline distT="0" distB="0" distL="114300" distR="114300">
                      <wp:extent cx="2004060" cy="8122920"/>
                      <wp:effectExtent l="0" t="0" r="15240" b="0"/>
                      <wp:docPr id="25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7" name="自选图形 4"/>
                              <wps:cNvSpPr/>
                              <wps:spPr>
                                <a:xfrm>
                                  <a:off x="480060" y="4683157"/>
                                  <a:ext cx="1524000" cy="341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 w:val="21"/>
                                        <w:szCs w:val="21"/>
                                      </w:rPr>
                                      <w:t>学生缴费、报到</w:t>
                                    </w:r>
                                  </w:p>
                                </w:txbxContent>
                              </wps:txbx>
                              <wps:bodyPr upright="1"/>
                            </wps:wsp>
                            <wps:wsp>
                              <wps:cNvPr id="228" name="自选图形 6"/>
                              <wps:cNvSpPr/>
                              <wps:spPr>
                                <a:xfrm>
                                  <a:off x="467995" y="1132205"/>
                                  <a:ext cx="1536065" cy="8210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ind w:left="1"/>
                                      <w:jc w:val="center"/>
                                      <w:rPr>
                                        <w:sz w:val="18"/>
                                        <w:szCs w:val="18"/>
                                      </w:rPr>
                                    </w:pPr>
                                    <w:r>
                                      <w:rPr>
                                        <w:rFonts w:hint="eastAsia"/>
                                        <w:sz w:val="18"/>
                                        <w:szCs w:val="18"/>
                                      </w:rPr>
                                      <w:t>教务与实训管理处复核</w:t>
                                    </w:r>
                                  </w:p>
                                </w:txbxContent>
                              </wps:txbx>
                              <wps:bodyPr upright="1"/>
                            </wps:wsp>
                            <wps:wsp>
                              <wps:cNvPr id="229" name="自选图形 9"/>
                              <wps:cNvSpPr/>
                              <wps:spPr>
                                <a:xfrm>
                                  <a:off x="480060" y="2131060"/>
                                  <a:ext cx="1524000" cy="7054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学校审批</w:t>
                                    </w:r>
                                  </w:p>
                                </w:txbxContent>
                              </wps:txbx>
                              <wps:bodyPr upright="1"/>
                            </wps:wsp>
                            <wps:wsp>
                              <wps:cNvPr id="230" name="自选图形 10"/>
                              <wps:cNvSpPr/>
                              <wps:spPr>
                                <a:xfrm>
                                  <a:off x="480060" y="3472063"/>
                                  <a:ext cx="1524000" cy="4521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 w:val="21"/>
                                        <w:szCs w:val="21"/>
                                      </w:rPr>
                                      <w:t>转专业名单公示、发文，并完成学籍异动</w:t>
                                    </w:r>
                                  </w:p>
                                </w:txbxContent>
                              </wps:txbx>
                              <wps:bodyPr upright="1"/>
                            </wps:wsp>
                            <wps:wsp>
                              <wps:cNvPr id="231" name="自选图形 16"/>
                              <wps:cNvSpPr/>
                              <wps:spPr>
                                <a:xfrm>
                                  <a:off x="465455" y="5847715"/>
                                  <a:ext cx="434975" cy="7581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班级管理</w:t>
                                    </w:r>
                                  </w:p>
                                </w:txbxContent>
                              </wps:txbx>
                              <wps:bodyPr vert="eaVert" upright="1"/>
                            </wps:wsp>
                            <wps:wsp>
                              <wps:cNvPr id="232" name="自选图形 22"/>
                              <wps:cNvSpPr/>
                              <wps:spPr>
                                <a:xfrm>
                                  <a:off x="1553845" y="5819140"/>
                                  <a:ext cx="434975" cy="7581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成绩管理</w:t>
                                    </w:r>
                                  </w:p>
                                </w:txbxContent>
                              </wps:txbx>
                              <wps:bodyPr vert="eaVert" upright="1"/>
                            </wps:wsp>
                            <wps:wsp>
                              <wps:cNvPr id="233" name="自选图形 24"/>
                              <wps:cNvSpPr/>
                              <wps:spPr>
                                <a:xfrm>
                                  <a:off x="130606" y="1236221"/>
                                  <a:ext cx="347980" cy="310515"/>
                                </a:xfrm>
                                <a:prstGeom prst="flowChartProcess">
                                  <a:avLst/>
                                </a:prstGeom>
                                <a:solidFill>
                                  <a:srgbClr val="FFFFFF"/>
                                </a:solidFill>
                                <a:ln>
                                  <a:noFill/>
                                </a:ln>
                              </wps:spPr>
                              <wps:txbx>
                                <w:txbxContent>
                                  <w:p>
                                    <w:pPr>
                                      <w:rPr>
                                        <w:szCs w:val="21"/>
                                      </w:rPr>
                                    </w:pPr>
                                    <w:r>
                                      <w:rPr>
                                        <w:rFonts w:hint="eastAsia"/>
                                        <w:sz w:val="21"/>
                                        <w:szCs w:val="21"/>
                                      </w:rPr>
                                      <w:t>否</w:t>
                                    </w:r>
                                  </w:p>
                                </w:txbxContent>
                              </wps:txbx>
                              <wps:bodyPr upright="1"/>
                            </wps:wsp>
                            <wps:wsp>
                              <wps:cNvPr id="234" name="自选图形 24"/>
                              <wps:cNvSpPr/>
                              <wps:spPr>
                                <a:xfrm>
                                  <a:off x="139700" y="239395"/>
                                  <a:ext cx="347980" cy="310515"/>
                                </a:xfrm>
                                <a:prstGeom prst="flowChartProcess">
                                  <a:avLst/>
                                </a:prstGeom>
                                <a:solidFill>
                                  <a:srgbClr val="FFFFFF"/>
                                </a:solidFill>
                                <a:ln>
                                  <a:noFill/>
                                </a:ln>
                              </wps:spPr>
                              <wps:txbx>
                                <w:txbxContent>
                                  <w:p>
                                    <w:pPr>
                                      <w:rPr>
                                        <w:szCs w:val="21"/>
                                      </w:rPr>
                                    </w:pPr>
                                    <w:r>
                                      <w:rPr>
                                        <w:rFonts w:hint="eastAsia"/>
                                        <w:sz w:val="21"/>
                                        <w:szCs w:val="21"/>
                                      </w:rPr>
                                      <w:t>否</w:t>
                                    </w:r>
                                  </w:p>
                                </w:txbxContent>
                              </wps:txbx>
                              <wps:bodyPr upright="1"/>
                            </wps:wsp>
                            <wps:wsp>
                              <wps:cNvPr id="235" name="自选图形 24"/>
                              <wps:cNvSpPr/>
                              <wps:spPr>
                                <a:xfrm>
                                  <a:off x="132080" y="2170805"/>
                                  <a:ext cx="347980" cy="310515"/>
                                </a:xfrm>
                                <a:prstGeom prst="flowChartProcess">
                                  <a:avLst/>
                                </a:prstGeom>
                                <a:solidFill>
                                  <a:srgbClr val="FFFFFF"/>
                                </a:solidFill>
                                <a:ln>
                                  <a:noFill/>
                                </a:ln>
                              </wps:spPr>
                              <wps:txbx>
                                <w:txbxContent>
                                  <w:p>
                                    <w:pPr>
                                      <w:rPr>
                                        <w:szCs w:val="21"/>
                                      </w:rPr>
                                    </w:pPr>
                                    <w:r>
                                      <w:rPr>
                                        <w:rFonts w:hint="eastAsia"/>
                                        <w:sz w:val="21"/>
                                        <w:szCs w:val="21"/>
                                      </w:rPr>
                                      <w:t>否</w:t>
                                    </w:r>
                                  </w:p>
                                </w:txbxContent>
                              </wps:txbx>
                              <wps:bodyPr upright="1"/>
                            </wps:wsp>
                            <wps:wsp>
                              <wps:cNvPr id="236" name="直接箭头连接符 32"/>
                              <wps:cNvCnPr/>
                              <wps:spPr>
                                <a:xfrm>
                                  <a:off x="1234440" y="0"/>
                                  <a:ext cx="0" cy="166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直接箭头连接符 37"/>
                              <wps:cNvCnPr>
                                <a:endCxn id="4294967295" idx="0"/>
                              </wps:cNvCnPr>
                              <wps:spPr>
                                <a:xfrm>
                                  <a:off x="1233170" y="1953895"/>
                                  <a:ext cx="8890" cy="177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直接箭头连接符 38"/>
                              <wps:cNvCnPr/>
                              <wps:spPr>
                                <a:xfrm>
                                  <a:off x="1243584" y="2823667"/>
                                  <a:ext cx="2" cy="6483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 name="直接箭头连接符 39"/>
                              <wps:cNvCnPr/>
                              <wps:spPr>
                                <a:xfrm>
                                  <a:off x="1242060" y="3924183"/>
                                  <a:ext cx="0" cy="7589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直接箭头连接符 40"/>
                              <wps:cNvCnPr/>
                              <wps:spPr>
                                <a:xfrm>
                                  <a:off x="683260" y="5636895"/>
                                  <a:ext cx="0" cy="210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直接箭头连接符 155"/>
                              <wps:cNvCnPr/>
                              <wps:spPr>
                                <a:xfrm>
                                  <a:off x="1776730" y="5636895"/>
                                  <a:ext cx="0" cy="1790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2" name="直接连接符 42"/>
                              <wps:cNvCnPr/>
                              <wps:spPr>
                                <a:xfrm>
                                  <a:off x="682625" y="5632450"/>
                                  <a:ext cx="1093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直接连接符 61"/>
                              <wps:cNvCnPr/>
                              <wps:spPr>
                                <a:xfrm>
                                  <a:off x="1242060" y="5024755"/>
                                  <a:ext cx="3810" cy="594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直接连接符 64"/>
                              <wps:cNvCnPr/>
                              <wps:spPr>
                                <a:xfrm>
                                  <a:off x="683260" y="6605905"/>
                                  <a:ext cx="0" cy="3257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直接连接符 65"/>
                              <wps:cNvCnPr/>
                              <wps:spPr>
                                <a:xfrm>
                                  <a:off x="1771650" y="6577330"/>
                                  <a:ext cx="5080" cy="354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直接连接符 66"/>
                              <wps:cNvCnPr/>
                              <wps:spPr>
                                <a:xfrm>
                                  <a:off x="683260" y="6931660"/>
                                  <a:ext cx="1093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 name="直接连接符 68"/>
                              <wps:cNvCnPr/>
                              <wps:spPr>
                                <a:xfrm flipV="1">
                                  <a:off x="67310" y="9525"/>
                                  <a:ext cx="0" cy="24703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直接连接符 156"/>
                              <wps:cNvCnPr/>
                              <wps:spPr>
                                <a:xfrm flipH="1">
                                  <a:off x="67310" y="1533160"/>
                                  <a:ext cx="412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直接连接符 157"/>
                              <wps:cNvCnPr/>
                              <wps:spPr>
                                <a:xfrm flipH="1">
                                  <a:off x="65836" y="2481320"/>
                                  <a:ext cx="412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流程图: 过程 1"/>
                              <wps:cNvSpPr/>
                              <wps:spPr>
                                <a:xfrm>
                                  <a:off x="430530" y="7358380"/>
                                  <a:ext cx="1573530" cy="487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21"/>
                                        <w:szCs w:val="21"/>
                                      </w:rPr>
                                      <w:t>转专业工作总结与反馈</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wpc:wpc>
                        </a:graphicData>
                      </a:graphic>
                    </wp:inline>
                  </w:drawing>
                </mc:Choice>
                <mc:Fallback>
                  <w:pict>
                    <v:group id="画布 2" o:spid="_x0000_s1026" o:spt="203" style="height:639.6pt;width:157.8pt;" coordsize="2004060,8122920" editas="canvas" o:gfxdata="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">
                      <o:lock v:ext="edit" aspectratio="f"/>
                      <v:shape id="画布 2" o:spid="_x0000_s1026" style="position:absolute;left:0;top:0;height:8122920;width:2004060;" filled="f" stroked="f" coordsize="21600,21600" o:gfxdata="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">
                        <v:fill on="f" focussize="0,0"/>
                        <v:stroke on="f"/>
                        <v:imagedata o:title=""/>
                        <o:lock v:ext="edit" aspectratio="t"/>
                      </v:shape>
                      <v:shape id="自选图形 4" o:spid="_x0000_s1026" o:spt="109" type="#_x0000_t109" style="position:absolute;left:480060;top:4683157;height:341630;width:1524000;" fillcolor="#FFFFFF" filled="t" stroked="t" coordsize="21600,21600" o:gfxdata="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8jTtgAAAAGAQAADwAAAAAAAAABACAAAAAi&#10;AAAAZHJzL2Rvd25yZXYueG1sUEsBAhQAFAAAAAgAh07iQEAMJtcKAgAA+gMAAA4AAAAAAAAAAQAg&#10;AAAAJwEAAGRycy9lMm9Eb2MueG1sUEsFBgAAAAAGAAYAWQEAAKMFAAAAAA==&#10;">
                        <v:fill on="t" focussize="0,0"/>
                        <v:stroke color="#000000" joinstyle="miter"/>
                        <v:imagedata o:title=""/>
                        <o:lock v:ext="edit" aspectratio="f"/>
                        <v:textbox>
                          <w:txbxContent>
                            <w:p>
                              <w:pPr>
                                <w:jc w:val="center"/>
                                <w:rPr>
                                  <w:szCs w:val="21"/>
                                </w:rPr>
                              </w:pPr>
                              <w:r>
                                <w:rPr>
                                  <w:rFonts w:hint="eastAsia"/>
                                  <w:sz w:val="21"/>
                                  <w:szCs w:val="21"/>
                                </w:rPr>
                                <w:t>学生缴费、报到</w:t>
                              </w:r>
                            </w:p>
                          </w:txbxContent>
                        </v:textbox>
                      </v:shape>
                      <v:shape id="自选图形 6" o:spid="_x0000_s1026" o:spt="110" type="#_x0000_t110" style="position:absolute;left:467995;top:1132205;height:821055;width:1536065;" fillcolor="#FFFFFF" filled="t" stroked="t" coordsize="21600,21600" o:gfxdata="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6DLV1wAAAAYBAAAPAAAAAAAAAAEAIAAAACIA&#10;AABkcnMvZG93bnJldi54bWxQSwECFAAUAAAACACHTuJATtPw1AoCAAD7AwAADgAAAAAAAAABACAA&#10;AAAmAQAAZHJzL2Uyb0RvYy54bWxQSwUGAAAAAAYABgBZAQAAogUAAAAA&#10;">
                        <v:fill on="t" focussize="0,0"/>
                        <v:stroke color="#000000" joinstyle="miter"/>
                        <v:imagedata o:title=""/>
                        <o:lock v:ext="edit" aspectratio="f"/>
                        <v:textbox>
                          <w:txbxContent>
                            <w:p>
                              <w:pPr>
                                <w:adjustRightInd w:val="0"/>
                                <w:snapToGrid w:val="0"/>
                                <w:ind w:left="1"/>
                                <w:jc w:val="center"/>
                                <w:rPr>
                                  <w:sz w:val="18"/>
                                  <w:szCs w:val="18"/>
                                </w:rPr>
                              </w:pPr>
                              <w:r>
                                <w:rPr>
                                  <w:rFonts w:hint="eastAsia"/>
                                  <w:sz w:val="18"/>
                                  <w:szCs w:val="18"/>
                                </w:rPr>
                                <w:t>教务与实训管理处复核</w:t>
                              </w:r>
                            </w:p>
                          </w:txbxContent>
                        </v:textbox>
                      </v:shape>
                      <v:shape id="自选图形 9" o:spid="_x0000_s1026" o:spt="110" type="#_x0000_t110" style="position:absolute;left:480060;top:2131060;height:705485;width:1524000;" fillcolor="#FFFFFF" filled="t" stroked="t" coordsize="21600,21600" o:gfxdata="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gy1dcAAAAGAQAADwAAAAAAAAABACAAAAAiAAAA&#10;ZHJzL2Rvd25yZXYueG1sUEsBAhQAFAAAAAgAh07iQBjEqOwIAgAA+wMAAA4AAAAAAAAAAQAgAAAA&#10;JgEAAGRycy9lMm9Eb2MueG1sUEsFBgAAAAAGAAYAWQEAAKAFAAAAAA==&#10;">
                        <v:fill on="t" focussize="0,0"/>
                        <v:stroke color="#000000" joinstyle="miter"/>
                        <v:imagedata o:title=""/>
                        <o:lock v:ext="edit" aspectratio="f"/>
                        <v:textbox>
                          <w:txbxContent>
                            <w:p>
                              <w:r>
                                <w:rPr>
                                  <w:rFonts w:hint="eastAsia"/>
                                  <w:sz w:val="21"/>
                                  <w:szCs w:val="21"/>
                                </w:rPr>
                                <w:t>学校审批</w:t>
                              </w:r>
                            </w:p>
                          </w:txbxContent>
                        </v:textbox>
                      </v:shape>
                      <v:shape id="自选图形 10" o:spid="_x0000_s1026" o:spt="109" type="#_x0000_t109" style="position:absolute;left:480060;top:3472063;height:452120;width:1524000;" fillcolor="#FFFFFF" filled="t" stroked="t" coordsize="21600,21600" o:gfxdata="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3yNO2AAAAAYBAAAPAAAAAAAAAAEAIAAAACIA&#10;AABkcnMvZG93bnJldi54bWxQSwECFAAUAAAACACHTuJAwvocuAkCAAD7AwAADgAAAAAAAAABACAA&#10;AAAnAQAAZHJzL2Uyb0RvYy54bWxQSwUGAAAAAAYABgBZAQAAogUAAAAA&#10;">
                        <v:fill on="t" focussize="0,0"/>
                        <v:stroke color="#000000" joinstyle="miter"/>
                        <v:imagedata o:title=""/>
                        <o:lock v:ext="edit" aspectratio="f"/>
                        <v:textbox>
                          <w:txbxContent>
                            <w:p>
                              <w:pPr>
                                <w:adjustRightInd w:val="0"/>
                                <w:snapToGrid w:val="0"/>
                                <w:jc w:val="center"/>
                                <w:rPr>
                                  <w:szCs w:val="21"/>
                                </w:rPr>
                              </w:pPr>
                              <w:r>
                                <w:rPr>
                                  <w:rFonts w:hint="eastAsia"/>
                                  <w:sz w:val="21"/>
                                  <w:szCs w:val="21"/>
                                </w:rPr>
                                <w:t>转专业名单公示、发文，并完成学籍异动</w:t>
                              </w:r>
                            </w:p>
                          </w:txbxContent>
                        </v:textbox>
                      </v:shape>
                      <v:shape id="自选图形 16" o:spid="_x0000_s1026" o:spt="109" type="#_x0000_t109" style="position:absolute;left:465455;top:5847715;height:758190;width:434975;" fillcolor="#FFFFFF" filled="t" stroked="t" coordsize="21600,21600" o:gfxdata="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9A0t/WAAAABgEAAA8AAAAAAAAA&#10;AQAgAAAAIgAAAGRycy9kb3ducmV2LnhtbFBLAQIUABQAAAAIAIdO4kBhl0ZuEwIAAAgEAAAOAAAA&#10;AAAAAAEAIAAAACUBAABkcnMvZTJvRG9jLnhtbFBLBQYAAAAABgAGAFkBAACqBQAAAAA=&#10;">
                        <v:fill on="t" focussize="0,0"/>
                        <v:stroke color="#000000" joinstyle="miter"/>
                        <v:imagedata o:title=""/>
                        <o:lock v:ext="edit" aspectratio="f"/>
                        <v:textbox style="layout-flow:vertical-ideographic;">
                          <w:txbxContent>
                            <w:p>
                              <w:r>
                                <w:rPr>
                                  <w:rFonts w:hint="eastAsia"/>
                                  <w:sz w:val="21"/>
                                  <w:szCs w:val="21"/>
                                </w:rPr>
                                <w:t>班级管理</w:t>
                              </w:r>
                            </w:p>
                          </w:txbxContent>
                        </v:textbox>
                      </v:shape>
                      <v:shape id="自选图形 22" o:spid="_x0000_s1026" o:spt="109" type="#_x0000_t109" style="position:absolute;left:1553845;top:5819140;height:758190;width:434975;" fillcolor="#FFFFFF" filled="t" stroked="t" coordsize="21600,21600" o:gfxdata="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QNLf1gAAAAYBAAAPAAAAAAAAAAEA&#10;IAAAACIAAABkcnMvZG93bnJldi54bWxQSwECFAAUAAAACACHTuJAGopCbxECAAAJBAAADgAAAAAA&#10;AAABACAAAAAlAQAAZHJzL2Uyb0RvYy54bWxQSwUGAAAAAAYABgBZAQAAqAUAAAAA&#10;">
                        <v:fill on="t" focussize="0,0"/>
                        <v:stroke color="#000000" joinstyle="miter"/>
                        <v:imagedata o:title=""/>
                        <o:lock v:ext="edit" aspectratio="f"/>
                        <v:textbox style="layout-flow:vertical-ideographic;">
                          <w:txbxContent>
                            <w:p>
                              <w:r>
                                <w:rPr>
                                  <w:rFonts w:hint="eastAsia"/>
                                  <w:sz w:val="21"/>
                                  <w:szCs w:val="21"/>
                                </w:rPr>
                                <w:t>成绩管理</w:t>
                              </w:r>
                            </w:p>
                          </w:txbxContent>
                        </v:textbox>
                      </v:shape>
                      <v:shape id="自选图形 24" o:spid="_x0000_s1026" o:spt="109" type="#_x0000_t109" style="position:absolute;left:130606;top:1236221;height:310515;width:347980;" fillcolor="#FFFFFF" filled="t" stroked="f" coordsize="21600,21600" o:gfxdata="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Z3001gAAAAYBAAAPAAAAAAAAAAEAIAAAACIAAABkcnMvZG93bnJldi54bWxQSwECFAAU&#10;AAAACACHTuJAvdmGOroBAAA7AwAADgAAAAAAAAABACAAAAAlAQAAZHJzL2Uyb0RvYy54bWxQSwUG&#10;AAAAAAYABgBZAQAAUQUAAAAA&#10;">
                        <v:fill on="t" focussize="0,0"/>
                        <v:stroke on="f"/>
                        <v:imagedata o:title=""/>
                        <o:lock v:ext="edit" aspectratio="f"/>
                        <v:textbox>
                          <w:txbxContent>
                            <w:p>
                              <w:pPr>
                                <w:rPr>
                                  <w:szCs w:val="21"/>
                                </w:rPr>
                              </w:pPr>
                              <w:r>
                                <w:rPr>
                                  <w:rFonts w:hint="eastAsia"/>
                                  <w:sz w:val="21"/>
                                  <w:szCs w:val="21"/>
                                </w:rPr>
                                <w:t>否</w:t>
                              </w:r>
                            </w:p>
                          </w:txbxContent>
                        </v:textbox>
                      </v:shape>
                      <v:shape id="自选图形 24" o:spid="_x0000_s1026" o:spt="109" type="#_x0000_t109" style="position:absolute;left:139700;top:239395;height:310515;width:347980;" fillcolor="#FFFFFF" filled="t" stroked="f" coordsize="21600,21600" o:gfxdata="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md9NNYAAAAGAQAADwAAAAAAAAABACAAAAAiAAAAZHJzL2Rvd25yZXYueG1sUEsBAhQA&#10;FAAAAAgAh07iQApvxVq7AQAAOgMAAA4AAAAAAAAAAQAgAAAAJQEAAGRycy9lMm9Eb2MueG1sUEsF&#10;BgAAAAAGAAYAWQEAAFIFAAAAAA==&#10;">
                        <v:fill on="t" focussize="0,0"/>
                        <v:stroke on="f"/>
                        <v:imagedata o:title=""/>
                        <o:lock v:ext="edit" aspectratio="f"/>
                        <v:textbox>
                          <w:txbxContent>
                            <w:p>
                              <w:pPr>
                                <w:rPr>
                                  <w:szCs w:val="21"/>
                                </w:rPr>
                              </w:pPr>
                              <w:r>
                                <w:rPr>
                                  <w:rFonts w:hint="eastAsia"/>
                                  <w:sz w:val="21"/>
                                  <w:szCs w:val="21"/>
                                </w:rPr>
                                <w:t>否</w:t>
                              </w:r>
                            </w:p>
                          </w:txbxContent>
                        </v:textbox>
                      </v:shape>
                      <v:shape id="自选图形 24" o:spid="_x0000_s1026" o:spt="109" type="#_x0000_t109" style="position:absolute;left:132080;top:2170805;height:310515;width:347980;" fillcolor="#FFFFFF" filled="t" stroked="f" coordsize="21600,21600" o:gfxdata="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md9NNYAAAAGAQAADwAAAAAAAAABACAAAAAiAAAAZHJzL2Rvd25yZXYueG1sUEsBAhQA&#10;FAAAAAgAh07iQMNhqvi7AQAAOwMAAA4AAAAAAAAAAQAgAAAAJQEAAGRycy9lMm9Eb2MueG1sUEsF&#10;BgAAAAAGAAYAWQEAAFIFAAAAAA==&#10;">
                        <v:fill on="t" focussize="0,0"/>
                        <v:stroke on="f"/>
                        <v:imagedata o:title=""/>
                        <o:lock v:ext="edit" aspectratio="f"/>
                        <v:textbox>
                          <w:txbxContent>
                            <w:p>
                              <w:pPr>
                                <w:rPr>
                                  <w:szCs w:val="21"/>
                                </w:rPr>
                              </w:pPr>
                              <w:r>
                                <w:rPr>
                                  <w:rFonts w:hint="eastAsia"/>
                                  <w:sz w:val="21"/>
                                  <w:szCs w:val="21"/>
                                </w:rPr>
                                <w:t>否</w:t>
                              </w:r>
                            </w:p>
                          </w:txbxContent>
                        </v:textbox>
                      </v:shape>
                      <v:shape id="直接箭头连接符 32" o:spid="_x0000_s1026" o:spt="32" type="#_x0000_t32" style="position:absolute;left:1234440;top:0;height:166370;width:0;" filled="f" stroked="t" coordsize="21600,21600" o:gfxdata="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5E3IfUAAAABgEAAA8AAAAAAAAAAQAgAAAAIgAAAGRycy9kb3ducmV2LnhtbFBLAQIUABQAAAAI&#10;AIdO4kCU66qM8QEAAJsDAAAOAAAAAAAAAAEAIAAAACMBAABkcnMvZTJvRG9jLnhtbFBLBQYAAAAA&#10;BgAGAFkBAACGBQAAAAA=&#10;">
                        <v:fill on="f" focussize="0,0"/>
                        <v:stroke weight="0.5pt" color="#000000 [3213]" miterlimit="8" joinstyle="miter" endarrow="block"/>
                        <v:imagedata o:title=""/>
                        <o:lock v:ext="edit" aspectratio="f"/>
                      </v:shape>
                      <v:shape id="直接箭头连接符 37" o:spid="_x0000_s1026" o:spt="32" type="#_x0000_t32" style="position:absolute;left:1233170;top:1953895;height:177165;width:8890;" filled="f" stroked="t" coordsize="21600,21600" o:gfxdata="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RNyH1AAAAAYBAAAPAAAAAAAAAAEAIAAA&#10;ACIAAABkcnMvZG93bnJldi54bWxQSwECFAAUAAAACACHTuJAst8p5RACAADUAwAADgAAAAAAAAAB&#10;ACAAAAAjAQAAZHJzL2Uyb0RvYy54bWxQSwUGAAAAAAYABgBZAQAApQUAAAAA&#10;">
                        <v:fill on="f" focussize="0,0"/>
                        <v:stroke weight="0.5pt" color="#000000 [3213]" miterlimit="8" joinstyle="miter" endarrow="block"/>
                        <v:imagedata o:title=""/>
                        <o:lock v:ext="edit" aspectratio="f"/>
                      </v:shape>
                      <v:shape id="直接箭头连接符 38" o:spid="_x0000_s1026" o:spt="32" type="#_x0000_t32" style="position:absolute;left:1243584;top:2823667;height:648396;width:2;" filled="f" stroked="t" coordsize="21600,21600" o:gfxdata="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eRNyH1AAAAAYBAAAPAAAAAAAAAAEAIAAAACIAAABkcnMvZG93bnJldi54bWxQSwEC&#10;FAAUAAAACACHTuJAUzlkIvgBAAChAwAADgAAAAAAAAABACAAAAAjAQAAZHJzL2Uyb0RvYy54bWxQ&#10;SwUGAAAAAAYABgBZAQAAjQUAAAAA&#10;">
                        <v:fill on="f" focussize="0,0"/>
                        <v:stroke weight="0.5pt" color="#000000 [3213]" miterlimit="8" joinstyle="miter" endarrow="block"/>
                        <v:imagedata o:title=""/>
                        <o:lock v:ext="edit" aspectratio="f"/>
                      </v:shape>
                      <v:shape id="直接箭头连接符 39" o:spid="_x0000_s1026" o:spt="32" type="#_x0000_t32" style="position:absolute;left:1242060;top:3924183;height:758974;width:0;" filled="f" stroked="t" coordsize="21600,21600" o:gfxdata="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eRNyH1AAAAAYBAAAPAAAAAAAAAAEAIAAAACIAAABkcnMvZG93bnJldi54bWxQSwEC&#10;FAAUAAAACACHTuJAnlVyQvgBAAChAwAADgAAAAAAAAABACAAAAAjAQAAZHJzL2Uyb0RvYy54bWxQ&#10;SwUGAAAAAAYABgBZAQAAjQUAAAAA&#10;">
                        <v:fill on="f" focussize="0,0"/>
                        <v:stroke weight="0.5pt" color="#000000 [3213]" miterlimit="8" joinstyle="miter" endarrow="block"/>
                        <v:imagedata o:title=""/>
                        <o:lock v:ext="edit" aspectratio="f"/>
                      </v:shape>
                      <v:shape id="直接箭头连接符 40" o:spid="_x0000_s1026" o:spt="32" type="#_x0000_t32" style="position:absolute;left:683260;top:5636895;height:210820;width:0;" filled="f" stroked="t" coordsize="21600,21600" o:gfxdata="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kTch9QAAAAGAQAADwAAAAAAAAABACAAAAAiAAAAZHJzL2Rvd25yZXYueG1sUEsBAhQA&#10;FAAAAAgAh07iQFCNoIT2AQAAoAMAAA4AAAAAAAAAAQAgAAAAIwEAAGRycy9lMm9Eb2MueG1sUEsF&#10;BgAAAAAGAAYAWQEAAIsFAAAAAA==&#10;">
                        <v:fill on="f" focussize="0,0"/>
                        <v:stroke weight="0.5pt" color="#000000 [3213]" miterlimit="8" joinstyle="miter" endarrow="block"/>
                        <v:imagedata o:title=""/>
                        <o:lock v:ext="edit" aspectratio="f"/>
                      </v:shape>
                      <v:shape id="直接箭头连接符 155" o:spid="_x0000_s1026" o:spt="32" type="#_x0000_t32" style="position:absolute;left:1776730;top:5636895;height:179070;width:0;" filled="f" stroked="t" coordsize="21600,21600" o:gfxdata="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eRNyH1AAAAAYBAAAPAAAAAAAAAAEAIAAAACIAAABkcnMvZG93bnJldi54bWxQ&#10;SwECFAAUAAAACACHTuJA3+6UyfsBAACiAwAADgAAAAAAAAABACAAAAAjAQAAZHJzL2Uyb0RvYy54&#10;bWxQSwUGAAAAAAYABgBZAQAAkAUAAAAA&#10;">
                        <v:fill on="f" focussize="0,0"/>
                        <v:stroke weight="0.5pt" color="#000000 [3213]" miterlimit="8" joinstyle="miter" endarrow="block"/>
                        <v:imagedata o:title=""/>
                        <o:lock v:ext="edit" aspectratio="f"/>
                      </v:shape>
                      <v:line id="直接连接符 42" o:spid="_x0000_s1026" o:spt="20" style="position:absolute;left:682625;top:5632450;height:0;width:1093470;" filled="f" stroked="t" coordsize="21600,21600" o:gfxdata="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sza41QAAAAYBAAAPAAAAAAAAAAEAIAAA&#10;ACIAAABkcnMvZG93bnJldi54bWxQSwECFAAUAAAACACHTuJAnlO889YBAABxAwAADgAAAAAAAAAB&#10;ACAAAAAkAQAAZHJzL2Uyb0RvYy54bWxQSwUGAAAAAAYABgBZAQAAbAUAAAAA&#10;">
                        <v:fill on="f" focussize="0,0"/>
                        <v:stroke weight="0.5pt" color="#000000 [3213]" miterlimit="8" joinstyle="miter"/>
                        <v:imagedata o:title=""/>
                        <o:lock v:ext="edit" aspectratio="f"/>
                      </v:line>
                      <v:line id="直接连接符 61" o:spid="_x0000_s1026" o:spt="20" style="position:absolute;left:1242060;top:5024755;height:594360;width:3810;" filled="f" stroked="t" coordsize="21600,21600" o:gfxdata="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7M2uNUAAAAGAQAADwAAAAAAAAABACAA&#10;AAAiAAAAZHJzL2Rvd25yZXYueG1sUEsBAhQAFAAAAAgAh07iQO1vgfnXAQAAdAMAAA4AAAAAAAAA&#10;AQAgAAAAJAEAAGRycy9lMm9Eb2MueG1sUEsFBgAAAAAGAAYAWQEAAG0FAAAAAA==&#10;">
                        <v:fill on="f" focussize="0,0"/>
                        <v:stroke weight="0.5pt" color="#000000 [3213]" miterlimit="8" joinstyle="miter"/>
                        <v:imagedata o:title=""/>
                        <o:lock v:ext="edit" aspectratio="f"/>
                      </v:line>
                      <v:line id="直接连接符 64" o:spid="_x0000_s1026" o:spt="20" style="position:absolute;left:683260;top:6605905;height:325755;width:0;" filled="f" stroked="t" coordsize="21600,21600" o:gfxdata="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ezNrjVAAAABgEAAA8AAAAAAAAAAQAgAAAA&#10;IgAAAGRycy9kb3ducmV2LnhtbFBLAQIUABQAAAAIAIdO4kDYZ5911QEAAHADAAAOAAAAAAAAAAEA&#10;IAAAACQBAABkcnMvZTJvRG9jLnhtbFBLBQYAAAAABgAGAFkBAABrBQAAAAA=&#10;">
                        <v:fill on="f" focussize="0,0"/>
                        <v:stroke weight="0.5pt" color="#000000 [3213]" miterlimit="8" joinstyle="miter"/>
                        <v:imagedata o:title=""/>
                        <o:lock v:ext="edit" aspectratio="f"/>
                      </v:line>
                      <v:line id="直接连接符 65" o:spid="_x0000_s1026" o:spt="20" style="position:absolute;left:1771650;top:6577330;height:354330;width:5080;" filled="f" stroked="t" coordsize="21600,21600" o:gfxdata="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7M2uNUAAAAGAQAADwAAAAAAAAABACAA&#10;AAAiAAAAZHJzL2Rvd25yZXYueG1sUEsBAhQAFAAAAAgAh07iQPXGA2/XAQAAdAMAAA4AAAAAAAAA&#10;AQAgAAAAJAEAAGRycy9lMm9Eb2MueG1sUEsFBgAAAAAGAAYAWQEAAG0FAAAAAA==&#10;">
                        <v:fill on="f" focussize="0,0"/>
                        <v:stroke weight="0.5pt" color="#000000 [3213]" miterlimit="8" joinstyle="miter"/>
                        <v:imagedata o:title=""/>
                        <o:lock v:ext="edit" aspectratio="f"/>
                      </v:line>
                      <v:line id="直接连接符 66" o:spid="_x0000_s1026" o:spt="20" style="position:absolute;left:683260;top:6931660;height:0;width:1093470;" filled="f" stroked="t" coordsize="21600,21600" o:gfxdata="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7M2uNUAAAAGAQAADwAAAAAAAAABACAAAAAi&#10;AAAAZHJzL2Rvd25yZXYueG1sUEsBAhQAFAAAAAgAh07iQCIVjCbUAQAAcQMAAA4AAAAAAAAAAQAg&#10;AAAAJAEAAGRycy9lMm9Eb2MueG1sUEsFBgAAAAAGAAYAWQEAAGoFAAAAAA==&#10;">
                        <v:fill on="f" focussize="0,0"/>
                        <v:stroke weight="0.5pt" color="#000000 [3213]" miterlimit="8" joinstyle="miter"/>
                        <v:imagedata o:title=""/>
                        <o:lock v:ext="edit" aspectratio="f"/>
                      </v:line>
                      <v:line id="直接连接符 68" o:spid="_x0000_s1026" o:spt="20" style="position:absolute;left:67310;top:9525;flip:y;height:2470328;width:0;" filled="f" stroked="t" coordsize="21600,21600" o:gfxdata="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bgOTdUAAAAGAQAADwAAAAAAAAAB&#10;ACAAAAAiAAAAZHJzL2Rvd25yZXYueG1sUEsBAhQAFAAAAAgAh07iQAwdEYnaAQAAdwMAAA4AAAAA&#10;AAAAAQAgAAAAJAEAAGRycy9lMm9Eb2MueG1sUEsFBgAAAAAGAAYAWQEAAHAFAAAAAA==&#10;">
                        <v:fill on="f" focussize="0,0"/>
                        <v:stroke weight="0.5pt" color="#000000 [3213]" miterlimit="8" joinstyle="miter"/>
                        <v:imagedata o:title=""/>
                        <o:lock v:ext="edit" aspectratio="f"/>
                      </v:line>
                      <v:line id="直接连接符 156" o:spid="_x0000_s1026" o:spt="20" style="position:absolute;left:67310;top:1533160;flip:x;height:0;width:412750;" filled="f" stroked="t" coordsize="21600,21600" o:gfxdata="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24Dk3VAAAABgEAAA8AAAAAAAAA&#10;AQAgAAAAIgAAAGRycy9kb3ducmV2LnhtbFBLAQIUABQAAAAIAIdO4kC3wOPQ2wEAAHoDAAAOAAAA&#10;AAAAAAEAIAAAACQBAABkcnMvZTJvRG9jLnhtbFBLBQYAAAAABgAGAFkBAABxBQAAAAA=&#10;">
                        <v:fill on="f" focussize="0,0"/>
                        <v:stroke weight="0.5pt" color="#000000 [3213]" miterlimit="8" joinstyle="miter"/>
                        <v:imagedata o:title=""/>
                        <o:lock v:ext="edit" aspectratio="f"/>
                      </v:line>
                      <v:line id="直接连接符 157" o:spid="_x0000_s1026" o:spt="20" style="position:absolute;left:65836;top:2481320;flip:x;height:0;width:412750;" filled="f" stroked="t" coordsize="21600,21600" o:gfxdata="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duA5N1QAAAAYBAAAPAAAAAAAA&#10;AAEAIAAAACIAAABkcnMvZG93bnJldi54bWxQSwECFAAUAAAACACHTuJALCOzidwBAAB6AwAADgAA&#10;AAAAAAABACAAAAAkAQAAZHJzL2Uyb0RvYy54bWxQSwUGAAAAAAYABgBZAQAAcgUAAAAA&#10;">
                        <v:fill on="f" focussize="0,0"/>
                        <v:stroke weight="0.5pt" color="#000000 [3213]" miterlimit="8" joinstyle="miter"/>
                        <v:imagedata o:title=""/>
                        <o:lock v:ext="edit" aspectratio="f"/>
                      </v:line>
                      <v:shape id="流程图: 过程 1" o:spid="_x0000_s1026" o:spt="109" type="#_x0000_t109" style="position:absolute;left:430530;top:7358380;height:487680;width:1573530;v-text-anchor:middle;" fillcolor="#FFFFFF" filled="t" stroked="t" coordsize="21600,21600" o:gfxdata="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uj&#10;LAzVAAAABgEAAA8AAAAAAAAAAQAgAAAAIgAAAGRycy9kb3ducmV2LnhtbFBLAQIUABQAAAAIAIdO&#10;4kDGujYdmAIAABwFAAAOAAAAAAAAAAEAIAAAACQBAABkcnMvZTJvRG9jLnhtbFBLBQYAAAAABgAG&#10;AFkBAAAuBgAAAAA=&#10;">
                        <v:fill on="t" focussize="0,0"/>
                        <v:stroke color="#000000" joinstyle="miter"/>
                        <v:imagedata o:title=""/>
                        <o:lock v:ext="edit" aspectratio="f"/>
                        <v:textbox>
                          <w:txbxContent>
                            <w:p>
                              <w:pPr>
                                <w:jc w:val="center"/>
                              </w:pPr>
                              <w:r>
                                <w:rPr>
                                  <w:rFonts w:hint="eastAsia"/>
                                  <w:sz w:val="21"/>
                                  <w:szCs w:val="21"/>
                                </w:rPr>
                                <w:t>转专业工作总结与反馈</w:t>
                              </w:r>
                            </w:p>
                          </w:txbxContent>
                        </v:textbox>
                      </v:shape>
                      <w10:wrap type="none"/>
                      <w10:anchorlock/>
                    </v:group>
                  </w:pict>
                </mc:Fallback>
              </mc:AlternateContent>
            </w:r>
            <w:r>
              <w:rPr>
                <w:rFonts w:hint="eastAsia" w:ascii="宋体" w:hAnsi="宋体"/>
                <w:sz w:val="16"/>
                <w:szCs w:val="21"/>
              </w:rPr>
              <w:t xml:space="preserve">     </w:t>
            </w:r>
          </w:p>
        </w:tc>
        <w:tc>
          <w:tcPr>
            <w:tcW w:w="1133" w:type="dxa"/>
            <w:vAlign w:val="center"/>
          </w:tcPr>
          <w:p>
            <w:pPr>
              <w:pageBreakBefore w:val="0"/>
              <w:kinsoku/>
              <w:overflowPunct/>
              <w:topLinePunct w:val="0"/>
              <w:bidi w:val="0"/>
              <w:spacing w:line="320" w:lineRule="exact"/>
              <w:jc w:val="center"/>
              <w:outlineLvl w:val="9"/>
              <w:rPr>
                <w:rFonts w:ascii="宋体" w:hAnsi="宋体"/>
                <w:sz w:val="16"/>
                <w:szCs w:val="21"/>
              </w:rPr>
            </w:pPr>
            <w:r>
              <w:rPr>
                <w:rFonts w:hint="eastAsia" w:ascii="宋体" w:hAnsi="宋体"/>
                <w:sz w:val="16"/>
                <w:szCs w:val="21"/>
              </w:rPr>
              <w:t>转专业工作负责人</w:t>
            </w:r>
          </w:p>
        </w:tc>
        <w:tc>
          <w:tcPr>
            <w:tcW w:w="963" w:type="dxa"/>
            <w:vAlign w:val="center"/>
          </w:tcPr>
          <w:p>
            <w:pPr>
              <w:pageBreakBefore w:val="0"/>
              <w:kinsoku/>
              <w:overflowPunct/>
              <w:topLinePunct w:val="0"/>
              <w:bidi w:val="0"/>
              <w:spacing w:line="320" w:lineRule="exact"/>
              <w:jc w:val="center"/>
              <w:outlineLvl w:val="9"/>
              <w:rPr>
                <w:rFonts w:ascii="宋体" w:hAnsi="宋体"/>
                <w:sz w:val="16"/>
                <w:szCs w:val="21"/>
              </w:rPr>
            </w:pPr>
            <w:r>
              <w:rPr>
                <w:rFonts w:hint="eastAsia" w:ascii="宋体" w:hAnsi="宋体"/>
                <w:sz w:val="16"/>
                <w:szCs w:val="21"/>
              </w:rPr>
              <w:t>教务与实训管理处</w:t>
            </w:r>
          </w:p>
        </w:tc>
        <w:tc>
          <w:tcPr>
            <w:tcW w:w="4305" w:type="dxa"/>
            <w:vAlign w:val="center"/>
          </w:tcPr>
          <w:p>
            <w:pPr>
              <w:pageBreakBefore w:val="0"/>
              <w:kinsoku/>
              <w:overflowPunct/>
              <w:topLinePunct w:val="0"/>
              <w:bidi w:val="0"/>
              <w:spacing w:line="320" w:lineRule="exact"/>
              <w:outlineLvl w:val="9"/>
              <w:rPr>
                <w:rFonts w:ascii="宋体" w:hAnsi="宋体"/>
                <w:sz w:val="16"/>
                <w:szCs w:val="18"/>
              </w:rPr>
            </w:pPr>
            <w:r>
              <w:rPr>
                <w:rFonts w:hint="eastAsia" w:ascii="宋体" w:hAnsi="宋体"/>
                <w:sz w:val="16"/>
                <w:szCs w:val="18"/>
              </w:rPr>
              <w:t>1.教务与实训管理处组织二级学院上报本学院各专业转入条件及名额等信息，并在转专业工作通知中公布；</w:t>
            </w:r>
          </w:p>
          <w:p>
            <w:pPr>
              <w:pageBreakBefore w:val="0"/>
              <w:kinsoku/>
              <w:overflowPunct/>
              <w:topLinePunct w:val="0"/>
              <w:bidi w:val="0"/>
              <w:spacing w:line="320" w:lineRule="exact"/>
              <w:jc w:val="left"/>
              <w:outlineLvl w:val="9"/>
              <w:rPr>
                <w:rFonts w:ascii="宋体" w:hAnsi="宋体" w:cs="宋体"/>
                <w:kern w:val="0"/>
                <w:sz w:val="16"/>
                <w:szCs w:val="21"/>
              </w:rPr>
            </w:pPr>
            <w:r>
              <w:rPr>
                <w:rFonts w:hint="eastAsia" w:ascii="宋体" w:hAnsi="宋体"/>
                <w:sz w:val="16"/>
                <w:szCs w:val="18"/>
              </w:rPr>
              <w:t>2.教务与实训管理处发布转专业工作通知（一般于第一学期结束前2周发布）。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303"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spacing w:line="320" w:lineRule="exact"/>
              <w:jc w:val="center"/>
              <w:outlineLvl w:val="9"/>
              <w:rPr>
                <w:rFonts w:ascii="宋体" w:hAnsi="宋体"/>
                <w:sz w:val="16"/>
                <w:szCs w:val="21"/>
              </w:rPr>
            </w:pPr>
            <w:r>
              <w:rPr>
                <w:rFonts w:hint="eastAsia" w:ascii="宋体" w:hAnsi="宋体"/>
                <w:sz w:val="16"/>
                <w:szCs w:val="21"/>
              </w:rPr>
              <w:t>学生</w:t>
            </w:r>
          </w:p>
        </w:tc>
        <w:tc>
          <w:tcPr>
            <w:tcW w:w="963" w:type="dxa"/>
            <w:vAlign w:val="center"/>
          </w:tcPr>
          <w:p>
            <w:pPr>
              <w:pageBreakBefore w:val="0"/>
              <w:kinsoku/>
              <w:overflowPunct/>
              <w:topLinePunct w:val="0"/>
              <w:bidi w:val="0"/>
              <w:spacing w:line="320" w:lineRule="exact"/>
              <w:jc w:val="center"/>
              <w:outlineLvl w:val="9"/>
              <w:rPr>
                <w:rFonts w:ascii="宋体" w:hAnsi="宋体"/>
                <w:sz w:val="16"/>
                <w:szCs w:val="21"/>
              </w:rPr>
            </w:pPr>
            <w:r>
              <w:rPr>
                <w:rFonts w:hint="eastAsia" w:ascii="宋体" w:hAnsi="宋体"/>
                <w:sz w:val="16"/>
                <w:szCs w:val="21"/>
              </w:rPr>
              <w:t>转出二级学院</w:t>
            </w:r>
          </w:p>
        </w:tc>
        <w:tc>
          <w:tcPr>
            <w:tcW w:w="4305" w:type="dxa"/>
            <w:vAlign w:val="center"/>
          </w:tcPr>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学生向所在二级学院提出申请，填写《柳州职业技术学院转专业申请表》（见附件2），申请时间一般为第一学期最后1周。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27"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spacing w:line="320" w:lineRule="exact"/>
              <w:jc w:val="center"/>
              <w:outlineLvl w:val="9"/>
              <w:rPr>
                <w:rFonts w:ascii="宋体" w:hAnsi="宋体"/>
                <w:sz w:val="16"/>
                <w:szCs w:val="21"/>
              </w:rPr>
            </w:pPr>
            <w:r>
              <w:rPr>
                <w:rFonts w:hint="eastAsia" w:ascii="宋体" w:hAnsi="宋体"/>
                <w:sz w:val="16"/>
                <w:szCs w:val="21"/>
              </w:rPr>
              <w:t>辅导员</w:t>
            </w:r>
          </w:p>
        </w:tc>
        <w:tc>
          <w:tcPr>
            <w:tcW w:w="963" w:type="dxa"/>
            <w:vAlign w:val="center"/>
          </w:tcPr>
          <w:p>
            <w:pPr>
              <w:pageBreakBefore w:val="0"/>
              <w:kinsoku/>
              <w:overflowPunct/>
              <w:topLinePunct w:val="0"/>
              <w:bidi w:val="0"/>
              <w:spacing w:line="320" w:lineRule="exact"/>
              <w:jc w:val="center"/>
              <w:outlineLvl w:val="9"/>
              <w:rPr>
                <w:rFonts w:ascii="宋体" w:hAnsi="宋体"/>
                <w:sz w:val="16"/>
                <w:szCs w:val="21"/>
              </w:rPr>
            </w:pPr>
            <w:r>
              <w:rPr>
                <w:rFonts w:hint="eastAsia" w:ascii="宋体" w:hAnsi="宋体"/>
                <w:sz w:val="16"/>
                <w:szCs w:val="21"/>
              </w:rPr>
              <w:t>转出二级学院</w:t>
            </w:r>
          </w:p>
        </w:tc>
        <w:tc>
          <w:tcPr>
            <w:tcW w:w="4305" w:type="dxa"/>
            <w:vAlign w:val="center"/>
          </w:tcPr>
          <w:p>
            <w:pPr>
              <w:pageBreakBefore w:val="0"/>
              <w:kinsoku/>
              <w:overflowPunct/>
              <w:topLinePunct w:val="0"/>
              <w:bidi w:val="0"/>
              <w:adjustRightInd w:val="0"/>
              <w:snapToGrid w:val="0"/>
              <w:spacing w:line="320" w:lineRule="exact"/>
              <w:outlineLvl w:val="9"/>
              <w:rPr>
                <w:rFonts w:ascii="宋体" w:hAnsi="宋体"/>
                <w:sz w:val="16"/>
                <w:szCs w:val="21"/>
              </w:rPr>
            </w:pPr>
            <w:r>
              <w:rPr>
                <w:rFonts w:ascii="宋体" w:hAnsi="宋体"/>
                <w:sz w:val="16"/>
                <w:szCs w:val="21"/>
              </w:rPr>
              <w:t>1</w:t>
            </w:r>
            <w:r>
              <w:rPr>
                <w:rFonts w:hint="eastAsia" w:ascii="宋体" w:hAnsi="宋体"/>
                <w:sz w:val="16"/>
                <w:szCs w:val="21"/>
              </w:rPr>
              <w:t>.辅导员审核学生提交的材料。</w:t>
            </w:r>
          </w:p>
          <w:p>
            <w:pPr>
              <w:pageBreakBefore w:val="0"/>
              <w:kinsoku/>
              <w:overflowPunct/>
              <w:topLinePunct w:val="0"/>
              <w:bidi w:val="0"/>
              <w:adjustRightInd w:val="0"/>
              <w:snapToGrid w:val="0"/>
              <w:spacing w:line="320" w:lineRule="exact"/>
              <w:outlineLvl w:val="9"/>
              <w:rPr>
                <w:rFonts w:ascii="宋体" w:hAnsi="宋体"/>
                <w:sz w:val="16"/>
                <w:szCs w:val="21"/>
              </w:rPr>
            </w:pPr>
            <w:r>
              <w:rPr>
                <w:rFonts w:ascii="宋体" w:hAnsi="宋体"/>
                <w:sz w:val="16"/>
                <w:szCs w:val="21"/>
              </w:rPr>
              <w:t>2.</w:t>
            </w:r>
            <w:r>
              <w:rPr>
                <w:rFonts w:hint="eastAsia" w:ascii="宋体" w:hAnsi="宋体"/>
                <w:sz w:val="16"/>
                <w:szCs w:val="21"/>
              </w:rPr>
              <w:t>辅导员将审核通过的转专业申请表按转入专业分类汇总至学生科科长处。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8"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spacing w:line="320" w:lineRule="exact"/>
              <w:jc w:val="center"/>
              <w:outlineLvl w:val="9"/>
              <w:rPr>
                <w:rFonts w:ascii="宋体" w:hAnsi="宋体"/>
                <w:sz w:val="16"/>
                <w:szCs w:val="21"/>
              </w:rPr>
            </w:pPr>
            <w:r>
              <w:rPr>
                <w:rFonts w:hint="eastAsia" w:ascii="宋体" w:hAnsi="宋体"/>
                <w:sz w:val="16"/>
                <w:szCs w:val="21"/>
              </w:rPr>
              <w:t>转出二级学院负责人</w:t>
            </w:r>
          </w:p>
        </w:tc>
        <w:tc>
          <w:tcPr>
            <w:tcW w:w="963" w:type="dxa"/>
            <w:vAlign w:val="center"/>
          </w:tcPr>
          <w:p>
            <w:pPr>
              <w:pageBreakBefore w:val="0"/>
              <w:kinsoku/>
              <w:overflowPunct/>
              <w:topLinePunct w:val="0"/>
              <w:bidi w:val="0"/>
              <w:spacing w:line="320" w:lineRule="exact"/>
              <w:jc w:val="center"/>
              <w:outlineLvl w:val="9"/>
              <w:rPr>
                <w:rFonts w:ascii="宋体" w:hAnsi="宋体"/>
                <w:sz w:val="16"/>
                <w:szCs w:val="21"/>
              </w:rPr>
            </w:pPr>
            <w:r>
              <w:rPr>
                <w:rFonts w:hint="eastAsia" w:ascii="宋体" w:hAnsi="宋体"/>
                <w:sz w:val="16"/>
                <w:szCs w:val="21"/>
              </w:rPr>
              <w:t>转出二级学院</w:t>
            </w:r>
          </w:p>
        </w:tc>
        <w:tc>
          <w:tcPr>
            <w:tcW w:w="4305" w:type="dxa"/>
            <w:vAlign w:val="center"/>
          </w:tcPr>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1.二级学院对提出申请的转专业学生公共课必修成绩进行排名筛选，将符合成绩排名要求的转专业学生名单汇总交至学生科长。</w:t>
            </w:r>
          </w:p>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2.学生科科长将审核通过的转专业申请表交二级学院领导签署意见。</w:t>
            </w:r>
          </w:p>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3.学生科科长将已签署意见的转专业申请表汇总交至教务与实训管理处。</w:t>
            </w:r>
          </w:p>
          <w:p>
            <w:pPr>
              <w:pageBreakBefore w:val="0"/>
              <w:kinsoku/>
              <w:overflowPunct/>
              <w:topLinePunct w:val="0"/>
              <w:bidi w:val="0"/>
              <w:adjustRightInd w:val="0"/>
              <w:snapToGrid w:val="0"/>
              <w:spacing w:line="320" w:lineRule="exact"/>
              <w:outlineLvl w:val="9"/>
              <w:rPr>
                <w:rFonts w:ascii="宋体" w:hAnsi="宋体"/>
                <w:color w:val="FF0000"/>
                <w:sz w:val="16"/>
                <w:szCs w:val="21"/>
              </w:rPr>
            </w:pPr>
            <w:r>
              <w:rPr>
                <w:rFonts w:hint="eastAsia" w:ascii="宋体" w:hAnsi="宋体"/>
                <w:sz w:val="16"/>
                <w:szCs w:val="21"/>
              </w:rPr>
              <w:t>4.转出二级学院填写《柳州职业技术学院申请转专业汇总表》，将汇总表电子档发教务与实训管理处。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938"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adjustRightInd w:val="0"/>
              <w:snapToGrid w:val="0"/>
              <w:spacing w:line="320" w:lineRule="exact"/>
              <w:jc w:val="center"/>
              <w:outlineLvl w:val="9"/>
              <w:rPr>
                <w:rFonts w:ascii="宋体" w:hAnsi="宋体"/>
                <w:sz w:val="16"/>
                <w:szCs w:val="21"/>
              </w:rPr>
            </w:pPr>
            <w:r>
              <w:rPr>
                <w:rFonts w:hint="eastAsia" w:ascii="宋体" w:hAnsi="宋体"/>
                <w:sz w:val="16"/>
                <w:szCs w:val="21"/>
              </w:rPr>
              <w:t>招生就业处负责人</w:t>
            </w:r>
          </w:p>
        </w:tc>
        <w:tc>
          <w:tcPr>
            <w:tcW w:w="963" w:type="dxa"/>
            <w:vAlign w:val="center"/>
          </w:tcPr>
          <w:p>
            <w:pPr>
              <w:pageBreakBefore w:val="0"/>
              <w:kinsoku/>
              <w:overflowPunct/>
              <w:topLinePunct w:val="0"/>
              <w:bidi w:val="0"/>
              <w:spacing w:line="320" w:lineRule="exact"/>
              <w:jc w:val="center"/>
              <w:outlineLvl w:val="9"/>
              <w:rPr>
                <w:rFonts w:ascii="宋体" w:hAnsi="宋体"/>
                <w:sz w:val="16"/>
                <w:szCs w:val="21"/>
              </w:rPr>
            </w:pPr>
            <w:r>
              <w:rPr>
                <w:rFonts w:hint="eastAsia" w:ascii="宋体" w:hAnsi="宋体"/>
                <w:sz w:val="16"/>
                <w:szCs w:val="21"/>
              </w:rPr>
              <w:t>招生就业处</w:t>
            </w:r>
          </w:p>
        </w:tc>
        <w:tc>
          <w:tcPr>
            <w:tcW w:w="4305" w:type="dxa"/>
            <w:vAlign w:val="center"/>
          </w:tcPr>
          <w:p>
            <w:pPr>
              <w:pageBreakBefore w:val="0"/>
              <w:kinsoku/>
              <w:overflowPunct/>
              <w:topLinePunct w:val="0"/>
              <w:bidi w:val="0"/>
              <w:adjustRightInd w:val="0"/>
              <w:snapToGrid w:val="0"/>
              <w:spacing w:line="320" w:lineRule="exact"/>
              <w:outlineLvl w:val="9"/>
              <w:rPr>
                <w:rFonts w:ascii="宋体" w:hAnsi="宋体"/>
                <w:sz w:val="16"/>
                <w:szCs w:val="21"/>
              </w:rPr>
            </w:pPr>
            <w:r>
              <w:rPr>
                <w:rFonts w:ascii="宋体" w:hAnsi="宋体"/>
                <w:sz w:val="16"/>
                <w:szCs w:val="21"/>
              </w:rPr>
              <w:t>1.</w:t>
            </w:r>
            <w:r>
              <w:rPr>
                <w:rFonts w:hint="eastAsia" w:ascii="宋体" w:hAnsi="宋体"/>
                <w:sz w:val="16"/>
                <w:szCs w:val="21"/>
              </w:rPr>
              <w:t>教务与实训管理处将转专业申请表分类汇总后交招生就业处审核。</w:t>
            </w:r>
          </w:p>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2.招生就业处根据录取信息审核学生的招生类别、考生类别、身体条件等是否符合转入专业的要求。</w:t>
            </w:r>
          </w:p>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3</w:t>
            </w:r>
            <w:r>
              <w:rPr>
                <w:rFonts w:ascii="宋体" w:hAnsi="宋体"/>
                <w:sz w:val="16"/>
                <w:szCs w:val="21"/>
              </w:rPr>
              <w:t>.</w:t>
            </w:r>
            <w:r>
              <w:rPr>
                <w:rFonts w:hint="eastAsia" w:ascii="宋体" w:hAnsi="宋体"/>
                <w:sz w:val="16"/>
                <w:szCs w:val="21"/>
              </w:rPr>
              <w:t>招生就业处将审核结果（纸质与电子档）返回至教务与实训管理处。</w:t>
            </w:r>
          </w:p>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4.教务与实训管理处将符合条件的申请表交拟转入二级学院审批，将不符合条件的申请表退回学生所在二级学院。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746"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adjustRightInd w:val="0"/>
              <w:snapToGrid w:val="0"/>
              <w:spacing w:line="320" w:lineRule="exact"/>
              <w:jc w:val="center"/>
              <w:outlineLvl w:val="9"/>
              <w:rPr>
                <w:rFonts w:ascii="宋体" w:hAnsi="宋体"/>
                <w:sz w:val="16"/>
                <w:szCs w:val="21"/>
              </w:rPr>
            </w:pPr>
            <w:r>
              <w:rPr>
                <w:rFonts w:hint="eastAsia" w:ascii="宋体" w:hAnsi="宋体"/>
                <w:sz w:val="16"/>
                <w:szCs w:val="21"/>
              </w:rPr>
              <w:t>转入二级学院负责人</w:t>
            </w:r>
          </w:p>
        </w:tc>
        <w:tc>
          <w:tcPr>
            <w:tcW w:w="963" w:type="dxa"/>
            <w:vAlign w:val="center"/>
          </w:tcPr>
          <w:p>
            <w:pPr>
              <w:pageBreakBefore w:val="0"/>
              <w:kinsoku/>
              <w:overflowPunct/>
              <w:topLinePunct w:val="0"/>
              <w:bidi w:val="0"/>
              <w:spacing w:line="320" w:lineRule="exact"/>
              <w:jc w:val="left"/>
              <w:outlineLvl w:val="9"/>
              <w:rPr>
                <w:rFonts w:ascii="宋体" w:hAnsi="宋体"/>
                <w:sz w:val="16"/>
                <w:szCs w:val="21"/>
              </w:rPr>
            </w:pPr>
            <w:r>
              <w:rPr>
                <w:rFonts w:hint="eastAsia" w:ascii="宋体" w:hAnsi="宋体"/>
                <w:sz w:val="16"/>
                <w:szCs w:val="21"/>
              </w:rPr>
              <w:t>拟转入二级学院</w:t>
            </w:r>
          </w:p>
        </w:tc>
        <w:tc>
          <w:tcPr>
            <w:tcW w:w="4305" w:type="dxa"/>
            <w:vAlign w:val="center"/>
          </w:tcPr>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转入二级学院根据提前发布的转入专业要求、名额及公共必修课成绩等条件审核转专业申请，签署意见，汇总后返回教务与实训管理处。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489"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adjustRightInd w:val="0"/>
              <w:snapToGrid w:val="0"/>
              <w:spacing w:line="320" w:lineRule="exact"/>
              <w:jc w:val="center"/>
              <w:outlineLvl w:val="9"/>
              <w:rPr>
                <w:rFonts w:ascii="宋体" w:hAnsi="宋体"/>
                <w:sz w:val="16"/>
                <w:szCs w:val="21"/>
              </w:rPr>
            </w:pPr>
            <w:r>
              <w:rPr>
                <w:rFonts w:hint="eastAsia" w:ascii="宋体" w:hAnsi="宋体"/>
                <w:sz w:val="16"/>
                <w:szCs w:val="21"/>
              </w:rPr>
              <w:t>转专业工作负责人</w:t>
            </w:r>
          </w:p>
        </w:tc>
        <w:tc>
          <w:tcPr>
            <w:tcW w:w="963" w:type="dxa"/>
            <w:vAlign w:val="center"/>
          </w:tcPr>
          <w:p>
            <w:pPr>
              <w:pageBreakBefore w:val="0"/>
              <w:kinsoku/>
              <w:overflowPunct/>
              <w:topLinePunct w:val="0"/>
              <w:bidi w:val="0"/>
              <w:adjustRightInd w:val="0"/>
              <w:snapToGrid w:val="0"/>
              <w:spacing w:line="320" w:lineRule="exact"/>
              <w:jc w:val="left"/>
              <w:outlineLvl w:val="9"/>
              <w:rPr>
                <w:rFonts w:ascii="宋体" w:hAnsi="宋体"/>
                <w:sz w:val="16"/>
                <w:szCs w:val="21"/>
              </w:rPr>
            </w:pPr>
            <w:r>
              <w:rPr>
                <w:rFonts w:hint="eastAsia" w:ascii="宋体" w:hAnsi="宋体"/>
                <w:sz w:val="16"/>
                <w:szCs w:val="21"/>
              </w:rPr>
              <w:t>教务与实训管理处</w:t>
            </w:r>
          </w:p>
        </w:tc>
        <w:tc>
          <w:tcPr>
            <w:tcW w:w="4305" w:type="dxa"/>
            <w:vAlign w:val="bottom"/>
          </w:tcPr>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教务与实训管理处复核学生的转专业材料是否符合转专业文件规定。</w:t>
            </w:r>
          </w:p>
          <w:p>
            <w:pPr>
              <w:pageBreakBefore w:val="0"/>
              <w:kinsoku/>
              <w:overflowPunct/>
              <w:topLinePunct w:val="0"/>
              <w:bidi w:val="0"/>
              <w:adjustRightInd w:val="0"/>
              <w:snapToGrid w:val="0"/>
              <w:spacing w:line="320" w:lineRule="exact"/>
              <w:outlineLvl w:val="9"/>
              <w:rPr>
                <w:rFonts w:ascii="宋体" w:hAnsi="宋体"/>
                <w:sz w:val="1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485"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adjustRightInd w:val="0"/>
              <w:snapToGrid w:val="0"/>
              <w:spacing w:line="320" w:lineRule="exact"/>
              <w:jc w:val="center"/>
              <w:outlineLvl w:val="9"/>
              <w:rPr>
                <w:rFonts w:ascii="宋体" w:hAnsi="宋体"/>
                <w:sz w:val="16"/>
                <w:szCs w:val="21"/>
              </w:rPr>
            </w:pPr>
            <w:r>
              <w:rPr>
                <w:rFonts w:hint="eastAsia" w:ascii="宋体" w:hAnsi="宋体"/>
                <w:sz w:val="16"/>
                <w:szCs w:val="21"/>
              </w:rPr>
              <w:t>负责教学的校领导</w:t>
            </w:r>
          </w:p>
        </w:tc>
        <w:tc>
          <w:tcPr>
            <w:tcW w:w="963" w:type="dxa"/>
            <w:vAlign w:val="center"/>
          </w:tcPr>
          <w:p>
            <w:pPr>
              <w:pageBreakBefore w:val="0"/>
              <w:kinsoku/>
              <w:overflowPunct/>
              <w:topLinePunct w:val="0"/>
              <w:bidi w:val="0"/>
              <w:adjustRightInd w:val="0"/>
              <w:snapToGrid w:val="0"/>
              <w:spacing w:line="320" w:lineRule="exact"/>
              <w:jc w:val="left"/>
              <w:outlineLvl w:val="9"/>
              <w:rPr>
                <w:rFonts w:ascii="宋体" w:hAnsi="宋体"/>
                <w:sz w:val="16"/>
                <w:szCs w:val="21"/>
              </w:rPr>
            </w:pPr>
            <w:r>
              <w:rPr>
                <w:rFonts w:hint="eastAsia" w:ascii="宋体" w:hAnsi="宋体"/>
                <w:sz w:val="16"/>
                <w:szCs w:val="21"/>
              </w:rPr>
              <w:t>学校办公室</w:t>
            </w:r>
          </w:p>
        </w:tc>
        <w:tc>
          <w:tcPr>
            <w:tcW w:w="4305" w:type="dxa"/>
            <w:vAlign w:val="center"/>
          </w:tcPr>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教务与实训管理处将符合要求的学生报分管教学的副校长审批。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449"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adjustRightInd w:val="0"/>
              <w:snapToGrid w:val="0"/>
              <w:spacing w:line="320" w:lineRule="exact"/>
              <w:jc w:val="center"/>
              <w:outlineLvl w:val="9"/>
              <w:rPr>
                <w:rFonts w:ascii="宋体" w:hAnsi="宋体"/>
                <w:sz w:val="16"/>
                <w:szCs w:val="21"/>
              </w:rPr>
            </w:pPr>
            <w:r>
              <w:rPr>
                <w:rFonts w:hint="eastAsia" w:ascii="宋体" w:hAnsi="宋体"/>
                <w:sz w:val="16"/>
                <w:szCs w:val="21"/>
              </w:rPr>
              <w:t>转专业工作负责人</w:t>
            </w:r>
          </w:p>
        </w:tc>
        <w:tc>
          <w:tcPr>
            <w:tcW w:w="963" w:type="dxa"/>
            <w:vAlign w:val="center"/>
          </w:tcPr>
          <w:p>
            <w:pPr>
              <w:pageBreakBefore w:val="0"/>
              <w:kinsoku/>
              <w:overflowPunct/>
              <w:topLinePunct w:val="0"/>
              <w:bidi w:val="0"/>
              <w:adjustRightInd w:val="0"/>
              <w:snapToGrid w:val="0"/>
              <w:spacing w:line="320" w:lineRule="exact"/>
              <w:jc w:val="center"/>
              <w:outlineLvl w:val="9"/>
              <w:rPr>
                <w:rFonts w:ascii="宋体" w:hAnsi="宋体"/>
                <w:sz w:val="16"/>
                <w:szCs w:val="21"/>
              </w:rPr>
            </w:pPr>
            <w:r>
              <w:rPr>
                <w:rFonts w:hint="eastAsia" w:ascii="宋体" w:hAnsi="宋体"/>
                <w:sz w:val="16"/>
                <w:szCs w:val="21"/>
              </w:rPr>
              <w:t>教务与实训管理处</w:t>
            </w:r>
          </w:p>
        </w:tc>
        <w:tc>
          <w:tcPr>
            <w:tcW w:w="4305" w:type="dxa"/>
            <w:vAlign w:val="center"/>
          </w:tcPr>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1.教务与实训管理处将审批通过的转专业学生名单在校内公示，公示期5个工作日。</w:t>
            </w:r>
          </w:p>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2.公示期内，学生如有异议可向转出二级学院提出并上报教务与实训管理处。</w:t>
            </w:r>
          </w:p>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3.公示结束后发文确定转专业学生名单，并完成学籍异动。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304"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adjustRightInd w:val="0"/>
              <w:snapToGrid w:val="0"/>
              <w:spacing w:line="320" w:lineRule="exact"/>
              <w:jc w:val="center"/>
              <w:outlineLvl w:val="9"/>
              <w:rPr>
                <w:rFonts w:ascii="宋体" w:hAnsi="宋体"/>
                <w:sz w:val="16"/>
                <w:szCs w:val="21"/>
              </w:rPr>
            </w:pPr>
            <w:r>
              <w:rPr>
                <w:rFonts w:hint="eastAsia" w:ascii="宋体" w:hAnsi="宋体"/>
                <w:sz w:val="16"/>
                <w:szCs w:val="21"/>
              </w:rPr>
              <w:t>学生</w:t>
            </w:r>
          </w:p>
        </w:tc>
        <w:tc>
          <w:tcPr>
            <w:tcW w:w="963" w:type="dxa"/>
            <w:vAlign w:val="center"/>
          </w:tcPr>
          <w:p>
            <w:pPr>
              <w:pageBreakBefore w:val="0"/>
              <w:kinsoku/>
              <w:overflowPunct/>
              <w:topLinePunct w:val="0"/>
              <w:bidi w:val="0"/>
              <w:adjustRightInd w:val="0"/>
              <w:snapToGrid w:val="0"/>
              <w:spacing w:line="320" w:lineRule="exact"/>
              <w:jc w:val="left"/>
              <w:outlineLvl w:val="9"/>
              <w:rPr>
                <w:rFonts w:ascii="宋体" w:hAnsi="宋体"/>
                <w:sz w:val="16"/>
                <w:szCs w:val="21"/>
              </w:rPr>
            </w:pPr>
            <w:r>
              <w:rPr>
                <w:rFonts w:hint="eastAsia" w:ascii="宋体" w:hAnsi="宋体"/>
                <w:sz w:val="16"/>
                <w:szCs w:val="21"/>
              </w:rPr>
              <w:t>转出二级学院</w:t>
            </w:r>
          </w:p>
        </w:tc>
        <w:tc>
          <w:tcPr>
            <w:tcW w:w="4305" w:type="dxa"/>
            <w:vAlign w:val="center"/>
          </w:tcPr>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由转出二级学院告知转专业审核通过的学生在规定时间内到学生综合服务中心缴清费用，并到转入专业的二级学院学生科报到。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40"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adjustRightInd w:val="0"/>
              <w:snapToGrid w:val="0"/>
              <w:spacing w:line="320" w:lineRule="exact"/>
              <w:ind w:right="-84"/>
              <w:jc w:val="center"/>
              <w:outlineLvl w:val="9"/>
              <w:rPr>
                <w:rFonts w:ascii="宋体" w:hAnsi="宋体"/>
                <w:sz w:val="16"/>
                <w:szCs w:val="21"/>
              </w:rPr>
            </w:pPr>
            <w:r>
              <w:rPr>
                <w:rFonts w:hint="eastAsia" w:ascii="宋体" w:hAnsi="宋体"/>
                <w:sz w:val="16"/>
                <w:szCs w:val="21"/>
              </w:rPr>
              <w:t>转入二级学院负责人</w:t>
            </w:r>
          </w:p>
        </w:tc>
        <w:tc>
          <w:tcPr>
            <w:tcW w:w="963" w:type="dxa"/>
            <w:vAlign w:val="center"/>
          </w:tcPr>
          <w:p>
            <w:pPr>
              <w:pageBreakBefore w:val="0"/>
              <w:kinsoku/>
              <w:overflowPunct/>
              <w:topLinePunct w:val="0"/>
              <w:bidi w:val="0"/>
              <w:adjustRightInd w:val="0"/>
              <w:snapToGrid w:val="0"/>
              <w:spacing w:line="320" w:lineRule="exact"/>
              <w:ind w:right="-84"/>
              <w:jc w:val="left"/>
              <w:outlineLvl w:val="9"/>
              <w:rPr>
                <w:rFonts w:ascii="宋体" w:hAnsi="宋体"/>
                <w:sz w:val="16"/>
                <w:szCs w:val="21"/>
              </w:rPr>
            </w:pPr>
            <w:r>
              <w:rPr>
                <w:rFonts w:hint="eastAsia" w:ascii="宋体" w:hAnsi="宋体"/>
                <w:sz w:val="16"/>
                <w:szCs w:val="21"/>
              </w:rPr>
              <w:t>转入二级学院</w:t>
            </w:r>
          </w:p>
        </w:tc>
        <w:tc>
          <w:tcPr>
            <w:tcW w:w="4305" w:type="dxa"/>
            <w:vAlign w:val="center"/>
          </w:tcPr>
          <w:p>
            <w:pPr>
              <w:pageBreakBefore w:val="0"/>
              <w:kinsoku/>
              <w:overflowPunct/>
              <w:topLinePunct w:val="0"/>
              <w:bidi w:val="0"/>
              <w:adjustRightInd w:val="0"/>
              <w:snapToGrid w:val="0"/>
              <w:spacing w:line="320" w:lineRule="exact"/>
              <w:outlineLvl w:val="9"/>
              <w:rPr>
                <w:rFonts w:ascii="宋体" w:hAnsi="宋体"/>
                <w:sz w:val="16"/>
                <w:szCs w:val="21"/>
              </w:rPr>
            </w:pPr>
            <w:r>
              <w:rPr>
                <w:rFonts w:hint="eastAsia" w:ascii="宋体" w:hAnsi="宋体"/>
                <w:sz w:val="16"/>
                <w:szCs w:val="21"/>
              </w:rPr>
              <w:t>转入二级学院安排转专业学生到相应的专业班级就读，并做好学生的班级、成绩等管理工作。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71" w:hRule="atLeast"/>
          <w:jc w:val="center"/>
        </w:trPr>
        <w:tc>
          <w:tcPr>
            <w:tcW w:w="3550" w:type="dxa"/>
            <w:vMerge w:val="continue"/>
            <w:vAlign w:val="center"/>
          </w:tcPr>
          <w:p>
            <w:pPr>
              <w:pageBreakBefore w:val="0"/>
              <w:widowControl/>
              <w:kinsoku/>
              <w:overflowPunct/>
              <w:topLinePunct w:val="0"/>
              <w:bidi w:val="0"/>
              <w:jc w:val="left"/>
              <w:outlineLvl w:val="9"/>
              <w:rPr>
                <w:rFonts w:ascii="宋体" w:hAnsi="宋体"/>
                <w:sz w:val="16"/>
                <w:szCs w:val="21"/>
              </w:rPr>
            </w:pPr>
          </w:p>
        </w:tc>
        <w:tc>
          <w:tcPr>
            <w:tcW w:w="1133" w:type="dxa"/>
            <w:vAlign w:val="center"/>
          </w:tcPr>
          <w:p>
            <w:pPr>
              <w:pageBreakBefore w:val="0"/>
              <w:kinsoku/>
              <w:overflowPunct/>
              <w:topLinePunct w:val="0"/>
              <w:bidi w:val="0"/>
              <w:adjustRightInd w:val="0"/>
              <w:snapToGrid w:val="0"/>
              <w:spacing w:line="320" w:lineRule="exact"/>
              <w:jc w:val="center"/>
              <w:outlineLvl w:val="9"/>
              <w:rPr>
                <w:rFonts w:ascii="宋体" w:hAnsi="宋体"/>
                <w:sz w:val="16"/>
                <w:szCs w:val="21"/>
              </w:rPr>
            </w:pPr>
            <w:r>
              <w:rPr>
                <w:rFonts w:hint="eastAsia" w:ascii="宋体" w:hAnsi="宋体"/>
                <w:sz w:val="16"/>
                <w:szCs w:val="21"/>
              </w:rPr>
              <w:t>转专业工作负责人</w:t>
            </w:r>
          </w:p>
        </w:tc>
        <w:tc>
          <w:tcPr>
            <w:tcW w:w="963" w:type="dxa"/>
            <w:vAlign w:val="center"/>
          </w:tcPr>
          <w:p>
            <w:pPr>
              <w:pageBreakBefore w:val="0"/>
              <w:kinsoku/>
              <w:overflowPunct/>
              <w:topLinePunct w:val="0"/>
              <w:bidi w:val="0"/>
              <w:adjustRightInd w:val="0"/>
              <w:snapToGrid w:val="0"/>
              <w:spacing w:line="320" w:lineRule="exact"/>
              <w:jc w:val="center"/>
              <w:outlineLvl w:val="9"/>
              <w:rPr>
                <w:rFonts w:ascii="宋体" w:hAnsi="宋体"/>
                <w:sz w:val="16"/>
                <w:szCs w:val="21"/>
              </w:rPr>
            </w:pPr>
            <w:r>
              <w:rPr>
                <w:rFonts w:hint="eastAsia" w:ascii="宋体" w:hAnsi="宋体"/>
                <w:sz w:val="16"/>
                <w:szCs w:val="21"/>
              </w:rPr>
              <w:t>教务与实训管理处</w:t>
            </w:r>
          </w:p>
        </w:tc>
        <w:tc>
          <w:tcPr>
            <w:tcW w:w="4305" w:type="dxa"/>
            <w:vAlign w:val="center"/>
          </w:tcPr>
          <w:p>
            <w:pPr>
              <w:pageBreakBefore w:val="0"/>
              <w:kinsoku/>
              <w:overflowPunct/>
              <w:topLinePunct w:val="0"/>
              <w:bidi w:val="0"/>
              <w:jc w:val="left"/>
              <w:outlineLvl w:val="9"/>
              <w:rPr>
                <w:sz w:val="16"/>
                <w:szCs w:val="21"/>
              </w:rPr>
            </w:pPr>
            <w:r>
              <w:rPr>
                <w:rFonts w:hint="eastAsia" w:ascii="宋体" w:hAnsi="宋体"/>
                <w:sz w:val="16"/>
                <w:szCs w:val="21"/>
              </w:rPr>
              <w:t>教务与实训管理处统计转专业相关数据，并做好转专业工作总结与反馈。</w:t>
            </w:r>
          </w:p>
        </w:tc>
      </w:tr>
    </w:tbl>
    <w:p>
      <w:pPr>
        <w:pageBreakBefore w:val="0"/>
        <w:kinsoku/>
        <w:overflowPunct/>
        <w:topLinePunct w:val="0"/>
        <w:bidi w:val="0"/>
        <w:spacing w:line="480" w:lineRule="exact"/>
        <w:outlineLvl w:val="9"/>
        <w:rPr>
          <w:rFonts w:hint="eastAsia" w:ascii="黑体" w:eastAsia="黑体"/>
          <w:bCs/>
          <w:sz w:val="30"/>
          <w:szCs w:val="30"/>
        </w:rPr>
      </w:pPr>
    </w:p>
    <w:p>
      <w:pPr>
        <w:pageBreakBefore w:val="0"/>
        <w:kinsoku/>
        <w:overflowPunct/>
        <w:topLinePunct w:val="0"/>
        <w:bidi w:val="0"/>
        <w:spacing w:line="480" w:lineRule="exact"/>
        <w:outlineLvl w:val="9"/>
        <w:rPr>
          <w:rFonts w:ascii="楷体_GB2312" w:eastAsia="楷体_GB2312"/>
          <w:color w:val="000000"/>
          <w:szCs w:val="28"/>
        </w:rPr>
      </w:pPr>
      <w:bookmarkStart w:id="317" w:name="_Toc19836_WPSOffice_Level1"/>
      <w:r>
        <w:rPr>
          <w:rFonts w:hint="eastAsia" w:ascii="黑体" w:eastAsia="黑体"/>
          <w:bCs/>
          <w:sz w:val="30"/>
          <w:szCs w:val="30"/>
        </w:rPr>
        <w:t>附件2：</w:t>
      </w:r>
      <w:bookmarkEnd w:id="317"/>
    </w:p>
    <w:p>
      <w:pPr>
        <w:pageBreakBefore w:val="0"/>
        <w:kinsoku/>
        <w:overflowPunct/>
        <w:topLinePunct w:val="0"/>
        <w:bidi w:val="0"/>
        <w:spacing w:line="480" w:lineRule="exact"/>
        <w:jc w:val="center"/>
        <w:outlineLvl w:val="9"/>
        <w:rPr>
          <w:b/>
          <w:color w:val="000000"/>
          <w:sz w:val="32"/>
          <w:szCs w:val="32"/>
        </w:rPr>
      </w:pPr>
      <w:r>
        <w:rPr>
          <w:rFonts w:hint="eastAsia"/>
          <w:b/>
          <w:color w:val="000000"/>
          <w:sz w:val="32"/>
          <w:szCs w:val="32"/>
        </w:rPr>
        <w:t>柳州职业技术学院转专业申请表</w:t>
      </w:r>
    </w:p>
    <w:tbl>
      <w:tblPr>
        <w:tblStyle w:val="14"/>
        <w:tblW w:w="94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418"/>
        <w:gridCol w:w="825"/>
        <w:gridCol w:w="1263"/>
        <w:gridCol w:w="777"/>
        <w:gridCol w:w="1246"/>
        <w:gridCol w:w="431"/>
        <w:gridCol w:w="933"/>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4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姓名</w:t>
            </w:r>
          </w:p>
        </w:tc>
        <w:tc>
          <w:tcPr>
            <w:tcW w:w="1418" w:type="dxa"/>
            <w:vAlign w:val="center"/>
          </w:tcPr>
          <w:p>
            <w:pPr>
              <w:pageBreakBefore w:val="0"/>
              <w:kinsoku/>
              <w:overflowPunct/>
              <w:topLinePunct w:val="0"/>
              <w:bidi w:val="0"/>
              <w:jc w:val="center"/>
              <w:outlineLvl w:val="9"/>
              <w:rPr>
                <w:rFonts w:ascii="宋体" w:hAnsi="宋体"/>
                <w:sz w:val="24"/>
              </w:rPr>
            </w:pPr>
          </w:p>
        </w:tc>
        <w:tc>
          <w:tcPr>
            <w:tcW w:w="825"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性别</w:t>
            </w:r>
          </w:p>
        </w:tc>
        <w:tc>
          <w:tcPr>
            <w:tcW w:w="1263" w:type="dxa"/>
            <w:vAlign w:val="center"/>
          </w:tcPr>
          <w:p>
            <w:pPr>
              <w:pageBreakBefore w:val="0"/>
              <w:kinsoku/>
              <w:overflowPunct/>
              <w:topLinePunct w:val="0"/>
              <w:bidi w:val="0"/>
              <w:jc w:val="center"/>
              <w:outlineLvl w:val="9"/>
              <w:rPr>
                <w:rFonts w:ascii="宋体" w:hAnsi="宋体"/>
                <w:sz w:val="24"/>
              </w:rPr>
            </w:pPr>
          </w:p>
        </w:tc>
        <w:tc>
          <w:tcPr>
            <w:tcW w:w="777"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学号</w:t>
            </w:r>
          </w:p>
        </w:tc>
        <w:tc>
          <w:tcPr>
            <w:tcW w:w="1677" w:type="dxa"/>
            <w:gridSpan w:val="2"/>
            <w:vAlign w:val="center"/>
          </w:tcPr>
          <w:p>
            <w:pPr>
              <w:pageBreakBefore w:val="0"/>
              <w:kinsoku/>
              <w:overflowPunct/>
              <w:topLinePunct w:val="0"/>
              <w:bidi w:val="0"/>
              <w:jc w:val="center"/>
              <w:outlineLvl w:val="9"/>
              <w:rPr>
                <w:rFonts w:ascii="宋体" w:hAnsi="宋体"/>
                <w:sz w:val="24"/>
              </w:rPr>
            </w:pPr>
          </w:p>
        </w:tc>
        <w:tc>
          <w:tcPr>
            <w:tcW w:w="93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政治面貌</w:t>
            </w:r>
          </w:p>
        </w:tc>
        <w:tc>
          <w:tcPr>
            <w:tcW w:w="998" w:type="dxa"/>
            <w:vAlign w:val="center"/>
          </w:tcPr>
          <w:p>
            <w:pPr>
              <w:pageBreakBefore w:val="0"/>
              <w:kinsoku/>
              <w:overflowPunct/>
              <w:topLinePunct w:val="0"/>
              <w:bidi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4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联系电话</w:t>
            </w:r>
          </w:p>
        </w:tc>
        <w:tc>
          <w:tcPr>
            <w:tcW w:w="2243" w:type="dxa"/>
            <w:gridSpan w:val="2"/>
            <w:vAlign w:val="center"/>
          </w:tcPr>
          <w:p>
            <w:pPr>
              <w:pageBreakBefore w:val="0"/>
              <w:kinsoku/>
              <w:overflowPunct/>
              <w:topLinePunct w:val="0"/>
              <w:bidi w:val="0"/>
              <w:outlineLvl w:val="9"/>
              <w:rPr>
                <w:rFonts w:ascii="宋体" w:hAnsi="宋体"/>
                <w:sz w:val="24"/>
              </w:rPr>
            </w:pPr>
          </w:p>
        </w:tc>
        <w:tc>
          <w:tcPr>
            <w:tcW w:w="126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身份证号</w:t>
            </w:r>
          </w:p>
        </w:tc>
        <w:tc>
          <w:tcPr>
            <w:tcW w:w="4385" w:type="dxa"/>
            <w:gridSpan w:val="5"/>
            <w:vAlign w:val="center"/>
          </w:tcPr>
          <w:p>
            <w:pPr>
              <w:pageBreakBefore w:val="0"/>
              <w:kinsoku/>
              <w:overflowPunct/>
              <w:topLinePunct w:val="0"/>
              <w:bidi w:val="0"/>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4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原录取专业、班级</w:t>
            </w:r>
          </w:p>
        </w:tc>
        <w:tc>
          <w:tcPr>
            <w:tcW w:w="3506" w:type="dxa"/>
            <w:gridSpan w:val="3"/>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 xml:space="preserve"> </w:t>
            </w:r>
          </w:p>
        </w:tc>
        <w:tc>
          <w:tcPr>
            <w:tcW w:w="2023" w:type="dxa"/>
            <w:gridSpan w:val="2"/>
            <w:vAlign w:val="center"/>
          </w:tcPr>
          <w:p>
            <w:pPr>
              <w:pageBreakBefore w:val="0"/>
              <w:kinsoku/>
              <w:overflowPunct/>
              <w:topLinePunct w:val="0"/>
              <w:bidi w:val="0"/>
              <w:outlineLvl w:val="9"/>
              <w:rPr>
                <w:rFonts w:ascii="宋体" w:hAnsi="宋体"/>
                <w:sz w:val="24"/>
              </w:rPr>
            </w:pPr>
            <w:r>
              <w:rPr>
                <w:rFonts w:hint="eastAsia" w:ascii="宋体" w:hAnsi="宋体"/>
                <w:sz w:val="24"/>
              </w:rPr>
              <w:t>原所在二级学院</w:t>
            </w:r>
          </w:p>
        </w:tc>
        <w:tc>
          <w:tcPr>
            <w:tcW w:w="2362" w:type="dxa"/>
            <w:gridSpan w:val="3"/>
            <w:vAlign w:val="center"/>
          </w:tcPr>
          <w:p>
            <w:pPr>
              <w:pageBreakBefore w:val="0"/>
              <w:kinsoku/>
              <w:overflowPunct/>
              <w:topLinePunct w:val="0"/>
              <w:bidi w:val="0"/>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4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拟转入专业</w:t>
            </w:r>
          </w:p>
        </w:tc>
        <w:tc>
          <w:tcPr>
            <w:tcW w:w="3506" w:type="dxa"/>
            <w:gridSpan w:val="3"/>
            <w:vAlign w:val="center"/>
          </w:tcPr>
          <w:p>
            <w:pPr>
              <w:pageBreakBefore w:val="0"/>
              <w:kinsoku/>
              <w:overflowPunct/>
              <w:topLinePunct w:val="0"/>
              <w:bidi w:val="0"/>
              <w:jc w:val="center"/>
              <w:outlineLvl w:val="9"/>
              <w:rPr>
                <w:rFonts w:ascii="宋体" w:hAnsi="宋体"/>
                <w:sz w:val="24"/>
              </w:rPr>
            </w:pPr>
          </w:p>
        </w:tc>
        <w:tc>
          <w:tcPr>
            <w:tcW w:w="2023" w:type="dxa"/>
            <w:gridSpan w:val="2"/>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拟转入专业所在二级学院</w:t>
            </w:r>
          </w:p>
        </w:tc>
        <w:tc>
          <w:tcPr>
            <w:tcW w:w="2362" w:type="dxa"/>
            <w:gridSpan w:val="3"/>
            <w:vAlign w:val="center"/>
          </w:tcPr>
          <w:p>
            <w:pPr>
              <w:pageBreakBefore w:val="0"/>
              <w:kinsoku/>
              <w:overflowPunct/>
              <w:topLinePunct w:val="0"/>
              <w:bidi w:val="0"/>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4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申请理由</w:t>
            </w:r>
          </w:p>
        </w:tc>
        <w:tc>
          <w:tcPr>
            <w:tcW w:w="7891" w:type="dxa"/>
            <w:gridSpan w:val="8"/>
            <w:vAlign w:val="center"/>
          </w:tcPr>
          <w:p>
            <w:pPr>
              <w:pStyle w:val="16"/>
              <w:pageBreakBefore w:val="0"/>
              <w:kinsoku/>
              <w:overflowPunct/>
              <w:topLinePunct w:val="0"/>
              <w:bidi w:val="0"/>
              <w:ind w:firstLine="480" w:firstLineChars="200"/>
              <w:outlineLvl w:val="9"/>
              <w:rPr>
                <w:rFonts w:ascii="宋体" w:hAnsi="宋体" w:eastAsia="宋体" w:cs="Times New Roman"/>
                <w:color w:val="auto"/>
                <w:kern w:val="2"/>
              </w:rPr>
            </w:pPr>
            <w:r>
              <w:rPr>
                <w:rFonts w:hint="eastAsia" w:ascii="宋体" w:hAnsi="宋体" w:eastAsia="宋体" w:cs="Times New Roman"/>
                <w:color w:val="auto"/>
                <w:kern w:val="2"/>
              </w:rPr>
              <w:t>本人已仔细阅读《柳州职业技术学院转专业管理办法》，并承诺遵守学校管理规定。现自愿申请转专业，申请理由如下：</w:t>
            </w:r>
            <w:r>
              <w:rPr>
                <w:rFonts w:ascii="宋体" w:hAnsi="宋体" w:eastAsia="宋体" w:cs="Times New Roman"/>
                <w:color w:val="auto"/>
                <w:kern w:val="2"/>
              </w:rPr>
              <w:t xml:space="preserve"> </w:t>
            </w:r>
          </w:p>
          <w:p>
            <w:pPr>
              <w:pageBreakBefore w:val="0"/>
              <w:kinsoku/>
              <w:overflowPunct/>
              <w:topLinePunct w:val="0"/>
              <w:bidi w:val="0"/>
              <w:ind w:right="560"/>
              <w:outlineLvl w:val="9"/>
              <w:rPr>
                <w:rFonts w:ascii="宋体" w:hAnsi="宋体"/>
                <w:sz w:val="24"/>
              </w:rPr>
            </w:pPr>
          </w:p>
          <w:p>
            <w:pPr>
              <w:pageBreakBefore w:val="0"/>
              <w:kinsoku/>
              <w:wordWrap w:val="0"/>
              <w:overflowPunct/>
              <w:topLinePunct w:val="0"/>
              <w:bidi w:val="0"/>
              <w:ind w:firstLine="720" w:firstLineChars="300"/>
              <w:jc w:val="right"/>
              <w:outlineLvl w:val="9"/>
              <w:rPr>
                <w:rFonts w:ascii="宋体" w:hAnsi="宋体"/>
                <w:sz w:val="24"/>
              </w:rPr>
            </w:pPr>
            <w:r>
              <w:rPr>
                <w:rFonts w:hint="eastAsia" w:ascii="宋体" w:hAnsi="宋体"/>
                <w:sz w:val="24"/>
              </w:rPr>
              <w:t>申请人签名：          年    月    日</w:t>
            </w:r>
          </w:p>
          <w:p>
            <w:pPr>
              <w:pageBreakBefore w:val="0"/>
              <w:kinsoku/>
              <w:wordWrap w:val="0"/>
              <w:overflowPunct/>
              <w:topLinePunct w:val="0"/>
              <w:bidi w:val="0"/>
              <w:ind w:firstLine="2400" w:firstLineChars="1000"/>
              <w:jc w:val="right"/>
              <w:outlineLvl w:val="9"/>
              <w:rPr>
                <w:rFonts w:ascii="宋体" w:hAnsi="宋体"/>
                <w:sz w:val="24"/>
              </w:rPr>
            </w:pPr>
            <w:r>
              <w:rPr>
                <w:rFonts w:hint="eastAsia" w:ascii="宋体" w:hAnsi="宋体"/>
                <w:sz w:val="24"/>
              </w:rPr>
              <w:t>学生家长签名：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43" w:type="dxa"/>
            <w:vAlign w:val="center"/>
          </w:tcPr>
          <w:p>
            <w:pPr>
              <w:pageBreakBefore w:val="0"/>
              <w:kinsoku/>
              <w:overflowPunct/>
              <w:topLinePunct w:val="0"/>
              <w:bidi w:val="0"/>
              <w:adjustRightInd w:val="0"/>
              <w:ind w:left="-71" w:leftChars="-34"/>
              <w:jc w:val="center"/>
              <w:outlineLvl w:val="9"/>
              <w:rPr>
                <w:rFonts w:ascii="宋体" w:hAnsi="宋体"/>
                <w:sz w:val="24"/>
              </w:rPr>
            </w:pPr>
            <w:r>
              <w:rPr>
                <w:rFonts w:hint="eastAsia" w:ascii="宋体" w:hAnsi="宋体"/>
                <w:sz w:val="24"/>
              </w:rPr>
              <w:t>原录取专业所在二级学院意见</w:t>
            </w:r>
          </w:p>
        </w:tc>
        <w:tc>
          <w:tcPr>
            <w:tcW w:w="7891" w:type="dxa"/>
            <w:gridSpan w:val="8"/>
            <w:vAlign w:val="center"/>
          </w:tcPr>
          <w:p>
            <w:pPr>
              <w:pageBreakBefore w:val="0"/>
              <w:kinsoku/>
              <w:overflowPunct/>
              <w:topLinePunct w:val="0"/>
              <w:bidi w:val="0"/>
              <w:outlineLvl w:val="9"/>
              <w:rPr>
                <w:rFonts w:ascii="宋体" w:hAnsi="宋体"/>
                <w:sz w:val="24"/>
              </w:rPr>
            </w:pPr>
            <w:r>
              <w:rPr>
                <w:rFonts w:hint="eastAsia" w:ascii="宋体" w:hAnsi="宋体"/>
                <w:sz w:val="24"/>
              </w:rPr>
              <w:t>□同意</w:t>
            </w:r>
          </w:p>
          <w:p>
            <w:pPr>
              <w:pageBreakBefore w:val="0"/>
              <w:kinsoku/>
              <w:overflowPunct/>
              <w:topLinePunct w:val="0"/>
              <w:bidi w:val="0"/>
              <w:jc w:val="left"/>
              <w:outlineLvl w:val="9"/>
              <w:rPr>
                <w:rFonts w:ascii="宋体" w:hAnsi="宋体"/>
                <w:sz w:val="24"/>
                <w:u w:val="single"/>
              </w:rPr>
            </w:pPr>
            <w:r>
              <w:rPr>
                <w:rFonts w:hint="eastAsia" w:ascii="宋体" w:hAnsi="宋体"/>
                <w:sz w:val="24"/>
              </w:rPr>
              <w:sym w:font="Wingdings 2" w:char="00A3"/>
            </w:r>
            <w:r>
              <w:rPr>
                <w:rFonts w:hint="eastAsia" w:ascii="宋体" w:hAnsi="宋体"/>
                <w:sz w:val="24"/>
              </w:rPr>
              <w:t>不同意，原因：□1.成绩未达标</w:t>
            </w:r>
          </w:p>
          <w:p>
            <w:pPr>
              <w:pageBreakBefore w:val="0"/>
              <w:kinsoku/>
              <w:overflowPunct/>
              <w:topLinePunct w:val="0"/>
              <w:bidi w:val="0"/>
              <w:ind w:firstLine="1920" w:firstLineChars="800"/>
              <w:jc w:val="left"/>
              <w:outlineLvl w:val="9"/>
              <w:rPr>
                <w:rFonts w:ascii="宋体" w:hAnsi="宋体"/>
                <w:sz w:val="24"/>
                <w:u w:val="single"/>
              </w:rPr>
            </w:pPr>
            <w:r>
              <w:rPr>
                <w:rFonts w:hint="eastAsia" w:ascii="宋体" w:hAnsi="宋体"/>
                <w:sz w:val="24"/>
              </w:rPr>
              <w:t>□2.受到记过及以上纪律处分</w:t>
            </w:r>
          </w:p>
          <w:p>
            <w:pPr>
              <w:pageBreakBefore w:val="0"/>
              <w:kinsoku/>
              <w:overflowPunct/>
              <w:topLinePunct w:val="0"/>
              <w:bidi w:val="0"/>
              <w:ind w:firstLine="1920" w:firstLineChars="800"/>
              <w:jc w:val="left"/>
              <w:outlineLvl w:val="9"/>
              <w:rPr>
                <w:rFonts w:ascii="宋体" w:hAnsi="宋体"/>
                <w:sz w:val="24"/>
                <w:u w:val="single"/>
              </w:rPr>
            </w:pPr>
            <w:r>
              <w:rPr>
                <w:rFonts w:hint="eastAsia" w:ascii="宋体" w:hAnsi="宋体"/>
                <w:sz w:val="24"/>
              </w:rPr>
              <w:t>□3.其他原因：</w:t>
            </w:r>
            <w:r>
              <w:rPr>
                <w:rFonts w:hint="eastAsia" w:ascii="宋体" w:hAnsi="宋体"/>
                <w:sz w:val="24"/>
                <w:u w:val="single"/>
              </w:rPr>
              <w:t xml:space="preserve">                               </w:t>
            </w:r>
          </w:p>
          <w:p>
            <w:pPr>
              <w:pageBreakBefore w:val="0"/>
              <w:kinsoku/>
              <w:overflowPunct/>
              <w:topLinePunct w:val="0"/>
              <w:bidi w:val="0"/>
              <w:jc w:val="left"/>
              <w:outlineLvl w:val="9"/>
              <w:rPr>
                <w:rFonts w:ascii="宋体" w:hAnsi="宋体"/>
                <w:sz w:val="24"/>
                <w:u w:val="single"/>
              </w:rPr>
            </w:pPr>
            <w:r>
              <w:rPr>
                <w:rFonts w:hint="eastAsia" w:ascii="宋体" w:hAnsi="宋体"/>
                <w:sz w:val="24"/>
                <w:u w:val="single"/>
              </w:rPr>
              <w:t xml:space="preserve">                                                             </w:t>
            </w:r>
          </w:p>
          <w:p>
            <w:pPr>
              <w:pageBreakBefore w:val="0"/>
              <w:kinsoku/>
              <w:wordWrap w:val="0"/>
              <w:overflowPunct/>
              <w:topLinePunct w:val="0"/>
              <w:bidi w:val="0"/>
              <w:jc w:val="right"/>
              <w:outlineLvl w:val="9"/>
              <w:rPr>
                <w:rFonts w:ascii="宋体" w:hAnsi="宋体"/>
                <w:sz w:val="24"/>
              </w:rPr>
            </w:pPr>
            <w:r>
              <w:rPr>
                <w:rFonts w:hint="eastAsia" w:ascii="宋体" w:hAnsi="宋体"/>
                <w:sz w:val="24"/>
              </w:rPr>
              <w:t xml:space="preserve">二级学院领导签字：       二级学院盖章 </w:t>
            </w:r>
          </w:p>
          <w:p>
            <w:pPr>
              <w:pageBreakBefore w:val="0"/>
              <w:kinsoku/>
              <w:wordWrap w:val="0"/>
              <w:overflowPunct/>
              <w:topLinePunct w:val="0"/>
              <w:bidi w:val="0"/>
              <w:jc w:val="right"/>
              <w:outlineLvl w:val="9"/>
              <w:rPr>
                <w:rFonts w:ascii="宋体" w:hAnsi="宋体"/>
                <w:sz w:val="24"/>
              </w:rPr>
            </w:pPr>
            <w:r>
              <w:rPr>
                <w:rFonts w:hint="eastAsia" w:ascii="宋体" w:hAnsi="宋体"/>
                <w:sz w:val="24"/>
              </w:rPr>
              <w:t xml:space="preserve">  </w:t>
            </w:r>
          </w:p>
          <w:p>
            <w:pPr>
              <w:pageBreakBefore w:val="0"/>
              <w:kinsoku/>
              <w:overflowPunct/>
              <w:topLinePunct w:val="0"/>
              <w:bidi w:val="0"/>
              <w:ind w:firstLine="5760" w:firstLineChars="2400"/>
              <w:outlineLvl w:val="9"/>
              <w:rPr>
                <w:rFonts w:ascii="宋体" w:hAnsi="宋体"/>
                <w:sz w:val="24"/>
              </w:rPr>
            </w:pPr>
            <w:r>
              <w:rPr>
                <w:rFonts w:hint="eastAsia" w:ascii="宋体" w:hAnsi="宋体"/>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54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招生就业处</w:t>
            </w:r>
          </w:p>
          <w:p>
            <w:pPr>
              <w:pageBreakBefore w:val="0"/>
              <w:kinsoku/>
              <w:overflowPunct/>
              <w:topLinePunct w:val="0"/>
              <w:bidi w:val="0"/>
              <w:jc w:val="center"/>
              <w:outlineLvl w:val="9"/>
              <w:rPr>
                <w:rFonts w:ascii="宋体" w:hAnsi="宋体"/>
                <w:sz w:val="24"/>
              </w:rPr>
            </w:pPr>
            <w:r>
              <w:rPr>
                <w:rFonts w:hint="eastAsia" w:ascii="宋体" w:hAnsi="宋体"/>
                <w:sz w:val="24"/>
              </w:rPr>
              <w:t>审核</w:t>
            </w:r>
          </w:p>
        </w:tc>
        <w:tc>
          <w:tcPr>
            <w:tcW w:w="7891" w:type="dxa"/>
            <w:gridSpan w:val="8"/>
            <w:vAlign w:val="center"/>
          </w:tcPr>
          <w:p>
            <w:pPr>
              <w:pageBreakBefore w:val="0"/>
              <w:kinsoku/>
              <w:overflowPunct/>
              <w:topLinePunct w:val="0"/>
              <w:bidi w:val="0"/>
              <w:outlineLvl w:val="9"/>
              <w:rPr>
                <w:rFonts w:ascii="宋体" w:hAnsi="宋体"/>
                <w:b/>
                <w:bCs/>
                <w:sz w:val="24"/>
              </w:rPr>
            </w:pPr>
            <w:r>
              <w:rPr>
                <w:rFonts w:hint="eastAsia" w:ascii="宋体" w:hAnsi="宋体"/>
                <w:b/>
                <w:bCs/>
                <w:sz w:val="24"/>
              </w:rPr>
              <w:t>一、学生录取信息：</w:t>
            </w:r>
          </w:p>
          <w:p>
            <w:pPr>
              <w:pageBreakBefore w:val="0"/>
              <w:kinsoku/>
              <w:overflowPunct/>
              <w:topLinePunct w:val="0"/>
              <w:bidi w:val="0"/>
              <w:outlineLvl w:val="9"/>
              <w:rPr>
                <w:rFonts w:ascii="宋体" w:hAnsi="宋体"/>
                <w:sz w:val="24"/>
              </w:rPr>
            </w:pPr>
            <w:r>
              <w:rPr>
                <w:rFonts w:hint="eastAsia" w:ascii="宋体" w:hAnsi="宋体"/>
                <w:sz w:val="24"/>
              </w:rPr>
              <w:t>1.招生类别：□普高  □单招  □对口  □其他</w:t>
            </w:r>
          </w:p>
          <w:p>
            <w:pPr>
              <w:pageBreakBefore w:val="0"/>
              <w:kinsoku/>
              <w:overflowPunct/>
              <w:topLinePunct w:val="0"/>
              <w:bidi w:val="0"/>
              <w:outlineLvl w:val="9"/>
              <w:rPr>
                <w:rFonts w:ascii="宋体" w:hAnsi="宋体"/>
                <w:sz w:val="24"/>
              </w:rPr>
            </w:pPr>
            <w:r>
              <w:rPr>
                <w:rFonts w:hint="eastAsia" w:ascii="宋体" w:hAnsi="宋体"/>
                <w:sz w:val="24"/>
              </w:rPr>
              <w:t>2.考生类别：□文史类  □理工类  □艺术文</w:t>
            </w:r>
          </w:p>
          <w:p>
            <w:pPr>
              <w:pageBreakBefore w:val="0"/>
              <w:kinsoku/>
              <w:overflowPunct/>
              <w:topLinePunct w:val="0"/>
              <w:bidi w:val="0"/>
              <w:ind w:firstLine="1440" w:firstLineChars="600"/>
              <w:outlineLvl w:val="9"/>
              <w:rPr>
                <w:rFonts w:ascii="宋体" w:hAnsi="宋体"/>
                <w:sz w:val="24"/>
              </w:rPr>
            </w:pPr>
            <w:r>
              <w:rPr>
                <w:rFonts w:hint="eastAsia" w:ascii="宋体" w:hAnsi="宋体"/>
                <w:sz w:val="24"/>
              </w:rPr>
              <w:t>□艺术理  □体育类  □其他</w:t>
            </w:r>
          </w:p>
          <w:p>
            <w:pPr>
              <w:pageBreakBefore w:val="0"/>
              <w:kinsoku/>
              <w:overflowPunct/>
              <w:topLinePunct w:val="0"/>
              <w:bidi w:val="0"/>
              <w:outlineLvl w:val="9"/>
              <w:rPr>
                <w:rFonts w:ascii="宋体" w:hAnsi="宋体"/>
                <w:sz w:val="24"/>
              </w:rPr>
            </w:pPr>
            <w:r>
              <w:rPr>
                <w:rFonts w:hint="eastAsia" w:ascii="宋体" w:hAnsi="宋体"/>
                <w:sz w:val="24"/>
              </w:rPr>
              <w:t>3.是否符合转入专业身体要求：□符合    □不符合</w:t>
            </w:r>
          </w:p>
          <w:p>
            <w:pPr>
              <w:pageBreakBefore w:val="0"/>
              <w:kinsoku/>
              <w:overflowPunct/>
              <w:topLinePunct w:val="0"/>
              <w:bidi w:val="0"/>
              <w:outlineLvl w:val="9"/>
              <w:rPr>
                <w:rFonts w:ascii="宋体" w:hAnsi="宋体"/>
                <w:b/>
                <w:bCs/>
                <w:sz w:val="24"/>
              </w:rPr>
            </w:pPr>
            <w:r>
              <w:rPr>
                <w:rFonts w:hint="eastAsia" w:ascii="宋体" w:hAnsi="宋体"/>
                <w:b/>
                <w:bCs/>
                <w:sz w:val="24"/>
              </w:rPr>
              <w:t>二、录取信息审核结果：</w:t>
            </w:r>
          </w:p>
          <w:p>
            <w:pPr>
              <w:pageBreakBefore w:val="0"/>
              <w:kinsoku/>
              <w:overflowPunct/>
              <w:topLinePunct w:val="0"/>
              <w:bidi w:val="0"/>
              <w:outlineLvl w:val="9"/>
              <w:rPr>
                <w:rFonts w:ascii="宋体" w:hAnsi="宋体"/>
                <w:sz w:val="24"/>
              </w:rPr>
            </w:pPr>
            <w:r>
              <w:rPr>
                <w:rFonts w:hint="eastAsia" w:ascii="宋体" w:hAnsi="宋体"/>
                <w:sz w:val="24"/>
              </w:rPr>
              <w:t>是否符合转专业条件：□符合    □不符合</w:t>
            </w:r>
          </w:p>
          <w:p>
            <w:pPr>
              <w:pageBreakBefore w:val="0"/>
              <w:kinsoku/>
              <w:overflowPunct/>
              <w:topLinePunct w:val="0"/>
              <w:bidi w:val="0"/>
              <w:ind w:firstLine="3000" w:firstLineChars="1250"/>
              <w:outlineLvl w:val="9"/>
              <w:rPr>
                <w:rFonts w:ascii="宋体" w:hAnsi="宋体"/>
                <w:sz w:val="24"/>
              </w:rPr>
            </w:pPr>
            <w:r>
              <w:rPr>
                <w:rFonts w:hint="eastAsia" w:ascii="宋体" w:hAnsi="宋体"/>
                <w:sz w:val="24"/>
              </w:rPr>
              <w:t>负责人签字：          部门盖章：</w:t>
            </w:r>
          </w:p>
          <w:p>
            <w:pPr>
              <w:pageBreakBefore w:val="0"/>
              <w:kinsoku/>
              <w:overflowPunct/>
              <w:topLinePunct w:val="0"/>
              <w:bidi w:val="0"/>
              <w:ind w:firstLine="3000" w:firstLineChars="1250"/>
              <w:outlineLvl w:val="9"/>
              <w:rPr>
                <w:rFonts w:ascii="宋体" w:hAnsi="宋体"/>
                <w:sz w:val="24"/>
              </w:rPr>
            </w:pPr>
          </w:p>
          <w:p>
            <w:pPr>
              <w:pageBreakBefore w:val="0"/>
              <w:kinsoku/>
              <w:overflowPunct/>
              <w:topLinePunct w:val="0"/>
              <w:bidi w:val="0"/>
              <w:jc w:val="center"/>
              <w:outlineLvl w:val="9"/>
              <w:rPr>
                <w:rFonts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0" w:hRule="atLeast"/>
          <w:jc w:val="center"/>
        </w:trPr>
        <w:tc>
          <w:tcPr>
            <w:tcW w:w="154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转入二级学院意见</w:t>
            </w:r>
          </w:p>
        </w:tc>
        <w:tc>
          <w:tcPr>
            <w:tcW w:w="7891" w:type="dxa"/>
            <w:gridSpan w:val="8"/>
            <w:vAlign w:val="center"/>
          </w:tcPr>
          <w:p>
            <w:pPr>
              <w:pageBreakBefore w:val="0"/>
              <w:kinsoku/>
              <w:overflowPunct/>
              <w:topLinePunct w:val="0"/>
              <w:bidi w:val="0"/>
              <w:outlineLvl w:val="9"/>
              <w:rPr>
                <w:rFonts w:ascii="宋体" w:hAnsi="宋体"/>
                <w:sz w:val="24"/>
              </w:rPr>
            </w:pPr>
          </w:p>
          <w:p>
            <w:pPr>
              <w:pageBreakBefore w:val="0"/>
              <w:kinsoku/>
              <w:overflowPunct/>
              <w:topLinePunct w:val="0"/>
              <w:bidi w:val="0"/>
              <w:outlineLvl w:val="9"/>
              <w:rPr>
                <w:rFonts w:ascii="宋体" w:hAnsi="宋体"/>
                <w:sz w:val="24"/>
              </w:rPr>
            </w:pPr>
            <w:r>
              <w:rPr>
                <w:rFonts w:hint="eastAsia" w:ascii="宋体" w:hAnsi="宋体"/>
                <w:sz w:val="24"/>
              </w:rPr>
              <w:t>□同意该生转入</w:t>
            </w:r>
            <w:r>
              <w:rPr>
                <w:rFonts w:hint="eastAsia" w:ascii="宋体" w:hAnsi="宋体"/>
                <w:sz w:val="24"/>
                <w:u w:val="single"/>
              </w:rPr>
              <w:t xml:space="preserve">                        </w:t>
            </w:r>
            <w:r>
              <w:rPr>
                <w:rFonts w:hint="eastAsia" w:ascii="宋体" w:hAnsi="宋体"/>
                <w:sz w:val="24"/>
              </w:rPr>
              <w:t>专业</w:t>
            </w:r>
            <w:r>
              <w:rPr>
                <w:rFonts w:hint="eastAsia" w:ascii="宋体" w:hAnsi="宋体"/>
                <w:sz w:val="24"/>
                <w:u w:val="single"/>
              </w:rPr>
              <w:t xml:space="preserve">           </w:t>
            </w:r>
            <w:r>
              <w:rPr>
                <w:rFonts w:hint="eastAsia" w:ascii="宋体" w:hAnsi="宋体"/>
                <w:sz w:val="24"/>
              </w:rPr>
              <w:t>班级就读</w:t>
            </w:r>
          </w:p>
          <w:p>
            <w:pPr>
              <w:pageBreakBefore w:val="0"/>
              <w:kinsoku/>
              <w:overflowPunct/>
              <w:topLinePunct w:val="0"/>
              <w:bidi w:val="0"/>
              <w:jc w:val="left"/>
              <w:outlineLvl w:val="9"/>
              <w:rPr>
                <w:rFonts w:ascii="宋体" w:hAnsi="宋体"/>
                <w:sz w:val="24"/>
              </w:rPr>
            </w:pPr>
            <w:r>
              <w:rPr>
                <w:rFonts w:hint="eastAsia" w:ascii="宋体" w:hAnsi="宋体"/>
                <w:sz w:val="24"/>
              </w:rPr>
              <w:t>□不同意，原因：□1.转入专业名额已满</w:t>
            </w:r>
          </w:p>
          <w:p>
            <w:pPr>
              <w:pageBreakBefore w:val="0"/>
              <w:kinsoku/>
              <w:overflowPunct/>
              <w:topLinePunct w:val="0"/>
              <w:bidi w:val="0"/>
              <w:ind w:firstLine="1920" w:firstLineChars="800"/>
              <w:jc w:val="left"/>
              <w:outlineLvl w:val="9"/>
              <w:rPr>
                <w:rFonts w:ascii="宋体" w:hAnsi="宋体"/>
                <w:sz w:val="24"/>
              </w:rPr>
            </w:pPr>
            <w:r>
              <w:rPr>
                <w:rFonts w:hint="eastAsia" w:ascii="宋体" w:hAnsi="宋体"/>
                <w:sz w:val="24"/>
              </w:rPr>
              <w:t>□2.身体原因未达到转入专业要求</w:t>
            </w:r>
          </w:p>
          <w:p>
            <w:pPr>
              <w:pageBreakBefore w:val="0"/>
              <w:kinsoku/>
              <w:overflowPunct/>
              <w:topLinePunct w:val="0"/>
              <w:bidi w:val="0"/>
              <w:ind w:firstLine="1920" w:firstLineChars="800"/>
              <w:jc w:val="left"/>
              <w:outlineLvl w:val="9"/>
              <w:rPr>
                <w:rFonts w:ascii="宋体" w:hAnsi="宋体"/>
                <w:sz w:val="24"/>
                <w:u w:val="single"/>
              </w:rPr>
            </w:pPr>
            <w:r>
              <w:rPr>
                <w:rFonts w:hint="eastAsia" w:ascii="宋体" w:hAnsi="宋体"/>
                <w:sz w:val="24"/>
              </w:rPr>
              <w:t>□3.其他原因：</w:t>
            </w:r>
            <w:r>
              <w:rPr>
                <w:rFonts w:hint="eastAsia" w:ascii="宋体" w:hAnsi="宋体"/>
                <w:sz w:val="24"/>
                <w:u w:val="single"/>
              </w:rPr>
              <w:t xml:space="preserve">                                </w:t>
            </w:r>
          </w:p>
          <w:p>
            <w:pPr>
              <w:pageBreakBefore w:val="0"/>
              <w:kinsoku/>
              <w:overflowPunct/>
              <w:topLinePunct w:val="0"/>
              <w:bidi w:val="0"/>
              <w:jc w:val="left"/>
              <w:outlineLvl w:val="9"/>
              <w:rPr>
                <w:rFonts w:ascii="宋体" w:hAnsi="宋体"/>
                <w:sz w:val="24"/>
                <w:u w:val="single"/>
              </w:rPr>
            </w:pPr>
            <w:r>
              <w:rPr>
                <w:rFonts w:hint="eastAsia" w:ascii="宋体" w:hAnsi="宋体"/>
                <w:sz w:val="24"/>
                <w:u w:val="single"/>
              </w:rPr>
              <w:t xml:space="preserve">                                                              </w:t>
            </w:r>
          </w:p>
          <w:p>
            <w:pPr>
              <w:pageBreakBefore w:val="0"/>
              <w:kinsoku/>
              <w:overflowPunct/>
              <w:topLinePunct w:val="0"/>
              <w:bidi w:val="0"/>
              <w:jc w:val="left"/>
              <w:outlineLvl w:val="9"/>
              <w:rPr>
                <w:rFonts w:ascii="宋体" w:hAnsi="宋体"/>
                <w:sz w:val="24"/>
                <w:u w:val="single"/>
              </w:rPr>
            </w:pPr>
          </w:p>
          <w:p>
            <w:pPr>
              <w:pageBreakBefore w:val="0"/>
              <w:kinsoku/>
              <w:overflowPunct/>
              <w:topLinePunct w:val="0"/>
              <w:bidi w:val="0"/>
              <w:jc w:val="center"/>
              <w:outlineLvl w:val="9"/>
              <w:rPr>
                <w:rFonts w:ascii="宋体" w:hAnsi="宋体"/>
                <w:sz w:val="24"/>
              </w:rPr>
            </w:pPr>
            <w:r>
              <w:rPr>
                <w:rFonts w:hint="eastAsia" w:ascii="宋体" w:hAnsi="宋体"/>
                <w:sz w:val="24"/>
              </w:rPr>
              <w:t xml:space="preserve">         二级学院领导签字：           二级学院盖章：</w:t>
            </w:r>
          </w:p>
          <w:p>
            <w:pPr>
              <w:pageBreakBefore w:val="0"/>
              <w:kinsoku/>
              <w:overflowPunct/>
              <w:topLinePunct w:val="0"/>
              <w:bidi w:val="0"/>
              <w:jc w:val="center"/>
              <w:outlineLvl w:val="9"/>
              <w:rPr>
                <w:rFonts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4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教务与实训管理处复核</w:t>
            </w:r>
          </w:p>
        </w:tc>
        <w:tc>
          <w:tcPr>
            <w:tcW w:w="7891" w:type="dxa"/>
            <w:gridSpan w:val="8"/>
            <w:vAlign w:val="center"/>
          </w:tcPr>
          <w:p>
            <w:pPr>
              <w:pageBreakBefore w:val="0"/>
              <w:kinsoku/>
              <w:overflowPunct/>
              <w:topLinePunct w:val="0"/>
              <w:bidi w:val="0"/>
              <w:outlineLvl w:val="9"/>
              <w:rPr>
                <w:rFonts w:ascii="宋体" w:hAnsi="宋体"/>
                <w:sz w:val="24"/>
              </w:rPr>
            </w:pPr>
          </w:p>
          <w:p>
            <w:pPr>
              <w:pageBreakBefore w:val="0"/>
              <w:kinsoku/>
              <w:overflowPunct/>
              <w:topLinePunct w:val="0"/>
              <w:bidi w:val="0"/>
              <w:outlineLvl w:val="9"/>
              <w:rPr>
                <w:rFonts w:ascii="宋体" w:hAnsi="宋体"/>
                <w:sz w:val="24"/>
              </w:rPr>
            </w:pPr>
            <w:r>
              <w:rPr>
                <w:rFonts w:hint="eastAsia" w:ascii="宋体" w:hAnsi="宋体"/>
                <w:sz w:val="24"/>
              </w:rPr>
              <w:t xml:space="preserve">□同意    □不同意 </w:t>
            </w:r>
          </w:p>
          <w:p>
            <w:pPr>
              <w:pageBreakBefore w:val="0"/>
              <w:kinsoku/>
              <w:overflowPunct/>
              <w:topLinePunct w:val="0"/>
              <w:bidi w:val="0"/>
              <w:ind w:firstLine="2280" w:firstLineChars="950"/>
              <w:outlineLvl w:val="9"/>
              <w:rPr>
                <w:rFonts w:ascii="宋体" w:hAnsi="宋体"/>
                <w:sz w:val="24"/>
              </w:rPr>
            </w:pPr>
          </w:p>
          <w:p>
            <w:pPr>
              <w:pageBreakBefore w:val="0"/>
              <w:kinsoku/>
              <w:overflowPunct/>
              <w:topLinePunct w:val="0"/>
              <w:bidi w:val="0"/>
              <w:ind w:firstLine="3000" w:firstLineChars="1250"/>
              <w:outlineLvl w:val="9"/>
              <w:rPr>
                <w:rFonts w:ascii="宋体" w:hAnsi="宋体"/>
                <w:sz w:val="24"/>
              </w:rPr>
            </w:pPr>
            <w:r>
              <w:rPr>
                <w:rFonts w:hint="eastAsia" w:ascii="宋体" w:hAnsi="宋体"/>
                <w:sz w:val="24"/>
              </w:rPr>
              <w:t>负责人签字：         部门盖章：</w:t>
            </w:r>
          </w:p>
          <w:p>
            <w:pPr>
              <w:pageBreakBefore w:val="0"/>
              <w:kinsoku/>
              <w:overflowPunct/>
              <w:topLinePunct w:val="0"/>
              <w:bidi w:val="0"/>
              <w:jc w:val="center"/>
              <w:outlineLvl w:val="9"/>
              <w:rPr>
                <w:rFonts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43" w:type="dxa"/>
            <w:vAlign w:val="center"/>
          </w:tcPr>
          <w:p>
            <w:pPr>
              <w:pageBreakBefore w:val="0"/>
              <w:kinsoku/>
              <w:overflowPunct/>
              <w:topLinePunct w:val="0"/>
              <w:bidi w:val="0"/>
              <w:jc w:val="center"/>
              <w:outlineLvl w:val="9"/>
              <w:rPr>
                <w:rFonts w:ascii="宋体" w:hAnsi="宋体"/>
                <w:sz w:val="24"/>
              </w:rPr>
            </w:pPr>
            <w:r>
              <w:rPr>
                <w:rFonts w:hint="eastAsia" w:ascii="宋体" w:hAnsi="宋体"/>
                <w:sz w:val="24"/>
              </w:rPr>
              <w:t>学校审批</w:t>
            </w:r>
          </w:p>
        </w:tc>
        <w:tc>
          <w:tcPr>
            <w:tcW w:w="7891" w:type="dxa"/>
            <w:gridSpan w:val="8"/>
            <w:vAlign w:val="center"/>
          </w:tcPr>
          <w:p>
            <w:pPr>
              <w:pageBreakBefore w:val="0"/>
              <w:kinsoku/>
              <w:overflowPunct/>
              <w:topLinePunct w:val="0"/>
              <w:bidi w:val="0"/>
              <w:ind w:firstLine="600" w:firstLineChars="250"/>
              <w:jc w:val="left"/>
              <w:outlineLvl w:val="9"/>
              <w:rPr>
                <w:rFonts w:ascii="宋体" w:hAnsi="宋体"/>
                <w:sz w:val="24"/>
              </w:rPr>
            </w:pPr>
          </w:p>
          <w:p>
            <w:pPr>
              <w:pageBreakBefore w:val="0"/>
              <w:kinsoku/>
              <w:overflowPunct/>
              <w:topLinePunct w:val="0"/>
              <w:bidi w:val="0"/>
              <w:jc w:val="left"/>
              <w:outlineLvl w:val="9"/>
              <w:rPr>
                <w:rFonts w:ascii="宋体" w:hAnsi="宋体"/>
                <w:sz w:val="24"/>
              </w:rPr>
            </w:pPr>
            <w:r>
              <w:rPr>
                <w:rFonts w:hint="eastAsia" w:ascii="宋体" w:hAnsi="宋体"/>
                <w:sz w:val="24"/>
              </w:rPr>
              <w:t xml:space="preserve">□同意    □不同意             </w:t>
            </w:r>
          </w:p>
          <w:p>
            <w:pPr>
              <w:pageBreakBefore w:val="0"/>
              <w:kinsoku/>
              <w:overflowPunct/>
              <w:topLinePunct w:val="0"/>
              <w:bidi w:val="0"/>
              <w:ind w:firstLine="600" w:firstLineChars="250"/>
              <w:jc w:val="left"/>
              <w:outlineLvl w:val="9"/>
              <w:rPr>
                <w:rFonts w:ascii="宋体" w:hAnsi="宋体"/>
                <w:sz w:val="24"/>
              </w:rPr>
            </w:pPr>
            <w:r>
              <w:rPr>
                <w:rFonts w:hint="eastAsia" w:ascii="宋体" w:hAnsi="宋体"/>
                <w:sz w:val="24"/>
              </w:rPr>
              <w:t xml:space="preserve">      </w:t>
            </w:r>
          </w:p>
          <w:p>
            <w:pPr>
              <w:pageBreakBefore w:val="0"/>
              <w:kinsoku/>
              <w:overflowPunct/>
              <w:topLinePunct w:val="0"/>
              <w:bidi w:val="0"/>
              <w:ind w:firstLine="5520" w:firstLineChars="2300"/>
              <w:jc w:val="left"/>
              <w:outlineLvl w:val="9"/>
              <w:rPr>
                <w:rFonts w:ascii="宋体" w:hAnsi="宋体"/>
                <w:sz w:val="24"/>
              </w:rPr>
            </w:pPr>
            <w:r>
              <w:rPr>
                <w:rFonts w:hint="eastAsia" w:ascii="宋体" w:hAnsi="宋体"/>
                <w:sz w:val="24"/>
              </w:rPr>
              <w:t>学校盖章：</w:t>
            </w:r>
          </w:p>
          <w:p>
            <w:pPr>
              <w:pageBreakBefore w:val="0"/>
              <w:kinsoku/>
              <w:overflowPunct/>
              <w:topLinePunct w:val="0"/>
              <w:bidi w:val="0"/>
              <w:jc w:val="center"/>
              <w:outlineLvl w:val="9"/>
              <w:rPr>
                <w:rFonts w:ascii="宋体" w:hAnsi="宋体"/>
                <w:sz w:val="24"/>
              </w:rPr>
            </w:pPr>
            <w:r>
              <w:rPr>
                <w:rFonts w:hint="eastAsia" w:ascii="宋体" w:hAnsi="宋体"/>
                <w:sz w:val="24"/>
              </w:rPr>
              <w:t xml:space="preserve">                                               年    月    日</w:t>
            </w:r>
          </w:p>
        </w:tc>
      </w:tr>
    </w:tbl>
    <w:p>
      <w:pPr>
        <w:pageBreakBefore w:val="0"/>
        <w:kinsoku/>
        <w:overflowPunct/>
        <w:topLinePunct w:val="0"/>
        <w:bidi w:val="0"/>
        <w:spacing w:line="560" w:lineRule="exact"/>
        <w:outlineLvl w:val="9"/>
        <w:rPr>
          <w:rFonts w:ascii="宋体" w:hAnsi="宋体"/>
          <w:spacing w:val="-8"/>
          <w:szCs w:val="28"/>
        </w:rPr>
      </w:pPr>
    </w:p>
    <w:p>
      <w:pPr>
        <w:pageBreakBefore w:val="0"/>
        <w:widowControl/>
        <w:kinsoku/>
        <w:overflowPunct/>
        <w:topLinePunct w:val="0"/>
        <w:bidi w:val="0"/>
        <w:jc w:val="left"/>
        <w:outlineLvl w:val="9"/>
        <w:rPr>
          <w:rFonts w:ascii="仿宋_GB2312" w:eastAsia="仿宋_GB2312"/>
          <w:bCs/>
          <w:sz w:val="32"/>
          <w:szCs w:val="32"/>
        </w:rPr>
      </w:pPr>
      <w:r>
        <w:rPr>
          <w:rFonts w:ascii="仿宋_GB2312" w:eastAsia="仿宋_GB2312"/>
          <w:bCs/>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318" w:name="_Toc24703"/>
      <w:bookmarkStart w:id="319" w:name="_Toc534377804"/>
      <w:bookmarkStart w:id="320" w:name="_Toc7542"/>
      <w:bookmarkStart w:id="321" w:name="_Toc3129"/>
      <w:bookmarkStart w:id="322" w:name="_Toc13959_WPSOffice_Level1"/>
      <w:bookmarkStart w:id="323" w:name="_Toc14636"/>
      <w:r>
        <w:rPr>
          <w:rFonts w:hint="eastAsia"/>
          <w:b/>
          <w:color w:val="000000"/>
          <w:sz w:val="36"/>
          <w:szCs w:val="36"/>
        </w:rPr>
        <w:t>柳州职业技术学院学生宿舍空调使用管理规定（试行）</w:t>
      </w:r>
      <w:bookmarkEnd w:id="318"/>
      <w:bookmarkEnd w:id="319"/>
      <w:bookmarkEnd w:id="320"/>
      <w:bookmarkEnd w:id="321"/>
      <w:bookmarkEnd w:id="322"/>
      <w:bookmarkEnd w:id="323"/>
    </w:p>
    <w:p>
      <w:pPr>
        <w:pStyle w:val="10"/>
        <w:pageBreakBefore w:val="0"/>
        <w:kinsoku/>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（柳职院学字〔2017〕14号）</w:t>
      </w:r>
    </w:p>
    <w:p>
      <w:pPr>
        <w:pageBreakBefore w:val="0"/>
        <w:kinsoku/>
        <w:overflowPunct/>
        <w:topLinePunct w:val="0"/>
        <w:autoSpaceDE w:val="0"/>
        <w:autoSpaceDN w:val="0"/>
        <w:bidi w:val="0"/>
        <w:adjustRightInd w:val="0"/>
        <w:spacing w:line="500" w:lineRule="exact"/>
        <w:jc w:val="center"/>
        <w:outlineLvl w:val="9"/>
        <w:rPr>
          <w:rFonts w:ascii="仿宋_GB2312" w:eastAsia="仿宋_GB2312"/>
          <w:b/>
          <w:color w:val="000000"/>
          <w:lang w:val="zh-CN"/>
        </w:rPr>
      </w:pPr>
    </w:p>
    <w:p>
      <w:pPr>
        <w:pageBreakBefore w:val="0"/>
        <w:kinsoku/>
        <w:overflowPunct/>
        <w:topLinePunct w:val="0"/>
        <w:autoSpaceDE w:val="0"/>
        <w:autoSpaceDN w:val="0"/>
        <w:bidi w:val="0"/>
        <w:adjustRightInd w:val="0"/>
        <w:spacing w:line="500" w:lineRule="exact"/>
        <w:jc w:val="left"/>
        <w:outlineLvl w:val="9"/>
        <w:rPr>
          <w:rFonts w:ascii="仿宋_GB2312" w:eastAsia="仿宋_GB2312"/>
          <w:b/>
          <w:kern w:val="0"/>
          <w:sz w:val="32"/>
          <w:szCs w:val="32"/>
          <w:lang w:val="zh-CN"/>
        </w:rPr>
      </w:pPr>
      <w:r>
        <w:rPr>
          <w:rFonts w:ascii="仿宋_GB2312" w:eastAsia="仿宋_GB2312"/>
          <w:kern w:val="0"/>
          <w:sz w:val="32"/>
          <w:szCs w:val="32"/>
          <w:lang w:val="zh-CN"/>
        </w:rPr>
        <w:t xml:space="preserve">    </w:t>
      </w:r>
      <w:bookmarkStart w:id="324" w:name="_Toc25008_WPSOffice_Level1"/>
      <w:r>
        <w:rPr>
          <w:rFonts w:ascii="仿宋_GB2312" w:eastAsia="仿宋_GB2312"/>
          <w:kern w:val="0"/>
          <w:sz w:val="32"/>
          <w:szCs w:val="32"/>
          <w:lang w:val="zh-CN"/>
        </w:rPr>
        <w:t>一、</w:t>
      </w:r>
      <w:r>
        <w:rPr>
          <w:rFonts w:ascii="仿宋_GB2312" w:eastAsia="仿宋_GB2312"/>
          <w:b/>
          <w:kern w:val="0"/>
          <w:sz w:val="32"/>
          <w:szCs w:val="32"/>
          <w:lang w:val="zh-CN"/>
        </w:rPr>
        <w:t>总则</w:t>
      </w:r>
      <w:bookmarkEnd w:id="324"/>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1.为进一步改善学生学习和生活条件，方便学生正确、安全、科学地使用空调，本着“以人为本，安全使用、节能减排”的原则，特制订本管理规定。</w:t>
      </w:r>
    </w:p>
    <w:p>
      <w:pPr>
        <w:pageBreakBefore w:val="0"/>
        <w:kinsoku/>
        <w:overflowPunct/>
        <w:topLinePunct w:val="0"/>
        <w:autoSpaceDE w:val="0"/>
        <w:autoSpaceDN w:val="0"/>
        <w:bidi w:val="0"/>
        <w:adjustRightInd w:val="0"/>
        <w:spacing w:line="500" w:lineRule="exact"/>
        <w:outlineLvl w:val="9"/>
        <w:rPr>
          <w:rFonts w:ascii="仿宋_GB2312" w:eastAsia="仿宋_GB2312"/>
          <w:kern w:val="0"/>
          <w:sz w:val="32"/>
          <w:szCs w:val="32"/>
          <w:lang w:val="zh-CN"/>
        </w:rPr>
      </w:pPr>
      <w:r>
        <w:rPr>
          <w:rFonts w:ascii="仿宋_GB2312" w:eastAsia="仿宋_GB2312"/>
          <w:kern w:val="0"/>
          <w:sz w:val="32"/>
          <w:szCs w:val="32"/>
          <w:lang w:val="zh-CN"/>
        </w:rPr>
        <w:t xml:space="preserve">   2.本规定适用范围于学校安装空调的所有学生宿舍。</w:t>
      </w:r>
    </w:p>
    <w:p>
      <w:pPr>
        <w:pageBreakBefore w:val="0"/>
        <w:kinsoku/>
        <w:overflowPunct/>
        <w:topLinePunct w:val="0"/>
        <w:autoSpaceDE w:val="0"/>
        <w:autoSpaceDN w:val="0"/>
        <w:bidi w:val="0"/>
        <w:adjustRightInd w:val="0"/>
        <w:spacing w:line="500" w:lineRule="exact"/>
        <w:outlineLvl w:val="9"/>
        <w:rPr>
          <w:rFonts w:ascii="仿宋_GB2312" w:eastAsia="仿宋_GB2312"/>
          <w:kern w:val="0"/>
          <w:sz w:val="32"/>
          <w:szCs w:val="32"/>
          <w:lang w:val="zh-CN"/>
        </w:rPr>
      </w:pPr>
      <w:r>
        <w:rPr>
          <w:rFonts w:ascii="仿宋_GB2312" w:eastAsia="仿宋_GB2312"/>
          <w:kern w:val="0"/>
          <w:sz w:val="32"/>
          <w:szCs w:val="32"/>
          <w:lang w:val="zh-CN"/>
        </w:rPr>
        <w:t xml:space="preserve">   3.本规定所指空调设备，包含学生宿舍分体空调机（室内机、室外机及附件）、遥控器。</w:t>
      </w:r>
    </w:p>
    <w:p>
      <w:pPr>
        <w:pageBreakBefore w:val="0"/>
        <w:kinsoku/>
        <w:overflowPunct/>
        <w:topLinePunct w:val="0"/>
        <w:autoSpaceDE w:val="0"/>
        <w:autoSpaceDN w:val="0"/>
        <w:bidi w:val="0"/>
        <w:adjustRightInd w:val="0"/>
        <w:spacing w:line="500" w:lineRule="exact"/>
        <w:ind w:left="-2" w:firstLine="480"/>
        <w:outlineLvl w:val="9"/>
        <w:rPr>
          <w:rFonts w:ascii="仿宋_GB2312" w:eastAsia="仿宋_GB2312"/>
          <w:b/>
          <w:kern w:val="0"/>
          <w:sz w:val="32"/>
          <w:szCs w:val="32"/>
          <w:lang w:val="zh-CN"/>
        </w:rPr>
      </w:pPr>
      <w:bookmarkStart w:id="325" w:name="_Toc19146_WPSOffice_Level1"/>
      <w:r>
        <w:rPr>
          <w:rFonts w:ascii="仿宋_GB2312" w:eastAsia="仿宋_GB2312"/>
          <w:b/>
          <w:kern w:val="0"/>
          <w:sz w:val="32"/>
          <w:szCs w:val="32"/>
          <w:lang w:val="zh-CN"/>
        </w:rPr>
        <w:t>二、收费管</w:t>
      </w:r>
      <w:r>
        <w:rPr>
          <w:rFonts w:ascii="仿宋_GB2312" w:eastAsia="仿宋_GB2312"/>
          <w:b/>
          <w:color w:val="000000"/>
          <w:kern w:val="0"/>
          <w:sz w:val="32"/>
          <w:szCs w:val="32"/>
          <w:lang w:val="zh-CN"/>
        </w:rPr>
        <w:t>理</w:t>
      </w:r>
      <w:bookmarkEnd w:id="325"/>
    </w:p>
    <w:p>
      <w:pPr>
        <w:pageBreakBefore w:val="0"/>
        <w:kinsoku/>
        <w:overflowPunct/>
        <w:topLinePunct w:val="0"/>
        <w:autoSpaceDE w:val="0"/>
        <w:autoSpaceDN w:val="0"/>
        <w:bidi w:val="0"/>
        <w:adjustRightInd w:val="0"/>
        <w:spacing w:line="500" w:lineRule="exact"/>
        <w:ind w:firstLine="480"/>
        <w:outlineLvl w:val="9"/>
        <w:rPr>
          <w:rFonts w:ascii="仿宋_GB2312" w:eastAsia="仿宋_GB2312"/>
          <w:color w:val="000000"/>
          <w:sz w:val="32"/>
          <w:szCs w:val="32"/>
          <w:lang w:val="zh-CN"/>
        </w:rPr>
      </w:pPr>
      <w:r>
        <w:rPr>
          <w:rFonts w:ascii="仿宋_GB2312" w:eastAsia="仿宋_GB2312"/>
          <w:kern w:val="0"/>
          <w:sz w:val="32"/>
          <w:szCs w:val="32"/>
          <w:lang w:val="zh-CN"/>
        </w:rPr>
        <w:t>1.</w:t>
      </w:r>
      <w:r>
        <w:rPr>
          <w:rFonts w:ascii="仿宋_GB2312" w:eastAsia="仿宋_GB2312"/>
          <w:color w:val="000000"/>
          <w:sz w:val="32"/>
          <w:szCs w:val="32"/>
          <w:lang w:val="zh-CN"/>
        </w:rPr>
        <w:t>学生入住有空调设备的宿舍，并且开通使用空调设备的，按政府物价部门核定的住宿费标准，按学年缴纳住宿费。</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color w:val="000000"/>
          <w:sz w:val="32"/>
          <w:szCs w:val="32"/>
          <w:lang w:val="zh-CN"/>
        </w:rPr>
        <w:t>2.</w:t>
      </w:r>
      <w:r>
        <w:rPr>
          <w:rFonts w:ascii="仿宋_GB2312" w:eastAsia="仿宋_GB2312"/>
          <w:kern w:val="0"/>
          <w:sz w:val="32"/>
          <w:szCs w:val="32"/>
          <w:lang w:val="zh-CN"/>
        </w:rPr>
        <w:t>实行“先缴费，后用电”的预付费管理模式。学生使用空调后所产生的电费，由本宿舍的学生按人均分摊支付或协商支付。</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b/>
          <w:kern w:val="0"/>
          <w:sz w:val="32"/>
          <w:szCs w:val="32"/>
          <w:lang w:val="zh-CN"/>
        </w:rPr>
      </w:pPr>
      <w:bookmarkStart w:id="326" w:name="_Toc14186_WPSOffice_Level1"/>
      <w:r>
        <w:rPr>
          <w:rFonts w:ascii="仿宋_GB2312" w:eastAsia="仿宋_GB2312"/>
          <w:kern w:val="0"/>
          <w:sz w:val="32"/>
          <w:szCs w:val="32"/>
          <w:lang w:val="zh-CN"/>
        </w:rPr>
        <w:t>三、</w:t>
      </w:r>
      <w:r>
        <w:rPr>
          <w:rFonts w:ascii="仿宋_GB2312" w:eastAsia="仿宋_GB2312"/>
          <w:b/>
          <w:kern w:val="0"/>
          <w:sz w:val="32"/>
          <w:szCs w:val="32"/>
          <w:lang w:val="zh-CN"/>
        </w:rPr>
        <w:t>空调设备的管理</w:t>
      </w:r>
      <w:bookmarkEnd w:id="326"/>
    </w:p>
    <w:p>
      <w:pPr>
        <w:pageBreakBefore w:val="0"/>
        <w:kinsoku/>
        <w:overflowPunct/>
        <w:topLinePunct w:val="0"/>
        <w:autoSpaceDE w:val="0"/>
        <w:autoSpaceDN w:val="0"/>
        <w:bidi w:val="0"/>
        <w:adjustRightInd w:val="0"/>
        <w:spacing w:line="500" w:lineRule="exact"/>
        <w:ind w:left="-2" w:firstLine="480"/>
        <w:outlineLvl w:val="9"/>
        <w:rPr>
          <w:rFonts w:ascii="仿宋_GB2312" w:eastAsia="仿宋_GB2312"/>
          <w:b/>
          <w:kern w:val="0"/>
          <w:sz w:val="32"/>
          <w:szCs w:val="32"/>
          <w:lang w:val="zh-CN"/>
        </w:rPr>
      </w:pPr>
      <w:r>
        <w:rPr>
          <w:rFonts w:ascii="仿宋_GB2312" w:eastAsia="仿宋_GB2312"/>
          <w:kern w:val="0"/>
          <w:sz w:val="32"/>
          <w:szCs w:val="32"/>
          <w:lang w:val="zh-CN"/>
        </w:rPr>
        <w:t xml:space="preserve">1.学生宿舍安装的空调设备作为学校的固定资产，由学生工作处负责管理和后勤与资产管理处负责维护，非授权的任何部门或个人不得对空调设备进行拆装、维修、清洗等操作。 </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2.空调为公共财物，应爱护使用。人为损坏空调设备，责任人须进行赔偿，并视情节给予校规校纪处理；责任人不明确，由全体宿舍成员共同承担。故意损坏公物者，按照有关法律法规和学校管理制度进行赔偿，同时给予当事人相应的纪律处分（详见学生手册有关规定）。</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3.</w:t>
      </w:r>
      <w:r>
        <w:rPr>
          <w:rFonts w:ascii="仿宋_GB2312" w:eastAsia="仿宋_GB2312"/>
          <w:color w:val="000000"/>
          <w:sz w:val="32"/>
          <w:szCs w:val="32"/>
          <w:lang w:val="zh-CN"/>
        </w:rPr>
        <w:t>遥控器领取和保管：学生入住空调宿舍使用空调须统一填写“空调遥控器使用登记表”。大二年级以上（含）学生领取空调遥控器由宿舍长办理领取手续。新生入住宿舍，各宿舍由报到第一人办理遥控器暂时领取手续，待宿舍长选定后，自行择时到宿舍管理员处办理宿舍长领用手续。宿舍长为空调遥控器管理第一责任人（一般领用期限为三年），中途更换宿舍的，宿舍长要到宿舍管理员处办理变更及移交手续。</w:t>
      </w:r>
      <w:r>
        <w:rPr>
          <w:rFonts w:ascii="仿宋_GB2312" w:eastAsia="仿宋_GB2312"/>
          <w:kern w:val="0"/>
          <w:sz w:val="32"/>
          <w:szCs w:val="32"/>
          <w:lang w:val="zh-CN"/>
        </w:rPr>
        <w:t>空调遥控器由宿舍同学共同妥善使用保管</w:t>
      </w:r>
      <w:r>
        <w:rPr>
          <w:rFonts w:ascii="仿宋_GB2312" w:eastAsia="仿宋_GB2312"/>
          <w:color w:val="000000"/>
          <w:kern w:val="0"/>
          <w:sz w:val="32"/>
          <w:szCs w:val="32"/>
          <w:lang w:val="zh-CN"/>
        </w:rPr>
        <w:t>。遥控器电池为易耗品，不使用时需把电池取出。遥控器损坏、丢失的</w:t>
      </w:r>
      <w:r>
        <w:rPr>
          <w:rFonts w:ascii="仿宋_GB2312" w:eastAsia="仿宋_GB2312"/>
          <w:kern w:val="0"/>
          <w:sz w:val="32"/>
          <w:szCs w:val="32"/>
          <w:lang w:val="zh-CN"/>
        </w:rPr>
        <w:t>要按市场价进行赔偿。</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4.学生毕业或宿舍调整时，应将完好的遥控器交还所在楼栋宿舍管理员，宿舍管理员对学生所在宿舍的空调、遥控器等设备进行检查，确认设备完好后方可办理退宿或离校手续。</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b/>
          <w:kern w:val="0"/>
          <w:sz w:val="32"/>
          <w:szCs w:val="32"/>
          <w:lang w:val="zh-CN"/>
        </w:rPr>
      </w:pPr>
      <w:bookmarkStart w:id="327" w:name="_Toc689_WPSOffice_Level1"/>
      <w:r>
        <w:rPr>
          <w:rFonts w:ascii="仿宋_GB2312" w:eastAsia="仿宋_GB2312"/>
          <w:b/>
          <w:kern w:val="0"/>
          <w:sz w:val="32"/>
          <w:szCs w:val="32"/>
          <w:lang w:val="zh-CN"/>
        </w:rPr>
        <w:t>四、空调设备的安全使用</w:t>
      </w:r>
      <w:bookmarkEnd w:id="327"/>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1.按照国务院办公厅《关于严格执行公共建筑空调温度控制标准的通知》（国办发〔2007〕42号）的精神，夏季室内空调温度设置不得低于26摄氏度，冬季室内空调温度设置不得高于20摄氏度。</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2.</w:t>
      </w:r>
      <w:r>
        <w:rPr>
          <w:rFonts w:ascii="仿宋_GB2312" w:eastAsia="仿宋_GB2312"/>
          <w:color w:val="000000"/>
          <w:sz w:val="32"/>
          <w:szCs w:val="32"/>
          <w:lang w:val="zh-CN"/>
        </w:rPr>
        <w:t>住宿学生要牢固树立安全用电意识，自觉做到用电安全，防止因用电不当引起触电或火灾等意外事故的发生。</w:t>
      </w:r>
      <w:r>
        <w:rPr>
          <w:rFonts w:ascii="仿宋_GB2312" w:eastAsia="仿宋_GB2312"/>
          <w:kern w:val="0"/>
          <w:sz w:val="32"/>
          <w:szCs w:val="32"/>
          <w:lang w:val="zh-CN"/>
        </w:rPr>
        <w:t>使用者应按照《空调使用说明书》操作。使用者在使用过程中因操作不当或违章操作等，造成人身伤害或设备损坏的，由违规操作者承担相应的经济与法律责任。</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3.空调设备出现故障后，应立即停机并及时报修，不可私自拆卸。</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4.空调设备电源不得插接其他电器或拉接临时电源，不得从其他房间拉接电源。空调电源专用，严禁私拉乱接。</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5.寝室内无人时应关闭空调设备，长时间不使用应将空调设备电源插头拔出，卸下遥控器电池。</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6.禁止在空调内机上覆盖物品、悬挂衣物、刻损设备等；严禁在空调外机上摆放花盆、扫把等物件。</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7.雷雨天气，要关闭空调电源。</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8.</w:t>
      </w:r>
      <w:r>
        <w:rPr>
          <w:rFonts w:ascii="仿宋_GB2312" w:eastAsia="仿宋_GB2312"/>
          <w:color w:val="000000"/>
          <w:sz w:val="32"/>
          <w:szCs w:val="32"/>
          <w:lang w:val="zh-CN"/>
        </w:rPr>
        <w:t xml:space="preserve">禁止打开室内机手动开关，以防触电事故的发生。 </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9.大力提倡节约用电和节能意识，使用空调时应关闭门窗，温度设定要合适；在温度适宜的情况下，建议减少空调的使用。</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b/>
          <w:kern w:val="0"/>
          <w:sz w:val="32"/>
          <w:szCs w:val="32"/>
          <w:lang w:val="zh-CN"/>
        </w:rPr>
      </w:pPr>
      <w:bookmarkStart w:id="328" w:name="_Toc4757_WPSOffice_Level1"/>
      <w:r>
        <w:rPr>
          <w:rFonts w:ascii="仿宋_GB2312" w:eastAsia="仿宋_GB2312"/>
          <w:b/>
          <w:kern w:val="0"/>
          <w:sz w:val="32"/>
          <w:szCs w:val="32"/>
          <w:lang w:val="zh-CN"/>
        </w:rPr>
        <w:t>五、空调设备的维护和维修</w:t>
      </w:r>
      <w:bookmarkEnd w:id="328"/>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1.严禁学生自行维修空调设备，凡自行维修、使用不当或人为损坏造成损失的，由当事人承担各项维修费用。为保证空调的使用效果，学校将定时安排清洗空调滤网。</w:t>
      </w:r>
    </w:p>
    <w:p>
      <w:pPr>
        <w:pageBreakBefore w:val="0"/>
        <w:kinsoku/>
        <w:overflowPunct/>
        <w:topLinePunct w:val="0"/>
        <w:autoSpaceDE w:val="0"/>
        <w:autoSpaceDN w:val="0"/>
        <w:bidi w:val="0"/>
        <w:adjustRightInd w:val="0"/>
        <w:spacing w:line="500" w:lineRule="exact"/>
        <w:ind w:firstLine="640" w:firstLineChars="200"/>
        <w:outlineLvl w:val="9"/>
        <w:rPr>
          <w:rFonts w:ascii="仿宋_GB2312" w:eastAsia="仿宋_GB2312"/>
          <w:kern w:val="0"/>
          <w:sz w:val="32"/>
          <w:szCs w:val="32"/>
          <w:lang w:val="zh-CN"/>
        </w:rPr>
      </w:pPr>
      <w:r>
        <w:rPr>
          <w:rFonts w:ascii="仿宋_GB2312" w:eastAsia="仿宋_GB2312"/>
          <w:sz w:val="32"/>
          <w:szCs w:val="32"/>
          <w:lang w:val="zh-CN"/>
        </w:rPr>
        <w:t>2.空调出现故障后，空调使用者应及时拨打学生服务中心报修电话报修。接到报修后，通知空调售后维保人员进行处理。</w:t>
      </w:r>
      <w:r>
        <w:rPr>
          <w:rFonts w:ascii="仿宋_GB2312" w:eastAsia="仿宋_GB2312"/>
          <w:color w:val="000000"/>
          <w:sz w:val="32"/>
          <w:szCs w:val="32"/>
          <w:lang w:val="zh-CN"/>
        </w:rPr>
        <w:t>后勤与资产管理处监督维修，并对维修结果予以确认。</w:t>
      </w:r>
    </w:p>
    <w:p>
      <w:pPr>
        <w:pageBreakBefore w:val="0"/>
        <w:kinsoku/>
        <w:overflowPunct/>
        <w:topLinePunct w:val="0"/>
        <w:autoSpaceDE w:val="0"/>
        <w:autoSpaceDN w:val="0"/>
        <w:bidi w:val="0"/>
        <w:adjustRightInd w:val="0"/>
        <w:spacing w:line="500" w:lineRule="exact"/>
        <w:ind w:firstLine="482" w:firstLineChars="150"/>
        <w:jc w:val="left"/>
        <w:outlineLvl w:val="9"/>
        <w:rPr>
          <w:rFonts w:ascii="仿宋_GB2312" w:eastAsia="仿宋_GB2312"/>
          <w:b/>
          <w:kern w:val="0"/>
          <w:sz w:val="32"/>
          <w:szCs w:val="32"/>
          <w:lang w:val="zh-CN"/>
        </w:rPr>
      </w:pPr>
      <w:bookmarkStart w:id="329" w:name="_Toc24108_WPSOffice_Level1"/>
      <w:r>
        <w:rPr>
          <w:rFonts w:ascii="仿宋_GB2312" w:eastAsia="仿宋_GB2312"/>
          <w:b/>
          <w:sz w:val="32"/>
          <w:szCs w:val="32"/>
          <w:lang w:val="zh-CN"/>
        </w:rPr>
        <w:t>六、</w:t>
      </w:r>
      <w:r>
        <w:rPr>
          <w:rFonts w:ascii="仿宋_GB2312" w:eastAsia="仿宋_GB2312"/>
          <w:b/>
          <w:kern w:val="0"/>
          <w:sz w:val="32"/>
          <w:szCs w:val="32"/>
          <w:lang w:val="zh-CN"/>
        </w:rPr>
        <w:t>附则</w:t>
      </w:r>
      <w:bookmarkEnd w:id="329"/>
    </w:p>
    <w:p>
      <w:pPr>
        <w:pageBreakBefore w:val="0"/>
        <w:kinsoku/>
        <w:overflowPunct/>
        <w:topLinePunct w:val="0"/>
        <w:autoSpaceDE w:val="0"/>
        <w:autoSpaceDN w:val="0"/>
        <w:bidi w:val="0"/>
        <w:adjustRightInd w:val="0"/>
        <w:spacing w:line="500" w:lineRule="exact"/>
        <w:ind w:firstLine="480"/>
        <w:outlineLvl w:val="9"/>
        <w:rPr>
          <w:rFonts w:ascii="仿宋_GB2312" w:eastAsia="仿宋_GB2312"/>
          <w:color w:val="000000"/>
          <w:sz w:val="32"/>
          <w:szCs w:val="32"/>
          <w:lang w:val="zh-CN"/>
        </w:rPr>
      </w:pPr>
      <w:r>
        <w:rPr>
          <w:rFonts w:ascii="仿宋_GB2312" w:eastAsia="仿宋_GB2312"/>
          <w:kern w:val="0"/>
          <w:sz w:val="32"/>
          <w:szCs w:val="32"/>
          <w:lang w:val="zh-CN"/>
        </w:rPr>
        <w:t>1.</w:t>
      </w:r>
      <w:r>
        <w:rPr>
          <w:rFonts w:ascii="仿宋_GB2312" w:eastAsia="仿宋_GB2312"/>
          <w:color w:val="000000"/>
          <w:sz w:val="32"/>
          <w:szCs w:val="32"/>
          <w:lang w:val="zh-CN"/>
        </w:rPr>
        <w:t>违反本规定相关条款引起的一切后果、费用由责任人（宿舍）承担。</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2.本管理规定由学生工作处负责解释。</w:t>
      </w:r>
    </w:p>
    <w:p>
      <w:pPr>
        <w:pageBreakBefore w:val="0"/>
        <w:kinsoku/>
        <w:overflowPunct/>
        <w:topLinePunct w:val="0"/>
        <w:autoSpaceDE w:val="0"/>
        <w:autoSpaceDN w:val="0"/>
        <w:bidi w:val="0"/>
        <w:adjustRightInd w:val="0"/>
        <w:spacing w:line="500" w:lineRule="exact"/>
        <w:ind w:firstLine="480"/>
        <w:outlineLvl w:val="9"/>
        <w:rPr>
          <w:rFonts w:ascii="仿宋_GB2312" w:eastAsia="仿宋_GB2312"/>
          <w:kern w:val="0"/>
          <w:sz w:val="32"/>
          <w:szCs w:val="32"/>
          <w:lang w:val="zh-CN"/>
        </w:rPr>
      </w:pPr>
      <w:r>
        <w:rPr>
          <w:rFonts w:ascii="仿宋_GB2312" w:eastAsia="仿宋_GB2312"/>
          <w:kern w:val="0"/>
          <w:sz w:val="32"/>
          <w:szCs w:val="32"/>
          <w:lang w:val="zh-CN"/>
        </w:rPr>
        <w:t>3.本管理规定自公布之日起实行。</w:t>
      </w:r>
    </w:p>
    <w:p>
      <w:pPr>
        <w:pageBreakBefore w:val="0"/>
        <w:widowControl/>
        <w:kinsoku/>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330" w:name="_Toc534377805"/>
      <w:bookmarkStart w:id="331" w:name="_Toc18605"/>
      <w:bookmarkStart w:id="332" w:name="_Toc26609"/>
      <w:bookmarkStart w:id="333" w:name="_Toc22603_WPSOffice_Level1"/>
      <w:bookmarkStart w:id="334" w:name="_Toc6706"/>
      <w:bookmarkStart w:id="335" w:name="_Toc11360"/>
      <w:r>
        <w:rPr>
          <w:rFonts w:hint="eastAsia"/>
          <w:b/>
          <w:color w:val="000000"/>
          <w:sz w:val="36"/>
          <w:szCs w:val="36"/>
        </w:rPr>
        <w:t>柳州职业技术学院受资助学生管理办法</w:t>
      </w:r>
      <w:bookmarkEnd w:id="330"/>
      <w:bookmarkEnd w:id="331"/>
      <w:bookmarkEnd w:id="332"/>
      <w:bookmarkEnd w:id="333"/>
      <w:bookmarkEnd w:id="334"/>
      <w:bookmarkEnd w:id="335"/>
    </w:p>
    <w:p>
      <w:pPr>
        <w:pStyle w:val="10"/>
        <w:pageBreakBefore w:val="0"/>
        <w:kinsoku/>
        <w:overflowPunct/>
        <w:topLinePunct w:val="0"/>
        <w:bidi w:val="0"/>
        <w:spacing w:before="0" w:beforeAutospacing="0" w:after="0" w:afterAutospacing="0" w:line="56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（柳职院学字〔2017〕3号）</w:t>
      </w:r>
    </w:p>
    <w:p>
      <w:pPr>
        <w:pageBreakBefore w:val="0"/>
        <w:kinsoku/>
        <w:overflowPunct/>
        <w:topLinePunct w:val="0"/>
        <w:bidi w:val="0"/>
        <w:spacing w:line="560" w:lineRule="exact"/>
        <w:jc w:val="center"/>
        <w:outlineLvl w:val="9"/>
        <w:rPr>
          <w:rFonts w:ascii="宋体" w:hAnsi="宋体" w:cs="Calibri"/>
          <w:color w:val="000000"/>
          <w:kern w:val="0"/>
        </w:rPr>
      </w:pPr>
    </w:p>
    <w:p>
      <w:pPr>
        <w:pageBreakBefore w:val="0"/>
        <w:kinsoku/>
        <w:overflowPunct/>
        <w:topLinePunct w:val="0"/>
        <w:bidi w:val="0"/>
        <w:spacing w:line="560" w:lineRule="exact"/>
        <w:jc w:val="center"/>
        <w:outlineLvl w:val="9"/>
        <w:rPr>
          <w:rFonts w:ascii="黑体" w:hAnsi="黑体" w:eastAsia="黑体"/>
          <w:b/>
          <w:sz w:val="32"/>
          <w:szCs w:val="32"/>
        </w:rPr>
      </w:pPr>
      <w:bookmarkStart w:id="336" w:name="_Toc10034_WPSOffice_Level1"/>
      <w:r>
        <w:rPr>
          <w:rFonts w:hint="eastAsia" w:ascii="黑体" w:hAnsi="黑体" w:eastAsia="黑体"/>
          <w:b/>
          <w:sz w:val="32"/>
          <w:szCs w:val="32"/>
        </w:rPr>
        <w:t xml:space="preserve">第一章  </w:t>
      </w:r>
      <w:r>
        <w:rPr>
          <w:rFonts w:ascii="黑体" w:hAnsi="黑体" w:eastAsia="黑体"/>
          <w:b/>
          <w:sz w:val="32"/>
          <w:szCs w:val="32"/>
        </w:rPr>
        <w:t>总</w:t>
      </w:r>
      <w:r>
        <w:rPr>
          <w:rFonts w:hint="eastAsia" w:ascii="黑体" w:hAnsi="黑体" w:eastAsia="黑体"/>
          <w:b/>
          <w:sz w:val="32"/>
          <w:szCs w:val="32"/>
        </w:rPr>
        <w:t xml:space="preserve">  </w:t>
      </w:r>
      <w:r>
        <w:rPr>
          <w:rFonts w:ascii="黑体" w:hAnsi="黑体" w:eastAsia="黑体"/>
          <w:b/>
          <w:sz w:val="32"/>
          <w:szCs w:val="32"/>
        </w:rPr>
        <w:t>则</w:t>
      </w:r>
      <w:bookmarkEnd w:id="336"/>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w:t>
      </w:r>
      <w:r>
        <w:rPr>
          <w:rFonts w:ascii="仿宋_GB2312" w:eastAsia="仿宋_GB2312"/>
          <w:sz w:val="32"/>
          <w:szCs w:val="32"/>
        </w:rPr>
        <w:t>为加强对受</w:t>
      </w:r>
      <w:r>
        <w:rPr>
          <w:rFonts w:hint="eastAsia" w:ascii="仿宋_GB2312" w:eastAsia="仿宋_GB2312"/>
          <w:sz w:val="32"/>
          <w:szCs w:val="32"/>
        </w:rPr>
        <w:t>资助</w:t>
      </w:r>
      <w:r>
        <w:rPr>
          <w:rFonts w:ascii="仿宋_GB2312" w:eastAsia="仿宋_GB2312"/>
          <w:sz w:val="32"/>
          <w:szCs w:val="32"/>
        </w:rPr>
        <w:t>学生的管理和培养，做到政治上关心、学习上关注、生活上帮助、行为上引导，提高他们的社会责任感，激励他们积极进取，奋发向上，保持艰苦朴素的作风，特制定本管理办法。</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本办法中受资助学生是指通过我校家庭经济困难学生认定，并获得“国家励志奖学金”或“自治区政府奖学金”或“国家助学金”或“中职升入高职家庭经济困难学生学费补助”等在校学生。</w:t>
      </w:r>
    </w:p>
    <w:p>
      <w:pPr>
        <w:pageBreakBefore w:val="0"/>
        <w:kinsoku/>
        <w:overflowPunct/>
        <w:topLinePunct w:val="0"/>
        <w:bidi w:val="0"/>
        <w:spacing w:line="560" w:lineRule="exact"/>
        <w:jc w:val="center"/>
        <w:outlineLvl w:val="9"/>
        <w:rPr>
          <w:rFonts w:ascii="黑体" w:hAnsi="黑体" w:eastAsia="黑体"/>
          <w:b/>
          <w:sz w:val="32"/>
          <w:szCs w:val="32"/>
        </w:rPr>
      </w:pPr>
      <w:bookmarkStart w:id="337" w:name="_Toc18149_WPSOffice_Level1"/>
      <w:r>
        <w:rPr>
          <w:rFonts w:hint="eastAsia" w:ascii="黑体" w:hAnsi="黑体" w:eastAsia="黑体"/>
          <w:b/>
          <w:sz w:val="32"/>
          <w:szCs w:val="32"/>
        </w:rPr>
        <w:t>第二章  受资助学生的组织管理</w:t>
      </w:r>
      <w:bookmarkEnd w:id="337"/>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三</w:t>
      </w:r>
      <w:r>
        <w:rPr>
          <w:rFonts w:ascii="仿宋_GB2312" w:eastAsia="仿宋_GB2312"/>
          <w:b/>
          <w:sz w:val="32"/>
          <w:szCs w:val="32"/>
        </w:rPr>
        <w:t>条</w:t>
      </w:r>
      <w:r>
        <w:rPr>
          <w:rFonts w:hint="eastAsia" w:ascii="仿宋_GB2312" w:eastAsia="仿宋_GB2312"/>
          <w:b/>
          <w:sz w:val="32"/>
          <w:szCs w:val="32"/>
        </w:rPr>
        <w:t xml:space="preserve"> </w:t>
      </w:r>
      <w:r>
        <w:rPr>
          <w:rFonts w:hint="eastAsia" w:ascii="仿宋_GB2312" w:eastAsia="仿宋_GB2312"/>
          <w:sz w:val="32"/>
          <w:szCs w:val="32"/>
        </w:rPr>
        <w:t xml:space="preserve"> 学校对受资助学生的管理实行校、院二级管理。</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四</w:t>
      </w:r>
      <w:r>
        <w:rPr>
          <w:rFonts w:ascii="仿宋_GB2312" w:eastAsia="仿宋_GB2312"/>
          <w:b/>
          <w:sz w:val="32"/>
          <w:szCs w:val="32"/>
        </w:rPr>
        <w:t>条</w:t>
      </w:r>
      <w:r>
        <w:rPr>
          <w:rFonts w:hint="eastAsia" w:ascii="仿宋_GB2312" w:eastAsia="仿宋_GB2312"/>
          <w:sz w:val="32"/>
          <w:szCs w:val="32"/>
        </w:rPr>
        <w:t xml:space="preserve">  学校资助管理中心管理人员主要负责管理制度的制定和完善，协调全校受资助学生的管理，审批各二级学院上报的对违规学生的处理意见。</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五</w:t>
      </w:r>
      <w:r>
        <w:rPr>
          <w:rFonts w:ascii="仿宋_GB2312" w:eastAsia="仿宋_GB2312"/>
          <w:b/>
          <w:sz w:val="32"/>
          <w:szCs w:val="32"/>
        </w:rPr>
        <w:t>条</w:t>
      </w:r>
      <w:r>
        <w:rPr>
          <w:rFonts w:hint="eastAsia" w:ascii="仿宋_GB2312" w:eastAsia="仿宋_GB2312"/>
          <w:sz w:val="32"/>
          <w:szCs w:val="32"/>
        </w:rPr>
        <w:t xml:space="preserve">  二级学院应建立以班为单位的受资助学生档案，二级学院资助专干应指导本学院辅导员开展相关工作，负责指导辅导员组织受资助学生参与院内外公益活动、义务劳动，负责对完成规定义务工作时间的学生给予诚信加分。辅导员负责记录或审核受资助学生参加</w:t>
      </w:r>
      <w:r>
        <w:rPr>
          <w:rFonts w:ascii="仿宋_GB2312" w:eastAsia="仿宋_GB2312"/>
          <w:sz w:val="32"/>
          <w:szCs w:val="32"/>
        </w:rPr>
        <w:t>公益活动</w:t>
      </w:r>
      <w:r>
        <w:rPr>
          <w:rFonts w:hint="eastAsia" w:ascii="仿宋_GB2312" w:eastAsia="仿宋_GB2312"/>
          <w:sz w:val="32"/>
          <w:szCs w:val="32"/>
        </w:rPr>
        <w:t>、义务劳动情况，了解受资助学生违纪违规情况，及时上报二级学院资助专干统计，以便统一上报校学生资助管理中心处理。</w:t>
      </w:r>
    </w:p>
    <w:p>
      <w:pPr>
        <w:pageBreakBefore w:val="0"/>
        <w:kinsoku/>
        <w:overflowPunct/>
        <w:topLinePunct w:val="0"/>
        <w:bidi w:val="0"/>
        <w:spacing w:line="560" w:lineRule="exact"/>
        <w:jc w:val="center"/>
        <w:outlineLvl w:val="9"/>
        <w:rPr>
          <w:rFonts w:ascii="黑体" w:hAnsi="黑体" w:eastAsia="黑体"/>
          <w:b/>
          <w:sz w:val="32"/>
          <w:szCs w:val="32"/>
        </w:rPr>
      </w:pPr>
      <w:bookmarkStart w:id="338" w:name="_Toc13833_WPSOffice_Level1"/>
      <w:r>
        <w:rPr>
          <w:rFonts w:hint="eastAsia" w:ascii="黑体" w:hAnsi="黑体" w:eastAsia="黑体"/>
          <w:b/>
          <w:sz w:val="32"/>
          <w:szCs w:val="32"/>
        </w:rPr>
        <w:t xml:space="preserve">第三章  </w:t>
      </w:r>
      <w:r>
        <w:rPr>
          <w:rFonts w:ascii="黑体" w:hAnsi="黑体" w:eastAsia="黑体"/>
          <w:b/>
          <w:sz w:val="32"/>
          <w:szCs w:val="32"/>
        </w:rPr>
        <w:t>受</w:t>
      </w:r>
      <w:r>
        <w:rPr>
          <w:rFonts w:hint="eastAsia" w:ascii="黑体" w:hAnsi="黑体" w:eastAsia="黑体"/>
          <w:b/>
          <w:sz w:val="32"/>
          <w:szCs w:val="32"/>
        </w:rPr>
        <w:t>资</w:t>
      </w:r>
      <w:r>
        <w:rPr>
          <w:rFonts w:ascii="黑体" w:hAnsi="黑体" w:eastAsia="黑体"/>
          <w:b/>
          <w:sz w:val="32"/>
          <w:szCs w:val="32"/>
        </w:rPr>
        <w:t>助学生的行为规范</w:t>
      </w:r>
      <w:bookmarkEnd w:id="338"/>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六</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树立正确的世界观、人生观、价值观以及“受助于国家、社会，回报于国家、社会”的观念，培养优良的道德品质；</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七</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自觉遵守国家法律和校纪校规；</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八</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勤奋钻研，刻苦学习，提高自身的综合素质和创新能力；</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九</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培养良好的生活习惯，保持勤俭节约、艰苦朴素的作风，不铺张浪费；</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十</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主动向学院以及资助方定期汇报自己的思想、学习、生活、经济等各方面的情况</w:t>
      </w:r>
      <w:r>
        <w:rPr>
          <w:rFonts w:hint="eastAsia" w:ascii="仿宋_GB2312" w:eastAsia="仿宋_GB2312"/>
          <w:sz w:val="32"/>
          <w:szCs w:val="32"/>
        </w:rPr>
        <w:t>.</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十一</w:t>
      </w:r>
      <w:r>
        <w:rPr>
          <w:rFonts w:ascii="仿宋_GB2312" w:eastAsia="仿宋_GB2312"/>
          <w:b/>
          <w:sz w:val="32"/>
          <w:szCs w:val="32"/>
        </w:rPr>
        <w:t>条</w:t>
      </w:r>
      <w:r>
        <w:rPr>
          <w:rFonts w:hint="eastAsia" w:ascii="仿宋_GB2312" w:eastAsia="仿宋_GB2312"/>
          <w:b/>
          <w:sz w:val="32"/>
          <w:szCs w:val="32"/>
        </w:rPr>
        <w:t xml:space="preserve"> </w:t>
      </w:r>
      <w:r>
        <w:rPr>
          <w:rFonts w:hint="eastAsia" w:ascii="仿宋_GB2312" w:eastAsia="仿宋_GB2312"/>
          <w:sz w:val="32"/>
          <w:szCs w:val="32"/>
        </w:rPr>
        <w:t xml:space="preserve"> </w:t>
      </w:r>
      <w:r>
        <w:rPr>
          <w:rFonts w:ascii="仿宋_GB2312" w:eastAsia="仿宋_GB2312"/>
          <w:sz w:val="32"/>
          <w:szCs w:val="32"/>
        </w:rPr>
        <w:t>连续享受奖（助）学金的学生，因家庭经济情况或本人情况发生变化而不再符合资助条件的，要主动向学院报告，停止接受资助。</w:t>
      </w:r>
    </w:p>
    <w:p>
      <w:pPr>
        <w:pageBreakBefore w:val="0"/>
        <w:kinsoku/>
        <w:overflowPunct/>
        <w:topLinePunct w:val="0"/>
        <w:bidi w:val="0"/>
        <w:spacing w:line="560" w:lineRule="exact"/>
        <w:jc w:val="center"/>
        <w:outlineLvl w:val="9"/>
        <w:rPr>
          <w:rFonts w:ascii="黑体" w:hAnsi="黑体" w:eastAsia="黑体"/>
          <w:b/>
          <w:spacing w:val="-6"/>
          <w:sz w:val="32"/>
          <w:szCs w:val="32"/>
        </w:rPr>
      </w:pPr>
      <w:bookmarkStart w:id="339" w:name="_Toc25492_WPSOffice_Level1"/>
      <w:r>
        <w:rPr>
          <w:rFonts w:hint="eastAsia" w:ascii="黑体" w:hAnsi="黑体" w:eastAsia="黑体"/>
          <w:b/>
          <w:sz w:val="32"/>
          <w:szCs w:val="32"/>
        </w:rPr>
        <w:t xml:space="preserve">第四章  </w:t>
      </w:r>
      <w:r>
        <w:rPr>
          <w:rFonts w:ascii="黑体" w:hAnsi="黑体" w:eastAsia="黑体"/>
          <w:b/>
          <w:spacing w:val="-6"/>
          <w:sz w:val="32"/>
          <w:szCs w:val="32"/>
        </w:rPr>
        <w:t>受</w:t>
      </w:r>
      <w:r>
        <w:rPr>
          <w:rFonts w:hint="eastAsia" w:ascii="黑体" w:hAnsi="黑体" w:eastAsia="黑体"/>
          <w:b/>
          <w:spacing w:val="-6"/>
          <w:sz w:val="32"/>
          <w:szCs w:val="32"/>
        </w:rPr>
        <w:t>资</w:t>
      </w:r>
      <w:r>
        <w:rPr>
          <w:rFonts w:ascii="黑体" w:hAnsi="黑体" w:eastAsia="黑体"/>
          <w:b/>
          <w:spacing w:val="-6"/>
          <w:sz w:val="32"/>
          <w:szCs w:val="32"/>
        </w:rPr>
        <w:t>助学生</w:t>
      </w:r>
      <w:r>
        <w:rPr>
          <w:rFonts w:hint="eastAsia" w:ascii="黑体" w:hAnsi="黑体" w:eastAsia="黑体"/>
          <w:b/>
          <w:spacing w:val="-6"/>
          <w:sz w:val="32"/>
          <w:szCs w:val="32"/>
        </w:rPr>
        <w:t>应</w:t>
      </w:r>
      <w:r>
        <w:rPr>
          <w:rFonts w:ascii="黑体" w:hAnsi="黑体" w:eastAsia="黑体"/>
          <w:b/>
          <w:spacing w:val="-6"/>
          <w:sz w:val="32"/>
          <w:szCs w:val="32"/>
        </w:rPr>
        <w:t>参与社会公益服务活动</w:t>
      </w:r>
      <w:r>
        <w:rPr>
          <w:rFonts w:hint="eastAsia" w:ascii="黑体" w:hAnsi="黑体" w:eastAsia="黑体"/>
          <w:b/>
          <w:spacing w:val="-6"/>
          <w:sz w:val="32"/>
          <w:szCs w:val="32"/>
        </w:rPr>
        <w:t>和一定的义务劳动</w:t>
      </w:r>
      <w:bookmarkEnd w:id="339"/>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第十二条 </w:t>
      </w:r>
      <w:r>
        <w:rPr>
          <w:rFonts w:hint="eastAsia" w:ascii="仿宋_GB2312" w:eastAsia="仿宋_GB2312"/>
          <w:sz w:val="32"/>
          <w:szCs w:val="32"/>
        </w:rPr>
        <w:t xml:space="preserve"> </w:t>
      </w:r>
      <w:r>
        <w:rPr>
          <w:rFonts w:ascii="仿宋_GB2312" w:eastAsia="仿宋_GB2312"/>
          <w:sz w:val="32"/>
          <w:szCs w:val="32"/>
        </w:rPr>
        <w:t>受</w:t>
      </w:r>
      <w:r>
        <w:rPr>
          <w:rFonts w:hint="eastAsia" w:ascii="仿宋_GB2312" w:eastAsia="仿宋_GB2312"/>
          <w:sz w:val="32"/>
          <w:szCs w:val="32"/>
        </w:rPr>
        <w:t>资</w:t>
      </w:r>
      <w:r>
        <w:rPr>
          <w:rFonts w:ascii="仿宋_GB2312" w:eastAsia="仿宋_GB2312"/>
          <w:sz w:val="32"/>
          <w:szCs w:val="32"/>
        </w:rPr>
        <w:t>助学生</w:t>
      </w:r>
      <w:r>
        <w:rPr>
          <w:rFonts w:hint="eastAsia" w:ascii="仿宋_GB2312" w:eastAsia="仿宋_GB2312"/>
          <w:sz w:val="32"/>
          <w:szCs w:val="32"/>
        </w:rPr>
        <w:t>要有高度</w:t>
      </w:r>
      <w:r>
        <w:rPr>
          <w:rFonts w:ascii="仿宋_GB2312" w:eastAsia="仿宋_GB2312"/>
          <w:sz w:val="32"/>
          <w:szCs w:val="32"/>
        </w:rPr>
        <w:t>的社会责任感</w:t>
      </w:r>
      <w:r>
        <w:rPr>
          <w:rFonts w:hint="eastAsia" w:ascii="仿宋_GB2312" w:eastAsia="仿宋_GB2312"/>
          <w:sz w:val="32"/>
          <w:szCs w:val="32"/>
        </w:rPr>
        <w:t>，知恩图报。</w:t>
      </w:r>
      <w:r>
        <w:rPr>
          <w:rFonts w:ascii="仿宋_GB2312" w:eastAsia="仿宋_GB2312"/>
          <w:sz w:val="32"/>
          <w:szCs w:val="32"/>
        </w:rPr>
        <w:t>学</w:t>
      </w:r>
      <w:r>
        <w:rPr>
          <w:rFonts w:hint="eastAsia" w:ascii="仿宋_GB2312" w:eastAsia="仿宋_GB2312"/>
          <w:sz w:val="32"/>
          <w:szCs w:val="32"/>
        </w:rPr>
        <w:t>校</w:t>
      </w:r>
      <w:r>
        <w:rPr>
          <w:rFonts w:ascii="仿宋_GB2312" w:eastAsia="仿宋_GB2312"/>
          <w:sz w:val="32"/>
          <w:szCs w:val="32"/>
        </w:rPr>
        <w:t>倡导获得由政府、社会慈善机构、团体或个人资助的奖（助）学金的学生，参加一定量的社会公益服务活动</w:t>
      </w:r>
      <w:r>
        <w:rPr>
          <w:rFonts w:hint="eastAsia" w:ascii="仿宋_GB2312" w:eastAsia="仿宋_GB2312"/>
          <w:sz w:val="32"/>
          <w:szCs w:val="32"/>
        </w:rPr>
        <w:t>和义务劳动</w:t>
      </w:r>
      <w:r>
        <w:rPr>
          <w:rFonts w:ascii="仿宋_GB2312" w:eastAsia="仿宋_GB2312"/>
          <w:sz w:val="32"/>
          <w:szCs w:val="32"/>
        </w:rPr>
        <w:t>，以回报党和政府、社会和学校的关爱。</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第十三条 </w:t>
      </w:r>
      <w:r>
        <w:rPr>
          <w:rFonts w:hint="eastAsia" w:ascii="仿宋_GB2312" w:eastAsia="仿宋_GB2312"/>
          <w:sz w:val="32"/>
          <w:szCs w:val="32"/>
        </w:rPr>
        <w:t xml:space="preserve"> </w:t>
      </w:r>
      <w:r>
        <w:rPr>
          <w:rFonts w:ascii="仿宋_GB2312" w:eastAsia="仿宋_GB2312"/>
          <w:sz w:val="32"/>
          <w:szCs w:val="32"/>
        </w:rPr>
        <w:t>受</w:t>
      </w:r>
      <w:r>
        <w:rPr>
          <w:rFonts w:hint="eastAsia" w:ascii="仿宋_GB2312" w:eastAsia="仿宋_GB2312"/>
          <w:sz w:val="32"/>
          <w:szCs w:val="32"/>
        </w:rPr>
        <w:t>资</w:t>
      </w:r>
      <w:r>
        <w:rPr>
          <w:rFonts w:ascii="仿宋_GB2312" w:eastAsia="仿宋_GB2312"/>
          <w:sz w:val="32"/>
          <w:szCs w:val="32"/>
        </w:rPr>
        <w:t>助学生应该主动参与各种形式的社会公益服务活动，在投身社会实践的过程中增长才干。</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第十四条</w:t>
      </w:r>
      <w:r>
        <w:rPr>
          <w:rFonts w:hint="eastAsia" w:ascii="仿宋_GB2312" w:eastAsia="仿宋_GB2312"/>
          <w:sz w:val="32"/>
          <w:szCs w:val="32"/>
        </w:rPr>
        <w:t xml:space="preserve">  受资助</w:t>
      </w:r>
      <w:r>
        <w:rPr>
          <w:rFonts w:ascii="仿宋_GB2312" w:eastAsia="仿宋_GB2312"/>
          <w:sz w:val="32"/>
          <w:szCs w:val="32"/>
        </w:rPr>
        <w:t>学生参加社会公益服务活动的时间为</w:t>
      </w:r>
      <w:r>
        <w:rPr>
          <w:rFonts w:hint="eastAsia" w:ascii="仿宋_GB2312" w:eastAsia="仿宋_GB2312"/>
          <w:sz w:val="32"/>
          <w:szCs w:val="32"/>
        </w:rPr>
        <w:t>，</w:t>
      </w:r>
      <w:r>
        <w:rPr>
          <w:rFonts w:ascii="仿宋_GB2312" w:eastAsia="仿宋_GB2312"/>
          <w:sz w:val="32"/>
          <w:szCs w:val="32"/>
        </w:rPr>
        <w:t>在每一受</w:t>
      </w:r>
      <w:r>
        <w:rPr>
          <w:rFonts w:hint="eastAsia" w:ascii="仿宋_GB2312" w:eastAsia="仿宋_GB2312"/>
          <w:sz w:val="32"/>
          <w:szCs w:val="32"/>
        </w:rPr>
        <w:t>资</w:t>
      </w:r>
      <w:r>
        <w:rPr>
          <w:rFonts w:ascii="仿宋_GB2312" w:eastAsia="仿宋_GB2312"/>
          <w:sz w:val="32"/>
          <w:szCs w:val="32"/>
        </w:rPr>
        <w:t>助期内（一般为一年）不少于</w:t>
      </w:r>
      <w:r>
        <w:rPr>
          <w:rFonts w:hint="eastAsia" w:ascii="仿宋_GB2312" w:eastAsia="仿宋_GB2312"/>
          <w:sz w:val="32"/>
          <w:szCs w:val="32"/>
        </w:rPr>
        <w:t>30</w:t>
      </w:r>
      <w:r>
        <w:rPr>
          <w:rFonts w:ascii="仿宋_GB2312" w:eastAsia="仿宋_GB2312"/>
          <w:sz w:val="32"/>
          <w:szCs w:val="32"/>
        </w:rPr>
        <w:t>小时。</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第十五条 </w:t>
      </w:r>
      <w:r>
        <w:rPr>
          <w:rFonts w:hint="eastAsia" w:ascii="仿宋_GB2312" w:eastAsia="仿宋_GB2312"/>
          <w:sz w:val="32"/>
          <w:szCs w:val="32"/>
        </w:rPr>
        <w:t xml:space="preserve"> </w:t>
      </w:r>
      <w:r>
        <w:rPr>
          <w:rFonts w:ascii="仿宋_GB2312" w:eastAsia="仿宋_GB2312"/>
          <w:sz w:val="32"/>
          <w:szCs w:val="32"/>
        </w:rPr>
        <w:t>受</w:t>
      </w:r>
      <w:r>
        <w:rPr>
          <w:rFonts w:hint="eastAsia" w:ascii="仿宋_GB2312" w:eastAsia="仿宋_GB2312"/>
          <w:sz w:val="32"/>
          <w:szCs w:val="32"/>
        </w:rPr>
        <w:t>资</w:t>
      </w:r>
      <w:r>
        <w:rPr>
          <w:rFonts w:ascii="仿宋_GB2312" w:eastAsia="仿宋_GB2312"/>
          <w:sz w:val="32"/>
          <w:szCs w:val="32"/>
        </w:rPr>
        <w:t>助学生在受</w:t>
      </w:r>
      <w:r>
        <w:rPr>
          <w:rFonts w:hint="eastAsia" w:ascii="仿宋_GB2312" w:eastAsia="仿宋_GB2312"/>
          <w:sz w:val="32"/>
          <w:szCs w:val="32"/>
        </w:rPr>
        <w:t>资</w:t>
      </w:r>
      <w:r>
        <w:rPr>
          <w:rFonts w:ascii="仿宋_GB2312" w:eastAsia="仿宋_GB2312"/>
          <w:sz w:val="32"/>
          <w:szCs w:val="32"/>
        </w:rPr>
        <w:t>助期内完成</w:t>
      </w:r>
      <w:r>
        <w:rPr>
          <w:rFonts w:hint="eastAsia" w:ascii="仿宋_GB2312" w:eastAsia="仿宋_GB2312"/>
          <w:sz w:val="32"/>
          <w:szCs w:val="32"/>
        </w:rPr>
        <w:t>的</w:t>
      </w:r>
      <w:r>
        <w:rPr>
          <w:rFonts w:ascii="仿宋_GB2312" w:eastAsia="仿宋_GB2312"/>
          <w:sz w:val="32"/>
          <w:szCs w:val="32"/>
        </w:rPr>
        <w:t>社会公益服务活动</w:t>
      </w:r>
      <w:r>
        <w:rPr>
          <w:rFonts w:hint="eastAsia" w:ascii="仿宋_GB2312" w:eastAsia="仿宋_GB2312"/>
          <w:sz w:val="32"/>
          <w:szCs w:val="32"/>
        </w:rPr>
        <w:t>和义务劳动</w:t>
      </w:r>
      <w:r>
        <w:rPr>
          <w:rFonts w:ascii="仿宋_GB2312" w:eastAsia="仿宋_GB2312"/>
          <w:sz w:val="32"/>
          <w:szCs w:val="32"/>
        </w:rPr>
        <w:t>，</w:t>
      </w:r>
      <w:r>
        <w:rPr>
          <w:rFonts w:hint="eastAsia" w:ascii="仿宋_GB2312" w:eastAsia="仿宋_GB2312"/>
          <w:sz w:val="32"/>
          <w:szCs w:val="32"/>
        </w:rPr>
        <w:t>在《柳州职业技术学院受资助学生义务工作登记册》中进行登记。</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第十六条 </w:t>
      </w:r>
      <w:r>
        <w:rPr>
          <w:rFonts w:hint="eastAsia" w:ascii="仿宋_GB2312" w:eastAsia="仿宋_GB2312"/>
          <w:sz w:val="32"/>
          <w:szCs w:val="32"/>
        </w:rPr>
        <w:t xml:space="preserve"> </w:t>
      </w:r>
      <w:r>
        <w:rPr>
          <w:rFonts w:ascii="仿宋_GB2312" w:eastAsia="仿宋_GB2312"/>
          <w:sz w:val="32"/>
          <w:szCs w:val="32"/>
        </w:rPr>
        <w:t>受</w:t>
      </w:r>
      <w:r>
        <w:rPr>
          <w:rFonts w:hint="eastAsia" w:ascii="仿宋_GB2312" w:eastAsia="仿宋_GB2312"/>
          <w:sz w:val="32"/>
          <w:szCs w:val="32"/>
        </w:rPr>
        <w:t>资</w:t>
      </w:r>
      <w:r>
        <w:rPr>
          <w:rFonts w:ascii="仿宋_GB2312" w:eastAsia="仿宋_GB2312"/>
          <w:sz w:val="32"/>
          <w:szCs w:val="32"/>
        </w:rPr>
        <w:t>助学生在受</w:t>
      </w:r>
      <w:r>
        <w:rPr>
          <w:rFonts w:hint="eastAsia" w:ascii="仿宋_GB2312" w:eastAsia="仿宋_GB2312"/>
          <w:sz w:val="32"/>
          <w:szCs w:val="32"/>
        </w:rPr>
        <w:t>资</w:t>
      </w:r>
      <w:r>
        <w:rPr>
          <w:rFonts w:ascii="仿宋_GB2312" w:eastAsia="仿宋_GB2312"/>
          <w:sz w:val="32"/>
          <w:szCs w:val="32"/>
        </w:rPr>
        <w:t>助期内</w:t>
      </w:r>
      <w:r>
        <w:rPr>
          <w:rFonts w:hint="eastAsia" w:ascii="仿宋_GB2312" w:eastAsia="仿宋_GB2312"/>
          <w:sz w:val="32"/>
          <w:szCs w:val="32"/>
        </w:rPr>
        <w:t>义务工作时间达到30小时以上（包括30小时）者，由辅导员给予加诚信分100分。如无特殊原因，未能按要求完成义务工作时间者，则相应扣除诚信分100分。</w:t>
      </w:r>
    </w:p>
    <w:p>
      <w:pPr>
        <w:pageBreakBefore w:val="0"/>
        <w:kinsoku/>
        <w:overflowPunct/>
        <w:topLinePunct w:val="0"/>
        <w:bidi w:val="0"/>
        <w:spacing w:line="560" w:lineRule="exact"/>
        <w:jc w:val="center"/>
        <w:outlineLvl w:val="9"/>
        <w:rPr>
          <w:rFonts w:ascii="黑体" w:hAnsi="黑体" w:eastAsia="黑体"/>
          <w:b/>
          <w:sz w:val="32"/>
          <w:szCs w:val="32"/>
        </w:rPr>
      </w:pPr>
      <w:bookmarkStart w:id="340" w:name="_Toc30974_WPSOffice_Level1"/>
      <w:r>
        <w:rPr>
          <w:rFonts w:hint="eastAsia" w:ascii="黑体" w:hAnsi="黑体" w:eastAsia="黑体"/>
          <w:b/>
          <w:sz w:val="32"/>
          <w:szCs w:val="32"/>
        </w:rPr>
        <w:t>第五章  受资助学生的违规处理</w:t>
      </w:r>
      <w:bookmarkEnd w:id="340"/>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第十七条 </w:t>
      </w:r>
      <w:r>
        <w:rPr>
          <w:rFonts w:hint="eastAsia" w:ascii="仿宋_GB2312" w:eastAsia="仿宋_GB2312"/>
          <w:sz w:val="32"/>
          <w:szCs w:val="32"/>
        </w:rPr>
        <w:t xml:space="preserve"> 凡</w:t>
      </w:r>
      <w:r>
        <w:rPr>
          <w:rFonts w:ascii="仿宋_GB2312" w:eastAsia="仿宋_GB2312"/>
          <w:sz w:val="32"/>
          <w:szCs w:val="32"/>
        </w:rPr>
        <w:t>有以下情况之一</w:t>
      </w:r>
      <w:r>
        <w:rPr>
          <w:rFonts w:hint="eastAsia" w:ascii="仿宋_GB2312" w:eastAsia="仿宋_GB2312"/>
          <w:sz w:val="32"/>
          <w:szCs w:val="32"/>
        </w:rPr>
        <w:t>者</w:t>
      </w:r>
      <w:r>
        <w:rPr>
          <w:rFonts w:ascii="仿宋_GB2312" w:eastAsia="仿宋_GB2312"/>
          <w:sz w:val="32"/>
          <w:szCs w:val="32"/>
        </w:rPr>
        <w:t>，</w:t>
      </w:r>
      <w:r>
        <w:rPr>
          <w:rFonts w:hint="eastAsia" w:ascii="仿宋_GB2312" w:eastAsia="仿宋_GB2312"/>
          <w:sz w:val="32"/>
          <w:szCs w:val="32"/>
        </w:rPr>
        <w:t>学校可取消其受助资格，</w:t>
      </w:r>
      <w:r>
        <w:rPr>
          <w:rFonts w:ascii="仿宋_GB2312" w:eastAsia="仿宋_GB2312"/>
          <w:sz w:val="32"/>
          <w:szCs w:val="32"/>
        </w:rPr>
        <w:t>给予停发奖（助）学金的处理。</w:t>
      </w:r>
    </w:p>
    <w:p>
      <w:pPr>
        <w:pageBreakBefore w:val="0"/>
        <w:kinsoku/>
        <w:overflowPunct/>
        <w:topLinePunct w:val="0"/>
        <w:bidi w:val="0"/>
        <w:spacing w:line="560" w:lineRule="exact"/>
        <w:ind w:firstLine="640" w:firstLineChars="200"/>
        <w:outlineLvl w:val="9"/>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.违反国家法律法规者；</w:t>
      </w:r>
    </w:p>
    <w:p>
      <w:pPr>
        <w:pageBreakBefore w:val="0"/>
        <w:kinsoku/>
        <w:overflowPunct/>
        <w:topLinePunct w:val="0"/>
        <w:bidi w:val="0"/>
        <w:spacing w:line="560" w:lineRule="exact"/>
        <w:ind w:firstLine="640" w:firstLineChars="200"/>
        <w:outlineLvl w:val="9"/>
        <w:rPr>
          <w:rFonts w:ascii="仿宋_GB2312" w:eastAsia="仿宋_GB2312"/>
          <w:sz w:val="32"/>
          <w:szCs w:val="32"/>
        </w:rPr>
      </w:pPr>
      <w:r>
        <w:rPr>
          <w:rFonts w:hint="eastAsia" w:ascii="仿宋_GB2312" w:eastAsia="仿宋_GB2312"/>
          <w:sz w:val="32"/>
          <w:szCs w:val="32"/>
        </w:rPr>
        <w:t>2.违反校纪校规，受到学校违纪处分者；</w:t>
      </w:r>
    </w:p>
    <w:p>
      <w:pPr>
        <w:pageBreakBefore w:val="0"/>
        <w:kinsoku/>
        <w:overflowPunct/>
        <w:topLinePunct w:val="0"/>
        <w:bidi w:val="0"/>
        <w:spacing w:line="560" w:lineRule="exact"/>
        <w:ind w:firstLine="640" w:firstLineChars="200"/>
        <w:outlineLvl w:val="9"/>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因各种原因休学</w:t>
      </w:r>
      <w:r>
        <w:rPr>
          <w:rFonts w:hint="eastAsia" w:ascii="仿宋_GB2312" w:eastAsia="仿宋_GB2312"/>
          <w:sz w:val="32"/>
          <w:szCs w:val="32"/>
        </w:rPr>
        <w:t>、退学</w:t>
      </w:r>
      <w:r>
        <w:rPr>
          <w:rFonts w:ascii="仿宋_GB2312" w:eastAsia="仿宋_GB2312"/>
          <w:sz w:val="32"/>
          <w:szCs w:val="32"/>
        </w:rPr>
        <w:t>者；</w:t>
      </w:r>
      <w:r>
        <w:rPr>
          <w:rFonts w:hint="eastAsia" w:ascii="仿宋_GB2312" w:eastAsia="仿宋_GB2312"/>
          <w:sz w:val="32"/>
          <w:szCs w:val="32"/>
        </w:rPr>
        <w:t xml:space="preserve"> </w:t>
      </w:r>
    </w:p>
    <w:p>
      <w:pPr>
        <w:pageBreakBefore w:val="0"/>
        <w:kinsoku/>
        <w:overflowPunct/>
        <w:topLinePunct w:val="0"/>
        <w:bidi w:val="0"/>
        <w:spacing w:line="560" w:lineRule="exact"/>
        <w:ind w:firstLine="640" w:firstLineChars="200"/>
        <w:outlineLvl w:val="9"/>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弄虚作假，瞒报家庭经济收入</w:t>
      </w:r>
      <w:r>
        <w:rPr>
          <w:rFonts w:hint="eastAsia" w:ascii="仿宋_GB2312" w:eastAsia="仿宋_GB2312"/>
          <w:sz w:val="32"/>
          <w:szCs w:val="32"/>
        </w:rPr>
        <w:t>者</w:t>
      </w:r>
      <w:r>
        <w:rPr>
          <w:rFonts w:ascii="仿宋_GB2312" w:eastAsia="仿宋_GB2312"/>
          <w:sz w:val="32"/>
          <w:szCs w:val="32"/>
        </w:rPr>
        <w:t>；</w:t>
      </w:r>
    </w:p>
    <w:p>
      <w:pPr>
        <w:pageBreakBefore w:val="0"/>
        <w:kinsoku/>
        <w:overflowPunct/>
        <w:topLinePunct w:val="0"/>
        <w:bidi w:val="0"/>
        <w:spacing w:line="560" w:lineRule="exact"/>
        <w:ind w:firstLine="640" w:firstLineChars="200"/>
        <w:outlineLvl w:val="9"/>
        <w:rPr>
          <w:rFonts w:ascii="仿宋_GB2312" w:eastAsia="仿宋_GB2312"/>
          <w:sz w:val="32"/>
          <w:szCs w:val="32"/>
        </w:rPr>
      </w:pPr>
      <w:r>
        <w:rPr>
          <w:rFonts w:hint="eastAsia" w:ascii="仿宋_GB2312" w:eastAsia="仿宋_GB2312"/>
          <w:sz w:val="32"/>
          <w:szCs w:val="32"/>
        </w:rPr>
        <w:t>5.</w:t>
      </w:r>
      <w:r>
        <w:rPr>
          <w:rFonts w:ascii="仿宋_GB2312" w:eastAsia="仿宋_GB2312"/>
          <w:sz w:val="32"/>
          <w:szCs w:val="32"/>
        </w:rPr>
        <w:t>主观学习不努力，</w:t>
      </w:r>
      <w:r>
        <w:rPr>
          <w:rFonts w:hint="eastAsia" w:ascii="仿宋_GB2312" w:eastAsia="仿宋_GB2312"/>
          <w:sz w:val="32"/>
          <w:szCs w:val="32"/>
        </w:rPr>
        <w:t>上一学期</w:t>
      </w:r>
      <w:r>
        <w:rPr>
          <w:rFonts w:ascii="仿宋_GB2312" w:eastAsia="仿宋_GB2312"/>
          <w:sz w:val="32"/>
          <w:szCs w:val="32"/>
        </w:rPr>
        <w:t>有</w:t>
      </w:r>
      <w:r>
        <w:rPr>
          <w:rFonts w:hint="eastAsia" w:ascii="仿宋_GB2312" w:eastAsia="仿宋_GB2312"/>
          <w:sz w:val="32"/>
          <w:szCs w:val="32"/>
        </w:rPr>
        <w:t>2</w:t>
      </w:r>
      <w:r>
        <w:rPr>
          <w:rFonts w:ascii="仿宋_GB2312" w:eastAsia="仿宋_GB2312"/>
          <w:sz w:val="32"/>
          <w:szCs w:val="32"/>
        </w:rPr>
        <w:t>门以上(含</w:t>
      </w:r>
      <w:r>
        <w:rPr>
          <w:rFonts w:hint="eastAsia" w:ascii="仿宋_GB2312" w:eastAsia="仿宋_GB2312"/>
          <w:sz w:val="32"/>
          <w:szCs w:val="32"/>
        </w:rPr>
        <w:t>2</w:t>
      </w:r>
      <w:r>
        <w:rPr>
          <w:rFonts w:ascii="仿宋_GB2312" w:eastAsia="仿宋_GB2312"/>
          <w:sz w:val="32"/>
          <w:szCs w:val="32"/>
        </w:rPr>
        <w:t>门)</w:t>
      </w:r>
      <w:r>
        <w:rPr>
          <w:rFonts w:hint="eastAsia" w:ascii="仿宋_GB2312" w:eastAsia="仿宋_GB2312"/>
          <w:sz w:val="32"/>
          <w:szCs w:val="32"/>
        </w:rPr>
        <w:t>必修课重修者</w:t>
      </w:r>
      <w:r>
        <w:rPr>
          <w:rFonts w:ascii="仿宋_GB2312" w:eastAsia="仿宋_GB2312"/>
          <w:sz w:val="32"/>
          <w:szCs w:val="32"/>
        </w:rPr>
        <w:t>；</w:t>
      </w:r>
    </w:p>
    <w:p>
      <w:pPr>
        <w:pageBreakBefore w:val="0"/>
        <w:kinsoku/>
        <w:overflowPunct/>
        <w:topLinePunct w:val="0"/>
        <w:bidi w:val="0"/>
        <w:spacing w:line="560" w:lineRule="exact"/>
        <w:ind w:firstLine="640" w:firstLineChars="200"/>
        <w:outlineLvl w:val="9"/>
        <w:rPr>
          <w:rFonts w:ascii="仿宋_GB2312" w:eastAsia="仿宋_GB2312"/>
          <w:sz w:val="32"/>
          <w:szCs w:val="32"/>
        </w:rPr>
      </w:pPr>
      <w:r>
        <w:rPr>
          <w:rFonts w:hint="eastAsia" w:ascii="仿宋_GB2312" w:eastAsia="仿宋_GB2312"/>
          <w:sz w:val="32"/>
          <w:szCs w:val="32"/>
        </w:rPr>
        <w:t>6.</w:t>
      </w:r>
      <w:r>
        <w:rPr>
          <w:rFonts w:ascii="仿宋_GB2312" w:eastAsia="仿宋_GB2312"/>
          <w:sz w:val="32"/>
          <w:szCs w:val="32"/>
        </w:rPr>
        <w:t>生活不节俭，奢侈浪费</w:t>
      </w:r>
      <w:r>
        <w:rPr>
          <w:rFonts w:hint="eastAsia" w:ascii="仿宋_GB2312" w:eastAsia="仿宋_GB2312"/>
          <w:sz w:val="32"/>
          <w:szCs w:val="32"/>
        </w:rPr>
        <w:t>，</w:t>
      </w:r>
      <w:r>
        <w:rPr>
          <w:rFonts w:ascii="仿宋_GB2312" w:eastAsia="仿宋_GB2312"/>
          <w:sz w:val="32"/>
          <w:szCs w:val="32"/>
        </w:rPr>
        <w:t>有不符合经济困难学生的高消费行为</w:t>
      </w:r>
      <w:r>
        <w:rPr>
          <w:rFonts w:hint="eastAsia" w:ascii="仿宋_GB2312" w:eastAsia="仿宋_GB2312"/>
          <w:sz w:val="32"/>
          <w:szCs w:val="32"/>
        </w:rPr>
        <w:t>者，</w:t>
      </w:r>
      <w:r>
        <w:rPr>
          <w:rFonts w:ascii="仿宋_GB2312" w:eastAsia="仿宋_GB2312"/>
          <w:sz w:val="32"/>
          <w:szCs w:val="32"/>
        </w:rPr>
        <w:t>或有酗酒、赌博</w:t>
      </w:r>
      <w:r>
        <w:rPr>
          <w:rFonts w:hint="eastAsia" w:ascii="仿宋_GB2312" w:eastAsia="仿宋_GB2312"/>
          <w:sz w:val="32"/>
          <w:szCs w:val="32"/>
        </w:rPr>
        <w:t>、公共场所吸烟</w:t>
      </w:r>
      <w:r>
        <w:rPr>
          <w:rFonts w:ascii="仿宋_GB2312" w:eastAsia="仿宋_GB2312"/>
          <w:sz w:val="32"/>
          <w:szCs w:val="32"/>
        </w:rPr>
        <w:t>行为者</w:t>
      </w:r>
      <w:r>
        <w:rPr>
          <w:rFonts w:hint="eastAsia" w:ascii="仿宋_GB2312" w:eastAsia="仿宋_GB2312"/>
          <w:sz w:val="32"/>
          <w:szCs w:val="32"/>
        </w:rPr>
        <w:t>。</w:t>
      </w:r>
    </w:p>
    <w:p>
      <w:pPr>
        <w:pageBreakBefore w:val="0"/>
        <w:kinsoku/>
        <w:overflowPunct/>
        <w:topLinePunct w:val="0"/>
        <w:bidi w:val="0"/>
        <w:spacing w:line="560" w:lineRule="exact"/>
        <w:jc w:val="center"/>
        <w:outlineLvl w:val="9"/>
        <w:rPr>
          <w:rFonts w:ascii="黑体" w:hAnsi="黑体" w:eastAsia="黑体"/>
          <w:b/>
          <w:sz w:val="32"/>
          <w:szCs w:val="32"/>
        </w:rPr>
      </w:pPr>
      <w:bookmarkStart w:id="341" w:name="_Toc29135_WPSOffice_Level1"/>
      <w:r>
        <w:rPr>
          <w:rFonts w:hint="eastAsia" w:ascii="黑体" w:hAnsi="黑体" w:eastAsia="黑体"/>
          <w:b/>
          <w:sz w:val="32"/>
          <w:szCs w:val="32"/>
        </w:rPr>
        <w:t>第六章  结余资金的</w:t>
      </w:r>
      <w:r>
        <w:rPr>
          <w:rFonts w:ascii="黑体" w:hAnsi="黑体" w:eastAsia="黑体"/>
          <w:b/>
          <w:sz w:val="32"/>
          <w:szCs w:val="32"/>
        </w:rPr>
        <w:t>管理</w:t>
      </w:r>
      <w:bookmarkEnd w:id="341"/>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第十八条 </w:t>
      </w:r>
      <w:r>
        <w:rPr>
          <w:rFonts w:hint="eastAsia" w:ascii="仿宋_GB2312" w:eastAsia="仿宋_GB2312"/>
          <w:sz w:val="32"/>
          <w:szCs w:val="32"/>
        </w:rPr>
        <w:t xml:space="preserve"> 停止发放的资助资金</w:t>
      </w:r>
      <w:r>
        <w:rPr>
          <w:rFonts w:ascii="仿宋_GB2312" w:eastAsia="仿宋_GB2312"/>
          <w:sz w:val="32"/>
          <w:szCs w:val="32"/>
        </w:rPr>
        <w:t>由学</w:t>
      </w:r>
      <w:r>
        <w:rPr>
          <w:rFonts w:hint="eastAsia" w:ascii="仿宋_GB2312" w:eastAsia="仿宋_GB2312"/>
          <w:sz w:val="32"/>
          <w:szCs w:val="32"/>
        </w:rPr>
        <w:t>校</w:t>
      </w:r>
      <w:r>
        <w:rPr>
          <w:rFonts w:ascii="仿宋_GB2312" w:eastAsia="仿宋_GB2312"/>
          <w:sz w:val="32"/>
          <w:szCs w:val="32"/>
        </w:rPr>
        <w:t>统一管理，</w:t>
      </w:r>
      <w:r>
        <w:rPr>
          <w:rFonts w:hint="eastAsia" w:ascii="仿宋_GB2312" w:eastAsia="仿宋_GB2312"/>
          <w:sz w:val="32"/>
          <w:szCs w:val="32"/>
        </w:rPr>
        <w:t>专款专用，结转下一年度继续用于家庭经济困难学生的奖（助）学金资助。</w:t>
      </w:r>
    </w:p>
    <w:p>
      <w:pPr>
        <w:pageBreakBefore w:val="0"/>
        <w:kinsoku/>
        <w:overflowPunct/>
        <w:topLinePunct w:val="0"/>
        <w:bidi w:val="0"/>
        <w:spacing w:line="560" w:lineRule="exact"/>
        <w:jc w:val="center"/>
        <w:outlineLvl w:val="9"/>
        <w:rPr>
          <w:rFonts w:ascii="黑体" w:hAnsi="黑体" w:eastAsia="黑体"/>
          <w:b/>
          <w:sz w:val="32"/>
          <w:szCs w:val="32"/>
        </w:rPr>
      </w:pPr>
      <w:bookmarkStart w:id="342" w:name="_Toc25247_WPSOffice_Level1"/>
      <w:r>
        <w:rPr>
          <w:rFonts w:hint="eastAsia" w:ascii="黑体" w:hAnsi="黑体" w:eastAsia="黑体"/>
          <w:b/>
          <w:sz w:val="32"/>
          <w:szCs w:val="32"/>
        </w:rPr>
        <w:t>第七章  附  则</w:t>
      </w:r>
      <w:bookmarkEnd w:id="342"/>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第十九条 </w:t>
      </w:r>
      <w:r>
        <w:rPr>
          <w:rFonts w:hint="eastAsia" w:ascii="仿宋_GB2312" w:eastAsia="仿宋_GB2312"/>
          <w:sz w:val="32"/>
          <w:szCs w:val="32"/>
        </w:rPr>
        <w:t xml:space="preserve"> </w:t>
      </w:r>
      <w:r>
        <w:rPr>
          <w:rFonts w:ascii="仿宋_GB2312" w:eastAsia="仿宋_GB2312"/>
          <w:sz w:val="32"/>
          <w:szCs w:val="32"/>
        </w:rPr>
        <w:t>本</w:t>
      </w:r>
      <w:r>
        <w:rPr>
          <w:rFonts w:hint="eastAsia" w:ascii="仿宋_GB2312" w:eastAsia="仿宋_GB2312"/>
          <w:sz w:val="32"/>
          <w:szCs w:val="32"/>
        </w:rPr>
        <w:t>修订</w:t>
      </w:r>
      <w:r>
        <w:rPr>
          <w:rFonts w:ascii="仿宋_GB2312" w:eastAsia="仿宋_GB2312"/>
          <w:sz w:val="32"/>
          <w:szCs w:val="32"/>
        </w:rPr>
        <w:t>办法自</w:t>
      </w:r>
      <w:r>
        <w:rPr>
          <w:rFonts w:hint="eastAsia" w:ascii="仿宋_GB2312" w:eastAsia="仿宋_GB2312"/>
          <w:sz w:val="32"/>
          <w:szCs w:val="32"/>
        </w:rPr>
        <w:t>公布之日</w:t>
      </w:r>
      <w:r>
        <w:rPr>
          <w:rFonts w:ascii="仿宋_GB2312" w:eastAsia="仿宋_GB2312"/>
          <w:sz w:val="32"/>
          <w:szCs w:val="32"/>
        </w:rPr>
        <w:t>起执行</w:t>
      </w:r>
      <w:r>
        <w:rPr>
          <w:rFonts w:hint="eastAsia" w:ascii="仿宋_GB2312" w:eastAsia="仿宋_GB2312"/>
          <w:sz w:val="32"/>
          <w:szCs w:val="32"/>
        </w:rPr>
        <w:t>。</w:t>
      </w:r>
    </w:p>
    <w:p>
      <w:pPr>
        <w:pageBreakBefore w:val="0"/>
        <w:kinsoku/>
        <w:overflowPunct/>
        <w:topLinePunct w:val="0"/>
        <w:bidi w:val="0"/>
        <w:spacing w:line="56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第二十条 </w:t>
      </w:r>
      <w:r>
        <w:rPr>
          <w:rFonts w:hint="eastAsia" w:ascii="仿宋_GB2312" w:eastAsia="仿宋_GB2312"/>
          <w:sz w:val="32"/>
          <w:szCs w:val="32"/>
        </w:rPr>
        <w:t xml:space="preserve"> 本办法由校学生工作部（处）负责解释。</w:t>
      </w:r>
    </w:p>
    <w:p>
      <w:pPr>
        <w:pageBreakBefore w:val="0"/>
        <w:kinsoku/>
        <w:overflowPunct/>
        <w:topLinePunct w:val="0"/>
        <w:bidi w:val="0"/>
        <w:spacing w:line="560" w:lineRule="exact"/>
        <w:ind w:firstLine="640" w:firstLineChars="200"/>
        <w:outlineLvl w:val="9"/>
        <w:rPr>
          <w:rFonts w:ascii="仿宋_GB2312" w:eastAsia="仿宋_GB2312"/>
          <w:sz w:val="32"/>
          <w:szCs w:val="32"/>
        </w:rPr>
      </w:pPr>
    </w:p>
    <w:p>
      <w:pPr>
        <w:pageBreakBefore w:val="0"/>
        <w:widowControl/>
        <w:kinsoku/>
        <w:overflowPunct/>
        <w:topLinePunct w:val="0"/>
        <w:bidi w:val="0"/>
        <w:spacing w:line="560" w:lineRule="exact"/>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343" w:name="_Toc534377806"/>
      <w:bookmarkStart w:id="344" w:name="_Toc13878"/>
      <w:bookmarkStart w:id="345" w:name="_Toc25888"/>
      <w:bookmarkStart w:id="346" w:name="_Toc491674439"/>
      <w:bookmarkStart w:id="347" w:name="_Toc20746"/>
      <w:bookmarkStart w:id="348" w:name="_Toc11030_WPSOffice_Level1"/>
      <w:bookmarkStart w:id="349" w:name="_Toc23109"/>
      <w:r>
        <w:rPr>
          <w:rFonts w:hint="eastAsia"/>
          <w:b/>
          <w:color w:val="000000"/>
          <w:sz w:val="36"/>
          <w:szCs w:val="36"/>
        </w:rPr>
        <w:t>柳州职业技术学院家庭经济困难学生认定办法</w:t>
      </w:r>
      <w:bookmarkEnd w:id="343"/>
      <w:bookmarkEnd w:id="344"/>
      <w:bookmarkEnd w:id="345"/>
      <w:bookmarkEnd w:id="346"/>
      <w:bookmarkEnd w:id="347"/>
      <w:bookmarkEnd w:id="348"/>
      <w:bookmarkEnd w:id="349"/>
    </w:p>
    <w:p>
      <w:pPr>
        <w:pStyle w:val="10"/>
        <w:pageBreakBefore w:val="0"/>
        <w:kinsoku/>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（柳职院学字〔2017〕60号）</w:t>
      </w:r>
    </w:p>
    <w:p>
      <w:pPr>
        <w:pageBreakBefore w:val="0"/>
        <w:kinsoku/>
        <w:overflowPunct/>
        <w:topLinePunct w:val="0"/>
        <w:bidi w:val="0"/>
        <w:jc w:val="center"/>
        <w:outlineLvl w:val="9"/>
        <w:rPr>
          <w:rFonts w:ascii="宋体" w:hAnsi="宋体"/>
          <w:b/>
          <w:szCs w:val="28"/>
        </w:rPr>
      </w:pPr>
    </w:p>
    <w:p>
      <w:pPr>
        <w:pageBreakBefore w:val="0"/>
        <w:kinsoku/>
        <w:overflowPunct/>
        <w:topLinePunct w:val="0"/>
        <w:bidi w:val="0"/>
        <w:spacing w:line="360" w:lineRule="auto"/>
        <w:jc w:val="center"/>
        <w:outlineLvl w:val="9"/>
        <w:rPr>
          <w:rFonts w:ascii="黑体" w:hAnsi="黑体" w:eastAsia="黑体"/>
          <w:b/>
          <w:sz w:val="32"/>
          <w:szCs w:val="32"/>
        </w:rPr>
      </w:pPr>
      <w:bookmarkStart w:id="350" w:name="_Toc15088_WPSOffice_Level1"/>
      <w:r>
        <w:rPr>
          <w:rFonts w:hint="eastAsia" w:ascii="黑体" w:hAnsi="黑体" w:eastAsia="黑体"/>
          <w:b/>
          <w:sz w:val="32"/>
          <w:szCs w:val="32"/>
        </w:rPr>
        <w:t>第一章 总则</w:t>
      </w:r>
      <w:bookmarkEnd w:id="350"/>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第一条 </w:t>
      </w:r>
      <w:r>
        <w:rPr>
          <w:rFonts w:hint="eastAsia" w:ascii="仿宋_GB2312" w:eastAsia="仿宋_GB2312"/>
          <w:sz w:val="32"/>
          <w:szCs w:val="32"/>
        </w:rPr>
        <w:t xml:space="preserve"> 为切实做好我校家庭经济困难学生认定工作，公平、公正、合理的分配资助资源，帮助家庭经济困难学生顺利完成学业，根据《教育部办公厅关于进一步加强和规范高校家庭经济困难学生认定工作的通知》（教财厅〔2016〕6号）和《关于印发&lt;关于进一步加强和规范广西高等学校家庭经济困难学生认定的指导意见&gt;的通知》（桂教资助〔2017〕21号）文件精神，制定本办法。</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本办法适用于我校全日制在校高职学生。</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第三条 </w:t>
      </w:r>
      <w:r>
        <w:rPr>
          <w:rFonts w:hint="eastAsia" w:ascii="仿宋_GB2312" w:eastAsia="仿宋_GB2312"/>
          <w:sz w:val="32"/>
          <w:szCs w:val="32"/>
        </w:rPr>
        <w:t xml:space="preserve"> 本办法中家庭经济困难学生是指学生本人及其家庭所能筹集到的资金，难以支付其在校期间的学习和生活基本费用的学生。</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第四条 </w:t>
      </w:r>
      <w:r>
        <w:rPr>
          <w:rFonts w:hint="eastAsia" w:ascii="仿宋_GB2312" w:eastAsia="仿宋_GB2312"/>
          <w:sz w:val="32"/>
          <w:szCs w:val="32"/>
        </w:rPr>
        <w:t xml:space="preserve"> 经认定的家庭经济困难学生，根据认定等级，经本人申请，符合资助条件的经学校审批可享受资助资源。</w:t>
      </w:r>
    </w:p>
    <w:p>
      <w:pPr>
        <w:pageBreakBefore w:val="0"/>
        <w:kinsoku/>
        <w:overflowPunct/>
        <w:topLinePunct w:val="0"/>
        <w:bidi w:val="0"/>
        <w:spacing w:line="360" w:lineRule="auto"/>
        <w:jc w:val="center"/>
        <w:outlineLvl w:val="9"/>
        <w:rPr>
          <w:rFonts w:ascii="黑体" w:hAnsi="黑体" w:eastAsia="黑体"/>
          <w:b/>
          <w:sz w:val="32"/>
          <w:szCs w:val="32"/>
        </w:rPr>
      </w:pPr>
      <w:bookmarkStart w:id="351" w:name="_Toc25044_WPSOffice_Level1"/>
      <w:r>
        <w:rPr>
          <w:rFonts w:hint="eastAsia" w:ascii="黑体" w:hAnsi="黑体" w:eastAsia="黑体"/>
          <w:b/>
          <w:sz w:val="32"/>
          <w:szCs w:val="32"/>
        </w:rPr>
        <w:t>第二章  组织机构</w:t>
      </w:r>
      <w:bookmarkEnd w:id="351"/>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第五条</w:t>
      </w:r>
      <w:r>
        <w:rPr>
          <w:rFonts w:hint="eastAsia" w:ascii="仿宋_GB2312" w:eastAsia="仿宋_GB2312"/>
          <w:sz w:val="32"/>
          <w:szCs w:val="32"/>
        </w:rPr>
        <w:t xml:space="preserve">  家庭经济困难学生认定工作必须严格工作制度，规范工作程序，做到公开、公平、公正。</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第六条</w:t>
      </w:r>
      <w:r>
        <w:rPr>
          <w:rFonts w:hint="eastAsia" w:ascii="仿宋_GB2312" w:eastAsia="仿宋_GB2312"/>
          <w:sz w:val="32"/>
          <w:szCs w:val="32"/>
        </w:rPr>
        <w:t xml:space="preserve">  学校成立学生资助工作领导小组，全面领导本校家庭经济困难学生的认定工作。学校学生资助管理中心具体负责组织和管理全校的认定工作，建立我校家庭经济困难学生档案，对学生的贫困情况和受资助情况进行记录，并实行动态管理。</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第七条</w:t>
      </w:r>
      <w:r>
        <w:rPr>
          <w:rFonts w:hint="eastAsia" w:ascii="仿宋_GB2312" w:eastAsia="仿宋_GB2312"/>
          <w:sz w:val="32"/>
          <w:szCs w:val="32"/>
        </w:rPr>
        <w:t xml:space="preserve">  二级学院成立以分管学生工作的院领导为组长、学生资助干事、学生辅导员等担任成员的认定工作组，负责认定的具体组织和审核工作。</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第八条</w:t>
      </w:r>
      <w:r>
        <w:rPr>
          <w:rFonts w:hint="eastAsia" w:ascii="仿宋_GB2312" w:eastAsia="仿宋_GB2312"/>
          <w:sz w:val="32"/>
          <w:szCs w:val="32"/>
        </w:rPr>
        <w:t xml:space="preserve">  二级学院以班级为单位，成立以学生辅导员任组长，学生代表担任成员的认定评议小组，负责认定民主评议工作。</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认定评议小组成员中，学生代表人数视班级人数合理配置，应具有广泛的代表性（班干、班级成员、宿舍成员等），班级评议小组成员不少于5人（一般不少于班级总人数的10%）。认定评议小组成立后，其成员名单应在本班级范围内公示，并报二级学院认定工作组备案。</w:t>
      </w:r>
    </w:p>
    <w:p>
      <w:pPr>
        <w:pageBreakBefore w:val="0"/>
        <w:kinsoku/>
        <w:overflowPunct/>
        <w:topLinePunct w:val="0"/>
        <w:bidi w:val="0"/>
        <w:spacing w:line="360" w:lineRule="auto"/>
        <w:jc w:val="center"/>
        <w:outlineLvl w:val="9"/>
        <w:rPr>
          <w:rFonts w:ascii="黑体" w:hAnsi="黑体" w:eastAsia="黑体"/>
          <w:b/>
          <w:sz w:val="32"/>
          <w:szCs w:val="32"/>
        </w:rPr>
      </w:pPr>
      <w:bookmarkStart w:id="352" w:name="_Toc29501_WPSOffice_Level1"/>
      <w:r>
        <w:rPr>
          <w:rFonts w:hint="eastAsia" w:ascii="黑体" w:hAnsi="黑体" w:eastAsia="黑体"/>
          <w:b/>
          <w:sz w:val="32"/>
          <w:szCs w:val="32"/>
        </w:rPr>
        <w:t>第三章  认定标准</w:t>
      </w:r>
      <w:bookmarkEnd w:id="352"/>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第九条 </w:t>
      </w:r>
      <w:r>
        <w:rPr>
          <w:rFonts w:hint="eastAsia" w:ascii="仿宋_GB2312" w:eastAsia="仿宋_GB2312"/>
          <w:sz w:val="32"/>
          <w:szCs w:val="32"/>
        </w:rPr>
        <w:t xml:space="preserve"> 家庭经济困难学生认定工作坚持实事求是，确定合理标准，由学生本人提出申请，实行民主评议和学校评定相结合的原则。</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第十条  </w:t>
      </w:r>
      <w:r>
        <w:rPr>
          <w:rFonts w:hint="eastAsia" w:ascii="仿宋_GB2312" w:eastAsia="仿宋_GB2312"/>
          <w:sz w:val="32"/>
          <w:szCs w:val="32"/>
        </w:rPr>
        <w:t>根据我校实际情况，将家庭经济困难学生情况分为A、B、C（特别困难、困难、突发事件特殊困难）三个等级，具体认定标准为：</w:t>
      </w:r>
      <w:r>
        <w:rPr>
          <w:rFonts w:ascii="仿宋_GB2312" w:eastAsia="仿宋_GB2312"/>
          <w:sz w:val="32"/>
          <w:szCs w:val="32"/>
        </w:rPr>
        <w:t xml:space="preserve"> </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A等级（特别困难）：农村建档立卡贫困户家庭经济困难学生、农村特困救助供养学生、城镇居民最低生活保障家庭和农村特困群众最低生活保障家庭的学生以及家庭经济困难孤残学生。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B等级（困难）：来自低收入家庭（以家庭人均月纯收入不高于高等学校所在地城镇居民最低生活保障标准20%为限）的学生。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C等级（突发事件特殊困难）：因家庭遭遇重大疾病、重大自然灾害和事故等突发事件，导致学生本人及其家庭所能筹集到的资金，难以支付其在校学习期间的学习和生活基本费用的学生。</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第十一条</w:t>
      </w:r>
      <w:r>
        <w:rPr>
          <w:rFonts w:hint="eastAsia" w:ascii="仿宋_GB2312" w:eastAsia="仿宋_GB2312"/>
          <w:sz w:val="32"/>
          <w:szCs w:val="32"/>
        </w:rPr>
        <w:t xml:space="preserve">  家庭经济困难学生认定比例应适当控制在在校生的40%左右。认定的A等级（特别困难）和B等级（困难）比例要适当。A等级＜B等级，A等级占通过认定的贫困生总数40-45%左右，B等级占55-60%。</w:t>
      </w:r>
    </w:p>
    <w:p>
      <w:pPr>
        <w:pageBreakBefore w:val="0"/>
        <w:kinsoku/>
        <w:overflowPunct/>
        <w:topLinePunct w:val="0"/>
        <w:bidi w:val="0"/>
        <w:spacing w:line="360" w:lineRule="auto"/>
        <w:jc w:val="center"/>
        <w:outlineLvl w:val="9"/>
        <w:rPr>
          <w:rFonts w:ascii="黑体" w:hAnsi="黑体" w:eastAsia="黑体"/>
          <w:b/>
          <w:sz w:val="32"/>
          <w:szCs w:val="32"/>
        </w:rPr>
      </w:pPr>
      <w:bookmarkStart w:id="353" w:name="_Toc20596_WPSOffice_Level1"/>
      <w:r>
        <w:rPr>
          <w:rFonts w:hint="eastAsia" w:ascii="黑体" w:hAnsi="黑体" w:eastAsia="黑体"/>
          <w:b/>
          <w:sz w:val="32"/>
          <w:szCs w:val="32"/>
        </w:rPr>
        <w:t>第四章  认定程序</w:t>
      </w:r>
      <w:bookmarkEnd w:id="353"/>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第十二条  </w:t>
      </w:r>
      <w:r>
        <w:rPr>
          <w:rFonts w:hint="eastAsia" w:ascii="仿宋_GB2312" w:eastAsia="仿宋_GB2312"/>
          <w:sz w:val="32"/>
          <w:szCs w:val="32"/>
        </w:rPr>
        <w:t>家庭经济困难学生认定工作要提高资助政策及执行情况的透明度，主动接受监督，做到“四公开”：所有资助项目要公开，所有申请条件要公开，所有评审过程要公开，所有资助结果要公开。</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第十三条</w:t>
      </w:r>
      <w:r>
        <w:rPr>
          <w:rFonts w:hint="eastAsia" w:ascii="仿宋_GB2312" w:eastAsia="仿宋_GB2312"/>
          <w:sz w:val="32"/>
          <w:szCs w:val="32"/>
        </w:rPr>
        <w:t xml:space="preserve">  家庭经济困难学生认定工作每学年进行一次。学校学生资助管理中心、二级学院认定工作组、班级认定评议小组，按照各自的职能分工，认真、负责地共同完成认定工作。</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第十四条</w:t>
      </w:r>
      <w:r>
        <w:rPr>
          <w:rFonts w:hint="eastAsia" w:ascii="仿宋_GB2312" w:eastAsia="仿宋_GB2312"/>
          <w:sz w:val="32"/>
          <w:szCs w:val="32"/>
        </w:rPr>
        <w:t xml:space="preserve">  学生提交《高校学生及家庭情况调查表》（附件1）。</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（一）学校在向新生寄送录取通知书时，同时寄送《高校学生及家庭情况调查表》。在每学期结束之前，对需要进行家庭经济困难申请的在校学生，向其发放《高校学生及家庭情况调查表》。</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需要申请认定家庭经济困难的新生及在校学生要如实填写《高校学生及家庭情况调查表》，并持该表到家庭所在地乡、镇或街道民政部门加盖公章（如乡、镇或街道民政部门无专用公章，可由政府代章），以证明家庭经济状况。</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（三）属农村建档立卡贫困户家庭，家庭经济困难孤、残学生，城乡居民最低生活保障家庭、遭遇重大突发事件经济困难家庭以及烈士子女的学生，需提供相关证件或证明的复印件一份（原件备查）。</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第十五条</w:t>
      </w:r>
      <w:r>
        <w:rPr>
          <w:rFonts w:hint="eastAsia" w:ascii="仿宋_GB2312" w:eastAsia="仿宋_GB2312"/>
          <w:sz w:val="32"/>
          <w:szCs w:val="32"/>
        </w:rPr>
        <w:t xml:space="preserve">  学生填写《柳州职业技术学院贫困学生申请表》（附件2）。</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每学年开学时，学校学生资助管理中心布置启动全校认定工作。二级学院认定工作组负责组织学生填写《柳州职业技术学院贫困学生申请表》，并负责收集《高校学生及家庭情况调查表》。</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第十六条</w:t>
      </w:r>
      <w:r>
        <w:rPr>
          <w:rFonts w:hint="eastAsia" w:ascii="仿宋_GB2312" w:eastAsia="仿宋_GB2312"/>
          <w:sz w:val="32"/>
          <w:szCs w:val="32"/>
        </w:rPr>
        <w:t xml:space="preserve">  班级认定评议小组进行民主评议。</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各班级认定评议小组根据学生提交的《柳州职业技术学院贫困学生申请表》和《高校学生及家庭情况调查表》，以学生家庭人均收入对照本办法中第三章第十条的家庭经济困难学生认定标准，结合学生日常消费水平，以及影响其家庭经济状况的有关情况，认真进行评议。确定本班级各等级的家庭经济困难学生资格后，报二级学院认定工作组进行审核。</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（二）班级认定评议小组进行民主评议过程中应着重考虑孤残学生、烈士子女，以及家庭成员长期患重病、家庭遭遇自然灾害或突发事件等特殊情况的学生。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（三）民主评议不得采取让学生当众诉苦、互相比困的方式，评议小组成员要注意保护申请学生的隐私。</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（四）农村建档立卡贫困户家庭学生一经确认身份，不需要经过评议环节，直接认定为特别困难，并进入公示环节。</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第十七条</w:t>
      </w:r>
      <w:r>
        <w:rPr>
          <w:rFonts w:hint="eastAsia" w:ascii="仿宋_GB2312" w:eastAsia="仿宋_GB2312"/>
          <w:sz w:val="32"/>
          <w:szCs w:val="32"/>
        </w:rPr>
        <w:t xml:space="preserve">  二级学院认定工作组审核初步评议结果。</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（一）二级学院认定工作组要认真审核认定评议小组申报的初步评议结果，如有异议，应积极听取认定评议小组的意见，予以更正。</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经二级学院认定工作组审核通过后，要将家庭经济困难学生名单及贫困等级，以适当方式、在适当范围内公示5个工作日。公示不得涉及学生个人及家庭隐私。如有异议，可通过有效方式向本学院认定工作组提出质疑。二级学院认定工作组应在接到异议材料的3个工作日内予以答复。如对学院认定工作组的答复仍有异议，可通过有效方式向学校学生资助管理中心提请复议。学校学生资助管理中心在接到复议提请的3个工作日内予以答复。如情况属实，应及时做出调整。</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（四）各二级学院应建立家庭经济困难学生档案，对学生的贫困情况和受资助情况进行记录，并实行动态管理。</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第十八条 </w:t>
      </w:r>
      <w:r>
        <w:rPr>
          <w:rFonts w:hint="eastAsia" w:ascii="仿宋_GB2312" w:eastAsia="仿宋_GB2312"/>
          <w:sz w:val="32"/>
          <w:szCs w:val="32"/>
        </w:rPr>
        <w:t xml:space="preserve"> 学校资助管理中心汇总认定结果，并建立学校家庭经济困难学生信息档案。</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学校学生资助管理中心负责汇总各二级学院提交的名单及《柳州职业技术学院贫困学生申请表》和《高校学生及家庭情况调查表》等材料，报学校学生资助工作领导小组审批。如有异议，反馈到各二级学院进行重新核查。学生资助管理中心建立全校家庭经济困难学生档案，对学生的贫困情况和受资助情况进行记录，并实行动态管理。</w:t>
      </w:r>
    </w:p>
    <w:p>
      <w:pPr>
        <w:pageBreakBefore w:val="0"/>
        <w:kinsoku/>
        <w:overflowPunct/>
        <w:topLinePunct w:val="0"/>
        <w:bidi w:val="0"/>
        <w:spacing w:line="360" w:lineRule="auto"/>
        <w:jc w:val="center"/>
        <w:outlineLvl w:val="9"/>
        <w:rPr>
          <w:rFonts w:ascii="黑体" w:hAnsi="黑体" w:eastAsia="黑体"/>
          <w:b/>
          <w:sz w:val="32"/>
          <w:szCs w:val="32"/>
        </w:rPr>
      </w:pPr>
      <w:bookmarkStart w:id="354" w:name="_Toc22892_WPSOffice_Level1"/>
      <w:r>
        <w:rPr>
          <w:rFonts w:hint="eastAsia" w:ascii="黑体" w:hAnsi="黑体" w:eastAsia="黑体"/>
          <w:b/>
          <w:sz w:val="32"/>
          <w:szCs w:val="32"/>
        </w:rPr>
        <w:t>第五章  认定工作的管理与监督</w:t>
      </w:r>
      <w:bookmarkEnd w:id="354"/>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第十九条</w:t>
      </w:r>
      <w:r>
        <w:rPr>
          <w:rFonts w:hint="eastAsia" w:ascii="仿宋_GB2312" w:eastAsia="仿宋_GB2312"/>
          <w:sz w:val="32"/>
          <w:szCs w:val="32"/>
        </w:rPr>
        <w:t xml:space="preserve">  学校学生资助管理中心和二级学院每学年应定期对家庭经济困难学生进行一次资格复查，并不定期地随机抽选一定比例的家庭经济困难学生，通过大数据分析、个别访谈、信件、电话、实地走访等方式进行了解核实。对困难、特别困难两类贫困生，应按一定比例予以抽查；对突发事件特殊困难类贫困生应尽可能逐个核实，其中有条件的可进行走访慰问。如发现弄虚作假现象，一经核实，取消资助资格，收回资助资金。情节严重的，学校将依据有关规定进行严肃处理。</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第二十条 </w:t>
      </w:r>
      <w:r>
        <w:rPr>
          <w:rFonts w:hint="eastAsia" w:ascii="仿宋_GB2312" w:eastAsia="仿宋_GB2312"/>
          <w:sz w:val="32"/>
          <w:szCs w:val="32"/>
        </w:rPr>
        <w:t xml:space="preserve"> 二级学院应加强学生的诚信教育，教育学生既不应隐而不报，更不能夸大虚报，应如实提供家庭情况，及时告知家庭经济状况显著变化情况。如学生家庭经济状况发生显著变化，各二级学院应及时书面报告学院学生资助管理中心，以便做出相应调整。</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第二十一条  </w:t>
      </w:r>
      <w:r>
        <w:rPr>
          <w:rFonts w:hint="eastAsia" w:ascii="仿宋_GB2312" w:eastAsia="仿宋_GB2312"/>
          <w:sz w:val="32"/>
          <w:szCs w:val="32"/>
        </w:rPr>
        <w:t>学校学生资助管理中心和二级学院应对经确认后认定为家庭经济困难的学生的生活及学习状况进行实时监控，并采取相应的资助措施，保证家庭经济困难学生基本的学习和生活水平。各类当年度的贫困资助（如国家助学金、国家励志奖学金、自治区人民政府奖学金等）以当年度认定的贫困生为资助对象。</w:t>
      </w:r>
    </w:p>
    <w:p>
      <w:pPr>
        <w:pageBreakBefore w:val="0"/>
        <w:kinsoku/>
        <w:overflowPunct/>
        <w:topLinePunct w:val="0"/>
        <w:bidi w:val="0"/>
        <w:spacing w:line="360" w:lineRule="auto"/>
        <w:jc w:val="center"/>
        <w:outlineLvl w:val="9"/>
        <w:rPr>
          <w:rFonts w:ascii="黑体" w:hAnsi="黑体" w:eastAsia="黑体"/>
          <w:b/>
          <w:sz w:val="32"/>
          <w:szCs w:val="32"/>
        </w:rPr>
      </w:pPr>
      <w:bookmarkStart w:id="355" w:name="_Toc7641_WPSOffice_Level1"/>
      <w:r>
        <w:rPr>
          <w:rFonts w:hint="eastAsia" w:ascii="黑体" w:hAnsi="黑体" w:eastAsia="黑体"/>
          <w:b/>
          <w:sz w:val="32"/>
          <w:szCs w:val="32"/>
        </w:rPr>
        <w:t>第六章  附则</w:t>
      </w:r>
      <w:bookmarkEnd w:id="355"/>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第二十二条 </w:t>
      </w:r>
      <w:r>
        <w:rPr>
          <w:rFonts w:hint="eastAsia" w:ascii="仿宋_GB2312" w:eastAsia="仿宋_GB2312"/>
          <w:sz w:val="32"/>
          <w:szCs w:val="32"/>
        </w:rPr>
        <w:t xml:space="preserve"> 本办法自公布之日起施行。原《柳州职业技术学院家庭经济困难学生认定办法》（柳职院学字〔2009〕28号）同时废止。</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第二十三条 </w:t>
      </w:r>
      <w:r>
        <w:rPr>
          <w:rFonts w:hint="eastAsia" w:ascii="仿宋_GB2312" w:eastAsia="仿宋_GB2312"/>
          <w:sz w:val="32"/>
          <w:szCs w:val="32"/>
        </w:rPr>
        <w:t xml:space="preserve"> 本办法由校学生工作部（处）负责解释。</w:t>
      </w:r>
    </w:p>
    <w:p>
      <w:pPr>
        <w:pageBreakBefore w:val="0"/>
        <w:widowControl/>
        <w:kinsoku/>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lang w:val="en-US" w:eastAsia="zh-CN"/>
        </w:rPr>
      </w:pPr>
      <w:bookmarkStart w:id="356" w:name="_Toc534379512"/>
      <w:bookmarkStart w:id="357" w:name="_Toc5343"/>
      <w:bookmarkStart w:id="358" w:name="_Toc14528"/>
      <w:bookmarkStart w:id="359" w:name="_Toc18739"/>
      <w:bookmarkStart w:id="360" w:name="_Toc12036_WPSOffice_Level1"/>
      <w:bookmarkStart w:id="361" w:name="_Toc6667"/>
      <w:r>
        <w:rPr>
          <w:rFonts w:hint="eastAsia"/>
          <w:b/>
          <w:color w:val="000000"/>
          <w:sz w:val="36"/>
          <w:szCs w:val="36"/>
          <w:lang w:val="en-US" w:eastAsia="zh-CN"/>
        </w:rPr>
        <w:t>柳州职业技术学院</w:t>
      </w:r>
      <w:bookmarkEnd w:id="356"/>
      <w:bookmarkStart w:id="362" w:name="_Toc534379513"/>
      <w:r>
        <w:rPr>
          <w:rFonts w:hint="eastAsia"/>
          <w:b/>
          <w:color w:val="000000"/>
          <w:sz w:val="36"/>
          <w:szCs w:val="36"/>
          <w:lang w:val="en-US" w:eastAsia="zh-CN"/>
        </w:rPr>
        <w:t>自治区人民政府奖学金评选管理办法（修订）</w:t>
      </w:r>
      <w:bookmarkEnd w:id="357"/>
      <w:bookmarkEnd w:id="358"/>
      <w:bookmarkEnd w:id="359"/>
      <w:bookmarkEnd w:id="360"/>
      <w:bookmarkEnd w:id="361"/>
      <w:bookmarkEnd w:id="362"/>
    </w:p>
    <w:p>
      <w:pPr>
        <w:pStyle w:val="10"/>
        <w:pageBreakBefore w:val="0"/>
        <w:kinsoku/>
        <w:overflowPunct/>
        <w:topLinePunct w:val="0"/>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（柳职院学字〔2018〕55号）</w:t>
      </w:r>
    </w:p>
    <w:p>
      <w:pPr>
        <w:pageBreakBefore w:val="0"/>
        <w:kinsoku/>
        <w:overflowPunct/>
        <w:topLinePunct w:val="0"/>
        <w:bidi w:val="0"/>
        <w:spacing w:line="550" w:lineRule="exact"/>
        <w:jc w:val="center"/>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363" w:name="_Toc10970_WPSOffice_Level1"/>
      <w:r>
        <w:rPr>
          <w:rFonts w:hint="eastAsia" w:ascii="黑体" w:hAnsi="仿宋_GB2312" w:eastAsia="黑体" w:cs="仿宋_GB2312"/>
          <w:b/>
          <w:kern w:val="0"/>
          <w:sz w:val="32"/>
          <w:szCs w:val="32"/>
        </w:rPr>
        <w:t>第一章  总则</w:t>
      </w:r>
      <w:bookmarkEnd w:id="363"/>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第一条</w:t>
      </w:r>
      <w:r>
        <w:rPr>
          <w:rFonts w:hint="eastAsia" w:ascii="仿宋_GB2312" w:hAnsi="仿宋_GB2312" w:eastAsia="仿宋_GB2312" w:cs="仿宋_GB2312"/>
          <w:kern w:val="0"/>
          <w:sz w:val="32"/>
          <w:szCs w:val="32"/>
        </w:rPr>
        <w:t xml:space="preserve">  为激励我校学生勤奋学习、努力进取，在德、智、体、美等方面全面发展，根据《广西壮族自治区人民政府关于进一步完善高等学校家庭经济困难学生资助政策体系的实施意见》（桂政发</w:t>
      </w:r>
      <w:r>
        <w:rPr>
          <w:rFonts w:hint="eastAsia" w:ascii="仿宋_GB2312" w:eastAsia="仿宋_GB2312"/>
          <w:sz w:val="32"/>
          <w:szCs w:val="32"/>
        </w:rPr>
        <w:t>〔2017〕</w:t>
      </w:r>
      <w:r>
        <w:rPr>
          <w:rFonts w:hint="eastAsia" w:ascii="仿宋_GB2312" w:hAnsi="仿宋_GB2312" w:eastAsia="仿宋_GB2312" w:cs="仿宋_GB2312"/>
          <w:kern w:val="0"/>
          <w:sz w:val="32"/>
          <w:szCs w:val="32"/>
        </w:rPr>
        <w:t>49号）和《关于印发&lt;自治区人民政府奖学金管理暂行办法&gt;的通知》（桂财教</w:t>
      </w:r>
      <w:r>
        <w:rPr>
          <w:rFonts w:hint="eastAsia" w:ascii="仿宋_GB2312" w:eastAsia="仿宋_GB2312"/>
          <w:sz w:val="32"/>
          <w:szCs w:val="32"/>
        </w:rPr>
        <w:t>〔2007〕</w:t>
      </w:r>
      <w:r>
        <w:rPr>
          <w:rFonts w:hint="eastAsia" w:ascii="仿宋_GB2312" w:hAnsi="仿宋_GB2312" w:eastAsia="仿宋_GB2312" w:cs="仿宋_GB2312"/>
          <w:kern w:val="0"/>
          <w:sz w:val="32"/>
          <w:szCs w:val="32"/>
        </w:rPr>
        <w:t>103号）文件精神，结合我校实际，制定本办法。</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第二条  </w:t>
      </w:r>
      <w:r>
        <w:rPr>
          <w:rFonts w:hint="eastAsia" w:ascii="仿宋_GB2312" w:hAnsi="仿宋_GB2312" w:eastAsia="仿宋_GB2312" w:cs="仿宋_GB2312"/>
          <w:kern w:val="0"/>
          <w:sz w:val="32"/>
          <w:szCs w:val="32"/>
        </w:rPr>
        <w:t>自治区人民政府奖学金（以下简称“政府奖学金”）用于奖励资助全区高校中品学兼优的全日制专科在校学生，包括当年考入普通高校的全日制本专科学生。</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第三条</w:t>
      </w:r>
      <w:r>
        <w:rPr>
          <w:rFonts w:hint="eastAsia" w:ascii="仿宋_GB2312" w:hAnsi="仿宋_GB2312" w:eastAsia="仿宋_GB2312" w:cs="仿宋_GB2312"/>
          <w:kern w:val="0"/>
          <w:sz w:val="32"/>
          <w:szCs w:val="32"/>
        </w:rPr>
        <w:t xml:space="preserve">  政府奖学金由自治区人民政府出资设立，每年奖励名额由自治区财政厅、教育厅确定。</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364" w:name="_Toc2371_WPSOffice_Level1"/>
      <w:r>
        <w:rPr>
          <w:rFonts w:hint="eastAsia" w:ascii="黑体" w:hAnsi="仿宋_GB2312" w:eastAsia="黑体" w:cs="仿宋_GB2312"/>
          <w:b/>
          <w:kern w:val="0"/>
          <w:sz w:val="32"/>
          <w:szCs w:val="32"/>
        </w:rPr>
        <w:t>第二章  奖励标准与基本条件</w:t>
      </w:r>
      <w:bookmarkEnd w:id="364"/>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第四条  </w:t>
      </w:r>
      <w:r>
        <w:rPr>
          <w:rFonts w:hint="eastAsia" w:ascii="仿宋_GB2312" w:hAnsi="仿宋_GB2312" w:eastAsia="仿宋_GB2312" w:cs="仿宋_GB2312"/>
          <w:kern w:val="0"/>
          <w:sz w:val="32"/>
          <w:szCs w:val="32"/>
        </w:rPr>
        <w:t>政府奖学金的奖励标准为每人每年5000元。</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第五条</w:t>
      </w:r>
      <w:r>
        <w:rPr>
          <w:rFonts w:hint="eastAsia" w:ascii="仿宋_GB2312" w:hAnsi="仿宋_GB2312" w:eastAsia="仿宋_GB2312" w:cs="仿宋_GB2312"/>
          <w:kern w:val="0"/>
          <w:sz w:val="32"/>
          <w:szCs w:val="32"/>
        </w:rPr>
        <w:t xml:space="preserve">  政府奖学金的基本申请条件：</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1.热爱社会主义祖国，拥护中国共产党的领导；</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2.遵守宪法和法律，模范遵守《普通高等学校学生管理规定》、《高等学校学生行为准则》，遵守学校各项规章制度，无违纪违规记录；</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3.诚实守信，道德品质优良，关心集体，团结同学，乐于助人，举止文明；无不良嗜好，如抽烟、酗酒、赌博等；无不良消费行为，不良校园网贷等；</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4.在校期间学习成绩优秀，学习成绩排名与综合素质测评成绩排名均位于本班级前10%，无不及格科目，社会实践、创新能力、综合素质等方面特别突出；</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学习成绩排名与综合测评成绩排名中的任何一项没有进入前10%，但均在前30%以内，必须在道德风尚、学术研究、学科竞赛、创新发明、社会实践、社会工作、体育竞赛、文艺比赛等某一方面表现特别优秀，方可申请政府奖学金；</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6.学习成绩排名或综合考评成绩排名超出前30%，不具备申请资格。</w:t>
      </w:r>
      <w:r>
        <w:rPr>
          <w:rFonts w:ascii="仿宋_GB2312" w:hAnsi="仿宋_GB2312" w:eastAsia="仿宋_GB2312" w:cs="仿宋_GB2312"/>
          <w:kern w:val="0"/>
          <w:sz w:val="32"/>
          <w:szCs w:val="32"/>
        </w:rPr>
        <w:t xml:space="preserve"> </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365" w:name="_Toc6267_WPSOffice_Level1"/>
      <w:r>
        <w:rPr>
          <w:rFonts w:hint="eastAsia" w:ascii="黑体" w:hAnsi="仿宋_GB2312" w:eastAsia="黑体" w:cs="仿宋_GB2312"/>
          <w:b/>
          <w:kern w:val="0"/>
          <w:sz w:val="32"/>
          <w:szCs w:val="32"/>
        </w:rPr>
        <w:t>第三章  名额分配</w:t>
      </w:r>
      <w:bookmarkEnd w:id="365"/>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第六条</w:t>
      </w:r>
      <w:r>
        <w:rPr>
          <w:rFonts w:hint="eastAsia" w:ascii="仿宋_GB2312" w:hAnsi="仿宋_GB2312" w:eastAsia="仿宋_GB2312" w:cs="仿宋_GB2312"/>
          <w:kern w:val="0"/>
          <w:sz w:val="32"/>
          <w:szCs w:val="32"/>
        </w:rPr>
        <w:t xml:space="preserve">  学生资助管理中心根据教育厅每年下达的政府奖学金名额，并参考各二级学院在校学生人数比例确定。</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366" w:name="_Toc19183_WPSOffice_Level1"/>
      <w:r>
        <w:rPr>
          <w:rFonts w:hint="eastAsia" w:ascii="黑体" w:hAnsi="仿宋_GB2312" w:eastAsia="黑体" w:cs="仿宋_GB2312"/>
          <w:b/>
          <w:kern w:val="0"/>
          <w:sz w:val="32"/>
          <w:szCs w:val="32"/>
        </w:rPr>
        <w:t>第四章  评审组织机构</w:t>
      </w:r>
      <w:bookmarkEnd w:id="366"/>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第七条</w:t>
      </w:r>
      <w:r>
        <w:rPr>
          <w:rFonts w:hint="eastAsia" w:ascii="仿宋_GB2312" w:hAnsi="仿宋_GB2312" w:eastAsia="仿宋_GB2312" w:cs="仿宋_GB2312"/>
          <w:kern w:val="0"/>
          <w:sz w:val="32"/>
          <w:szCs w:val="32"/>
        </w:rPr>
        <w:t xml:space="preserve">  学校成立自治区人民政府奖学金评审领导小组，评审领导小组下设政府奖学金评审办公室，办公室设在学生资助管理中心。</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自治区人民政府奖学金评审领导小组全面领导和监督评审工作，并裁决有关申诉事项。评审领导小组办公室负责制定名额分配方案，协调评审工作；负责全校推荐学生的资格审核、资料审查、评审等工作。</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第八条</w:t>
      </w:r>
      <w:r>
        <w:rPr>
          <w:rFonts w:hint="eastAsia" w:ascii="仿宋_GB2312" w:hAnsi="仿宋_GB2312" w:eastAsia="仿宋_GB2312" w:cs="仿宋_GB2312"/>
          <w:kern w:val="0"/>
          <w:sz w:val="32"/>
          <w:szCs w:val="32"/>
        </w:rPr>
        <w:t xml:space="preserve">  各二级学院成立以分管学生工作的院领导为组长、学生科长、学生资助干事、学生辅导员等担任成员的评审领导小组，负责组织和开展本学院政府奖学金的申请和初评工作。</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367" w:name="_Toc13548_WPSOffice_Level1"/>
      <w:r>
        <w:rPr>
          <w:rFonts w:hint="eastAsia" w:ascii="黑体" w:hAnsi="仿宋_GB2312" w:eastAsia="黑体" w:cs="仿宋_GB2312"/>
          <w:b/>
          <w:kern w:val="0"/>
          <w:sz w:val="32"/>
          <w:szCs w:val="32"/>
        </w:rPr>
        <w:t>第五章  评审标准</w:t>
      </w:r>
      <w:bookmarkEnd w:id="367"/>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第九条</w:t>
      </w:r>
      <w:r>
        <w:rPr>
          <w:rFonts w:hint="eastAsia" w:ascii="仿宋_GB2312" w:hAnsi="仿宋_GB2312" w:eastAsia="仿宋_GB2312" w:cs="仿宋_GB2312"/>
          <w:kern w:val="0"/>
          <w:sz w:val="32"/>
          <w:szCs w:val="32"/>
        </w:rPr>
        <w:t xml:space="preserve">  政府奖学金实行等额评审，坚持公开、公平、公正、择优的原则。</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第十条</w:t>
      </w:r>
      <w:r>
        <w:rPr>
          <w:rFonts w:hint="eastAsia" w:ascii="仿宋_GB2312" w:hAnsi="仿宋_GB2312" w:eastAsia="仿宋_GB2312" w:cs="仿宋_GB2312"/>
          <w:kern w:val="0"/>
          <w:sz w:val="32"/>
          <w:szCs w:val="32"/>
        </w:rPr>
        <w:t xml:space="preserve">  同一学年内，申请政府奖学金的学生可以同时申请并获得国家助学金，但不能同时获得国家奖学金或国家励志奖学金。</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368" w:name="_Toc19926_WPSOffice_Level1"/>
      <w:r>
        <w:rPr>
          <w:rFonts w:hint="eastAsia" w:ascii="黑体" w:hAnsi="仿宋_GB2312" w:eastAsia="黑体" w:cs="仿宋_GB2312"/>
          <w:b/>
          <w:kern w:val="0"/>
          <w:sz w:val="32"/>
          <w:szCs w:val="32"/>
        </w:rPr>
        <w:t>第六章  评审程序</w:t>
      </w:r>
      <w:bookmarkEnd w:id="368"/>
      <w:r>
        <w:rPr>
          <w:rFonts w:hint="eastAsia" w:ascii="黑体" w:hAnsi="仿宋_GB2312" w:eastAsia="黑体" w:cs="仿宋_GB2312"/>
          <w:b/>
          <w:kern w:val="0"/>
          <w:sz w:val="32"/>
          <w:szCs w:val="32"/>
        </w:rPr>
        <w:t xml:space="preserve"> </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第十一条  </w:t>
      </w:r>
      <w:r>
        <w:rPr>
          <w:rFonts w:hint="eastAsia" w:ascii="仿宋_GB2312" w:hAnsi="仿宋_GB2312" w:eastAsia="仿宋_GB2312" w:cs="仿宋_GB2312"/>
          <w:kern w:val="0"/>
          <w:sz w:val="32"/>
          <w:szCs w:val="32"/>
        </w:rPr>
        <w:t>符合政府奖学金申请条件的学生向所在学院提出申请，填写《自治区人民政府奖学金申请表》（附件）。二级学院评审领导小组确定初评名单并在本学院内公示3个工作日，公示无异议后，将初评的相关材料报学生资助管理中心。</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第十二条  </w:t>
      </w:r>
      <w:r>
        <w:rPr>
          <w:rFonts w:hint="eastAsia" w:ascii="仿宋_GB2312" w:hAnsi="仿宋_GB2312" w:eastAsia="仿宋_GB2312" w:cs="仿宋_GB2312"/>
          <w:kern w:val="0"/>
          <w:sz w:val="32"/>
          <w:szCs w:val="32"/>
        </w:rPr>
        <w:t>学生资助管理中心汇总、审核二级学院报送的政府奖学初审名单及相关材料，提出当年政府奖学金获奖学生建议名单，报学校政府奖学金评审领导小组审批，审定结果在全校范围内公示5个工作日。</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第十三条</w:t>
      </w:r>
      <w:r>
        <w:rPr>
          <w:rFonts w:hint="eastAsia" w:ascii="仿宋_GB2312" w:hAnsi="仿宋_GB2312" w:eastAsia="仿宋_GB2312" w:cs="仿宋_GB2312"/>
          <w:kern w:val="0"/>
          <w:sz w:val="32"/>
          <w:szCs w:val="32"/>
        </w:rPr>
        <w:t xml:space="preserve">  学生个人对政府奖学金审定结果如有异议，可在公示期间向学生资助管理中心提起申诉。学生资助管理中心经过调查核实，并由学校政府奖学金评审领导小组裁决后，通知学生本人及所在二级学院。</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第十四条  </w:t>
      </w:r>
      <w:r>
        <w:rPr>
          <w:rFonts w:hint="eastAsia" w:ascii="仿宋_GB2312" w:hAnsi="仿宋_GB2312" w:eastAsia="仿宋_GB2312" w:cs="仿宋_GB2312"/>
          <w:kern w:val="0"/>
          <w:sz w:val="32"/>
          <w:szCs w:val="32"/>
        </w:rPr>
        <w:t>学生资助管理中心将公示无异议的政府奖学金获奖学生名单报广西自治区资助办，最终名单以区资助办批复为准。</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369" w:name="_Toc11682_WPSOffice_Level1"/>
      <w:r>
        <w:rPr>
          <w:rFonts w:hint="eastAsia" w:ascii="黑体" w:hAnsi="仿宋_GB2312" w:eastAsia="黑体" w:cs="仿宋_GB2312"/>
          <w:b/>
          <w:kern w:val="0"/>
          <w:sz w:val="32"/>
          <w:szCs w:val="32"/>
        </w:rPr>
        <w:t>第七章  奖学金的发放、管理与监督</w:t>
      </w:r>
      <w:bookmarkEnd w:id="369"/>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第十五条</w:t>
      </w:r>
      <w:r>
        <w:rPr>
          <w:rFonts w:hint="eastAsia" w:ascii="仿宋_GB2312" w:hAnsi="仿宋_GB2312" w:eastAsia="仿宋_GB2312" w:cs="仿宋_GB2312"/>
          <w:kern w:val="0"/>
          <w:sz w:val="32"/>
          <w:szCs w:val="32"/>
        </w:rPr>
        <w:t xml:space="preserve">  学校在正式公告获奖学生名单并下拨专项经费后，由学校财务处通过银行卡的方式，将政府奖学金一次性发放给获奖学生。学校给获奖学生颁发国家统一印制的奖励证书，并将获奖情况记入学生学籍档案。</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第十六条</w:t>
      </w:r>
      <w:r>
        <w:rPr>
          <w:rFonts w:hint="eastAsia" w:ascii="仿宋_GB2312" w:hAnsi="仿宋_GB2312" w:eastAsia="仿宋_GB2312" w:cs="仿宋_GB2312"/>
          <w:kern w:val="0"/>
          <w:sz w:val="32"/>
          <w:szCs w:val="32"/>
        </w:rPr>
        <w:t xml:space="preserve">  学校为政府奖学金建立专款账户，实行分账核算，专款专用，并接受上级有关部门的审计、检查和监督。</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370" w:name="_Toc16657_WPSOffice_Level1"/>
      <w:r>
        <w:rPr>
          <w:rFonts w:hint="eastAsia" w:ascii="黑体" w:hAnsi="仿宋_GB2312" w:eastAsia="黑体" w:cs="仿宋_GB2312"/>
          <w:b/>
          <w:kern w:val="0"/>
          <w:sz w:val="32"/>
          <w:szCs w:val="32"/>
        </w:rPr>
        <w:t>第八章  附则</w:t>
      </w:r>
      <w:bookmarkEnd w:id="370"/>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第十七条</w:t>
      </w:r>
      <w:r>
        <w:rPr>
          <w:rFonts w:hint="eastAsia" w:ascii="仿宋_GB2312" w:hAnsi="仿宋_GB2312" w:eastAsia="仿宋_GB2312" w:cs="仿宋_GB2312"/>
          <w:kern w:val="0"/>
          <w:sz w:val="32"/>
          <w:szCs w:val="32"/>
        </w:rPr>
        <w:t xml:space="preserve">  本办法自公布之日起施行。</w:t>
      </w:r>
    </w:p>
    <w:p>
      <w:pPr>
        <w:pageBreakBefore w:val="0"/>
        <w:kinsoku/>
        <w:overflowPunct/>
        <w:topLinePunct w:val="0"/>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第十八条</w:t>
      </w:r>
      <w:r>
        <w:rPr>
          <w:rFonts w:hint="eastAsia" w:ascii="仿宋_GB2312" w:hAnsi="仿宋_GB2312" w:eastAsia="仿宋_GB2312" w:cs="仿宋_GB2312"/>
          <w:kern w:val="0"/>
          <w:sz w:val="32"/>
          <w:szCs w:val="32"/>
        </w:rPr>
        <w:t xml:space="preserve">  本办法由校学生工作部（处）负责解释。</w:t>
      </w:r>
    </w:p>
    <w:p>
      <w:pPr>
        <w:pageBreakBefore w:val="0"/>
        <w:kinsoku/>
        <w:overflowPunct/>
        <w:topLinePunct w:val="0"/>
        <w:bidi w:val="0"/>
        <w:spacing w:before="0" w:after="0" w:line="600" w:lineRule="exact"/>
        <w:jc w:val="center"/>
        <w:outlineLvl w:val="9"/>
        <w:rPr>
          <w:rFonts w:asciiTheme="minorEastAsia" w:hAnsiTheme="minorEastAsia" w:eastAsiaTheme="minorEastAsia"/>
          <w:color w:val="000000"/>
          <w:kern w:val="2"/>
          <w:sz w:val="36"/>
          <w:szCs w:val="36"/>
        </w:rPr>
      </w:pPr>
      <w:r>
        <w:rPr>
          <w:rFonts w:ascii="仿宋_GB2312" w:hAnsi="仿宋_GB2312" w:eastAsia="仿宋_GB2312" w:cs="仿宋_GB2312"/>
          <w:kern w:val="0"/>
          <w:sz w:val="32"/>
          <w:szCs w:val="32"/>
          <w:lang w:bidi="ar"/>
        </w:rPr>
        <w:br w:type="page"/>
      </w:r>
      <w:bookmarkStart w:id="371" w:name="_Toc534377809"/>
      <w:bookmarkStart w:id="372" w:name="_Toc491674442"/>
      <w:bookmarkStart w:id="373" w:name="_Toc5885_WPSOffice_Level1"/>
      <w:r>
        <w:rPr>
          <w:rFonts w:hint="eastAsia"/>
          <w:b/>
          <w:color w:val="000000"/>
          <w:sz w:val="36"/>
          <w:szCs w:val="36"/>
          <w:lang w:val="en-US" w:eastAsia="zh-CN"/>
        </w:rPr>
        <w:t>柳州职业技术学院国家助学金评选管理办法</w:t>
      </w:r>
      <w:bookmarkEnd w:id="371"/>
      <w:bookmarkEnd w:id="372"/>
      <w:bookmarkEnd w:id="373"/>
    </w:p>
    <w:p>
      <w:pPr>
        <w:pStyle w:val="10"/>
        <w:pageBreakBefore w:val="0"/>
        <w:kinsoku/>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（柳职院学字〔2017〕62号）</w:t>
      </w:r>
    </w:p>
    <w:p>
      <w:pPr>
        <w:pageBreakBefore w:val="0"/>
        <w:kinsoku/>
        <w:overflowPunct/>
        <w:topLinePunct w:val="0"/>
        <w:bidi w:val="0"/>
        <w:spacing w:line="580" w:lineRule="exact"/>
        <w:ind w:firstLine="640" w:firstLineChars="200"/>
        <w:outlineLvl w:val="9"/>
        <w:rPr>
          <w:rFonts w:ascii="仿宋_GB2312" w:eastAsia="仿宋_GB2312"/>
          <w:sz w:val="32"/>
          <w:szCs w:val="32"/>
        </w:rPr>
      </w:pPr>
    </w:p>
    <w:p>
      <w:pPr>
        <w:pageBreakBefore w:val="0"/>
        <w:kinsoku/>
        <w:overflowPunct/>
        <w:topLinePunct w:val="0"/>
        <w:bidi w:val="0"/>
        <w:spacing w:line="360" w:lineRule="auto"/>
        <w:jc w:val="center"/>
        <w:outlineLvl w:val="9"/>
        <w:rPr>
          <w:rFonts w:ascii="黑体" w:hAnsi="黑体" w:eastAsia="黑体"/>
          <w:b/>
          <w:sz w:val="32"/>
          <w:szCs w:val="32"/>
        </w:rPr>
      </w:pPr>
      <w:bookmarkStart w:id="374" w:name="_Toc10879_WPSOffice_Level1"/>
      <w:r>
        <w:rPr>
          <w:rFonts w:hint="eastAsia" w:ascii="黑体" w:hAnsi="黑体" w:eastAsia="黑体"/>
          <w:b/>
          <w:sz w:val="32"/>
          <w:szCs w:val="32"/>
        </w:rPr>
        <w:t>第一章  总则</w:t>
      </w:r>
      <w:bookmarkEnd w:id="374"/>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第一条  </w:t>
      </w:r>
      <w:r>
        <w:rPr>
          <w:rFonts w:hint="eastAsia" w:ascii="仿宋_GB2312" w:eastAsia="仿宋_GB2312"/>
          <w:sz w:val="32"/>
          <w:szCs w:val="32"/>
        </w:rPr>
        <w:t>为加强我校国家助学金的管理，认真做好我校家庭经济困难学生的资助工作，根据《广西壮族自治区人民政府关于建立健全普通本科高校、高等职业学校和中等职业学校家庭经济困难学生资助政策体系的实施意见》（桂政发〔2007〕27号）、《财政部教育部关于印发&lt;普通本科高校、高等职业学校国家助学金管理暂行办法&gt;的通知》（财教〔2007〕92号）和《关于印发普通本科高校高等职业学校国家助学金管理实施细则（修订）的通知》（桂财教〔2014〕130号）文件精神，结合我校实际，制定本办法。</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国家助学金用于资助高校全日制本专科（含高职、第二学士学位）在校生中的家庭经济困难学生。</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第三条</w:t>
      </w:r>
      <w:r>
        <w:rPr>
          <w:rFonts w:hint="eastAsia" w:ascii="仿宋_GB2312" w:eastAsia="仿宋_GB2312"/>
          <w:sz w:val="32"/>
          <w:szCs w:val="32"/>
        </w:rPr>
        <w:t xml:space="preserve">  国家助学金所需经费由中央政府和我市财政按8:2的比例分担。</w:t>
      </w:r>
    </w:p>
    <w:p>
      <w:pPr>
        <w:pageBreakBefore w:val="0"/>
        <w:kinsoku/>
        <w:overflowPunct/>
        <w:topLinePunct w:val="0"/>
        <w:bidi w:val="0"/>
        <w:spacing w:line="360" w:lineRule="auto"/>
        <w:jc w:val="center"/>
        <w:outlineLvl w:val="9"/>
        <w:rPr>
          <w:rFonts w:ascii="黑体" w:hAnsi="黑体" w:eastAsia="黑体"/>
          <w:b/>
          <w:sz w:val="32"/>
          <w:szCs w:val="32"/>
        </w:rPr>
      </w:pPr>
      <w:bookmarkStart w:id="375" w:name="_Toc7769_WPSOffice_Level1"/>
      <w:r>
        <w:rPr>
          <w:rFonts w:hint="eastAsia" w:ascii="黑体" w:hAnsi="黑体" w:eastAsia="黑体"/>
          <w:b/>
          <w:sz w:val="32"/>
          <w:szCs w:val="32"/>
        </w:rPr>
        <w:t>第二章  资助标准与基本条件</w:t>
      </w:r>
      <w:bookmarkEnd w:id="375"/>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第四条</w:t>
      </w:r>
      <w:r>
        <w:rPr>
          <w:rFonts w:hint="eastAsia" w:ascii="仿宋_GB2312" w:eastAsia="仿宋_GB2312"/>
          <w:sz w:val="32"/>
          <w:szCs w:val="32"/>
        </w:rPr>
        <w:t xml:space="preserve">  国家助学金主要资助家庭经济困难学生的生活费用开支，资助标准分两档执行：</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一等国家助学金，补助标准为每生每年4000元，主要用于补助家庭经济特别困难的学生（特困生）。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二等国家助学金，补助标准为每生每年2000元，主要用于补助家庭经济困难的学生（贫困生）。</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第五条  </w:t>
      </w:r>
      <w:r>
        <w:rPr>
          <w:rFonts w:hint="eastAsia" w:ascii="仿宋_GB2312" w:eastAsia="仿宋_GB2312"/>
          <w:sz w:val="32"/>
          <w:szCs w:val="32"/>
        </w:rPr>
        <w:t>国家助学金的基本申请条件：</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1.热爱社会主义祖国，拥护中国共产党的领导；</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2.遵守宪法和法律，遵守学校各项规章制度，无违纪违规记录；</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3.诚实守信，道德品质优良，关心集体，团结同学，乐于助人，举止文明；</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4.勤奋学习，积极上进；</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5.家庭经济困难，生活俭朴，无不良嗜好，如抽烟、酗酒、赌博等,无不良消费行为，不良校园网贷等。</w:t>
      </w:r>
    </w:p>
    <w:p>
      <w:pPr>
        <w:pageBreakBefore w:val="0"/>
        <w:kinsoku/>
        <w:overflowPunct/>
        <w:topLinePunct w:val="0"/>
        <w:bidi w:val="0"/>
        <w:spacing w:line="360" w:lineRule="auto"/>
        <w:jc w:val="center"/>
        <w:outlineLvl w:val="9"/>
        <w:rPr>
          <w:rFonts w:ascii="黑体" w:hAnsi="黑体" w:eastAsia="黑体"/>
          <w:b/>
          <w:sz w:val="32"/>
          <w:szCs w:val="32"/>
        </w:rPr>
      </w:pPr>
      <w:bookmarkStart w:id="376" w:name="_Toc11550_WPSOffice_Level1"/>
      <w:r>
        <w:rPr>
          <w:rFonts w:hint="eastAsia" w:ascii="黑体" w:hAnsi="黑体" w:eastAsia="黑体"/>
          <w:b/>
          <w:sz w:val="32"/>
          <w:szCs w:val="32"/>
        </w:rPr>
        <w:t>第三章  名额分配</w:t>
      </w:r>
      <w:bookmarkEnd w:id="376"/>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第六条</w:t>
      </w:r>
      <w:r>
        <w:rPr>
          <w:rFonts w:hint="eastAsia" w:ascii="仿宋_GB2312" w:eastAsia="仿宋_GB2312"/>
          <w:sz w:val="32"/>
          <w:szCs w:val="32"/>
        </w:rPr>
        <w:t xml:space="preserve">  学生资助管理中心根据上级下达国家助学金的经费预算，综合考虑各二级学院的家庭经济困难学生比例，对各二级学院国家助学金的资助名额进行分配。</w:t>
      </w:r>
    </w:p>
    <w:p>
      <w:pPr>
        <w:pageBreakBefore w:val="0"/>
        <w:kinsoku/>
        <w:overflowPunct/>
        <w:topLinePunct w:val="0"/>
        <w:bidi w:val="0"/>
        <w:spacing w:line="360" w:lineRule="auto"/>
        <w:jc w:val="center"/>
        <w:outlineLvl w:val="9"/>
        <w:rPr>
          <w:rFonts w:ascii="黑体" w:hAnsi="黑体" w:eastAsia="黑体"/>
          <w:b/>
          <w:sz w:val="32"/>
          <w:szCs w:val="32"/>
        </w:rPr>
      </w:pPr>
      <w:bookmarkStart w:id="377" w:name="_Toc8578_WPSOffice_Level1"/>
      <w:r>
        <w:rPr>
          <w:rFonts w:hint="eastAsia" w:ascii="黑体" w:hAnsi="黑体" w:eastAsia="黑体"/>
          <w:b/>
          <w:sz w:val="32"/>
          <w:szCs w:val="32"/>
        </w:rPr>
        <w:t>第四章  评审组织机构</w:t>
      </w:r>
      <w:bookmarkEnd w:id="377"/>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第七条  </w:t>
      </w:r>
      <w:r>
        <w:rPr>
          <w:rFonts w:hint="eastAsia" w:ascii="仿宋_GB2312" w:eastAsia="仿宋_GB2312"/>
          <w:sz w:val="32"/>
          <w:szCs w:val="32"/>
        </w:rPr>
        <w:t>学校学生资助工作领导小组全面领导和监督评审工作，并裁决有关申诉事项。学校评审领导小组办公室设在学生资助管理中心，负责制定名额分配方案，协调评审工作；负责全校推荐学生的资格审核、资料审查、评审等工作。</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第八条</w:t>
      </w:r>
      <w:r>
        <w:rPr>
          <w:rFonts w:hint="eastAsia" w:ascii="仿宋_GB2312" w:eastAsia="仿宋_GB2312"/>
          <w:sz w:val="32"/>
          <w:szCs w:val="32"/>
        </w:rPr>
        <w:t xml:space="preserve">  各二级学院学生资助工作领导小组负责组织和开展本学院国家助学金的申请和初评工作。</w:t>
      </w:r>
    </w:p>
    <w:p>
      <w:pPr>
        <w:pageBreakBefore w:val="0"/>
        <w:kinsoku/>
        <w:overflowPunct/>
        <w:topLinePunct w:val="0"/>
        <w:bidi w:val="0"/>
        <w:spacing w:line="360" w:lineRule="auto"/>
        <w:jc w:val="center"/>
        <w:outlineLvl w:val="9"/>
        <w:rPr>
          <w:rFonts w:ascii="黑体" w:hAnsi="黑体" w:eastAsia="黑体"/>
          <w:b/>
          <w:sz w:val="32"/>
          <w:szCs w:val="32"/>
        </w:rPr>
      </w:pPr>
      <w:bookmarkStart w:id="378" w:name="_Toc812_WPSOffice_Level1"/>
      <w:r>
        <w:rPr>
          <w:rFonts w:hint="eastAsia" w:ascii="黑体" w:hAnsi="黑体" w:eastAsia="黑体"/>
          <w:b/>
          <w:sz w:val="32"/>
          <w:szCs w:val="32"/>
        </w:rPr>
        <w:t>第五章  评审标准</w:t>
      </w:r>
      <w:bookmarkEnd w:id="378"/>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第九条</w:t>
      </w:r>
      <w:r>
        <w:rPr>
          <w:rFonts w:hint="eastAsia" w:ascii="仿宋_GB2312" w:eastAsia="仿宋_GB2312"/>
          <w:sz w:val="32"/>
          <w:szCs w:val="32"/>
        </w:rPr>
        <w:t xml:space="preserve">  国家助学金按学年申请和评审，评定工作坚持公开、公平、公正的原则。</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第十条 </w:t>
      </w:r>
      <w:r>
        <w:rPr>
          <w:rFonts w:hint="eastAsia" w:ascii="仿宋_GB2312" w:eastAsia="仿宋_GB2312"/>
          <w:sz w:val="32"/>
          <w:szCs w:val="32"/>
        </w:rPr>
        <w:t xml:space="preserve"> 国家助学金按学年申请和评审。</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第十一条  </w:t>
      </w:r>
      <w:r>
        <w:rPr>
          <w:rFonts w:hint="eastAsia" w:ascii="仿宋_GB2312" w:eastAsia="仿宋_GB2312"/>
          <w:sz w:val="32"/>
          <w:szCs w:val="32"/>
        </w:rPr>
        <w:t>学生根据本办法规定的国家助学金的基本申请条件及其他有关规定，向学校提出申请，并递交《广西普通本科高校、高等职业学校国家助学金申请表》（附件1）。</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在同一学年内，申请并获得国家助学金的学生，可同时申请并获得国家奖学金或国家励志奖学金或自治区人民政府奖学金。</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第十二条</w:t>
      </w:r>
      <w:r>
        <w:rPr>
          <w:rFonts w:hint="eastAsia" w:ascii="仿宋_GB2312" w:eastAsia="仿宋_GB2312"/>
          <w:sz w:val="32"/>
          <w:szCs w:val="32"/>
        </w:rPr>
        <w:t xml:space="preserve">  家庭经济困难学生中有下列情况之一的，可优先享受国家助学金：</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（一）享受城乡最低生活保障政策家庭学生；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（二）孤儿；</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（三）烈士子女；</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（四）家庭经济困难的残疾学生；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（五）农村建档立卡贫困户学生；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（六）家庭遭遇不可抗力及其它特殊情况造成人身及财产重大损失，超越家庭经济承受能力的学生。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具备上述情形之一者，需提交相关证明材料，如《低保证》、《烈军属证》、《残疾证》、《精准帮扶手册》以及孤儿证明等。</w:t>
      </w:r>
    </w:p>
    <w:p>
      <w:pPr>
        <w:pageBreakBefore w:val="0"/>
        <w:kinsoku/>
        <w:overflowPunct/>
        <w:topLinePunct w:val="0"/>
        <w:bidi w:val="0"/>
        <w:spacing w:line="360" w:lineRule="auto"/>
        <w:jc w:val="center"/>
        <w:outlineLvl w:val="9"/>
        <w:rPr>
          <w:rFonts w:ascii="黑体" w:hAnsi="黑体" w:eastAsia="黑体"/>
          <w:b/>
          <w:sz w:val="32"/>
          <w:szCs w:val="32"/>
        </w:rPr>
      </w:pPr>
      <w:bookmarkStart w:id="379" w:name="_Toc32477_WPSOffice_Level1"/>
      <w:r>
        <w:rPr>
          <w:rFonts w:hint="eastAsia" w:ascii="黑体" w:hAnsi="黑体" w:eastAsia="黑体"/>
          <w:b/>
          <w:sz w:val="32"/>
          <w:szCs w:val="32"/>
        </w:rPr>
        <w:t>第六章  评审程序</w:t>
      </w:r>
      <w:bookmarkEnd w:id="379"/>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第十三条  </w:t>
      </w:r>
      <w:r>
        <w:rPr>
          <w:rFonts w:hint="eastAsia" w:ascii="仿宋_GB2312" w:eastAsia="仿宋_GB2312"/>
          <w:sz w:val="32"/>
          <w:szCs w:val="32"/>
        </w:rPr>
        <w:t>符合国家助学金申请条件的学生向所在二级学院提出申请，递交《广西普通本科高校、高等职业学校国家助学金申请表》。二级学院学生资助工作小组在班级民主测评的基础之上，确定初评名单并在本学院内公示3个工作日，公示无异议后，将初评的国家助学金推荐名单及相关材料报学生资助管理中心。</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第十四条  </w:t>
      </w:r>
      <w:r>
        <w:rPr>
          <w:rFonts w:hint="eastAsia" w:ascii="仿宋_GB2312" w:eastAsia="仿宋_GB2312"/>
          <w:sz w:val="32"/>
          <w:szCs w:val="32"/>
        </w:rPr>
        <w:t>学生资助管理中心审核二级学院报送的助学金学生名单和相关材料，并报学校学生资助工作领导小组审批，审定结果在全校范围内公示 5个工作日。</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第十五条</w:t>
      </w:r>
      <w:r>
        <w:rPr>
          <w:rFonts w:hint="eastAsia" w:ascii="仿宋_GB2312" w:eastAsia="仿宋_GB2312"/>
          <w:sz w:val="32"/>
          <w:szCs w:val="32"/>
        </w:rPr>
        <w:t xml:space="preserve">  学生个人对国家助学金审定结果如有异议，可在公示期间向学生资助管理中心提起申诉。学生资助管理中心经过调查核实，并由学生资助工作领导小组裁决后，通知学生本人及所在二级学院。</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第十六条</w:t>
      </w:r>
      <w:r>
        <w:rPr>
          <w:rFonts w:hint="eastAsia" w:ascii="仿宋_GB2312" w:eastAsia="仿宋_GB2312"/>
          <w:sz w:val="32"/>
          <w:szCs w:val="32"/>
        </w:rPr>
        <w:t xml:space="preserve">  学生资助管理中心将公示无异议的获得国家助学金学生名单报广西自治区资助办，最终名单以区资助办批复为准。</w:t>
      </w:r>
    </w:p>
    <w:p>
      <w:pPr>
        <w:pageBreakBefore w:val="0"/>
        <w:kinsoku/>
        <w:overflowPunct/>
        <w:topLinePunct w:val="0"/>
        <w:bidi w:val="0"/>
        <w:spacing w:line="360" w:lineRule="auto"/>
        <w:jc w:val="center"/>
        <w:outlineLvl w:val="9"/>
        <w:rPr>
          <w:rFonts w:ascii="黑体" w:hAnsi="黑体" w:eastAsia="黑体"/>
          <w:b/>
          <w:sz w:val="32"/>
          <w:szCs w:val="32"/>
        </w:rPr>
      </w:pPr>
      <w:bookmarkStart w:id="380" w:name="_Toc21037_WPSOffice_Level1"/>
      <w:r>
        <w:rPr>
          <w:rFonts w:hint="eastAsia" w:ascii="黑体" w:hAnsi="黑体" w:eastAsia="黑体"/>
          <w:b/>
          <w:sz w:val="32"/>
          <w:szCs w:val="32"/>
        </w:rPr>
        <w:t>第七章  奖学金的发放、管理与监督</w:t>
      </w:r>
      <w:bookmarkEnd w:id="380"/>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第十七条</w:t>
      </w:r>
      <w:r>
        <w:rPr>
          <w:rFonts w:hint="eastAsia" w:ascii="仿宋_GB2312" w:eastAsia="仿宋_GB2312"/>
          <w:sz w:val="32"/>
          <w:szCs w:val="32"/>
        </w:rPr>
        <w:t xml:space="preserve">  学校在正式公告获助学生名单并下拨专项经费后，由学校财务处通过银行卡的方式，将国家助学金按月发放给获助学生。</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第十八条</w:t>
      </w:r>
      <w:r>
        <w:rPr>
          <w:rFonts w:hint="eastAsia" w:ascii="仿宋_GB2312" w:eastAsia="仿宋_GB2312"/>
          <w:sz w:val="32"/>
          <w:szCs w:val="32"/>
        </w:rPr>
        <w:t xml:space="preserve">  学校为国家助学金建立专款账户，实行分账核算，专款专用，并接受上级有关部门的审计、检查和监督。</w:t>
      </w:r>
    </w:p>
    <w:p>
      <w:pPr>
        <w:pageBreakBefore w:val="0"/>
        <w:kinsoku/>
        <w:overflowPunct/>
        <w:topLinePunct w:val="0"/>
        <w:bidi w:val="0"/>
        <w:spacing w:line="360" w:lineRule="auto"/>
        <w:jc w:val="center"/>
        <w:outlineLvl w:val="9"/>
        <w:rPr>
          <w:rFonts w:ascii="黑体" w:hAnsi="黑体" w:eastAsia="黑体"/>
          <w:b/>
          <w:sz w:val="32"/>
          <w:szCs w:val="32"/>
        </w:rPr>
      </w:pPr>
      <w:bookmarkStart w:id="381" w:name="_Toc19398_WPSOffice_Level1"/>
      <w:r>
        <w:rPr>
          <w:rFonts w:hint="eastAsia" w:ascii="黑体" w:hAnsi="黑体" w:eastAsia="黑体"/>
          <w:b/>
          <w:sz w:val="32"/>
          <w:szCs w:val="32"/>
        </w:rPr>
        <w:t>第八章  附则</w:t>
      </w:r>
      <w:bookmarkEnd w:id="381"/>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第十九条  </w:t>
      </w:r>
      <w:r>
        <w:rPr>
          <w:rFonts w:hint="eastAsia" w:ascii="仿宋_GB2312" w:eastAsia="仿宋_GB2312"/>
          <w:sz w:val="32"/>
          <w:szCs w:val="32"/>
        </w:rPr>
        <w:t>本办法自公布之日起实施。</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第二十条 </w:t>
      </w:r>
      <w:r>
        <w:rPr>
          <w:rFonts w:hint="eastAsia" w:ascii="仿宋_GB2312" w:eastAsia="仿宋_GB2312"/>
          <w:sz w:val="32"/>
          <w:szCs w:val="32"/>
        </w:rPr>
        <w:t xml:space="preserve"> 本办法由校学生工作部（处）负责解释。</w:t>
      </w:r>
    </w:p>
    <w:p>
      <w:pPr>
        <w:pageBreakBefore w:val="0"/>
        <w:widowControl/>
        <w:kinsoku/>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lang w:val="en-US" w:eastAsia="zh-CN"/>
        </w:rPr>
      </w:pPr>
      <w:bookmarkStart w:id="382" w:name="_Toc23315"/>
      <w:bookmarkStart w:id="383" w:name="_Toc17826"/>
      <w:bookmarkStart w:id="384" w:name="_Toc534377810"/>
      <w:bookmarkStart w:id="385" w:name="_Toc491674441"/>
      <w:bookmarkStart w:id="386" w:name="_Toc19174"/>
      <w:bookmarkStart w:id="387" w:name="_Toc28749_WPSOffice_Level1"/>
      <w:bookmarkStart w:id="388" w:name="_Toc12370"/>
      <w:r>
        <w:rPr>
          <w:rFonts w:hint="eastAsia"/>
          <w:b/>
          <w:color w:val="000000"/>
          <w:sz w:val="36"/>
          <w:szCs w:val="36"/>
          <w:lang w:val="en-US" w:eastAsia="zh-CN"/>
        </w:rPr>
        <w:t>柳州职业技术学院国家励志奖学金评选管理办法</w:t>
      </w:r>
      <w:bookmarkEnd w:id="382"/>
      <w:bookmarkEnd w:id="383"/>
      <w:bookmarkEnd w:id="384"/>
      <w:bookmarkEnd w:id="385"/>
      <w:bookmarkEnd w:id="386"/>
      <w:bookmarkEnd w:id="387"/>
      <w:bookmarkEnd w:id="388"/>
    </w:p>
    <w:p>
      <w:pPr>
        <w:pStyle w:val="10"/>
        <w:pageBreakBefore w:val="0"/>
        <w:kinsoku/>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（柳职院学字〔2017〕63号）</w:t>
      </w:r>
    </w:p>
    <w:p>
      <w:pPr>
        <w:pageBreakBefore w:val="0"/>
        <w:kinsoku/>
        <w:overflowPunct/>
        <w:topLinePunct w:val="0"/>
        <w:bidi w:val="0"/>
        <w:spacing w:line="580" w:lineRule="exact"/>
        <w:ind w:firstLine="723" w:firstLineChars="200"/>
        <w:outlineLvl w:val="9"/>
        <w:rPr>
          <w:rFonts w:ascii="宋体" w:hAnsi="宋体" w:cs="宋体"/>
          <w:b/>
          <w:bCs/>
          <w:color w:val="000000"/>
          <w:kern w:val="0"/>
          <w:sz w:val="36"/>
          <w:szCs w:val="36"/>
        </w:rPr>
      </w:pPr>
    </w:p>
    <w:p>
      <w:pPr>
        <w:pageBreakBefore w:val="0"/>
        <w:kinsoku/>
        <w:overflowPunct/>
        <w:topLinePunct w:val="0"/>
        <w:bidi w:val="0"/>
        <w:spacing w:line="360" w:lineRule="auto"/>
        <w:jc w:val="center"/>
        <w:outlineLvl w:val="9"/>
        <w:rPr>
          <w:rFonts w:ascii="黑体" w:hAnsi="黑体" w:eastAsia="黑体"/>
          <w:b/>
          <w:sz w:val="32"/>
          <w:szCs w:val="32"/>
        </w:rPr>
      </w:pPr>
      <w:bookmarkStart w:id="389" w:name="_Toc19187_WPSOffice_Level1"/>
      <w:r>
        <w:rPr>
          <w:rFonts w:hint="eastAsia" w:ascii="黑体" w:hAnsi="黑体" w:eastAsia="黑体"/>
          <w:b/>
          <w:sz w:val="32"/>
          <w:szCs w:val="32"/>
        </w:rPr>
        <w:t>第一章  总则</w:t>
      </w:r>
      <w:bookmarkEnd w:id="389"/>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为激励我校学生勤奋学习、努力进取，在德、智、体、美等方面全面发展，根据《关于印发&lt;普通本科高校、高等职业学校国家励志奖学金管理实施细则&gt;的通知》（桂财教〔2007〕97号）文件精神，结合我校实际，制定本办法。</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国家励志奖学金用于奖励资助高校全日制本专科（含高职、第二学士学位）学生中品学兼优的家庭经济困难学生。</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第三条</w:t>
      </w:r>
      <w:r>
        <w:rPr>
          <w:rFonts w:hint="eastAsia" w:ascii="仿宋_GB2312" w:eastAsia="仿宋_GB2312"/>
          <w:sz w:val="32"/>
          <w:szCs w:val="32"/>
        </w:rPr>
        <w:t xml:space="preserve">  国家励志奖学金所需经费由中央政府和我市财政按8:2的比例分担，每年奖励名额由自治区财政厅、教育厅根据国家财政部、教育部确定的总人数确定。</w:t>
      </w:r>
    </w:p>
    <w:p>
      <w:pPr>
        <w:pageBreakBefore w:val="0"/>
        <w:kinsoku/>
        <w:overflowPunct/>
        <w:topLinePunct w:val="0"/>
        <w:bidi w:val="0"/>
        <w:spacing w:line="360" w:lineRule="auto"/>
        <w:jc w:val="center"/>
        <w:outlineLvl w:val="9"/>
        <w:rPr>
          <w:rFonts w:ascii="黑体" w:hAnsi="黑体" w:eastAsia="黑体"/>
          <w:b/>
          <w:sz w:val="32"/>
          <w:szCs w:val="32"/>
        </w:rPr>
      </w:pPr>
      <w:bookmarkStart w:id="390" w:name="_Toc11708_WPSOffice_Level1"/>
      <w:r>
        <w:rPr>
          <w:rFonts w:hint="eastAsia" w:ascii="黑体" w:hAnsi="黑体" w:eastAsia="黑体"/>
          <w:b/>
          <w:sz w:val="32"/>
          <w:szCs w:val="32"/>
        </w:rPr>
        <w:t>第二章  奖励标准与基本条件</w:t>
      </w:r>
      <w:bookmarkEnd w:id="390"/>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第四条  </w:t>
      </w:r>
      <w:r>
        <w:rPr>
          <w:rFonts w:hint="eastAsia" w:ascii="仿宋_GB2312" w:eastAsia="仿宋_GB2312"/>
          <w:sz w:val="32"/>
          <w:szCs w:val="32"/>
        </w:rPr>
        <w:t>国家励志奖学金的奖励标准为每人每年5000元。</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第五条</w:t>
      </w:r>
      <w:r>
        <w:rPr>
          <w:rFonts w:hint="eastAsia" w:ascii="仿宋_GB2312" w:eastAsia="仿宋_GB2312"/>
          <w:sz w:val="32"/>
          <w:szCs w:val="32"/>
        </w:rPr>
        <w:t xml:space="preserve">  国家励志奖学金的基本申请条件：</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1.热爱社会主义祖国，拥护中国共产党的领导；</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2.遵守宪法和法律，模范遵守《普通高等学校学生管理规定》、《高等学校学生行为准则》，遵守学校各项规章制度，无违纪违规记录；</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3.诚实守信，道德品质优良，关心集体，团结同学，乐于助人，举止文明；</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4.在校期间学习成绩优秀，无不及格科目，社会实践、创新能力、综合素质等方面表现良好。</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5.家庭经济困难，生活俭朴，无不良嗜好，如抽烟、酗酒、赌博等,无不良消费行为，不良校园网贷等。</w:t>
      </w:r>
    </w:p>
    <w:p>
      <w:pPr>
        <w:pageBreakBefore w:val="0"/>
        <w:kinsoku/>
        <w:overflowPunct/>
        <w:topLinePunct w:val="0"/>
        <w:bidi w:val="0"/>
        <w:spacing w:line="360" w:lineRule="auto"/>
        <w:jc w:val="center"/>
        <w:outlineLvl w:val="9"/>
        <w:rPr>
          <w:rFonts w:ascii="黑体" w:hAnsi="黑体" w:eastAsia="黑体"/>
          <w:b/>
          <w:sz w:val="32"/>
          <w:szCs w:val="32"/>
        </w:rPr>
      </w:pPr>
      <w:bookmarkStart w:id="391" w:name="_Toc2783_WPSOffice_Level1"/>
      <w:r>
        <w:rPr>
          <w:rFonts w:hint="eastAsia" w:ascii="黑体" w:hAnsi="黑体" w:eastAsia="黑体"/>
          <w:b/>
          <w:sz w:val="32"/>
          <w:szCs w:val="32"/>
        </w:rPr>
        <w:t>第三章  名额分配</w:t>
      </w:r>
      <w:bookmarkEnd w:id="391"/>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第六条</w:t>
      </w:r>
      <w:r>
        <w:rPr>
          <w:rFonts w:hint="eastAsia" w:ascii="仿宋_GB2312" w:eastAsia="仿宋_GB2312"/>
          <w:sz w:val="32"/>
          <w:szCs w:val="32"/>
        </w:rPr>
        <w:t xml:space="preserve">  学生资助管理中心根据教育厅每年下达的国家励志奖学金名额，并参考各二级学院二年级以上（含二年级）在校贫困学生人数比例确定。</w:t>
      </w:r>
    </w:p>
    <w:p>
      <w:pPr>
        <w:pageBreakBefore w:val="0"/>
        <w:kinsoku/>
        <w:overflowPunct/>
        <w:topLinePunct w:val="0"/>
        <w:bidi w:val="0"/>
        <w:spacing w:line="360" w:lineRule="auto"/>
        <w:jc w:val="center"/>
        <w:outlineLvl w:val="9"/>
        <w:rPr>
          <w:rFonts w:ascii="黑体" w:hAnsi="黑体" w:eastAsia="黑体"/>
          <w:b/>
          <w:sz w:val="32"/>
          <w:szCs w:val="32"/>
        </w:rPr>
      </w:pPr>
      <w:bookmarkStart w:id="392" w:name="_Toc2545_WPSOffice_Level1"/>
      <w:r>
        <w:rPr>
          <w:rFonts w:hint="eastAsia" w:ascii="黑体" w:hAnsi="黑体" w:eastAsia="黑体"/>
          <w:b/>
          <w:sz w:val="32"/>
          <w:szCs w:val="32"/>
        </w:rPr>
        <w:t>第四章  评审组织机构</w:t>
      </w:r>
      <w:bookmarkEnd w:id="392"/>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第七条</w:t>
      </w:r>
      <w:r>
        <w:rPr>
          <w:rFonts w:hint="eastAsia" w:ascii="仿宋_GB2312" w:eastAsia="仿宋_GB2312"/>
          <w:sz w:val="32"/>
          <w:szCs w:val="32"/>
        </w:rPr>
        <w:t xml:space="preserve">  学校学生资助工作领导小组全面领导和监督评审工作。评审领导小组办公室设在学生资助管理中心，负责制定名额分配方案，协调评审工作；负责全校推荐学生的资格审核、资料审查、评审等工作。</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第八条 </w:t>
      </w:r>
      <w:r>
        <w:rPr>
          <w:rFonts w:hint="eastAsia" w:ascii="仿宋_GB2312" w:eastAsia="仿宋_GB2312"/>
          <w:sz w:val="32"/>
          <w:szCs w:val="32"/>
        </w:rPr>
        <w:t xml:space="preserve"> 各二级学院学生资助工作领导小组负责组织和开展本学院国家励志奖学金的申请和初评工作。</w:t>
      </w:r>
    </w:p>
    <w:p>
      <w:pPr>
        <w:pageBreakBefore w:val="0"/>
        <w:kinsoku/>
        <w:overflowPunct/>
        <w:topLinePunct w:val="0"/>
        <w:bidi w:val="0"/>
        <w:spacing w:line="360" w:lineRule="auto"/>
        <w:jc w:val="center"/>
        <w:outlineLvl w:val="9"/>
        <w:rPr>
          <w:rFonts w:ascii="黑体" w:hAnsi="黑体" w:eastAsia="黑体"/>
          <w:b/>
          <w:sz w:val="32"/>
          <w:szCs w:val="32"/>
        </w:rPr>
      </w:pPr>
      <w:bookmarkStart w:id="393" w:name="_Toc5247_WPSOffice_Level1"/>
      <w:r>
        <w:rPr>
          <w:rFonts w:hint="eastAsia" w:ascii="黑体" w:hAnsi="黑体" w:eastAsia="黑体"/>
          <w:b/>
          <w:sz w:val="32"/>
          <w:szCs w:val="32"/>
        </w:rPr>
        <w:t>第五章  评审标准</w:t>
      </w:r>
      <w:bookmarkEnd w:id="393"/>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第九条</w:t>
      </w:r>
      <w:r>
        <w:rPr>
          <w:rFonts w:hint="eastAsia" w:ascii="仿宋_GB2312" w:eastAsia="仿宋_GB2312"/>
          <w:sz w:val="32"/>
          <w:szCs w:val="32"/>
        </w:rPr>
        <w:t xml:space="preserve">  国家励志奖学金按学年申请和评审，实行等额评审，坚持公开、公平、公正、择优的原则。</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第十条</w:t>
      </w:r>
      <w:r>
        <w:rPr>
          <w:rFonts w:hint="eastAsia" w:ascii="仿宋_GB2312" w:eastAsia="仿宋_GB2312"/>
          <w:sz w:val="32"/>
          <w:szCs w:val="32"/>
        </w:rPr>
        <w:t xml:space="preserve">  申请国家励志奖学金的学生为高校在校生中二年级以上（含二年级）的学生。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同一学年内，申请国家励志奖学金的学生可以同时申请并获得国家助学金，但不能同时获得国家奖学金、自治区人民政府奖学金。</w:t>
      </w:r>
    </w:p>
    <w:p>
      <w:pPr>
        <w:pageBreakBefore w:val="0"/>
        <w:kinsoku/>
        <w:overflowPunct/>
        <w:topLinePunct w:val="0"/>
        <w:bidi w:val="0"/>
        <w:spacing w:line="360" w:lineRule="auto"/>
        <w:jc w:val="center"/>
        <w:outlineLvl w:val="9"/>
        <w:rPr>
          <w:rFonts w:ascii="黑体" w:hAnsi="黑体" w:eastAsia="黑体"/>
          <w:b/>
          <w:sz w:val="32"/>
          <w:szCs w:val="32"/>
        </w:rPr>
      </w:pPr>
      <w:bookmarkStart w:id="394" w:name="_Toc15349_WPSOffice_Level1"/>
      <w:r>
        <w:rPr>
          <w:rFonts w:hint="eastAsia" w:ascii="黑体" w:hAnsi="黑体" w:eastAsia="黑体"/>
          <w:b/>
          <w:sz w:val="32"/>
          <w:szCs w:val="32"/>
        </w:rPr>
        <w:t>第六章  评审程序</w:t>
      </w:r>
      <w:bookmarkEnd w:id="394"/>
      <w:r>
        <w:rPr>
          <w:rFonts w:hint="eastAsia" w:ascii="黑体" w:hAnsi="黑体" w:eastAsia="黑体"/>
          <w:b/>
          <w:sz w:val="32"/>
          <w:szCs w:val="32"/>
        </w:rPr>
        <w:t xml:space="preserve"> </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第十一条  </w:t>
      </w:r>
      <w:r>
        <w:rPr>
          <w:rFonts w:hint="eastAsia" w:ascii="仿宋_GB2312" w:eastAsia="仿宋_GB2312"/>
          <w:sz w:val="32"/>
          <w:szCs w:val="32"/>
        </w:rPr>
        <w:t>符合国家励志奖学金申请条件的学生向所在学院提出申请，填写《国家励志奖学金申请表》（附件1）。二级学院学生资助领导工作小组在班级民主测评的基础之上，确定初评名单并在本学院内公示 3个工作日，公示无异议后，将初评的相关材料报学生资助管理中心。</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第十二条</w:t>
      </w:r>
      <w:r>
        <w:rPr>
          <w:rFonts w:hint="eastAsia" w:ascii="仿宋_GB2312" w:eastAsia="仿宋_GB2312"/>
          <w:sz w:val="32"/>
          <w:szCs w:val="32"/>
        </w:rPr>
        <w:t xml:space="preserve">  学生资助管理中心汇总、审核二级学院报送的国家励志奖学初审名单及相关材料，提出当年国家励志奖学金获奖学生建议名单，报学校学生资助工作领导小组审批，审定结果在全校范围内公示5个工作日。</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第十三条</w:t>
      </w:r>
      <w:r>
        <w:rPr>
          <w:rFonts w:hint="eastAsia" w:ascii="仿宋_GB2312" w:eastAsia="仿宋_GB2312"/>
          <w:sz w:val="32"/>
          <w:szCs w:val="32"/>
        </w:rPr>
        <w:t xml:space="preserve">  学生个人对国家励志奖学金审定结果如有异议，可在公示期间向学生资助管理中心提起申诉。学生资助管理中心经过调查核实，并由学生资助工作领导小组裁决后，通知学生本人及所在二级学院。</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第十四条  </w:t>
      </w:r>
      <w:r>
        <w:rPr>
          <w:rFonts w:hint="eastAsia" w:ascii="仿宋_GB2312" w:eastAsia="仿宋_GB2312"/>
          <w:sz w:val="32"/>
          <w:szCs w:val="32"/>
        </w:rPr>
        <w:t>学生资助管理中心将公示无异议的国家励志奖学金获奖学生名单报广西自治区资助办，最终名单以区资助办批复为准。</w:t>
      </w:r>
    </w:p>
    <w:p>
      <w:pPr>
        <w:pageBreakBefore w:val="0"/>
        <w:kinsoku/>
        <w:overflowPunct/>
        <w:topLinePunct w:val="0"/>
        <w:bidi w:val="0"/>
        <w:spacing w:line="360" w:lineRule="auto"/>
        <w:jc w:val="center"/>
        <w:outlineLvl w:val="9"/>
        <w:rPr>
          <w:rFonts w:ascii="黑体" w:hAnsi="黑体" w:eastAsia="黑体"/>
          <w:b/>
          <w:sz w:val="32"/>
          <w:szCs w:val="32"/>
        </w:rPr>
      </w:pPr>
      <w:bookmarkStart w:id="395" w:name="_Toc5344_WPSOffice_Level1"/>
      <w:r>
        <w:rPr>
          <w:rFonts w:hint="eastAsia" w:ascii="黑体" w:hAnsi="黑体" w:eastAsia="黑体"/>
          <w:b/>
          <w:sz w:val="32"/>
          <w:szCs w:val="32"/>
        </w:rPr>
        <w:t>第七章  奖学金的发放、管理与监督</w:t>
      </w:r>
      <w:bookmarkEnd w:id="395"/>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第十五条  </w:t>
      </w:r>
      <w:r>
        <w:rPr>
          <w:rFonts w:hint="eastAsia" w:ascii="仿宋_GB2312" w:eastAsia="仿宋_GB2312"/>
          <w:sz w:val="32"/>
          <w:szCs w:val="32"/>
        </w:rPr>
        <w:t>学校在正式公告获奖学生名单并下拨专项经费后，由学校财务处通过银行卡的方式，将国家励志奖学金一次性发放给获奖学生。学校给获奖学生颁发国家统一印制的奖励证书，并将获奖情况记入学生学籍档案。</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第十六条</w:t>
      </w:r>
      <w:r>
        <w:rPr>
          <w:rFonts w:hint="eastAsia" w:ascii="仿宋_GB2312" w:eastAsia="仿宋_GB2312"/>
          <w:sz w:val="32"/>
          <w:szCs w:val="32"/>
        </w:rPr>
        <w:t xml:space="preserve">  学校为国家励志奖学金建立专款账户，实行分账核算，专款专用，并接受上级有关部门的审计、检查和监督。</w:t>
      </w:r>
    </w:p>
    <w:p>
      <w:pPr>
        <w:pageBreakBefore w:val="0"/>
        <w:kinsoku/>
        <w:overflowPunct/>
        <w:topLinePunct w:val="0"/>
        <w:bidi w:val="0"/>
        <w:spacing w:line="360" w:lineRule="auto"/>
        <w:jc w:val="center"/>
        <w:outlineLvl w:val="9"/>
        <w:rPr>
          <w:rFonts w:ascii="黑体" w:hAnsi="黑体" w:eastAsia="黑体"/>
          <w:b/>
          <w:sz w:val="32"/>
          <w:szCs w:val="32"/>
        </w:rPr>
      </w:pPr>
      <w:bookmarkStart w:id="396" w:name="_Toc28203_WPSOffice_Level1"/>
      <w:r>
        <w:rPr>
          <w:rFonts w:hint="eastAsia" w:ascii="黑体" w:hAnsi="黑体" w:eastAsia="黑体"/>
          <w:b/>
          <w:sz w:val="32"/>
          <w:szCs w:val="32"/>
        </w:rPr>
        <w:t>第八章  附则</w:t>
      </w:r>
      <w:bookmarkEnd w:id="396"/>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第十七条  </w:t>
      </w:r>
      <w:r>
        <w:rPr>
          <w:rFonts w:hint="eastAsia" w:ascii="仿宋_GB2312" w:eastAsia="仿宋_GB2312"/>
          <w:sz w:val="32"/>
          <w:szCs w:val="32"/>
        </w:rPr>
        <w:t>本办法自公布之日起施行。</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第十八条 </w:t>
      </w:r>
      <w:r>
        <w:rPr>
          <w:rFonts w:hint="eastAsia" w:ascii="仿宋_GB2312" w:eastAsia="仿宋_GB2312"/>
          <w:sz w:val="32"/>
          <w:szCs w:val="32"/>
        </w:rPr>
        <w:t xml:space="preserve"> 本办法由校学生工作部（处）负责解释。</w:t>
      </w:r>
    </w:p>
    <w:p>
      <w:pPr>
        <w:pageBreakBefore w:val="0"/>
        <w:widowControl/>
        <w:kinsoku/>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pageBreakBefore w:val="0"/>
        <w:kinsoku/>
        <w:overflowPunct/>
        <w:topLinePunct w:val="0"/>
        <w:bidi w:val="0"/>
        <w:spacing w:before="0" w:after="0" w:line="600" w:lineRule="exact"/>
        <w:jc w:val="center"/>
        <w:outlineLvl w:val="9"/>
        <w:rPr>
          <w:rFonts w:asciiTheme="minorEastAsia" w:hAnsiTheme="minorEastAsia" w:eastAsiaTheme="minorEastAsia"/>
          <w:color w:val="000000"/>
          <w:kern w:val="2"/>
          <w:sz w:val="36"/>
          <w:szCs w:val="36"/>
        </w:rPr>
      </w:pPr>
      <w:bookmarkStart w:id="397" w:name="_Toc534377811"/>
      <w:bookmarkStart w:id="398" w:name="_Toc491674440"/>
      <w:bookmarkStart w:id="399" w:name="_Toc83_WPSOffice_Level1"/>
      <w:r>
        <w:rPr>
          <w:rFonts w:hint="eastAsia"/>
          <w:b/>
          <w:color w:val="000000"/>
          <w:sz w:val="36"/>
          <w:szCs w:val="36"/>
          <w:lang w:val="en-US" w:eastAsia="zh-CN"/>
        </w:rPr>
        <w:t>柳州职业技术学院国家奖学金评选管理办法</w:t>
      </w:r>
      <w:bookmarkEnd w:id="397"/>
      <w:bookmarkEnd w:id="398"/>
      <w:bookmarkEnd w:id="399"/>
    </w:p>
    <w:p>
      <w:pPr>
        <w:pStyle w:val="10"/>
        <w:pageBreakBefore w:val="0"/>
        <w:kinsoku/>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（柳职院学字〔2017〕64号）</w:t>
      </w:r>
    </w:p>
    <w:p>
      <w:pPr>
        <w:pageBreakBefore w:val="0"/>
        <w:kinsoku/>
        <w:overflowPunct/>
        <w:topLinePunct w:val="0"/>
        <w:bidi w:val="0"/>
        <w:spacing w:line="580" w:lineRule="exact"/>
        <w:ind w:firstLine="640" w:firstLineChars="200"/>
        <w:outlineLvl w:val="9"/>
        <w:rPr>
          <w:rFonts w:ascii="仿宋_GB2312" w:eastAsia="仿宋_GB2312"/>
          <w:sz w:val="32"/>
          <w:szCs w:val="32"/>
        </w:rPr>
      </w:pPr>
    </w:p>
    <w:p>
      <w:pPr>
        <w:pageBreakBefore w:val="0"/>
        <w:kinsoku/>
        <w:overflowPunct/>
        <w:topLinePunct w:val="0"/>
        <w:bidi w:val="0"/>
        <w:jc w:val="center"/>
        <w:outlineLvl w:val="9"/>
        <w:rPr>
          <w:rFonts w:ascii="黑体" w:hAnsi="黑体" w:eastAsia="黑体"/>
          <w:b/>
          <w:sz w:val="32"/>
          <w:szCs w:val="32"/>
        </w:rPr>
      </w:pPr>
      <w:bookmarkStart w:id="400" w:name="_Toc20784_WPSOffice_Level1"/>
      <w:r>
        <w:rPr>
          <w:rFonts w:hint="eastAsia" w:ascii="黑体" w:hAnsi="黑体" w:eastAsia="黑体"/>
          <w:b/>
          <w:sz w:val="32"/>
          <w:szCs w:val="32"/>
        </w:rPr>
        <w:t>第一章  总则</w:t>
      </w:r>
      <w:bookmarkEnd w:id="400"/>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为激励我校学生勤奋学习、努力进取，在德、智、体、美等方面全面发展，根据《普通本科高校、高等职业学校国家奖学金管理暂行办法》（财教〔2007〕90号）、《国家奖学金评审办法》（教财〔2007〕24号）和《关于进一步做好普通高校国家奖学金评审工作的通知》（教助中心〔2012〕17号）等文件精神，结合我校实际，制定本办法。</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国家奖学金用于奖励高校全日制本专科（含高职、第二学士学位）学生中特别优秀的学生。</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第三条</w:t>
      </w:r>
      <w:r>
        <w:rPr>
          <w:rFonts w:hint="eastAsia" w:ascii="仿宋_GB2312" w:eastAsia="仿宋_GB2312"/>
          <w:sz w:val="32"/>
          <w:szCs w:val="32"/>
        </w:rPr>
        <w:t xml:space="preserve">  国家奖学金由中央政府出资设立，每年奖励名额由区根据国家财政部、教育部确定的总人数确定。</w:t>
      </w:r>
    </w:p>
    <w:p>
      <w:pPr>
        <w:pageBreakBefore w:val="0"/>
        <w:kinsoku/>
        <w:overflowPunct/>
        <w:topLinePunct w:val="0"/>
        <w:bidi w:val="0"/>
        <w:jc w:val="center"/>
        <w:outlineLvl w:val="9"/>
        <w:rPr>
          <w:rFonts w:ascii="黑体" w:hAnsi="黑体" w:eastAsia="黑体"/>
          <w:b/>
          <w:sz w:val="32"/>
          <w:szCs w:val="32"/>
        </w:rPr>
      </w:pPr>
      <w:bookmarkStart w:id="401" w:name="_Toc25680_WPSOffice_Level1"/>
      <w:r>
        <w:rPr>
          <w:rFonts w:hint="eastAsia" w:ascii="黑体" w:hAnsi="黑体" w:eastAsia="黑体"/>
          <w:b/>
          <w:sz w:val="32"/>
          <w:szCs w:val="32"/>
        </w:rPr>
        <w:t>第二章  奖励标准与基本条件</w:t>
      </w:r>
      <w:bookmarkEnd w:id="401"/>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第四条 </w:t>
      </w:r>
      <w:r>
        <w:rPr>
          <w:rFonts w:hint="eastAsia" w:ascii="仿宋_GB2312" w:eastAsia="仿宋_GB2312"/>
          <w:sz w:val="32"/>
          <w:szCs w:val="32"/>
        </w:rPr>
        <w:t xml:space="preserve"> 国家奖学金的奖励标准为每人每年8000元。</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第五条</w:t>
      </w:r>
      <w:r>
        <w:rPr>
          <w:rFonts w:hint="eastAsia" w:ascii="仿宋_GB2312" w:eastAsia="仿宋_GB2312"/>
          <w:sz w:val="32"/>
          <w:szCs w:val="32"/>
        </w:rPr>
        <w:t xml:space="preserve">  国家奖学金的基本申请条件：</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1.热爱社会主义祖国，拥护中国共产党的领导；</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2.遵守宪法和法律，模范遵守《普通高等学校学生管理规定》、《高等学校学生行为准则》，遵守学校各项规章制度，无违纪违规记录；</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3.诚实守信，道德品质优良，关心集体，团结同学，乐于助人，举止文明；</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4.在校期间学习成绩优异，学习成绩排名与综合素质测评成绩排名均位于本专业前10%，无不及格科目，社会实践、创新能力、综合素质等方面特别突出。</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5.学习成绩排名与综合测评成绩排名中的任何一项没有进入前10%，但均在前30%以内，必须在道德风尚、学术研究、学科竞赛、创新发明、社会实践、社会工作、体育竞赛、文艺比赛等某一方面表现特别优秀，方可申请国家奖学金。</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6.学习成绩排名或综合考评成绩排名超出前30%，不具备申请资格。</w:t>
      </w:r>
    </w:p>
    <w:p>
      <w:pPr>
        <w:pageBreakBefore w:val="0"/>
        <w:kinsoku/>
        <w:overflowPunct/>
        <w:topLinePunct w:val="0"/>
        <w:bidi w:val="0"/>
        <w:jc w:val="center"/>
        <w:outlineLvl w:val="9"/>
        <w:rPr>
          <w:rFonts w:ascii="黑体" w:hAnsi="黑体" w:eastAsia="黑体"/>
          <w:b/>
          <w:sz w:val="32"/>
          <w:szCs w:val="32"/>
        </w:rPr>
      </w:pPr>
      <w:bookmarkStart w:id="402" w:name="_Toc1723_WPSOffice_Level1"/>
      <w:r>
        <w:rPr>
          <w:rFonts w:hint="eastAsia" w:ascii="黑体" w:hAnsi="黑体" w:eastAsia="黑体"/>
          <w:b/>
          <w:sz w:val="32"/>
          <w:szCs w:val="32"/>
        </w:rPr>
        <w:t>第三章  名额分配</w:t>
      </w:r>
      <w:bookmarkEnd w:id="402"/>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第六条</w:t>
      </w:r>
      <w:r>
        <w:rPr>
          <w:rFonts w:hint="eastAsia" w:ascii="仿宋_GB2312" w:eastAsia="仿宋_GB2312"/>
          <w:sz w:val="32"/>
          <w:szCs w:val="32"/>
        </w:rPr>
        <w:t xml:space="preserve">  学生资助管理中心根据教育厅每年下达的国家奖学金名额，并参考各二级学院二年级以上（含二年级）在校学生人数比例确定。</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第七条</w:t>
      </w:r>
      <w:r>
        <w:rPr>
          <w:rFonts w:hint="eastAsia" w:ascii="仿宋_GB2312" w:eastAsia="仿宋_GB2312"/>
          <w:sz w:val="32"/>
          <w:szCs w:val="32"/>
        </w:rPr>
        <w:t xml:space="preserve">  无达到申请国家奖学金条件学生的二级学院，该学院的名额分配给其他二级学院表现优秀的国家奖学金候选人。</w:t>
      </w:r>
    </w:p>
    <w:p>
      <w:pPr>
        <w:pageBreakBefore w:val="0"/>
        <w:kinsoku/>
        <w:overflowPunct/>
        <w:topLinePunct w:val="0"/>
        <w:bidi w:val="0"/>
        <w:jc w:val="center"/>
        <w:outlineLvl w:val="9"/>
        <w:rPr>
          <w:rFonts w:ascii="黑体" w:hAnsi="黑体" w:eastAsia="黑体"/>
          <w:b/>
          <w:sz w:val="32"/>
          <w:szCs w:val="32"/>
        </w:rPr>
      </w:pPr>
      <w:bookmarkStart w:id="403" w:name="_Toc1349_WPSOffice_Level1"/>
      <w:r>
        <w:rPr>
          <w:rFonts w:hint="eastAsia" w:ascii="黑体" w:hAnsi="黑体" w:eastAsia="黑体"/>
          <w:b/>
          <w:sz w:val="32"/>
          <w:szCs w:val="32"/>
        </w:rPr>
        <w:t>第四章  评审组织机构</w:t>
      </w:r>
      <w:bookmarkEnd w:id="403"/>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第八条  </w:t>
      </w:r>
      <w:r>
        <w:rPr>
          <w:rFonts w:hint="eastAsia" w:ascii="仿宋_GB2312" w:eastAsia="仿宋_GB2312"/>
          <w:sz w:val="32"/>
          <w:szCs w:val="32"/>
        </w:rPr>
        <w:t>学校成立柳州职业技术学院国家奖学金评审领导小组，评审领导小组下设国家奖学金评审办公室，办公室设在学生资助管理中心。二级学院设立评审领导小组。</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第九条 </w:t>
      </w:r>
      <w:r>
        <w:rPr>
          <w:rFonts w:hint="eastAsia" w:ascii="仿宋_GB2312" w:eastAsia="仿宋_GB2312"/>
          <w:sz w:val="32"/>
          <w:szCs w:val="32"/>
        </w:rPr>
        <w:t xml:space="preserve"> 评审领导小组全面领导国家奖学金评审工作，审批各二级学院评审小组提交的评审意见。</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国家奖学金评审办公室负责组织开展国家奖学金评审工作。各二级学院评审领导小组，负责组织落实和开展本学院国家奖学金的申请和初评工作。</w:t>
      </w:r>
    </w:p>
    <w:p>
      <w:pPr>
        <w:pageBreakBefore w:val="0"/>
        <w:kinsoku/>
        <w:overflowPunct/>
        <w:topLinePunct w:val="0"/>
        <w:bidi w:val="0"/>
        <w:jc w:val="center"/>
        <w:outlineLvl w:val="9"/>
        <w:rPr>
          <w:rFonts w:ascii="黑体" w:hAnsi="黑体" w:eastAsia="黑体"/>
          <w:b/>
          <w:sz w:val="32"/>
          <w:szCs w:val="32"/>
        </w:rPr>
      </w:pPr>
      <w:bookmarkStart w:id="404" w:name="_Toc11448_WPSOffice_Level1"/>
      <w:r>
        <w:rPr>
          <w:rFonts w:hint="eastAsia" w:ascii="黑体" w:hAnsi="黑体" w:eastAsia="黑体"/>
          <w:b/>
          <w:sz w:val="32"/>
          <w:szCs w:val="32"/>
        </w:rPr>
        <w:t>第五章  评审</w:t>
      </w:r>
      <w:bookmarkEnd w:id="404"/>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第十条</w:t>
      </w:r>
      <w:r>
        <w:rPr>
          <w:rFonts w:hint="eastAsia" w:ascii="仿宋_GB2312" w:eastAsia="仿宋_GB2312"/>
          <w:sz w:val="32"/>
          <w:szCs w:val="32"/>
        </w:rPr>
        <w:t xml:space="preserve">  国家奖学金每学年评审一次，实行等额评审，坚持公开、公平、公正、择优的原则。按照《普通本科高校、高等职业学校国家奖学金管理暂行办法》（财教〔2007〕90号），严格掌握评审标准。</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第十一条</w:t>
      </w:r>
      <w:r>
        <w:rPr>
          <w:rFonts w:hint="eastAsia" w:ascii="仿宋_GB2312" w:eastAsia="仿宋_GB2312"/>
          <w:sz w:val="32"/>
          <w:szCs w:val="32"/>
        </w:rPr>
        <w:t xml:space="preserve">  获得国家奖学金的学生为高校在校生中二年级以上（含二年级）的学生。</w:t>
      </w:r>
    </w:p>
    <w:p>
      <w:pPr>
        <w:pageBreakBefore w:val="0"/>
        <w:kinsoku/>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同一学年内，获得国家奖学金的家庭经济困难学生可以同时申请国家助学金，但不能同时申请国家励志奖学金。</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第十二条  </w:t>
      </w:r>
      <w:r>
        <w:rPr>
          <w:rFonts w:hint="eastAsia" w:ascii="仿宋_GB2312" w:eastAsia="仿宋_GB2312"/>
          <w:sz w:val="32"/>
          <w:szCs w:val="32"/>
        </w:rPr>
        <w:t>符合国家奖学金申请条件的学生向所在二级学院提出申请，填写《国家奖学金申请审批表》（附件1）。二级学院评审领导小组在确定初评名单后，在院内公示5个工作日，公示无异议后，将初评的国家奖学金获奖学生初审名单表（附件2）及相关材料报学校国家奖学金评审办公室。</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第十三条</w:t>
      </w:r>
      <w:r>
        <w:rPr>
          <w:rFonts w:hint="eastAsia" w:ascii="仿宋_GB2312" w:eastAsia="仿宋_GB2312"/>
          <w:sz w:val="32"/>
          <w:szCs w:val="32"/>
        </w:rPr>
        <w:t xml:space="preserve">  国家奖学金评审办公室负责汇总、审核学院报送的国家奖学金推荐名单和相关材料，提出当年国家奖学金获奖学生建议名单，报学校国家奖学金评审领导小组审批，审定结果在全校范围内公示5个工作日。</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第十四条 </w:t>
      </w:r>
      <w:r>
        <w:rPr>
          <w:rFonts w:hint="eastAsia" w:ascii="仿宋_GB2312" w:eastAsia="仿宋_GB2312"/>
          <w:sz w:val="32"/>
          <w:szCs w:val="32"/>
        </w:rPr>
        <w:t xml:space="preserve"> 学生个人对国家奖学金审定结果如有异议，可在公示期间向国家奖学金评审办公室提起申诉，国家奖学金评审办公室经过调查核实后做出处理意见，报学校国家奖学金评审领导小组批准后，通知学生本人及所在学院。</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第十五条</w:t>
      </w:r>
      <w:r>
        <w:rPr>
          <w:rFonts w:hint="eastAsia" w:ascii="仿宋_GB2312" w:eastAsia="仿宋_GB2312"/>
          <w:sz w:val="32"/>
          <w:szCs w:val="32"/>
        </w:rPr>
        <w:t xml:space="preserve">  国家奖学金评审办公室将公示无异议的国家奖学金获奖学生初审名单报广西自治区资助办复评，最终名单以教育部批复为准。</w:t>
      </w:r>
    </w:p>
    <w:p>
      <w:pPr>
        <w:pageBreakBefore w:val="0"/>
        <w:kinsoku/>
        <w:overflowPunct/>
        <w:topLinePunct w:val="0"/>
        <w:bidi w:val="0"/>
        <w:jc w:val="center"/>
        <w:outlineLvl w:val="9"/>
        <w:rPr>
          <w:rFonts w:ascii="黑体" w:hAnsi="黑体" w:eastAsia="黑体"/>
          <w:b/>
          <w:sz w:val="32"/>
          <w:szCs w:val="32"/>
        </w:rPr>
      </w:pPr>
      <w:bookmarkStart w:id="405" w:name="_Toc4059_WPSOffice_Level1"/>
      <w:r>
        <w:rPr>
          <w:rFonts w:hint="eastAsia" w:ascii="黑体" w:hAnsi="黑体" w:eastAsia="黑体"/>
          <w:b/>
          <w:sz w:val="32"/>
          <w:szCs w:val="32"/>
        </w:rPr>
        <w:t>第六章  奖学金的发放、管理与监督</w:t>
      </w:r>
      <w:bookmarkEnd w:id="405"/>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第十六条  </w:t>
      </w:r>
      <w:r>
        <w:rPr>
          <w:rFonts w:hint="eastAsia" w:ascii="仿宋_GB2312" w:eastAsia="仿宋_GB2312"/>
          <w:sz w:val="32"/>
          <w:szCs w:val="32"/>
        </w:rPr>
        <w:t>学校在教育部正式公告获奖学生名单并下拨专项经费后，由学校财务处通过银行卡的方式，将国家奖学金一次性发放给获奖学生。学校给获奖学生颁发国家统一印制的奖励证书，并将获奖情况记入学生学籍档案。</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第十七条</w:t>
      </w:r>
      <w:r>
        <w:rPr>
          <w:rFonts w:hint="eastAsia" w:ascii="仿宋_GB2312" w:eastAsia="仿宋_GB2312"/>
          <w:sz w:val="32"/>
          <w:szCs w:val="32"/>
        </w:rPr>
        <w:t xml:space="preserve">  学校为国家奖学金建立专款账户，实行分账核算，专款专用，并接受上级有关部门的审计、检查和监督。</w:t>
      </w:r>
    </w:p>
    <w:p>
      <w:pPr>
        <w:pageBreakBefore w:val="0"/>
        <w:kinsoku/>
        <w:overflowPunct/>
        <w:topLinePunct w:val="0"/>
        <w:bidi w:val="0"/>
        <w:jc w:val="center"/>
        <w:outlineLvl w:val="9"/>
        <w:rPr>
          <w:rFonts w:ascii="黑体" w:hAnsi="黑体" w:eastAsia="黑体"/>
          <w:b/>
          <w:sz w:val="32"/>
          <w:szCs w:val="32"/>
        </w:rPr>
      </w:pPr>
      <w:bookmarkStart w:id="406" w:name="_Toc20970_WPSOffice_Level1"/>
      <w:r>
        <w:rPr>
          <w:rFonts w:hint="eastAsia" w:ascii="黑体" w:hAnsi="黑体" w:eastAsia="黑体"/>
          <w:b/>
          <w:sz w:val="32"/>
          <w:szCs w:val="32"/>
        </w:rPr>
        <w:t>第七章  附则</w:t>
      </w:r>
      <w:bookmarkEnd w:id="406"/>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第十八条</w:t>
      </w:r>
      <w:r>
        <w:rPr>
          <w:rFonts w:hint="eastAsia" w:ascii="仿宋_GB2312" w:eastAsia="仿宋_GB2312"/>
          <w:sz w:val="32"/>
          <w:szCs w:val="32"/>
        </w:rPr>
        <w:t xml:space="preserve">  本办法自公布之日起施行。</w:t>
      </w:r>
    </w:p>
    <w:p>
      <w:pPr>
        <w:pageBreakBefore w:val="0"/>
        <w:kinsoku/>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第十九条</w:t>
      </w:r>
      <w:r>
        <w:rPr>
          <w:rFonts w:hint="eastAsia" w:ascii="仿宋_GB2312" w:eastAsia="仿宋_GB2312"/>
          <w:sz w:val="32"/>
          <w:szCs w:val="32"/>
        </w:rPr>
        <w:t xml:space="preserve">  本办法由校学生工作部（处）负责解释。</w:t>
      </w:r>
    </w:p>
    <w:p>
      <w:pPr>
        <w:pageBreakBefore w:val="0"/>
        <w:widowControl/>
        <w:kinsoku/>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ascii="宋体" w:hAnsi="宋体"/>
          <w:b/>
          <w:bCs/>
          <w:color w:val="000000"/>
          <w:sz w:val="36"/>
          <w:szCs w:val="36"/>
          <w:lang w:val="en-US" w:eastAsia="zh-CN"/>
        </w:rPr>
      </w:pPr>
      <w:bookmarkStart w:id="407" w:name="_Toc534379492"/>
      <w:bookmarkStart w:id="408" w:name="_Toc29649"/>
      <w:bookmarkStart w:id="409" w:name="_Toc2320"/>
      <w:bookmarkStart w:id="410" w:name="_Toc16296"/>
      <w:bookmarkStart w:id="411" w:name="_Toc8580_WPSOffice_Level1"/>
      <w:bookmarkStart w:id="412" w:name="_Toc1669"/>
      <w:r>
        <w:rPr>
          <w:rFonts w:hint="eastAsia" w:ascii="宋体" w:hAnsi="宋体"/>
          <w:b/>
          <w:bCs/>
          <w:color w:val="000000"/>
          <w:sz w:val="36"/>
          <w:szCs w:val="36"/>
          <w:lang w:val="en-US" w:eastAsia="zh-CN"/>
        </w:rPr>
        <w:t>柳州职业技术学院大学生</w:t>
      </w:r>
      <w:bookmarkEnd w:id="407"/>
      <w:bookmarkStart w:id="413" w:name="_Toc534379493"/>
      <w:r>
        <w:rPr>
          <w:rFonts w:hint="eastAsia" w:ascii="宋体" w:hAnsi="宋体"/>
          <w:b/>
          <w:bCs/>
          <w:color w:val="000000"/>
          <w:sz w:val="36"/>
          <w:szCs w:val="36"/>
          <w:lang w:val="en-US" w:eastAsia="zh-CN"/>
        </w:rPr>
        <w:t>创新与创造项目管理办法（试行）</w:t>
      </w:r>
      <w:bookmarkEnd w:id="408"/>
      <w:bookmarkEnd w:id="409"/>
      <w:bookmarkEnd w:id="410"/>
      <w:bookmarkEnd w:id="411"/>
      <w:bookmarkEnd w:id="412"/>
      <w:bookmarkEnd w:id="413"/>
    </w:p>
    <w:p>
      <w:pPr>
        <w:pStyle w:val="10"/>
        <w:pageBreakBefore w:val="0"/>
        <w:kinsoku/>
        <w:overflowPunct/>
        <w:topLinePunct w:val="0"/>
        <w:bidi w:val="0"/>
        <w:spacing w:before="0" w:beforeAutospacing="0" w:after="0" w:afterAutospacing="0" w:line="56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（柳职院字〔2018〕41号）</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bidi w:val="0"/>
        <w:spacing w:line="560" w:lineRule="exact"/>
        <w:jc w:val="center"/>
        <w:outlineLvl w:val="9"/>
        <w:rPr>
          <w:rFonts w:ascii="黑体" w:hAnsi="仿宋_GB2312" w:eastAsia="黑体" w:cs="仿宋_GB2312"/>
          <w:b/>
          <w:kern w:val="0"/>
          <w:sz w:val="32"/>
          <w:szCs w:val="32"/>
          <w:lang w:bidi="ar"/>
        </w:rPr>
      </w:pPr>
      <w:bookmarkStart w:id="414" w:name="_Toc10450_WPSOffice_Level1"/>
      <w:r>
        <w:rPr>
          <w:rFonts w:hint="eastAsia" w:ascii="黑体" w:hAnsi="仿宋_GB2312" w:eastAsia="黑体" w:cs="仿宋_GB2312"/>
          <w:b/>
          <w:kern w:val="0"/>
          <w:sz w:val="32"/>
          <w:szCs w:val="32"/>
          <w:lang w:bidi="ar"/>
        </w:rPr>
        <w:t>第一章  总  则</w:t>
      </w:r>
      <w:bookmarkEnd w:id="414"/>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第一条 </w:t>
      </w:r>
      <w:r>
        <w:rPr>
          <w:rFonts w:hint="eastAsia" w:ascii="仿宋_GB2312" w:hAnsi="仿宋_GB2312" w:eastAsia="仿宋_GB2312" w:cs="仿宋_GB2312"/>
          <w:kern w:val="0"/>
          <w:sz w:val="32"/>
          <w:szCs w:val="32"/>
          <w:lang w:bidi="ar"/>
        </w:rPr>
        <w:t xml:space="preserve"> 为了响应国家“</w:t>
      </w:r>
      <w:r>
        <w:rPr>
          <w:rFonts w:ascii="仿宋_GB2312" w:hAnsi="仿宋_GB2312" w:eastAsia="仿宋_GB2312" w:cs="仿宋_GB2312"/>
          <w:kern w:val="0"/>
          <w:sz w:val="32"/>
          <w:szCs w:val="32"/>
          <w:lang w:bidi="ar"/>
        </w:rPr>
        <w:t>大众创业</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万众创新</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的号召</w:t>
      </w:r>
      <w:r>
        <w:rPr>
          <w:rFonts w:hint="eastAsia" w:ascii="仿宋_GB2312" w:hAnsi="仿宋_GB2312" w:eastAsia="仿宋_GB2312" w:cs="仿宋_GB2312"/>
          <w:kern w:val="0"/>
          <w:sz w:val="32"/>
          <w:szCs w:val="32"/>
          <w:lang w:bidi="ar"/>
        </w:rPr>
        <w:t>，落实学校“素养·管理·创新”复合型技术技能人才培养目标，激发学生参与创新与创造的积极性，鼓励和引导学生开展创新与创造活动，培养学生的创新与创造意识和能力，提高学生的综合素质，特制订本管理办法。</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第二条 </w:t>
      </w:r>
      <w:r>
        <w:rPr>
          <w:rFonts w:hint="eastAsia" w:ascii="仿宋_GB2312" w:hAnsi="仿宋_GB2312" w:eastAsia="仿宋_GB2312" w:cs="仿宋_GB2312"/>
          <w:kern w:val="0"/>
          <w:sz w:val="32"/>
          <w:szCs w:val="32"/>
          <w:lang w:bidi="ar"/>
        </w:rPr>
        <w:t xml:space="preserve"> 大学生创新与创造项目是指在校学生从事的创新与创造研究、制作和发明，具有新颖性、创造性和现实性，并经学校创新创业学院批准予以立项资助的项目。</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创新</w:t>
      </w:r>
      <w:r>
        <w:rPr>
          <w:rFonts w:ascii="仿宋_GB2312" w:hAnsi="仿宋_GB2312" w:eastAsia="仿宋_GB2312" w:cs="仿宋_GB2312"/>
          <w:kern w:val="0"/>
          <w:sz w:val="32"/>
          <w:szCs w:val="32"/>
          <w:lang w:bidi="ar"/>
        </w:rPr>
        <w:t>项目</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成果</w:t>
      </w:r>
      <w:r>
        <w:rPr>
          <w:rFonts w:hint="eastAsia" w:ascii="仿宋_GB2312" w:hAnsi="仿宋_GB2312" w:eastAsia="仿宋_GB2312" w:cs="仿宋_GB2312"/>
          <w:kern w:val="0"/>
          <w:sz w:val="32"/>
          <w:szCs w:val="32"/>
          <w:lang w:bidi="ar"/>
        </w:rPr>
        <w:t>侧重</w:t>
      </w:r>
      <w:r>
        <w:rPr>
          <w:rFonts w:ascii="仿宋_GB2312" w:hAnsi="仿宋_GB2312" w:eastAsia="仿宋_GB2312" w:cs="仿宋_GB2312"/>
          <w:kern w:val="0"/>
          <w:sz w:val="32"/>
          <w:szCs w:val="32"/>
          <w:lang w:bidi="ar"/>
        </w:rPr>
        <w:t>为</w:t>
      </w:r>
      <w:r>
        <w:rPr>
          <w:rFonts w:hint="eastAsia" w:ascii="仿宋_GB2312" w:hAnsi="仿宋_GB2312" w:eastAsia="仿宋_GB2312" w:cs="仿宋_GB2312"/>
          <w:kern w:val="0"/>
          <w:sz w:val="32"/>
          <w:szCs w:val="32"/>
          <w:lang w:bidi="ar"/>
        </w:rPr>
        <w:t>能够代表学生科技创新水平的发明专利</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技术攻关方案，或体现组织</w:t>
      </w:r>
      <w:r>
        <w:rPr>
          <w:rFonts w:ascii="仿宋_GB2312" w:hAnsi="仿宋_GB2312" w:eastAsia="仿宋_GB2312" w:cs="仿宋_GB2312"/>
          <w:kern w:val="0"/>
          <w:sz w:val="32"/>
          <w:szCs w:val="32"/>
          <w:lang w:bidi="ar"/>
        </w:rPr>
        <w:t>管理创新水平</w:t>
      </w:r>
      <w:r>
        <w:rPr>
          <w:rFonts w:hint="eastAsia" w:ascii="仿宋_GB2312" w:hAnsi="仿宋_GB2312" w:eastAsia="仿宋_GB2312" w:cs="仿宋_GB2312"/>
          <w:kern w:val="0"/>
          <w:sz w:val="32"/>
          <w:szCs w:val="32"/>
          <w:lang w:bidi="ar"/>
        </w:rPr>
        <w:t>的策划</w:t>
      </w:r>
      <w:r>
        <w:rPr>
          <w:rFonts w:ascii="仿宋_GB2312" w:hAnsi="仿宋_GB2312" w:eastAsia="仿宋_GB2312" w:cs="仿宋_GB2312"/>
          <w:kern w:val="0"/>
          <w:sz w:val="32"/>
          <w:szCs w:val="32"/>
          <w:lang w:bidi="ar"/>
        </w:rPr>
        <w:t>方案</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解决方案</w:t>
      </w:r>
      <w:r>
        <w:rPr>
          <w:rFonts w:hint="eastAsia" w:ascii="仿宋_GB2312" w:hAnsi="仿宋_GB2312" w:eastAsia="仿宋_GB2312" w:cs="仿宋_GB2312"/>
          <w:kern w:val="0"/>
          <w:sz w:val="32"/>
          <w:szCs w:val="32"/>
          <w:lang w:bidi="ar"/>
        </w:rPr>
        <w:t>、调研报告等。</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创造项目，成果侧重为小发明、小制作等具有</w:t>
      </w:r>
      <w:r>
        <w:rPr>
          <w:rFonts w:ascii="仿宋_GB2312" w:hAnsi="仿宋_GB2312" w:eastAsia="仿宋_GB2312" w:cs="仿宋_GB2312"/>
          <w:kern w:val="0"/>
          <w:sz w:val="32"/>
          <w:szCs w:val="32"/>
          <w:lang w:bidi="ar"/>
        </w:rPr>
        <w:t>一定</w:t>
      </w:r>
      <w:r>
        <w:rPr>
          <w:rFonts w:hint="eastAsia" w:ascii="仿宋_GB2312" w:hAnsi="仿宋_GB2312" w:eastAsia="仿宋_GB2312" w:cs="仿宋_GB2312"/>
          <w:kern w:val="0"/>
          <w:sz w:val="32"/>
          <w:szCs w:val="32"/>
          <w:lang w:bidi="ar"/>
        </w:rPr>
        <w:t>实际应用价值</w:t>
      </w:r>
      <w:r>
        <w:rPr>
          <w:rFonts w:ascii="仿宋_GB2312" w:hAnsi="仿宋_GB2312" w:eastAsia="仿宋_GB2312" w:cs="仿宋_GB2312"/>
          <w:kern w:val="0"/>
          <w:sz w:val="32"/>
          <w:szCs w:val="32"/>
          <w:lang w:bidi="ar"/>
        </w:rPr>
        <w:t>的实物作品</w:t>
      </w:r>
      <w:r>
        <w:rPr>
          <w:rFonts w:hint="eastAsia" w:ascii="仿宋_GB2312" w:hAnsi="仿宋_GB2312" w:eastAsia="仿宋_GB2312" w:cs="仿宋_GB2312"/>
          <w:kern w:val="0"/>
          <w:sz w:val="32"/>
          <w:szCs w:val="32"/>
          <w:lang w:bidi="ar"/>
        </w:rPr>
        <w:t>。</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学校创新创业学院（教务与实训管理处合署办公），是创新与创造项目的归口管理部门，负责学生创新与创造项目评审立项、经费核拨、结题验收等。</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申报创新与创造项目的学生个人、学生团队，应按本办法的有关规定提交书面资料，开展创新创造活动和履行相应的手续。</w:t>
      </w:r>
    </w:p>
    <w:p>
      <w:pPr>
        <w:pageBreakBefore w:val="0"/>
        <w:kinsoku/>
        <w:overflowPunct/>
        <w:topLinePunct w:val="0"/>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大学生创新与创造项目的评荐工作坚持公开、公平、公正的原则，倡导竞争，择优资助。</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bidi w:val="0"/>
        <w:spacing w:line="560" w:lineRule="exact"/>
        <w:jc w:val="center"/>
        <w:outlineLvl w:val="9"/>
        <w:rPr>
          <w:rFonts w:ascii="黑体" w:hAnsi="仿宋_GB2312" w:eastAsia="黑体" w:cs="仿宋_GB2312"/>
          <w:b/>
          <w:kern w:val="0"/>
          <w:sz w:val="32"/>
          <w:szCs w:val="32"/>
          <w:lang w:bidi="ar"/>
        </w:rPr>
      </w:pPr>
      <w:bookmarkStart w:id="415" w:name="_Toc19016_WPSOffice_Level1"/>
      <w:r>
        <w:rPr>
          <w:rFonts w:hint="eastAsia" w:ascii="黑体" w:hAnsi="仿宋_GB2312" w:eastAsia="黑体" w:cs="仿宋_GB2312"/>
          <w:b/>
          <w:kern w:val="0"/>
          <w:sz w:val="32"/>
          <w:szCs w:val="32"/>
          <w:lang w:bidi="ar"/>
        </w:rPr>
        <w:t>第二章  项目申报</w:t>
      </w:r>
      <w:bookmarkEnd w:id="415"/>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hint="eastAsia" w:ascii="仿宋_GB2312" w:hAnsi="仿宋_GB2312" w:eastAsia="仿宋_GB2312" w:cs="仿宋_GB2312"/>
          <w:kern w:val="0"/>
          <w:sz w:val="32"/>
          <w:szCs w:val="32"/>
          <w:lang w:bidi="ar"/>
        </w:rPr>
        <w:t xml:space="preserve">  学生申请创新与创造项目可以是个人，也可以是2至8人组成的团队。每个项目均应配备至少1名指导教师。</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第七条 </w:t>
      </w:r>
      <w:r>
        <w:rPr>
          <w:rFonts w:hint="eastAsia" w:ascii="仿宋_GB2312" w:hAnsi="仿宋_GB2312" w:eastAsia="仿宋_GB2312" w:cs="仿宋_GB2312"/>
          <w:kern w:val="0"/>
          <w:sz w:val="32"/>
          <w:szCs w:val="32"/>
          <w:lang w:bidi="ar"/>
        </w:rPr>
        <w:t xml:space="preserve"> 大学生创新与创造项目的项目负责人应符合以下条件：</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1.我校全日制高职或联合培养的</w:t>
      </w:r>
      <w:r>
        <w:rPr>
          <w:rFonts w:ascii="仿宋_GB2312" w:hAnsi="仿宋_GB2312" w:eastAsia="仿宋_GB2312" w:cs="仿宋_GB2312"/>
          <w:kern w:val="0"/>
          <w:sz w:val="32"/>
          <w:szCs w:val="32"/>
          <w:lang w:bidi="ar"/>
        </w:rPr>
        <w:t>本科学</w:t>
      </w:r>
      <w:r>
        <w:rPr>
          <w:rFonts w:hint="eastAsia" w:ascii="仿宋_GB2312" w:hAnsi="仿宋_GB2312" w:eastAsia="仿宋_GB2312" w:cs="仿宋_GB2312"/>
          <w:kern w:val="0"/>
          <w:sz w:val="32"/>
          <w:szCs w:val="32"/>
          <w:lang w:bidi="ar"/>
        </w:rPr>
        <w:t>生，学籍必须在校；</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2.遵守校纪校规，学习认真，学有余力；</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3.善于独立思考问题，动手能力较强，具有团队合作精神；</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4.项目负责人限1人，项目负责人最多只能申报两个项目。有未按时结题项目的项目负责人不得申请新项目；</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5.每名学生申报或参与的项目不得超过2项。</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大学生创新与创造项目的项目指导教师应符合以下条件：</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1.指导教师应为我校教职工，包括外聘教师；</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2.应具备项目相关工作经历及特长；</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3.指导教师应具有较强的工作责任心，保证投入足够的时间指导学生；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4.每位指导教师同时指导的项目数不超过5个；</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5.学生创业项目鼓励实施学校指导教师和企业指导教师共同指导的“双导师制”。</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优先予以立项的项目：</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1.与最新技术结合，且符合学校的办学定位，如与“智能+、互联网+”相关的项目；</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2.与校外的重要比赛相结合，如：“互联网+”大赛、机械创新大赛、全国职业技能比赛；</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3.能够结合专业方向，或者跨专业组队.优先资助团队合作项目和跨年级、跨专业、跨学院合作项目；</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4.项目与指导教师承担项目的选题相关。</w:t>
      </w:r>
    </w:p>
    <w:p>
      <w:pPr>
        <w:pageBreakBefore w:val="0"/>
        <w:kinsoku/>
        <w:overflowPunct/>
        <w:topLinePunct w:val="0"/>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申报创新与创造项目的学生个人、团队，在指导教师的指导下填写并提交《大学生创新与创造立项申请书》。</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bidi w:val="0"/>
        <w:spacing w:line="560" w:lineRule="exact"/>
        <w:jc w:val="center"/>
        <w:outlineLvl w:val="9"/>
        <w:rPr>
          <w:rFonts w:ascii="黑体" w:hAnsi="仿宋_GB2312" w:eastAsia="黑体" w:cs="仿宋_GB2312"/>
          <w:b/>
          <w:kern w:val="0"/>
          <w:sz w:val="32"/>
          <w:szCs w:val="32"/>
          <w:lang w:bidi="ar"/>
        </w:rPr>
      </w:pPr>
      <w:bookmarkStart w:id="416" w:name="_Toc12982_WPSOffice_Level1"/>
      <w:r>
        <w:rPr>
          <w:rFonts w:hint="eastAsia" w:ascii="黑体" w:hAnsi="仿宋_GB2312" w:eastAsia="黑体" w:cs="仿宋_GB2312"/>
          <w:b/>
          <w:kern w:val="0"/>
          <w:sz w:val="32"/>
          <w:szCs w:val="32"/>
          <w:lang w:bidi="ar"/>
        </w:rPr>
        <w:t>第三章  项目立项</w:t>
      </w:r>
      <w:bookmarkEnd w:id="416"/>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第十一条</w:t>
      </w:r>
      <w:r>
        <w:rPr>
          <w:rFonts w:hint="eastAsia" w:ascii="仿宋_GB2312" w:hAnsi="仿宋_GB2312" w:eastAsia="仿宋_GB2312" w:cs="仿宋_GB2312"/>
          <w:kern w:val="0"/>
          <w:sz w:val="32"/>
          <w:szCs w:val="32"/>
          <w:lang w:bidi="ar"/>
        </w:rPr>
        <w:t xml:space="preserve">  每年安排一次申请立项，一般每年立项项目数不超过30项。</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申请立项时，学生与导师填写《大学生创新与创造项目立项申请书》，向二级学院提出立项申请。二级学院组织评审组进行立项评审，评审组成员不低于5人，其中：1人为二级学院中层领导，1人由创新创业学院委派。</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第十三条</w:t>
      </w:r>
      <w:r>
        <w:rPr>
          <w:rFonts w:hint="eastAsia" w:ascii="仿宋_GB2312" w:hAnsi="仿宋_GB2312" w:eastAsia="仿宋_GB2312" w:cs="仿宋_GB2312"/>
          <w:kern w:val="0"/>
          <w:sz w:val="32"/>
          <w:szCs w:val="32"/>
          <w:lang w:bidi="ar"/>
        </w:rPr>
        <w:t xml:space="preserve">  二级学院汇总推荐立项的项目，提交创新创业学院。创新创业学院审查，确定予以立项的项目和等级。</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已获校级以上项目立项的，不设立同类校级项目。推荐申报校级以上项目但未能立项的，将作为校级项目予以立项。</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第十五条</w:t>
      </w:r>
      <w:r>
        <w:rPr>
          <w:rFonts w:hint="eastAsia" w:ascii="仿宋_GB2312" w:hAnsi="仿宋_GB2312" w:eastAsia="仿宋_GB2312" w:cs="仿宋_GB2312"/>
          <w:kern w:val="0"/>
          <w:sz w:val="32"/>
          <w:szCs w:val="32"/>
          <w:lang w:bidi="ar"/>
        </w:rPr>
        <w:t xml:space="preserve">  创新与创造项目的等级与资助标准：</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理工科类创新与创造项目：重点项目资助3000元/项，一般项目资助1500元/项。</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文科及艺术类创新与创造项目：重点项目资助2000元/项，一般项目资助1000元/项。</w:t>
      </w:r>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资金超过资助标准的特别项目，需特别申请和说明。</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bidi w:val="0"/>
        <w:spacing w:line="560" w:lineRule="exact"/>
        <w:jc w:val="center"/>
        <w:outlineLvl w:val="9"/>
        <w:rPr>
          <w:rFonts w:ascii="黑体" w:hAnsi="仿宋_GB2312" w:eastAsia="黑体" w:cs="仿宋_GB2312"/>
          <w:b/>
          <w:kern w:val="0"/>
          <w:sz w:val="32"/>
          <w:szCs w:val="32"/>
          <w:lang w:bidi="ar"/>
        </w:rPr>
      </w:pPr>
      <w:bookmarkStart w:id="417" w:name="_Toc31276_WPSOffice_Level1"/>
      <w:r>
        <w:rPr>
          <w:rFonts w:hint="eastAsia" w:ascii="黑体" w:hAnsi="仿宋_GB2312" w:eastAsia="黑体" w:cs="仿宋_GB2312"/>
          <w:b/>
          <w:kern w:val="0"/>
          <w:sz w:val="32"/>
          <w:szCs w:val="32"/>
          <w:lang w:bidi="ar"/>
        </w:rPr>
        <w:t>第四章  项目管理和结题</w:t>
      </w:r>
      <w:bookmarkEnd w:id="417"/>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hint="eastAsia" w:ascii="仿宋_GB2312" w:hAnsi="仿宋_GB2312" w:eastAsia="仿宋_GB2312" w:cs="仿宋_GB2312"/>
          <w:kern w:val="0"/>
          <w:sz w:val="32"/>
          <w:szCs w:val="32"/>
          <w:lang w:bidi="ar"/>
        </w:rPr>
        <w:t xml:space="preserve">  学生创新与创造项目由项目指导教师和项目负责人共同管理。项目负责人和项目组成员要做好项目的管理，按计划进度和目标要求如期完成项目任务。</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hint="eastAsia" w:ascii="仿宋_GB2312" w:hAnsi="仿宋_GB2312" w:eastAsia="仿宋_GB2312" w:cs="仿宋_GB2312"/>
          <w:kern w:val="0"/>
          <w:sz w:val="32"/>
          <w:szCs w:val="32"/>
          <w:lang w:bidi="ar"/>
        </w:rPr>
        <w:t xml:space="preserve">  创新与创造项目确定的目标和成果、研究内容、项目组成员、结题时间等，不能随意变动。如需作重大变更，必须填写《大学生创新与创造项目变更申请表》，向所属二级学院申请，经创新创业学院审核同意后方可继续进行。否则将撤消项目，追回资助经费。</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第十八条</w:t>
      </w:r>
      <w:r>
        <w:rPr>
          <w:rFonts w:hint="eastAsia" w:ascii="仿宋_GB2312" w:hAnsi="仿宋_GB2312" w:eastAsia="仿宋_GB2312" w:cs="仿宋_GB2312"/>
          <w:kern w:val="0"/>
          <w:sz w:val="32"/>
          <w:szCs w:val="32"/>
          <w:lang w:bidi="ar"/>
        </w:rPr>
        <w:t>　项目中期，立项的创新与创造项目填写《大学生创新与创造项目中期进度报告表》，由指导教师审核后，上交至二级学院办公室。</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第十九条</w:t>
      </w:r>
      <w:r>
        <w:rPr>
          <w:rFonts w:hint="eastAsia" w:ascii="仿宋_GB2312" w:hAnsi="仿宋_GB2312" w:eastAsia="仿宋_GB2312" w:cs="仿宋_GB2312"/>
          <w:kern w:val="0"/>
          <w:sz w:val="32"/>
          <w:szCs w:val="32"/>
          <w:lang w:bidi="ar"/>
        </w:rPr>
        <w:t>　创新创业学院根据《大学生创新与创造项目中期进度报告表》，立项的创新与创造项目进行中期检查，并依据检查结果对项目进行分类处理：</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1.重点支持项目：进展情况很好，取得突出成绩，根据申请和项目推进需要可追加经费予以支持。</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2.继续进行项目：按计划开展工作，同意继续使用剩余经费。</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3.终止项目：未按计划开展工作，或存在违规情况，终止该项目的研究工作。</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第二十条</w:t>
      </w:r>
      <w:r>
        <w:rPr>
          <w:rFonts w:hint="eastAsia" w:ascii="仿宋_GB2312" w:hAnsi="仿宋_GB2312" w:eastAsia="仿宋_GB2312" w:cs="仿宋_GB2312"/>
          <w:kern w:val="0"/>
          <w:sz w:val="32"/>
          <w:szCs w:val="32"/>
          <w:lang w:bidi="ar"/>
        </w:rPr>
        <w:t>　立项的项目因客观原因无法继续进行，或无法按计划完成，项目负责人应写出详细的书面报告，经指导教师签字后上报二级学院，经创新创业学院审核后确定该项目的延缓或终止。</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第二十一条</w:t>
      </w:r>
      <w:r>
        <w:rPr>
          <w:rFonts w:hint="eastAsia" w:ascii="仿宋_GB2312" w:hAnsi="仿宋_GB2312" w:eastAsia="仿宋_GB2312" w:cs="仿宋_GB2312"/>
          <w:kern w:val="0"/>
          <w:sz w:val="32"/>
          <w:szCs w:val="32"/>
          <w:lang w:bidi="ar"/>
        </w:rPr>
        <w:t>　经批准立项的学生创新与创造项目原则上应在一年内完成，最长不得超过二年。上一年度项目结题后方可申报下一年度项目。</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第二十二条</w:t>
      </w:r>
      <w:r>
        <w:rPr>
          <w:rFonts w:hint="eastAsia" w:ascii="仿宋_GB2312" w:hAnsi="仿宋_GB2312" w:eastAsia="仿宋_GB2312" w:cs="仿宋_GB2312"/>
          <w:kern w:val="0"/>
          <w:sz w:val="32"/>
          <w:szCs w:val="32"/>
          <w:lang w:bidi="ar"/>
        </w:rPr>
        <w:t xml:space="preserve">  创新与创造项目申请结题，必须符合以下基本条件：</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1.在研究期限内，研究计划已实施，实现研究目标；</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2.项目成果实物符合项目方向，与立项承诺的目标相符；</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3.反映项目过程和成果的资料整理齐全，并按要求上交。</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第二十三条</w:t>
      </w:r>
      <w:r>
        <w:rPr>
          <w:rFonts w:hint="eastAsia" w:ascii="仿宋_GB2312" w:hAnsi="仿宋_GB2312" w:eastAsia="仿宋_GB2312" w:cs="仿宋_GB2312"/>
          <w:kern w:val="0"/>
          <w:sz w:val="32"/>
          <w:szCs w:val="32"/>
          <w:lang w:bidi="ar"/>
        </w:rPr>
        <w:t>　申请结题的项目应提交以下材料：</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1.《大学生创新与创造项目立项申请书》；</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2.项目批准文件；</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3.《大学生创新与创造项目中期进度报告表》；</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4.《大学生创新与创造项目结题申请表》；</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5.项目成果。</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第二十四条</w:t>
      </w:r>
      <w:r>
        <w:rPr>
          <w:rFonts w:hint="eastAsia" w:ascii="仿宋_GB2312" w:hAnsi="仿宋_GB2312" w:eastAsia="仿宋_GB2312" w:cs="仿宋_GB2312"/>
          <w:kern w:val="0"/>
          <w:sz w:val="32"/>
          <w:szCs w:val="32"/>
          <w:lang w:bidi="ar"/>
        </w:rPr>
        <w:t>　大学生创新与创造项目结题工作，一般每年安排在5月份及11月份进行。二级学院组织评审组进行结题评审，评审组成员不低于5人，其中：1人为二级学院中层领导，1人由创新创业学院委派。学校创新创业学院审查批准结题，并发文公布。</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第二十五条 </w:t>
      </w:r>
      <w:r>
        <w:rPr>
          <w:rFonts w:hint="eastAsia" w:ascii="仿宋_GB2312" w:hAnsi="仿宋_GB2312" w:eastAsia="仿宋_GB2312" w:cs="仿宋_GB2312"/>
          <w:kern w:val="0"/>
          <w:sz w:val="32"/>
          <w:szCs w:val="32"/>
          <w:lang w:bidi="ar"/>
        </w:rPr>
        <w:t xml:space="preserve"> 鼓励大学生创新与创造项目与《毕业设计（论文）》结合，在项目达到同等要求的情况下，可以用项目作为《毕业设计（论文）》的选题，二级学院在配备指导教师时给予优先支持。</w:t>
      </w:r>
    </w:p>
    <w:p>
      <w:pPr>
        <w:pageBreakBefore w:val="0"/>
        <w:kinsoku/>
        <w:overflowPunct/>
        <w:topLinePunct w:val="0"/>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第二十六条</w:t>
      </w:r>
      <w:r>
        <w:rPr>
          <w:rFonts w:hint="eastAsia" w:ascii="仿宋_GB2312" w:hAnsi="仿宋_GB2312" w:eastAsia="仿宋_GB2312" w:cs="仿宋_GB2312"/>
          <w:kern w:val="0"/>
          <w:sz w:val="32"/>
          <w:szCs w:val="32"/>
          <w:lang w:bidi="ar"/>
        </w:rPr>
        <w:t xml:space="preserve">  学校每年从结题的项目中评比“优秀大学生创新与创造项目”。</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bidi w:val="0"/>
        <w:spacing w:line="560" w:lineRule="exact"/>
        <w:jc w:val="center"/>
        <w:outlineLvl w:val="9"/>
        <w:rPr>
          <w:rFonts w:ascii="黑体" w:hAnsi="仿宋_GB2312" w:eastAsia="黑体" w:cs="仿宋_GB2312"/>
          <w:b/>
          <w:kern w:val="0"/>
          <w:sz w:val="32"/>
          <w:szCs w:val="32"/>
          <w:lang w:bidi="ar"/>
        </w:rPr>
      </w:pPr>
      <w:bookmarkStart w:id="418" w:name="_Toc11259_WPSOffice_Level1"/>
      <w:r>
        <w:rPr>
          <w:rFonts w:hint="eastAsia" w:ascii="黑体" w:hAnsi="仿宋_GB2312" w:eastAsia="黑体" w:cs="仿宋_GB2312"/>
          <w:b/>
          <w:kern w:val="0"/>
          <w:sz w:val="32"/>
          <w:szCs w:val="32"/>
          <w:lang w:bidi="ar"/>
        </w:rPr>
        <w:t>第五章   经费管理</w:t>
      </w:r>
      <w:bookmarkEnd w:id="418"/>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第二十七条</w:t>
      </w:r>
      <w:r>
        <w:rPr>
          <w:rFonts w:hint="eastAsia" w:ascii="仿宋_GB2312" w:hAnsi="仿宋_GB2312" w:eastAsia="仿宋_GB2312" w:cs="仿宋_GB2312"/>
          <w:kern w:val="0"/>
          <w:sz w:val="32"/>
          <w:szCs w:val="32"/>
          <w:lang w:bidi="ar"/>
        </w:rPr>
        <w:t xml:space="preserve">  学校设学生创新与创造项目专项经费。项目立项后，项目经费划拨二级学院，二级学院负责项目的经费监管。</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第二十八条 </w:t>
      </w:r>
      <w:r>
        <w:rPr>
          <w:rFonts w:hint="eastAsia" w:ascii="仿宋_GB2312" w:hAnsi="仿宋_GB2312" w:eastAsia="仿宋_GB2312" w:cs="仿宋_GB2312"/>
          <w:kern w:val="0"/>
          <w:sz w:val="32"/>
          <w:szCs w:val="32"/>
          <w:lang w:bidi="ar"/>
        </w:rPr>
        <w:t xml:space="preserve"> 经费报销必须遵守国家和学校的财务管理制度规定。立项项目的经费采用凭票据实报销，由项目指导教师负责所指导项目的经费报账手续。二级学院应对每个立项项目设立经费使用备查明细帐，做到支出明晰和掌握支出进度。</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第二十九条</w:t>
      </w:r>
      <w:r>
        <w:rPr>
          <w:rFonts w:hint="eastAsia" w:ascii="仿宋_GB2312" w:hAnsi="仿宋_GB2312" w:eastAsia="仿宋_GB2312" w:cs="仿宋_GB2312"/>
          <w:kern w:val="0"/>
          <w:sz w:val="32"/>
          <w:szCs w:val="32"/>
          <w:lang w:bidi="ar"/>
        </w:rPr>
        <w:t xml:space="preserve">  采用固定时段集中的报账方式，一般一个项目可以集中报账3次，分别是项目立项、中期检查、验收以后进行。</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第一次报销，在立项后的一个月内进行，支出一般不超过总经费的50%。</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第二次报销，在中期检查合格后的一个月内进行，累计支出一般不超过总经费的80%。</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第三次审批，在项目结题审查合格后的一个月内进行，累计支出达总经费的100%。未能按期结题者，剩余的经费不再审批。</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第三十条</w:t>
      </w:r>
      <w:r>
        <w:rPr>
          <w:rFonts w:hint="eastAsia" w:ascii="仿宋_GB2312" w:hAnsi="仿宋_GB2312" w:eastAsia="仿宋_GB2312" w:cs="仿宋_GB2312"/>
          <w:kern w:val="0"/>
          <w:sz w:val="32"/>
          <w:szCs w:val="32"/>
          <w:lang w:bidi="ar"/>
        </w:rPr>
        <w:t xml:space="preserve">  符合下列条件之一者酌情追加经费：</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1.项目成果申请发明专利；</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2.项目成果参加校外成果评比；</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3.以独立或第一作者在期刊公开发表论文；</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4.其他需要追加经费的。</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第三十一条 </w:t>
      </w:r>
      <w:r>
        <w:rPr>
          <w:rFonts w:hint="eastAsia" w:ascii="仿宋_GB2312" w:hAnsi="仿宋_GB2312" w:eastAsia="仿宋_GB2312" w:cs="仿宋_GB2312"/>
          <w:kern w:val="0"/>
          <w:sz w:val="32"/>
          <w:szCs w:val="32"/>
          <w:lang w:bidi="ar"/>
        </w:rPr>
        <w:t xml:space="preserve"> 项目经费使用范围：</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项目经费限于本项目工作直接需要的开支，实事求是，勤俭节约，应充分利用已有条件和可以利用的协作条件。使用范围包括图书资料费、制作材料费、调研差旅费、数据采集费、专利申请费、专家咨询劳务费、印刷费、版面费、其他合理的经费开支。</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项目经费原则上不得购置任何设备，不得发放校内人员经费。</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第三十二条</w:t>
      </w:r>
      <w:r>
        <w:rPr>
          <w:rFonts w:hint="eastAsia" w:ascii="仿宋_GB2312" w:hAnsi="仿宋_GB2312" w:eastAsia="仿宋_GB2312" w:cs="仿宋_GB2312"/>
          <w:kern w:val="0"/>
          <w:sz w:val="32"/>
          <w:szCs w:val="32"/>
          <w:lang w:bidi="ar"/>
        </w:rPr>
        <w:t xml:space="preserve">  大学生创新与创造项目经费实行专款专用，有下列行为之一的，视不同情况分别给予撤销项目、停拨项目经费等处罚。情节严重者，建议学校给予处分。</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1.项目未能通过中期检查，或未通过验收，整改后仍未能通过；</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2.发生剽窃、抄袭他人成果及其他侵犯</w:t>
      </w:r>
      <w:r>
        <w:rPr>
          <w:rFonts w:ascii="仿宋_GB2312" w:hAnsi="仿宋_GB2312" w:eastAsia="仿宋_GB2312" w:cs="仿宋_GB2312"/>
          <w:kern w:val="0"/>
          <w:sz w:val="32"/>
          <w:szCs w:val="32"/>
          <w:lang w:bidi="ar"/>
        </w:rPr>
        <w:t>知识产权等</w:t>
      </w:r>
      <w:r>
        <w:rPr>
          <w:rFonts w:hint="eastAsia" w:ascii="仿宋_GB2312" w:hAnsi="仿宋_GB2312" w:eastAsia="仿宋_GB2312" w:cs="仿宋_GB2312"/>
          <w:kern w:val="0"/>
          <w:sz w:val="32"/>
          <w:szCs w:val="32"/>
          <w:lang w:bidi="ar"/>
        </w:rPr>
        <w:t>不端行为现象；</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3.与批准的课题设计严重不符；</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4.逾期不提交延期申请，或延期到期仍不能完成；</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5.违反财务制度等。</w:t>
      </w:r>
    </w:p>
    <w:p>
      <w:pPr>
        <w:pageBreakBefore w:val="0"/>
        <w:kinsoku/>
        <w:overflowPunct/>
        <w:topLinePunct w:val="0"/>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第三十三条</w:t>
      </w:r>
      <w:r>
        <w:rPr>
          <w:rFonts w:hint="eastAsia" w:ascii="仿宋_GB2312" w:hAnsi="仿宋_GB2312" w:eastAsia="仿宋_GB2312" w:cs="仿宋_GB2312"/>
          <w:kern w:val="0"/>
          <w:sz w:val="32"/>
          <w:szCs w:val="32"/>
          <w:lang w:bidi="ar"/>
        </w:rPr>
        <w:t xml:space="preserve">  指导教师的指导工作量，由各二级学院根据本学院的工作量自主分配办法核定并发放。</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bidi w:val="0"/>
        <w:spacing w:line="560" w:lineRule="exact"/>
        <w:jc w:val="center"/>
        <w:outlineLvl w:val="9"/>
        <w:rPr>
          <w:rFonts w:ascii="黑体" w:hAnsi="仿宋_GB2312" w:eastAsia="黑体" w:cs="仿宋_GB2312"/>
          <w:b/>
          <w:kern w:val="0"/>
          <w:sz w:val="32"/>
          <w:szCs w:val="32"/>
          <w:lang w:bidi="ar"/>
        </w:rPr>
      </w:pPr>
      <w:bookmarkStart w:id="419" w:name="_Toc7851_WPSOffice_Level1"/>
      <w:r>
        <w:rPr>
          <w:rFonts w:hint="eastAsia" w:ascii="黑体" w:hAnsi="仿宋_GB2312" w:eastAsia="黑体" w:cs="仿宋_GB2312"/>
          <w:b/>
          <w:kern w:val="0"/>
          <w:sz w:val="32"/>
          <w:szCs w:val="32"/>
          <w:lang w:bidi="ar"/>
        </w:rPr>
        <w:t>第六章  附  则</w:t>
      </w:r>
      <w:bookmarkEnd w:id="419"/>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第三十四条</w:t>
      </w:r>
      <w:r>
        <w:rPr>
          <w:rFonts w:hint="eastAsia" w:ascii="仿宋_GB2312" w:hAnsi="仿宋_GB2312" w:eastAsia="仿宋_GB2312" w:cs="仿宋_GB2312"/>
          <w:kern w:val="0"/>
          <w:sz w:val="32"/>
          <w:szCs w:val="32"/>
          <w:lang w:bidi="ar"/>
        </w:rPr>
        <w:t xml:space="preserve">  参加大学生创新与创造项目的学生，可按照《柳州职业技术学学院创新创业活动学分奖励管理办法》申请学分奖励。</w:t>
      </w:r>
    </w:p>
    <w:p>
      <w:pPr>
        <w:pageBreakBefore w:val="0"/>
        <w:kinsoku/>
        <w:overflowPunct/>
        <w:topLinePunct w:val="0"/>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第三十五条</w:t>
      </w:r>
      <w:r>
        <w:rPr>
          <w:rFonts w:hint="eastAsia" w:ascii="仿宋_GB2312" w:hAnsi="仿宋_GB2312" w:eastAsia="仿宋_GB2312" w:cs="仿宋_GB2312"/>
          <w:kern w:val="0"/>
          <w:sz w:val="32"/>
          <w:szCs w:val="32"/>
          <w:lang w:bidi="ar"/>
        </w:rPr>
        <w:t xml:space="preserve">  本办法自公布之日起实施，由柳州职业技术学院创新创业学院负责解释。</w:t>
      </w:r>
    </w:p>
    <w:p>
      <w:pPr>
        <w:pageBreakBefore w:val="0"/>
        <w:kinsoku/>
        <w:overflowPunct/>
        <w:topLinePunct w:val="0"/>
        <w:bidi w:val="0"/>
        <w:outlineLvl w:val="9"/>
        <w:sectPr>
          <w:pgSz w:w="11906" w:h="16838"/>
          <w:pgMar w:top="1440" w:right="1800" w:bottom="1440" w:left="1800" w:header="851" w:footer="992" w:gutter="0"/>
          <w:pgNumType w:fmt="decimal"/>
          <w:cols w:space="425" w:num="1"/>
          <w:docGrid w:type="lines" w:linePitch="312" w:charSpace="0"/>
        </w:sectPr>
      </w:pP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eastAsia" w:ascii="宋体" w:hAnsi="宋体"/>
          <w:b/>
          <w:bCs/>
          <w:color w:val="000000"/>
          <w:sz w:val="36"/>
          <w:szCs w:val="36"/>
          <w:lang w:val="en-US" w:eastAsia="zh-CN"/>
        </w:rPr>
      </w:pPr>
      <w:bookmarkStart w:id="420" w:name="_Toc534379490"/>
      <w:bookmarkStart w:id="421" w:name="_Toc18366"/>
      <w:bookmarkStart w:id="422" w:name="_Toc3119_WPSOffice_Level1"/>
      <w:bookmarkStart w:id="423" w:name="_Toc14988"/>
      <w:bookmarkStart w:id="424" w:name="_Toc5382"/>
      <w:bookmarkStart w:id="425" w:name="_Toc19697"/>
      <w:r>
        <w:rPr>
          <w:rFonts w:hint="eastAsia" w:ascii="宋体" w:hAnsi="宋体"/>
          <w:b/>
          <w:bCs/>
          <w:color w:val="000000"/>
          <w:sz w:val="36"/>
          <w:szCs w:val="36"/>
          <w:lang w:val="en-US" w:eastAsia="zh-CN"/>
        </w:rPr>
        <w:t>柳州职业技术学院</w:t>
      </w:r>
      <w:bookmarkEnd w:id="420"/>
      <w:bookmarkStart w:id="426" w:name="_Toc534379491"/>
      <w:r>
        <w:rPr>
          <w:rFonts w:hint="eastAsia" w:ascii="宋体" w:hAnsi="宋体"/>
          <w:b/>
          <w:bCs/>
          <w:color w:val="000000"/>
          <w:sz w:val="36"/>
          <w:szCs w:val="36"/>
          <w:lang w:val="en-US" w:eastAsia="zh-CN"/>
        </w:rPr>
        <w:t>创新创业活动学分奖励管理办法</w:t>
      </w:r>
      <w:bookmarkEnd w:id="421"/>
      <w:bookmarkEnd w:id="422"/>
      <w:bookmarkEnd w:id="423"/>
      <w:bookmarkEnd w:id="424"/>
      <w:bookmarkEnd w:id="425"/>
      <w:bookmarkEnd w:id="426"/>
    </w:p>
    <w:p>
      <w:pPr>
        <w:pStyle w:val="10"/>
        <w:pageBreakBefore w:val="0"/>
        <w:kinsoku/>
        <w:overflowPunct/>
        <w:topLinePunct w:val="0"/>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rPr>
        <w:t xml:space="preserve"> </w:t>
      </w:r>
      <w:r>
        <w:rPr>
          <w:rFonts w:hint="eastAsia" w:ascii="仿宋_GB2312" w:hAnsi="黑体" w:eastAsia="仿宋_GB2312" w:cs="黑体"/>
          <w:sz w:val="32"/>
          <w:szCs w:val="32"/>
        </w:rPr>
        <w:t>（柳职院字〔2018〕40号）</w:t>
      </w:r>
    </w:p>
    <w:p>
      <w:pPr>
        <w:pageBreakBefore w:val="0"/>
        <w:kinsoku/>
        <w:overflowPunct/>
        <w:topLinePunct w:val="0"/>
        <w:bidi w:val="0"/>
        <w:ind w:firstLine="560"/>
        <w:outlineLvl w:val="9"/>
      </w:pP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为全面深化学校创新创业教育改革，不断强化学生创新创业意识，提升创新创业能力，根据《国务院办公厅关于深化高等学校创新创业教育改革的实施意见》（</w:t>
      </w:r>
      <w:r>
        <w:rPr>
          <w:rFonts w:ascii="仿宋_GB2312" w:hAnsi="仿宋_GB2312" w:eastAsia="仿宋_GB2312" w:cs="仿宋_GB2312"/>
          <w:kern w:val="0"/>
          <w:sz w:val="32"/>
          <w:szCs w:val="32"/>
          <w:lang w:bidi="ar"/>
        </w:rPr>
        <w:t>国办发〔2015〕36号</w:t>
      </w:r>
      <w:r>
        <w:rPr>
          <w:rFonts w:hint="eastAsia" w:ascii="仿宋_GB2312" w:hAnsi="仿宋_GB2312" w:eastAsia="仿宋_GB2312" w:cs="仿宋_GB2312"/>
          <w:kern w:val="0"/>
          <w:sz w:val="32"/>
          <w:szCs w:val="32"/>
          <w:lang w:bidi="ar"/>
        </w:rPr>
        <w:t>）、《广西壮族自治区人民政府办公厅关于深化高等学校创新创业教育改革的实施方案》（</w:t>
      </w:r>
      <w:r>
        <w:rPr>
          <w:rFonts w:ascii="仿宋_GB2312" w:hAnsi="仿宋_GB2312" w:eastAsia="仿宋_GB2312" w:cs="仿宋_GB2312"/>
          <w:kern w:val="0"/>
          <w:sz w:val="32"/>
          <w:szCs w:val="32"/>
          <w:lang w:bidi="ar"/>
        </w:rPr>
        <w:t>桂政办发〔201</w:t>
      </w:r>
      <w:r>
        <w:rPr>
          <w:rFonts w:hint="eastAsia" w:ascii="仿宋_GB2312" w:hAnsi="仿宋_GB2312" w:eastAsia="仿宋_GB2312" w:cs="仿宋_GB2312"/>
          <w:kern w:val="0"/>
          <w:sz w:val="32"/>
          <w:szCs w:val="32"/>
          <w:lang w:bidi="ar"/>
        </w:rPr>
        <w:t>6</w:t>
      </w:r>
      <w:r>
        <w:rPr>
          <w:rFonts w:ascii="仿宋_GB2312" w:hAnsi="仿宋_GB2312" w:eastAsia="仿宋_GB2312" w:cs="仿宋_GB2312"/>
          <w:kern w:val="0"/>
          <w:sz w:val="32"/>
          <w:szCs w:val="32"/>
          <w:lang w:bidi="ar"/>
        </w:rPr>
        <w:t>〕50号</w:t>
      </w:r>
      <w:r>
        <w:rPr>
          <w:rFonts w:hint="eastAsia" w:ascii="仿宋_GB2312" w:hAnsi="仿宋_GB2312" w:eastAsia="仿宋_GB2312" w:cs="仿宋_GB2312"/>
          <w:kern w:val="0"/>
          <w:sz w:val="32"/>
          <w:szCs w:val="32"/>
          <w:lang w:bidi="ar"/>
        </w:rPr>
        <w:t xml:space="preserve">）的文件精神和《柳州职业技术学院学生学籍管理规定》等管理制度的要求，特制定本办法。 </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lang w:bidi="ar"/>
        </w:rPr>
      </w:pPr>
      <w:bookmarkStart w:id="427" w:name="_Toc6423_WPSOffice_Level1"/>
      <w:r>
        <w:rPr>
          <w:rFonts w:hint="eastAsia" w:ascii="黑体" w:hAnsi="仿宋_GB2312" w:eastAsia="黑体" w:cs="仿宋_GB2312"/>
          <w:b/>
          <w:kern w:val="0"/>
          <w:sz w:val="32"/>
          <w:szCs w:val="32"/>
          <w:lang w:bidi="ar"/>
        </w:rPr>
        <w:t>第一章  总  则</w:t>
      </w:r>
      <w:bookmarkEnd w:id="427"/>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xml:space="preserve">  创新创业活动学分奖励是指我校在籍学生参与创新创业活动后，可以申请获得相应的学分奖励。</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第二条</w:t>
      </w:r>
      <w:r>
        <w:rPr>
          <w:rFonts w:hint="eastAsia" w:ascii="仿宋_GB2312" w:hAnsi="仿宋_GB2312" w:eastAsia="仿宋_GB2312" w:cs="仿宋_GB2312"/>
          <w:kern w:val="0"/>
          <w:sz w:val="32"/>
          <w:szCs w:val="32"/>
          <w:lang w:bidi="ar"/>
        </w:rPr>
        <w:t xml:space="preserve">  创新创业活动学分奖励旨在进一步学生培养学生创新精神、增强创业意识、提高创新创业能力，促进学生个性发展，提高人才培养质量。</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第三条 </w:t>
      </w:r>
      <w:r>
        <w:rPr>
          <w:rFonts w:hint="eastAsia" w:ascii="仿宋_GB2312" w:hAnsi="仿宋_GB2312" w:eastAsia="仿宋_GB2312" w:cs="仿宋_GB2312"/>
          <w:kern w:val="0"/>
          <w:sz w:val="32"/>
          <w:szCs w:val="32"/>
          <w:lang w:bidi="ar"/>
        </w:rPr>
        <w:t xml:space="preserve"> 教务与实训管理处、科技开发处、学生工作处、团委以及通识教育学院等部门作为创新创业活动学分奖励认定的主要责任部门，其他相关职能部门和二级学院协同管理。</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创新创业活动的奖励学分可申请记为选修学分（包括公共选修学分和专业选修学分），也可申请记为必修学分（用于置换相应的必修课程学分，包括公共必修学分和专业必修学分）。若申请记为必修学分，学生需在申请时确定拟置换学分的必修课程（该课程内容应与学生参与的创新创业活动内容相关），经二级学院、相关责任部门及教务与实训管理处审核认定。审核通过的，课程成绩按90分记录。</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每名学生在籍期间，奖励学分累计不得超过5学分。</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lang w:bidi="ar"/>
        </w:rPr>
      </w:pPr>
      <w:bookmarkStart w:id="428" w:name="_Toc16242_WPSOffice_Level1"/>
      <w:r>
        <w:rPr>
          <w:rFonts w:hint="eastAsia" w:ascii="黑体" w:hAnsi="仿宋_GB2312" w:eastAsia="黑体" w:cs="仿宋_GB2312"/>
          <w:b/>
          <w:kern w:val="0"/>
          <w:sz w:val="32"/>
          <w:szCs w:val="32"/>
          <w:lang w:bidi="ar"/>
        </w:rPr>
        <w:t>第二章  创新创业活动的认定范围</w:t>
      </w:r>
      <w:bookmarkEnd w:id="428"/>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hint="eastAsia" w:ascii="仿宋_GB2312" w:hAnsi="仿宋_GB2312" w:eastAsia="仿宋_GB2312" w:cs="仿宋_GB2312"/>
          <w:kern w:val="0"/>
          <w:sz w:val="32"/>
          <w:szCs w:val="32"/>
          <w:lang w:bidi="ar"/>
        </w:rPr>
        <w:t xml:space="preserve">  本办法认定的创新创业活动主要包括科学研究、发明创造、技能竞赛、创新创业竞赛、创业培训以及创业实践等。 </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1.科学研究：学生主持或参与校内外各级各类科研项目并取得成果，或参与教师科研项目并取得成果，或在国内外正式刊物或重大活动上发表的论文或艺术作品。 </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2.发明创造：指发明专利、实用新型及外观设计专利等。</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3.技能竞赛：包括专业技能竞赛和通用技能竞赛，是指学生参加由政府教育行政主管部门或专业学术团体，或专业教学指导委员会等组织主办的技能竞赛并获得相关奖项。</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4.创新创业竞赛：指学生参加各类型创新创业大赛并获相应奖项，或主持、参与学校设立的大学生创新与创造项目。</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5.创业培训：指学生参加国家大学生创业训练项目并结业，或学生选修学校开设的各类创业培训课程并获得结课证明。</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6.创业实践：主要包括完成创业基金项目和自主创业。完成创业基金项目是指学生成功申请各级各类创业基金，并完成项目、通过验收；自主创业是指学生创建公司，完成公司登记注册并顺利运营。</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lang w:bidi="ar"/>
        </w:rPr>
      </w:pPr>
      <w:bookmarkStart w:id="429" w:name="_Toc15580_WPSOffice_Level1"/>
      <w:r>
        <w:rPr>
          <w:rFonts w:hint="eastAsia" w:ascii="黑体" w:hAnsi="仿宋_GB2312" w:eastAsia="黑体" w:cs="仿宋_GB2312"/>
          <w:b/>
          <w:kern w:val="0"/>
          <w:sz w:val="32"/>
          <w:szCs w:val="32"/>
          <w:lang w:bidi="ar"/>
        </w:rPr>
        <w:t>第三章  创新创业活动学分奖励的认定程序</w:t>
      </w:r>
      <w:bookmarkEnd w:id="429"/>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第七条 </w:t>
      </w:r>
      <w:r>
        <w:rPr>
          <w:rFonts w:hint="eastAsia" w:ascii="仿宋_GB2312" w:hAnsi="仿宋_GB2312" w:eastAsia="仿宋_GB2312" w:cs="仿宋_GB2312"/>
          <w:kern w:val="0"/>
          <w:sz w:val="32"/>
          <w:szCs w:val="32"/>
          <w:lang w:bidi="ar"/>
        </w:rPr>
        <w:t xml:space="preserve"> 创新创业活动学分奖励由学生本人报所属二级学院；各二级学院汇总、初审后报对应责任部门；各责任部门复核后将认定结果报教务与实训管理处，由教务与实训管理处登记。其中，科学研究、发明创造类活动奖励学分由科技开发处负责认定，各二级学院配合认定，由科技开发处汇总认定结果并报教务与实训管理处登记；技能竞赛、创新创业竞赛类活动奖励学分主要由教务与实训管理处审核认定，校团委、通识教育学院及各二级学院配合认定；创业培训、创业实践类活动奖励学分主要由校团委负责审核认定，通识教育学院和各二级学院配合认定，由校团委汇总认定结果并报教务与实训管理处登记。</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第八条 </w:t>
      </w:r>
      <w:r>
        <w:rPr>
          <w:rFonts w:hint="eastAsia" w:ascii="仿宋_GB2312" w:hAnsi="仿宋_GB2312" w:eastAsia="仿宋_GB2312" w:cs="仿宋_GB2312"/>
          <w:kern w:val="0"/>
          <w:sz w:val="32"/>
          <w:szCs w:val="32"/>
          <w:lang w:bidi="ar"/>
        </w:rPr>
        <w:t xml:space="preserve"> 创新创业活动奖励学分申报及认定工作在每学年的下学期（该学期简称“申报学期”）进行，具体程序如下：</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学生申报：在申报学期的1-4周，由学生本人参照《创新创业活动学分奖励认定参考标准》（附件2）填写《创新创业活动学分奖励申请表》（附件3），向所属二级学院提交申报材料，并按要求准备证明材料原件和复印件待查。</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二级学院上报：各二级学院汇总申报材料，审核材料的真实性，并在申报学期第5周前将申报材料提交相应的认定责任部门：科学研究、发明创造类活动申报材料交科技开发处；技能竞赛、创新创业竞赛类活动申报材料交教务与实训管理处；创业培训、创业实践类活动申报材料交校团委。</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3.创新创业活动奖励学分审核、认定：</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科学研究、发明创造类活动奖励学分由科技开发处认定，并在申报学期第8周前将认定结果汇总至《创新创业活动学分奖励认定汇总表》（附件4）送教务与实训管理处登记，学生提交的认定材料、认定结果等资料视同试卷，由科技开发处留存入档，对不符合认定标准的申请项目予以回退。</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技能竞赛、创新创业竞赛类活动奖励学分主要由教务与实训管理处认定，校团委、通识教育学院协助审核、认定，并将认定结果汇总至《创新创业活动学分奖励认定汇总表》（附件4），在申报学期第10周前完成登记。学生提交的认定材料、认定结果等资料视同试卷，由教务与实训管理处留存入档，对不符合认定标准的申请项目予以回退。</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创业培训、创业实践类活动奖励学分主要由校团委认定，由通识教育学院协助审核、认定。校团委于申报学期第8周前将认定结果汇总至《创新创业活动学分奖励认定汇总表》（附件4）送教务与实训管理处登记。学生提交的认定材料、认定结果等资料等同于试卷，由校团委留存入档，对不符合认定标准的申请项目予以回退。教务与实训管理处于申报学期第10周前汇总各责任部门报送的认定结果，并将数据录入教务管理系统。</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学生参加同一竞赛，或同一成果在一次赛事（含不同分段赛）中获得多个奖项的，以最高奖项认定奖励学分；同一项目跨学期再次获得更高档次奖励的，以补差值的方式记录学分；个人或团队参赛获奖的，所有成员均获得奖励学分（获奖团队中的每个参赛选手均可获得同样的奖励学分）；个人奖项与团队奖项有重复的，取最高值计奖励学分，不重复计算。</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学生应如实填写创新创业活动学分奖励申请各项内容，提交的相关证明材料必须真实。凡弄虚作假者，取消所获得的相关学分和待遇，并以作弊论处；因项目或活动组织部门及相关教师管理不严，造成不良影响的，予以通报批评；认定的学分违背本办法或与实际不符的，需重新认定；认定中出现违规问题的，视情节追究当事人责任。 </w:t>
      </w: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lang w:bidi="ar"/>
        </w:rPr>
      </w:pPr>
      <w:bookmarkStart w:id="430" w:name="_Toc11297_WPSOffice_Level1"/>
      <w:r>
        <w:rPr>
          <w:rFonts w:hint="eastAsia" w:ascii="黑体" w:hAnsi="仿宋_GB2312" w:eastAsia="黑体" w:cs="仿宋_GB2312"/>
          <w:b/>
          <w:kern w:val="0"/>
          <w:sz w:val="32"/>
          <w:szCs w:val="32"/>
          <w:lang w:bidi="ar"/>
        </w:rPr>
        <w:t>第四章  附  则</w:t>
      </w:r>
      <w:bookmarkEnd w:id="430"/>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第十一条</w:t>
      </w:r>
      <w:r>
        <w:rPr>
          <w:rFonts w:hint="eastAsia" w:ascii="仿宋_GB2312" w:hAnsi="仿宋_GB2312" w:eastAsia="仿宋_GB2312" w:cs="仿宋_GB2312"/>
          <w:kern w:val="0"/>
          <w:sz w:val="32"/>
          <w:szCs w:val="32"/>
          <w:lang w:bidi="ar"/>
        </w:rPr>
        <w:t xml:space="preserve">  本办法执行过程中遇到争议事项，报教务与实训管理处及相关学分认定责任部门协调处理。 </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本办法自2018年1月起开始与人才培养方案及教学计划配套执行。学校原有文件与本办法不一致的，以本办法为准。各学分认定责任部门及相关二级学院可根据各自工作的特点制订实施细则。 </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第十三条</w:t>
      </w:r>
      <w:r>
        <w:rPr>
          <w:rFonts w:hint="eastAsia" w:ascii="仿宋_GB2312" w:hAnsi="仿宋_GB2312" w:eastAsia="仿宋_GB2312" w:cs="仿宋_GB2312"/>
          <w:kern w:val="0"/>
          <w:sz w:val="32"/>
          <w:szCs w:val="32"/>
          <w:lang w:bidi="ar"/>
        </w:rPr>
        <w:t xml:space="preserve">  本办法由教务与实训管理处、科技开发处、学生工作处、团委以及通识教育学院负责解释。 </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第十四条 </w:t>
      </w:r>
      <w:r>
        <w:rPr>
          <w:rFonts w:hint="eastAsia" w:ascii="仿宋_GB2312" w:hAnsi="仿宋_GB2312" w:eastAsia="仿宋_GB2312" w:cs="仿宋_GB2312"/>
          <w:kern w:val="0"/>
          <w:sz w:val="32"/>
          <w:szCs w:val="32"/>
          <w:lang w:bidi="ar"/>
        </w:rPr>
        <w:t xml:space="preserve"> 本办法自发布之日起施行。</w:t>
      </w: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overflowPunct/>
        <w:topLinePunct w:val="0"/>
        <w:bidi w:val="0"/>
        <w:spacing w:line="550" w:lineRule="exact"/>
        <w:ind w:firstLine="640" w:firstLineChars="200"/>
        <w:outlineLvl w:val="9"/>
        <w:rPr>
          <w:rFonts w:hint="eastAsia" w:ascii="仿宋_GB2312" w:hAnsi="仿宋_GB2312" w:eastAsia="仿宋_GB2312" w:cs="仿宋_GB2312"/>
          <w:spacing w:val="-8"/>
          <w:kern w:val="0"/>
          <w:sz w:val="32"/>
          <w:szCs w:val="32"/>
          <w:lang w:bidi="ar"/>
        </w:rPr>
      </w:pPr>
      <w:r>
        <w:rPr>
          <w:rFonts w:hint="eastAsia" w:ascii="仿宋_GB2312" w:hAnsi="仿宋_GB2312" w:eastAsia="仿宋_GB2312" w:cs="仿宋_GB2312"/>
          <w:kern w:val="0"/>
          <w:sz w:val="32"/>
          <w:szCs w:val="32"/>
          <w:lang w:bidi="ar"/>
        </w:rPr>
        <w:t>附件：1.</w:t>
      </w:r>
      <w:r>
        <w:rPr>
          <w:rFonts w:hint="eastAsia" w:ascii="仿宋_GB2312" w:hAnsi="仿宋_GB2312" w:eastAsia="仿宋_GB2312" w:cs="仿宋_GB2312"/>
          <w:spacing w:val="-8"/>
          <w:kern w:val="0"/>
          <w:sz w:val="32"/>
          <w:szCs w:val="32"/>
          <w:lang w:bidi="ar"/>
        </w:rPr>
        <w:t>柳州职业技术学院创新创业活动学分奖励认定流程</w:t>
      </w:r>
    </w:p>
    <w:p>
      <w:pPr>
        <w:pageBreakBefore w:val="0"/>
        <w:kinsoku/>
        <w:overflowPunct/>
        <w:topLinePunct w:val="0"/>
        <w:bidi w:val="0"/>
        <w:spacing w:line="550" w:lineRule="exact"/>
        <w:ind w:firstLine="1600" w:firstLineChars="5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2.创新创业活动学分奖励认定参考标准</w:t>
      </w:r>
    </w:p>
    <w:p>
      <w:pPr>
        <w:pageBreakBefore w:val="0"/>
        <w:kinsoku/>
        <w:overflowPunct/>
        <w:topLinePunct w:val="0"/>
        <w:bidi w:val="0"/>
        <w:spacing w:line="550" w:lineRule="exact"/>
        <w:ind w:firstLine="1600" w:firstLineChars="5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3.柳州职业技术学院创新创业活动学分奖励申请表</w:t>
      </w:r>
    </w:p>
    <w:p>
      <w:pPr>
        <w:pageBreakBefore w:val="0"/>
        <w:kinsoku/>
        <w:overflowPunct/>
        <w:topLinePunct w:val="0"/>
        <w:bidi w:val="0"/>
        <w:spacing w:line="550" w:lineRule="exact"/>
        <w:ind w:firstLine="1600" w:firstLineChars="5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4.柳州职业技术学院创新创业活动学分奖励认定汇</w:t>
      </w:r>
    </w:p>
    <w:p>
      <w:pPr>
        <w:pageBreakBefore w:val="0"/>
        <w:kinsoku/>
        <w:overflowPunct/>
        <w:topLinePunct w:val="0"/>
        <w:bidi w:val="0"/>
        <w:spacing w:line="550" w:lineRule="exact"/>
        <w:ind w:firstLine="1920" w:firstLineChars="600"/>
        <w:outlineLvl w:val="9"/>
        <w:rPr>
          <w:rFonts w:ascii="黑体" w:eastAsia="黑体"/>
          <w:sz w:val="32"/>
          <w:szCs w:val="32"/>
        </w:rPr>
      </w:pPr>
      <w:r>
        <w:rPr>
          <w:rFonts w:hint="eastAsia" w:ascii="仿宋_GB2312" w:hAnsi="仿宋_GB2312" w:eastAsia="仿宋_GB2312" w:cs="仿宋_GB2312"/>
          <w:kern w:val="0"/>
          <w:sz w:val="32"/>
          <w:szCs w:val="32"/>
          <w:lang w:bidi="ar"/>
        </w:rPr>
        <w:t>总表</w:t>
      </w:r>
      <w:r>
        <w:rPr>
          <w:rFonts w:ascii="仿宋_GB2312" w:hAnsi="仿宋_GB2312" w:eastAsia="仿宋_GB2312" w:cs="仿宋_GB2312"/>
          <w:kern w:val="0"/>
          <w:sz w:val="32"/>
          <w:szCs w:val="32"/>
          <w:lang w:bidi="ar"/>
        </w:rPr>
        <w:br w:type="page"/>
      </w:r>
      <w:r>
        <w:rPr>
          <w:rFonts w:hint="eastAsia" w:ascii="黑体" w:eastAsia="黑体"/>
          <w:sz w:val="32"/>
          <w:szCs w:val="32"/>
        </w:rPr>
        <w:t>附件1：</w:t>
      </w:r>
    </w:p>
    <w:p>
      <w:pPr>
        <w:pageBreakBefore w:val="0"/>
        <w:kinsoku/>
        <w:overflowPunct/>
        <w:topLinePunct w:val="0"/>
        <w:bidi w:val="0"/>
        <w:spacing w:line="590" w:lineRule="exact"/>
        <w:jc w:val="center"/>
        <w:outlineLvl w:val="9"/>
        <w:rPr>
          <w:rFonts w:hint="eastAsia"/>
          <w:b/>
          <w:color w:val="000000"/>
          <w:sz w:val="36"/>
          <w:szCs w:val="36"/>
        </w:rPr>
      </w:pPr>
      <w:bookmarkStart w:id="431" w:name="_Toc15607_WPSOffice_Level1"/>
      <w:r>
        <w:rPr>
          <w:rFonts w:hint="eastAsia"/>
          <w:b/>
          <w:color w:val="000000"/>
          <w:sz w:val="36"/>
          <w:szCs w:val="36"/>
        </w:rPr>
        <w:t>柳州职业技术学院</w:t>
      </w:r>
      <w:bookmarkEnd w:id="431"/>
    </w:p>
    <w:p>
      <w:pPr>
        <w:pageBreakBefore w:val="0"/>
        <w:kinsoku/>
        <w:overflowPunct/>
        <w:topLinePunct w:val="0"/>
        <w:bidi w:val="0"/>
        <w:spacing w:line="590" w:lineRule="exact"/>
        <w:jc w:val="center"/>
        <w:outlineLvl w:val="9"/>
        <w:rPr>
          <w:b/>
          <w:color w:val="000000"/>
          <w:sz w:val="36"/>
          <w:szCs w:val="36"/>
        </w:rPr>
      </w:pPr>
      <w:bookmarkStart w:id="432" w:name="_Toc28406_WPSOffice_Level1"/>
      <w:r>
        <w:rPr>
          <w:rFonts w:hint="eastAsia"/>
          <w:b/>
          <w:color w:val="000000"/>
          <w:sz w:val="36"/>
          <w:szCs w:val="36"/>
        </w:rPr>
        <w:t>创新创业活动学分奖励认定流程</w:t>
      </w:r>
      <w:bookmarkEnd w:id="432"/>
    </w:p>
    <w:tbl>
      <w:tblPr>
        <w:tblStyle w:val="14"/>
        <w:tblW w:w="94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2"/>
        <w:gridCol w:w="960"/>
        <w:gridCol w:w="974"/>
        <w:gridCol w:w="2835"/>
        <w:gridCol w:w="1231"/>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9" w:hRule="atLeast"/>
          <w:jc w:val="center"/>
        </w:trPr>
        <w:tc>
          <w:tcPr>
            <w:tcW w:w="2702" w:type="dxa"/>
            <w:noWrap w:val="0"/>
            <w:vAlign w:val="center"/>
          </w:tcPr>
          <w:p>
            <w:pPr>
              <w:pageBreakBefore w:val="0"/>
              <w:kinsoku/>
              <w:overflowPunct/>
              <w:topLinePunct w:val="0"/>
              <w:bidi w:val="0"/>
              <w:spacing w:line="300" w:lineRule="exact"/>
              <w:jc w:val="center"/>
              <w:outlineLvl w:val="9"/>
              <w:rPr>
                <w:rFonts w:hint="eastAsia" w:ascii="仿宋_GB2312" w:eastAsia="仿宋_GB2312"/>
                <w:b/>
                <w:bCs/>
                <w:sz w:val="24"/>
              </w:rPr>
            </w:pPr>
            <w:r>
              <w:rPr>
                <w:rFonts w:hint="eastAsia" w:ascii="仿宋_GB2312" w:hAnsi="宋体" w:eastAsia="仿宋_GB2312" w:cs="宋体"/>
                <w:b/>
                <w:bCs/>
                <w:sz w:val="24"/>
              </w:rPr>
              <w:t>流程图</w:t>
            </w:r>
          </w:p>
        </w:tc>
        <w:tc>
          <w:tcPr>
            <w:tcW w:w="960" w:type="dxa"/>
            <w:noWrap w:val="0"/>
            <w:vAlign w:val="center"/>
          </w:tcPr>
          <w:p>
            <w:pPr>
              <w:pageBreakBefore w:val="0"/>
              <w:kinsoku/>
              <w:overflowPunct/>
              <w:topLinePunct w:val="0"/>
              <w:bidi w:val="0"/>
              <w:spacing w:line="300" w:lineRule="exact"/>
              <w:jc w:val="center"/>
              <w:outlineLvl w:val="9"/>
              <w:rPr>
                <w:rFonts w:hint="eastAsia" w:ascii="仿宋_GB2312" w:eastAsia="仿宋_GB2312"/>
                <w:b/>
                <w:bCs/>
                <w:sz w:val="24"/>
              </w:rPr>
            </w:pPr>
            <w:r>
              <w:rPr>
                <w:rFonts w:hint="eastAsia" w:ascii="仿宋_GB2312" w:hAnsi="宋体" w:eastAsia="仿宋_GB2312" w:cs="宋体"/>
                <w:b/>
                <w:bCs/>
                <w:sz w:val="24"/>
              </w:rPr>
              <w:t>责任人</w:t>
            </w:r>
          </w:p>
        </w:tc>
        <w:tc>
          <w:tcPr>
            <w:tcW w:w="974" w:type="dxa"/>
            <w:noWrap w:val="0"/>
            <w:vAlign w:val="center"/>
          </w:tcPr>
          <w:p>
            <w:pPr>
              <w:pageBreakBefore w:val="0"/>
              <w:kinsoku/>
              <w:overflowPunct/>
              <w:topLinePunct w:val="0"/>
              <w:bidi w:val="0"/>
              <w:spacing w:line="300" w:lineRule="exact"/>
              <w:jc w:val="center"/>
              <w:outlineLvl w:val="9"/>
              <w:rPr>
                <w:rFonts w:hint="eastAsia" w:ascii="仿宋_GB2312" w:hAnsi="宋体" w:eastAsia="仿宋_GB2312" w:cs="宋体"/>
                <w:b/>
                <w:bCs/>
                <w:sz w:val="24"/>
              </w:rPr>
            </w:pPr>
            <w:r>
              <w:rPr>
                <w:rFonts w:hint="eastAsia" w:ascii="仿宋_GB2312" w:hAnsi="宋体" w:eastAsia="仿宋_GB2312" w:cs="宋体"/>
                <w:b/>
                <w:bCs/>
                <w:sz w:val="24"/>
              </w:rPr>
              <w:t>实施</w:t>
            </w:r>
          </w:p>
          <w:p>
            <w:pPr>
              <w:pageBreakBefore w:val="0"/>
              <w:kinsoku/>
              <w:overflowPunct/>
              <w:topLinePunct w:val="0"/>
              <w:bidi w:val="0"/>
              <w:spacing w:line="300" w:lineRule="exact"/>
              <w:jc w:val="center"/>
              <w:outlineLvl w:val="9"/>
              <w:rPr>
                <w:rFonts w:hint="eastAsia" w:ascii="仿宋_GB2312" w:eastAsia="仿宋_GB2312"/>
                <w:b/>
                <w:bCs/>
                <w:sz w:val="24"/>
              </w:rPr>
            </w:pPr>
            <w:r>
              <w:rPr>
                <w:rFonts w:hint="eastAsia" w:ascii="仿宋_GB2312" w:hAnsi="宋体" w:eastAsia="仿宋_GB2312" w:cs="宋体"/>
                <w:b/>
                <w:bCs/>
                <w:sz w:val="24"/>
              </w:rPr>
              <w:t>部门</w:t>
            </w:r>
          </w:p>
        </w:tc>
        <w:tc>
          <w:tcPr>
            <w:tcW w:w="2835" w:type="dxa"/>
            <w:noWrap w:val="0"/>
            <w:vAlign w:val="center"/>
          </w:tcPr>
          <w:p>
            <w:pPr>
              <w:pageBreakBefore w:val="0"/>
              <w:kinsoku/>
              <w:overflowPunct/>
              <w:topLinePunct w:val="0"/>
              <w:bidi w:val="0"/>
              <w:spacing w:line="300" w:lineRule="exact"/>
              <w:jc w:val="center"/>
              <w:outlineLvl w:val="9"/>
              <w:rPr>
                <w:rFonts w:hint="eastAsia" w:ascii="仿宋_GB2312" w:eastAsia="仿宋_GB2312"/>
                <w:b/>
                <w:bCs/>
                <w:sz w:val="24"/>
              </w:rPr>
            </w:pPr>
            <w:r>
              <w:rPr>
                <w:rFonts w:hint="eastAsia" w:ascii="仿宋_GB2312" w:hAnsi="宋体" w:eastAsia="仿宋_GB2312" w:cs="宋体"/>
                <w:b/>
                <w:bCs/>
                <w:sz w:val="24"/>
              </w:rPr>
              <w:t>过程描述及注意事项</w:t>
            </w:r>
          </w:p>
        </w:tc>
        <w:tc>
          <w:tcPr>
            <w:tcW w:w="1231" w:type="dxa"/>
            <w:noWrap w:val="0"/>
            <w:vAlign w:val="center"/>
          </w:tcPr>
          <w:p>
            <w:pPr>
              <w:pageBreakBefore w:val="0"/>
              <w:kinsoku/>
              <w:overflowPunct/>
              <w:topLinePunct w:val="0"/>
              <w:bidi w:val="0"/>
              <w:spacing w:line="300" w:lineRule="exact"/>
              <w:jc w:val="center"/>
              <w:outlineLvl w:val="9"/>
              <w:rPr>
                <w:rFonts w:hint="eastAsia" w:ascii="仿宋_GB2312" w:hAnsi="宋体" w:eastAsia="仿宋_GB2312" w:cs="宋体"/>
                <w:b/>
                <w:bCs/>
                <w:sz w:val="24"/>
              </w:rPr>
            </w:pPr>
            <w:r>
              <w:rPr>
                <w:rFonts w:hint="eastAsia" w:ascii="仿宋_GB2312" w:hAnsi="宋体" w:eastAsia="仿宋_GB2312" w:cs="宋体"/>
                <w:b/>
                <w:bCs/>
                <w:sz w:val="24"/>
              </w:rPr>
              <w:t>办结时间</w:t>
            </w:r>
          </w:p>
        </w:tc>
        <w:tc>
          <w:tcPr>
            <w:tcW w:w="781" w:type="dxa"/>
            <w:noWrap w:val="0"/>
            <w:vAlign w:val="center"/>
          </w:tcPr>
          <w:p>
            <w:pPr>
              <w:pageBreakBefore w:val="0"/>
              <w:kinsoku/>
              <w:overflowPunct/>
              <w:topLinePunct w:val="0"/>
              <w:bidi w:val="0"/>
              <w:spacing w:line="300" w:lineRule="exact"/>
              <w:jc w:val="center"/>
              <w:outlineLvl w:val="9"/>
              <w:rPr>
                <w:rFonts w:hint="eastAsia" w:ascii="仿宋_GB2312" w:hAnsi="宋体" w:eastAsia="仿宋_GB2312" w:cs="宋体"/>
                <w:b/>
                <w:bCs/>
                <w:sz w:val="24"/>
              </w:rPr>
            </w:pPr>
            <w:r>
              <w:rPr>
                <w:rFonts w:hint="eastAsia" w:ascii="仿宋_GB2312" w:hAnsi="宋体" w:eastAsia="仿宋_GB2312" w:cs="宋体"/>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4" w:hRule="atLeast"/>
          <w:jc w:val="center"/>
        </w:trPr>
        <w:tc>
          <w:tcPr>
            <w:tcW w:w="2702" w:type="dxa"/>
            <w:vMerge w:val="restart"/>
            <w:noWrap w:val="0"/>
            <w:vAlign w:val="center"/>
          </w:tcPr>
          <w:p>
            <w:pPr>
              <w:pageBreakBefore w:val="0"/>
              <w:kinsoku/>
              <w:overflowPunct/>
              <w:topLinePunct w:val="0"/>
              <w:bidi w:val="0"/>
              <w:spacing w:line="300" w:lineRule="exact"/>
              <w:ind w:firstLine="560"/>
              <w:outlineLvl w:val="9"/>
              <w:rPr>
                <w:rFonts w:hint="eastAsia" w:ascii="仿宋_GB2312" w:eastAsia="仿宋_GB2312"/>
              </w:rPr>
            </w:pPr>
            <w:r>
              <w:rPr>
                <w:rFonts w:hint="eastAsia" w:ascii="仿宋_GB2312" w:eastAsia="仿宋_GB2312"/>
              </w:rPr>
              <mc:AlternateContent>
                <mc:Choice Requires="wpc">
                  <w:drawing>
                    <wp:inline distT="0" distB="0" distL="114300" distR="114300">
                      <wp:extent cx="1457960" cy="6557645"/>
                      <wp:effectExtent l="137795" t="0" r="0" b="0"/>
                      <wp:docPr id="136"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8" name="自选图形 15"/>
                              <wps:cNvSpPr/>
                              <wps:spPr>
                                <a:xfrm>
                                  <a:off x="162560" y="419100"/>
                                  <a:ext cx="1179830" cy="396240"/>
                                </a:xfrm>
                                <a:prstGeom prst="roundRect">
                                  <a:avLst>
                                    <a:gd name="adj" fmla="val 16667"/>
                                  </a:avLst>
                                </a:prstGeom>
                                <a:gradFill rotWithShape="0">
                                  <a:gsLst>
                                    <a:gs pos="0">
                                      <a:srgbClr val="FFFFFF"/>
                                    </a:gs>
                                    <a:gs pos="100000">
                                      <a:srgbClr val="FFFFFF">
                                        <a:gamma/>
                                        <a:tint val="0"/>
                                        <a:invGamma/>
                                      </a:srgbClr>
                                    </a:gs>
                                  </a:gsLst>
                                  <a:lin ang="5400000" scaled="1"/>
                                  <a:tileRect/>
                                </a:gradFill>
                                <a:ln w="9525" cap="flat" cmpd="sng">
                                  <a:solidFill>
                                    <a:srgbClr val="000000"/>
                                  </a:solidFill>
                                  <a:prstDash val="solid"/>
                                  <a:headEnd type="none" w="med" len="med"/>
                                  <a:tailEnd type="none" w="med" len="med"/>
                                </a:ln>
                              </wps:spPr>
                              <wps:txbx>
                                <w:txbxContent>
                                  <w:p>
                                    <w:pPr>
                                      <w:spacing w:line="300" w:lineRule="exact"/>
                                      <w:jc w:val="center"/>
                                      <w:rPr>
                                        <w:sz w:val="21"/>
                                        <w:szCs w:val="21"/>
                                      </w:rPr>
                                    </w:pPr>
                                    <w:r>
                                      <w:rPr>
                                        <w:rFonts w:hint="eastAsia" w:cs="宋体"/>
                                        <w:sz w:val="21"/>
                                        <w:szCs w:val="21"/>
                                      </w:rPr>
                                      <w:t>学生申请</w:t>
                                    </w:r>
                                  </w:p>
                                </w:txbxContent>
                              </wps:txbx>
                              <wps:bodyPr upright="1"/>
                            </wps:wsp>
                            <wps:wsp>
                              <wps:cNvPr id="139" name="矩形 16"/>
                              <wps:cNvSpPr/>
                              <wps:spPr>
                                <a:xfrm>
                                  <a:off x="170180" y="5576570"/>
                                  <a:ext cx="1164590" cy="601980"/>
                                </a:xfrm>
                                <a:prstGeom prst="rect">
                                  <a:avLst/>
                                </a:prstGeom>
                                <a:gradFill rotWithShape="0">
                                  <a:gsLst>
                                    <a:gs pos="0">
                                      <a:srgbClr val="FFFFFF"/>
                                    </a:gs>
                                    <a:gs pos="100000">
                                      <a:srgbClr val="FFFFFF">
                                        <a:gamma/>
                                        <a:tint val="0"/>
                                        <a:invGamma/>
                                      </a:srgbClr>
                                    </a:gs>
                                  </a:gsLst>
                                  <a:lin ang="5400000" scaled="1"/>
                                  <a:tileRect/>
                                </a:gradFill>
                                <a:ln w="9525" cap="flat" cmpd="sng">
                                  <a:solidFill>
                                    <a:srgbClr val="000000"/>
                                  </a:solidFill>
                                  <a:prstDash val="solid"/>
                                  <a:miter/>
                                  <a:headEnd type="none" w="med" len="med"/>
                                  <a:tailEnd type="none" w="med" len="med"/>
                                </a:ln>
                              </wps:spPr>
                              <wps:txbx>
                                <w:txbxContent>
                                  <w:p>
                                    <w:pPr>
                                      <w:spacing w:line="340" w:lineRule="exact"/>
                                      <w:jc w:val="center"/>
                                      <w:rPr>
                                        <w:sz w:val="21"/>
                                        <w:szCs w:val="21"/>
                                      </w:rPr>
                                    </w:pPr>
                                    <w:r>
                                      <w:rPr>
                                        <w:rFonts w:hint="eastAsia" w:cs="宋体"/>
                                        <w:sz w:val="21"/>
                                        <w:szCs w:val="21"/>
                                      </w:rPr>
                                      <w:t>教务与实训管理处录入登记</w:t>
                                    </w:r>
                                  </w:p>
                                </w:txbxContent>
                              </wps:txbx>
                              <wps:bodyPr anchor="ctr" upright="1"/>
                            </wps:wsp>
                            <wps:wsp>
                              <wps:cNvPr id="140" name="自选图形 17"/>
                              <wps:cNvSpPr/>
                              <wps:spPr>
                                <a:xfrm>
                                  <a:off x="161925" y="1899285"/>
                                  <a:ext cx="1181735" cy="8382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二级学院</w:t>
                                    </w:r>
                                  </w:p>
                                  <w:p>
                                    <w:pPr>
                                      <w:spacing w:line="280" w:lineRule="exact"/>
                                      <w:jc w:val="center"/>
                                      <w:rPr>
                                        <w:sz w:val="18"/>
                                        <w:szCs w:val="18"/>
                                      </w:rPr>
                                    </w:pPr>
                                    <w:r>
                                      <w:rPr>
                                        <w:rFonts w:hint="eastAsia" w:ascii="宋体" w:hAnsi="宋体" w:cs="宋体"/>
                                        <w:sz w:val="18"/>
                                        <w:szCs w:val="18"/>
                                      </w:rPr>
                                      <w:t>初审</w:t>
                                    </w:r>
                                  </w:p>
                                </w:txbxContent>
                              </wps:txbx>
                              <wps:bodyPr upright="1"/>
                            </wps:wsp>
                            <wps:wsp>
                              <wps:cNvPr id="141" name="自选图形 18"/>
                              <wps:cNvCnPr/>
                              <wps:spPr>
                                <a:xfrm>
                                  <a:off x="752475" y="815340"/>
                                  <a:ext cx="635" cy="1083945"/>
                                </a:xfrm>
                                <a:prstGeom prst="straightConnector1">
                                  <a:avLst/>
                                </a:prstGeom>
                                <a:ln w="9525" cap="flat" cmpd="sng">
                                  <a:solidFill>
                                    <a:srgbClr val="000000"/>
                                  </a:solidFill>
                                  <a:prstDash val="solid"/>
                                  <a:headEnd type="none" w="med" len="med"/>
                                  <a:tailEnd type="triangle" w="med" len="med"/>
                                </a:ln>
                              </wps:spPr>
                              <wps:bodyPr/>
                            </wps:wsp>
                            <wps:wsp>
                              <wps:cNvPr id="142" name="自选图形 19"/>
                              <wps:cNvCnPr/>
                              <wps:spPr>
                                <a:xfrm rot="-10800000" flipH="1">
                                  <a:off x="161925" y="617220"/>
                                  <a:ext cx="635" cy="1701165"/>
                                </a:xfrm>
                                <a:prstGeom prst="bentConnector3">
                                  <a:avLst>
                                    <a:gd name="adj1" fmla="val -46500000"/>
                                  </a:avLst>
                                </a:prstGeom>
                                <a:ln w="9525" cap="flat" cmpd="sng">
                                  <a:solidFill>
                                    <a:srgbClr val="000000"/>
                                  </a:solidFill>
                                  <a:prstDash val="solid"/>
                                  <a:miter/>
                                  <a:headEnd type="none" w="med" len="med"/>
                                  <a:tailEnd type="triangle" w="med" len="med"/>
                                </a:ln>
                              </wps:spPr>
                              <wps:bodyPr/>
                            </wps:wsp>
                            <wps:wsp>
                              <wps:cNvPr id="143" name="自选图形 20"/>
                              <wps:cNvSpPr/>
                              <wps:spPr>
                                <a:xfrm>
                                  <a:off x="134620" y="3712210"/>
                                  <a:ext cx="1236345" cy="81915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pPr>
                                    <w:r>
                                      <w:rPr>
                                        <w:rFonts w:hint="eastAsia" w:cs="宋体"/>
                                        <w:sz w:val="18"/>
                                        <w:szCs w:val="18"/>
                                      </w:rPr>
                                      <w:t>责任部门复核</w:t>
                                    </w:r>
                                  </w:p>
                                </w:txbxContent>
                              </wps:txbx>
                              <wps:bodyPr anchor="ctr" upright="1"/>
                            </wps:wsp>
                            <wps:wsp>
                              <wps:cNvPr id="77" name="自选图形 21"/>
                              <wps:cNvCnPr/>
                              <wps:spPr>
                                <a:xfrm>
                                  <a:off x="753110" y="2737485"/>
                                  <a:ext cx="635" cy="974725"/>
                                </a:xfrm>
                                <a:prstGeom prst="straightConnector1">
                                  <a:avLst/>
                                </a:prstGeom>
                                <a:ln w="9525" cap="flat" cmpd="sng">
                                  <a:solidFill>
                                    <a:srgbClr val="000000"/>
                                  </a:solidFill>
                                  <a:prstDash val="solid"/>
                                  <a:headEnd type="none" w="med" len="med"/>
                                  <a:tailEnd type="triangle" w="med" len="med"/>
                                </a:ln>
                              </wps:spPr>
                              <wps:bodyPr/>
                            </wps:wsp>
                            <wps:wsp>
                              <wps:cNvPr id="78" name="自选图形 22"/>
                              <wps:cNvCnPr/>
                              <wps:spPr>
                                <a:xfrm flipH="1">
                                  <a:off x="752475" y="4531360"/>
                                  <a:ext cx="635" cy="1045210"/>
                                </a:xfrm>
                                <a:prstGeom prst="straightConnector1">
                                  <a:avLst/>
                                </a:prstGeom>
                                <a:ln w="9525" cap="flat" cmpd="sng">
                                  <a:solidFill>
                                    <a:srgbClr val="000000"/>
                                  </a:solidFill>
                                  <a:prstDash val="solid"/>
                                  <a:headEnd type="none" w="med" len="med"/>
                                  <a:tailEnd type="triangle" w="med" len="med"/>
                                </a:ln>
                              </wps:spPr>
                              <wps:bodyPr/>
                            </wps:wsp>
                            <wps:wsp>
                              <wps:cNvPr id="79" name="自选图形 23"/>
                              <wps:cNvCnPr/>
                              <wps:spPr>
                                <a:xfrm rot="-10800000" flipH="1">
                                  <a:off x="134620" y="2318385"/>
                                  <a:ext cx="27305" cy="1803400"/>
                                </a:xfrm>
                                <a:prstGeom prst="bentConnector3">
                                  <a:avLst>
                                    <a:gd name="adj1" fmla="val -976745"/>
                                  </a:avLst>
                                </a:prstGeom>
                                <a:ln w="9525" cap="flat" cmpd="sng">
                                  <a:solidFill>
                                    <a:srgbClr val="000000"/>
                                  </a:solidFill>
                                  <a:prstDash val="solid"/>
                                  <a:miter/>
                                  <a:headEnd type="none" w="med" len="med"/>
                                  <a:tailEnd type="triangle" w="med" len="med"/>
                                </a:ln>
                              </wps:spPr>
                              <wps:bodyPr/>
                            </wps:wsp>
                          </wpc:wpc>
                        </a:graphicData>
                      </a:graphic>
                    </wp:inline>
                  </w:drawing>
                </mc:Choice>
                <mc:Fallback>
                  <w:pict>
                    <v:group id="画布 13" o:spid="_x0000_s1026" o:spt="203" style="height:516.35pt;width:114.8pt;" coordsize="1457960,6557645" editas="canvas" o:gfxdata="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dqoYRtcAAAAGAQAADwAAAAAAAAABACAAAAAi&#10;AAAAZHJzL2Rvd25yZXYueG1sUEsBAhQAFAAAAAgAh07iQBFyo83wBAAATRkAAA4AAAAAAAAAAQAg&#10;AAAAJgEAAGRycy9lMm9Eb2MueG1sUEsFBgAAAAAGAAYAWQEAAIgIAAAAAA==&#10;">
                      <o:lock v:ext="edit" aspectratio="f"/>
                      <v:shape id="画布 13" o:spid="_x0000_s1026" style="position:absolute;left:0;top:0;height:6557645;width:1457960;" filled="f" stroked="f" coordsize="21600,21600" o:gfxdata="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B2qhhG1wAAAAYBAAAPAAAAAAAAAAEAIAAAACIAAABkcnMv&#10;ZG93bnJldi54bWxQSwECFAAUAAAACACHTuJAC2smIbAEAADHGAAADgAAAAAAAAABACAAAAAmAQAA&#10;ZHJzL2Uyb0RvYy54bWxQSwUGAAAAAAYABgBZAQAASAgAAAAA&#10;">
                        <v:fill on="f" focussize="0,0"/>
                        <v:stroke on="f"/>
                        <v:imagedata o:title=""/>
                        <o:lock v:ext="edit" aspectratio="t"/>
                      </v:shape>
                      <v:roundrect id="自选图形 15" o:spid="_x0000_s1026" o:spt="2" style="position:absolute;left:162560;top:419100;height:396240;width:1179830;" fillcolor="#FFFFFF" filled="t" stroked="t" coordsize="21600,21600" arcsize="0.166666666666667" o:gfxdata="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yAn9vVAAAABgEAAA8AAAAAAAAAAQAgAAAAIgAAAGRycy9kb3ducmV2Lnht&#10;bFBLAQIUABQAAAAIAIdO4kC9aokJbgIAAOAEAAAOAAAAAAAAAAEAIAAAACQBAABkcnMvZTJvRG9j&#10;LnhtbFBLBQYAAAAABgAGAFkBAAAEBgAAAAA=&#10;">
                        <v:fill type="gradient" on="t" color2="#FFFFFF" focus="100%" focussize="0,0"/>
                        <v:stroke color="#000000" joinstyle="round"/>
                        <v:imagedata o:title=""/>
                        <o:lock v:ext="edit" aspectratio="f"/>
                        <v:textbox>
                          <w:txbxContent>
                            <w:p>
                              <w:pPr>
                                <w:spacing w:line="300" w:lineRule="exact"/>
                                <w:jc w:val="center"/>
                                <w:rPr>
                                  <w:sz w:val="21"/>
                                  <w:szCs w:val="21"/>
                                </w:rPr>
                              </w:pPr>
                              <w:r>
                                <w:rPr>
                                  <w:rFonts w:hint="eastAsia" w:cs="宋体"/>
                                  <w:sz w:val="21"/>
                                  <w:szCs w:val="21"/>
                                </w:rPr>
                                <w:t>学生申请</w:t>
                              </w:r>
                            </w:p>
                          </w:txbxContent>
                        </v:textbox>
                      </v:roundrect>
                      <v:rect id="矩形 16" o:spid="_x0000_s1026" o:spt="1" style="position:absolute;left:170180;top:5576570;height:601980;width:1164590;v-text-anchor:middle;" fillcolor="#FFFFFF" filled="t" stroked="t" coordsize="21600,21600" o:gfxdata="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Ak5E9QAAAAGAQAA&#10;DwAAAAAAAAABACAAAAAiAAAAZHJzL2Rvd25yZXYueG1sUEsBAhQAFAAAAAgAh07iQC4cMx5WAgAA&#10;wQQAAA4AAAAAAAAAAQAgAAAAIwEAAGRycy9lMm9Eb2MueG1sUEsFBgAAAAAGAAYAWQEAAOsFAAAA&#10;AA==&#10;">
                        <v:fill type="gradient" on="t" color2="#FFFFFF" focus="100%" focussize="0,0"/>
                        <v:stroke color="#000000" joinstyle="miter"/>
                        <v:imagedata o:title=""/>
                        <o:lock v:ext="edit" aspectratio="f"/>
                        <v:textbox>
                          <w:txbxContent>
                            <w:p>
                              <w:pPr>
                                <w:spacing w:line="340" w:lineRule="exact"/>
                                <w:jc w:val="center"/>
                                <w:rPr>
                                  <w:sz w:val="21"/>
                                  <w:szCs w:val="21"/>
                                </w:rPr>
                              </w:pPr>
                              <w:r>
                                <w:rPr>
                                  <w:rFonts w:hint="eastAsia" w:cs="宋体"/>
                                  <w:sz w:val="21"/>
                                  <w:szCs w:val="21"/>
                                </w:rPr>
                                <w:t>教务与实训管理处录入登记</w:t>
                              </w:r>
                            </w:p>
                          </w:txbxContent>
                        </v:textbox>
                      </v:rect>
                      <v:shape id="自选图形 17" o:spid="_x0000_s1026" o:spt="110" type="#_x0000_t110" style="position:absolute;left:161925;top:1899285;height:838200;width:1181735;" fillcolor="#FFFFFF" filled="t" stroked="t" coordsize="21600,21600" o:gfxdata="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2dZM7WAAAABgEAAA8AAAAAAAAAAQAgAAAAIgAAAGRy&#10;cy9kb3ducmV2LnhtbFBLAQIUABQAAAAIAIdO4kC/Kr3XBwIAAPwDAAAOAAAAAAAAAAEAIAAAACU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二级学院</w:t>
                              </w:r>
                            </w:p>
                            <w:p>
                              <w:pPr>
                                <w:spacing w:line="280" w:lineRule="exact"/>
                                <w:jc w:val="center"/>
                                <w:rPr>
                                  <w:sz w:val="18"/>
                                  <w:szCs w:val="18"/>
                                </w:rPr>
                              </w:pPr>
                              <w:r>
                                <w:rPr>
                                  <w:rFonts w:hint="eastAsia" w:ascii="宋体" w:hAnsi="宋体" w:cs="宋体"/>
                                  <w:sz w:val="18"/>
                                  <w:szCs w:val="18"/>
                                </w:rPr>
                                <w:t>初审</w:t>
                              </w:r>
                            </w:p>
                          </w:txbxContent>
                        </v:textbox>
                      </v:shape>
                      <v:shape id="自选图形 18" o:spid="_x0000_s1026" o:spt="32" type="#_x0000_t32" style="position:absolute;left:752475;top:815340;height:1083945;width:635;" filled="f" stroked="t" coordsize="21600,21600" o:gfxdata="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akciNcAAAAGAQAADwAAAAAAAAABACAAAAAiAAAAZHJzL2Rvd25yZXYueG1sUEsBAhQAFAAA&#10;AAgAh07iQBz/uCbwAQAAqAMAAA4AAAAAAAAAAQAgAAAAJgEAAGRycy9lMm9Eb2MueG1sUEsFBgAA&#10;AAAGAAYAWQEAAIgFAAAAAA==&#10;">
                        <v:fill on="f" focussize="0,0"/>
                        <v:stroke color="#000000" joinstyle="round" endarrow="block"/>
                        <v:imagedata o:title=""/>
                        <o:lock v:ext="edit" aspectratio="f"/>
                      </v:shape>
                      <v:shape id="自选图形 19" o:spid="_x0000_s1026" o:spt="34" type="#_x0000_t34" style="position:absolute;left:161925;top:617220;flip:x;height:1701165;width:635;rotation:11796480f;" filled="f" stroked="t" coordsize="21600,21600" o:gfxdata="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iUdrUAAAABgEAAA8A&#10;AAAAAAAAAQAgAAAAIgAAAGRycy9kb3ducmV2LnhtbFBLAQIUABQAAAAIAIdO4kCmG+ycGwIAAPkD&#10;AAAOAAAAAAAAAAEAIAAAACMBAABkcnMvZTJvRG9jLnhtbFBLBQYAAAAABgAGAFkBAACwBQAAAAA=&#10;" adj="-10044000">
                        <v:fill on="f" focussize="0,0"/>
                        <v:stroke color="#000000" joinstyle="miter" endarrow="block"/>
                        <v:imagedata o:title=""/>
                        <o:lock v:ext="edit" aspectratio="f"/>
                      </v:shape>
                      <v:shape id="自选图形 20" o:spid="_x0000_s1026" o:spt="110" type="#_x0000_t110" style="position:absolute;left:134620;top:3712210;height:819150;width:1236345;v-text-anchor:middle;" fillcolor="#FFFFFF" filled="t" stroked="t" coordsize="21600,21600" o:gfxdata="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odXB1gAAAAYBAAAPAAAAAAAAAAEA&#10;IAAAACIAAABkcnMvZG93bnJldi54bWxQSwECFAAUAAAACACHTuJA5o55gBECAAAJBAAADgAAAAAA&#10;AAABACAAAAAlAQAAZHJzL2Uyb0RvYy54bWxQSwUGAAAAAAYABgBZAQAAqAUAAAAA&#10;">
                        <v:fill on="t" focussize="0,0"/>
                        <v:stroke color="#000000" joinstyle="miter"/>
                        <v:imagedata o:title=""/>
                        <o:lock v:ext="edit" aspectratio="f"/>
                        <v:textbox>
                          <w:txbxContent>
                            <w:p>
                              <w:pPr>
                                <w:spacing w:line="280" w:lineRule="exact"/>
                                <w:jc w:val="center"/>
                              </w:pPr>
                              <w:r>
                                <w:rPr>
                                  <w:rFonts w:hint="eastAsia" w:cs="宋体"/>
                                  <w:sz w:val="18"/>
                                  <w:szCs w:val="18"/>
                                </w:rPr>
                                <w:t>责任部门复核</w:t>
                              </w:r>
                            </w:p>
                          </w:txbxContent>
                        </v:textbox>
                      </v:shape>
                      <v:shape id="自选图形 21" o:spid="_x0000_s1026" o:spt="32" type="#_x0000_t32" style="position:absolute;left:753110;top:2737485;height:974725;width:635;" filled="f" stroked="t" coordsize="21600,21600" o:gfxdata="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akciNcAAAAGAQAADwAAAAAAAAABACAAAAAiAAAAZHJzL2Rvd25yZXYueG1sUEsBAhQAFAAA&#10;AAgAh07iQHTJ9s7wAQAApwMAAA4AAAAAAAAAAQAgAAAAJgEAAGRycy9lMm9Eb2MueG1sUEsFBgAA&#10;AAAGAAYAWQEAAIgFAAAAAA==&#10;">
                        <v:fill on="f" focussize="0,0"/>
                        <v:stroke color="#000000" joinstyle="round" endarrow="block"/>
                        <v:imagedata o:title=""/>
                        <o:lock v:ext="edit" aspectratio="f"/>
                      </v:shape>
                      <v:shape id="自选图形 22" o:spid="_x0000_s1026" o:spt="32" type="#_x0000_t32" style="position:absolute;left:752475;top:4531360;flip:x;height:1045210;width:635;" filled="f" stroked="t" coordsize="21600,21600" o:gfxdata="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Wxu67WAAAABgEAAA8AAAAAAAAAAQAgAAAAIgAAAGRycy9kb3ducmV2LnhtbFBL&#10;AQIUABQAAAAIAIdO4kATM7cP+AEAALIDAAAOAAAAAAAAAAEAIAAAACUBAABkcnMvZTJvRG9jLnht&#10;bFBLBQYAAAAABgAGAFkBAACPBQAAAAA=&#10;">
                        <v:fill on="f" focussize="0,0"/>
                        <v:stroke color="#000000" joinstyle="round" endarrow="block"/>
                        <v:imagedata o:title=""/>
                        <o:lock v:ext="edit" aspectratio="f"/>
                      </v:shape>
                      <v:shape id="自选图形 23" o:spid="_x0000_s1026" o:spt="34" type="#_x0000_t34" style="position:absolute;left:134620;top:2318385;flip:x;height:1803400;width:27305;rotation:11796480f;" filled="f" stroked="t" coordsize="21600,21600" o:gfxdata="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ueXDtcA&#10;AAAGAQAADwAAAAAAAAABACAAAAAiAAAAZHJzL2Rvd25yZXYueG1sUEsBAhQAFAAAAAgAh07iQJT3&#10;mXYgAgAA+QMAAA4AAAAAAAAAAQAgAAAAJgEAAGRycy9lMm9Eb2MueG1sUEsFBgAAAAAGAAYAWQEA&#10;ALgFAAAAAA==&#10;" adj="-210977">
                        <v:fill on="f" focussize="0,0"/>
                        <v:stroke color="#000000" joinstyle="miter" endarrow="block"/>
                        <v:imagedata o:title=""/>
                        <o:lock v:ext="edit" aspectratio="f"/>
                      </v:shape>
                      <w10:wrap type="none"/>
                      <w10:anchorlock/>
                    </v:group>
                  </w:pict>
                </mc:Fallback>
              </mc:AlternateContent>
            </w:r>
          </w:p>
        </w:tc>
        <w:tc>
          <w:tcPr>
            <w:tcW w:w="960" w:type="dxa"/>
            <w:noWrap w:val="0"/>
            <w:vAlign w:val="center"/>
          </w:tcPr>
          <w:p>
            <w:pPr>
              <w:pageBreakBefore w:val="0"/>
              <w:kinsoku/>
              <w:overflowPunct/>
              <w:topLinePunct w:val="0"/>
              <w:bidi w:val="0"/>
              <w:spacing w:line="300" w:lineRule="exact"/>
              <w:ind w:right="-84"/>
              <w:jc w:val="center"/>
              <w:outlineLvl w:val="9"/>
              <w:rPr>
                <w:rFonts w:hint="eastAsia" w:ascii="仿宋_GB2312" w:eastAsia="仿宋_GB2312"/>
                <w:sz w:val="18"/>
                <w:szCs w:val="18"/>
              </w:rPr>
            </w:pPr>
            <w:r>
              <w:rPr>
                <w:rFonts w:hint="eastAsia" w:ascii="仿宋_GB2312" w:hAnsi="宋体" w:eastAsia="仿宋_GB2312" w:cs="宋体"/>
                <w:sz w:val="18"/>
                <w:szCs w:val="18"/>
              </w:rPr>
              <w:t>学生</w:t>
            </w:r>
          </w:p>
        </w:tc>
        <w:tc>
          <w:tcPr>
            <w:tcW w:w="974" w:type="dxa"/>
            <w:noWrap w:val="0"/>
            <w:vAlign w:val="center"/>
          </w:tcPr>
          <w:p>
            <w:pPr>
              <w:pageBreakBefore w:val="0"/>
              <w:kinsoku/>
              <w:overflowPunct/>
              <w:topLinePunct w:val="0"/>
              <w:bidi w:val="0"/>
              <w:spacing w:line="300" w:lineRule="exact"/>
              <w:ind w:right="-84"/>
              <w:jc w:val="center"/>
              <w:outlineLvl w:val="9"/>
              <w:rPr>
                <w:rFonts w:hint="eastAsia" w:ascii="仿宋_GB2312" w:eastAsia="仿宋_GB2312"/>
                <w:sz w:val="18"/>
                <w:szCs w:val="18"/>
              </w:rPr>
            </w:pPr>
            <w:r>
              <w:rPr>
                <w:rFonts w:hint="eastAsia" w:ascii="仿宋_GB2312" w:hAnsi="宋体" w:eastAsia="仿宋_GB2312" w:cs="宋体"/>
                <w:sz w:val="18"/>
                <w:szCs w:val="18"/>
              </w:rPr>
              <w:t>学生所属二级学院</w:t>
            </w:r>
          </w:p>
        </w:tc>
        <w:tc>
          <w:tcPr>
            <w:tcW w:w="2835" w:type="dxa"/>
            <w:noWrap w:val="0"/>
            <w:vAlign w:val="center"/>
          </w:tcPr>
          <w:p>
            <w:pPr>
              <w:pStyle w:val="17"/>
              <w:pageBreakBefore w:val="0"/>
              <w:tabs>
                <w:tab w:val="left" w:pos="170"/>
              </w:tabs>
              <w:kinsoku/>
              <w:overflowPunct/>
              <w:topLinePunct w:val="0"/>
              <w:bidi w:val="0"/>
              <w:spacing w:line="300" w:lineRule="exact"/>
              <w:ind w:firstLine="0" w:firstLineChars="0"/>
              <w:jc w:val="left"/>
              <w:outlineLvl w:val="9"/>
              <w:rPr>
                <w:rFonts w:hint="eastAsia" w:ascii="仿宋_GB2312" w:eastAsia="仿宋_GB2312"/>
                <w:sz w:val="18"/>
                <w:szCs w:val="18"/>
              </w:rPr>
            </w:pPr>
            <w:r>
              <w:rPr>
                <w:rFonts w:hint="eastAsia" w:ascii="仿宋_GB2312" w:hAnsi="宋体" w:eastAsia="仿宋_GB2312" w:cs="宋体"/>
                <w:sz w:val="18"/>
                <w:szCs w:val="18"/>
              </w:rPr>
              <w:t>1.学生向所属二级学院提交《柳州职业技术学院创新创业活动学分奖励申请表》</w:t>
            </w:r>
          </w:p>
        </w:tc>
        <w:tc>
          <w:tcPr>
            <w:tcW w:w="1231" w:type="dxa"/>
            <w:noWrap w:val="0"/>
            <w:vAlign w:val="center"/>
          </w:tcPr>
          <w:p>
            <w:pPr>
              <w:pStyle w:val="17"/>
              <w:pageBreakBefore w:val="0"/>
              <w:tabs>
                <w:tab w:val="left" w:pos="170"/>
              </w:tabs>
              <w:kinsoku/>
              <w:overflowPunct/>
              <w:topLinePunct w:val="0"/>
              <w:bidi w:val="0"/>
              <w:spacing w:line="300" w:lineRule="exact"/>
              <w:ind w:firstLine="0" w:firstLineChars="0"/>
              <w:outlineLvl w:val="9"/>
              <w:rPr>
                <w:rFonts w:hint="eastAsia" w:ascii="仿宋_GB2312" w:hAnsi="宋体" w:eastAsia="仿宋_GB2312" w:cs="宋体"/>
              </w:rPr>
            </w:pPr>
            <w:r>
              <w:rPr>
                <w:rFonts w:hint="eastAsia" w:ascii="仿宋_GB2312" w:hAnsi="宋体" w:eastAsia="仿宋_GB2312" w:cs="宋体"/>
              </w:rPr>
              <w:t>每学年下学期（统称为“申报学期”）的第4周前</w:t>
            </w:r>
          </w:p>
        </w:tc>
        <w:tc>
          <w:tcPr>
            <w:tcW w:w="781" w:type="dxa"/>
            <w:noWrap w:val="0"/>
            <w:vAlign w:val="center"/>
          </w:tcPr>
          <w:p>
            <w:pPr>
              <w:pStyle w:val="17"/>
              <w:pageBreakBefore w:val="0"/>
              <w:tabs>
                <w:tab w:val="left" w:pos="170"/>
              </w:tabs>
              <w:kinsoku/>
              <w:overflowPunct/>
              <w:topLinePunct w:val="0"/>
              <w:bidi w:val="0"/>
              <w:spacing w:line="300" w:lineRule="exact"/>
              <w:ind w:firstLine="0" w:firstLineChars="0"/>
              <w:outlineLvl w:val="9"/>
              <w:rPr>
                <w:rFonts w:hint="eastAsia" w:ascii="仿宋_GB2312" w:hAnsi="宋体"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6" w:hRule="atLeast"/>
          <w:jc w:val="center"/>
        </w:trPr>
        <w:tc>
          <w:tcPr>
            <w:tcW w:w="2702" w:type="dxa"/>
            <w:vMerge w:val="continue"/>
            <w:noWrap w:val="0"/>
            <w:vAlign w:val="center"/>
          </w:tcPr>
          <w:p>
            <w:pPr>
              <w:pageBreakBefore w:val="0"/>
              <w:kinsoku/>
              <w:overflowPunct/>
              <w:topLinePunct w:val="0"/>
              <w:bidi w:val="0"/>
              <w:spacing w:line="300" w:lineRule="exact"/>
              <w:ind w:firstLine="560"/>
              <w:outlineLvl w:val="9"/>
              <w:rPr>
                <w:rFonts w:hint="eastAsia" w:ascii="仿宋_GB2312" w:eastAsia="仿宋_GB2312"/>
                <w:color w:val="FF0000"/>
              </w:rPr>
            </w:pPr>
          </w:p>
        </w:tc>
        <w:tc>
          <w:tcPr>
            <w:tcW w:w="960" w:type="dxa"/>
            <w:noWrap w:val="0"/>
            <w:vAlign w:val="center"/>
          </w:tcPr>
          <w:p>
            <w:pPr>
              <w:pageBreakBefore w:val="0"/>
              <w:kinsoku/>
              <w:overflowPunct/>
              <w:topLinePunct w:val="0"/>
              <w:bidi w:val="0"/>
              <w:spacing w:line="300" w:lineRule="exact"/>
              <w:jc w:val="center"/>
              <w:outlineLvl w:val="9"/>
              <w:rPr>
                <w:rFonts w:hint="eastAsia" w:ascii="仿宋_GB2312" w:eastAsia="仿宋_GB2312"/>
                <w:sz w:val="18"/>
                <w:szCs w:val="18"/>
              </w:rPr>
            </w:pPr>
            <w:r>
              <w:rPr>
                <w:rFonts w:hint="eastAsia" w:ascii="仿宋_GB2312" w:hAnsi="宋体" w:eastAsia="仿宋_GB2312" w:cs="宋体"/>
                <w:sz w:val="18"/>
                <w:szCs w:val="18"/>
              </w:rPr>
              <w:t>教学秘书</w:t>
            </w:r>
          </w:p>
        </w:tc>
        <w:tc>
          <w:tcPr>
            <w:tcW w:w="974" w:type="dxa"/>
            <w:noWrap w:val="0"/>
            <w:vAlign w:val="center"/>
          </w:tcPr>
          <w:p>
            <w:pPr>
              <w:pageBreakBefore w:val="0"/>
              <w:kinsoku/>
              <w:overflowPunct/>
              <w:topLinePunct w:val="0"/>
              <w:bidi w:val="0"/>
              <w:spacing w:line="300" w:lineRule="exact"/>
              <w:jc w:val="center"/>
              <w:outlineLvl w:val="9"/>
              <w:rPr>
                <w:rFonts w:hint="eastAsia" w:ascii="仿宋_GB2312" w:eastAsia="仿宋_GB2312"/>
                <w:sz w:val="18"/>
                <w:szCs w:val="18"/>
              </w:rPr>
            </w:pPr>
            <w:r>
              <w:rPr>
                <w:rFonts w:hint="eastAsia" w:ascii="仿宋_GB2312" w:hAnsi="宋体" w:eastAsia="仿宋_GB2312" w:cs="宋体"/>
                <w:sz w:val="18"/>
                <w:szCs w:val="18"/>
              </w:rPr>
              <w:t>学生所属二级学院</w:t>
            </w:r>
          </w:p>
        </w:tc>
        <w:tc>
          <w:tcPr>
            <w:tcW w:w="2835" w:type="dxa"/>
            <w:noWrap w:val="0"/>
            <w:vAlign w:val="center"/>
          </w:tcPr>
          <w:p>
            <w:pPr>
              <w:pStyle w:val="17"/>
              <w:pageBreakBefore w:val="0"/>
              <w:tabs>
                <w:tab w:val="left" w:pos="174"/>
              </w:tabs>
              <w:kinsoku/>
              <w:overflowPunct/>
              <w:topLinePunct w:val="0"/>
              <w:bidi w:val="0"/>
              <w:spacing w:line="300" w:lineRule="exact"/>
              <w:ind w:left="-44" w:firstLine="0" w:firstLineChars="0"/>
              <w:outlineLvl w:val="9"/>
              <w:rPr>
                <w:rFonts w:hint="eastAsia" w:ascii="仿宋_GB2312" w:eastAsia="仿宋_GB2312" w:cs="宋体"/>
                <w:sz w:val="18"/>
                <w:szCs w:val="18"/>
              </w:rPr>
            </w:pPr>
            <w:r>
              <w:rPr>
                <w:rFonts w:hint="eastAsia" w:ascii="仿宋_GB2312" w:eastAsia="仿宋_GB2312" w:cs="宋体"/>
                <w:sz w:val="18"/>
                <w:szCs w:val="18"/>
              </w:rPr>
              <w:t>1.各二级学院汇总申报材料，审核材料的真实性；</w:t>
            </w:r>
          </w:p>
          <w:p>
            <w:pPr>
              <w:pStyle w:val="17"/>
              <w:pageBreakBefore w:val="0"/>
              <w:tabs>
                <w:tab w:val="left" w:pos="174"/>
              </w:tabs>
              <w:kinsoku/>
              <w:overflowPunct/>
              <w:topLinePunct w:val="0"/>
              <w:bidi w:val="0"/>
              <w:spacing w:line="300" w:lineRule="exact"/>
              <w:ind w:left="-44" w:firstLine="0" w:firstLineChars="0"/>
              <w:outlineLvl w:val="9"/>
              <w:rPr>
                <w:rFonts w:hint="eastAsia" w:ascii="仿宋_GB2312" w:eastAsia="仿宋_GB2312"/>
                <w:sz w:val="18"/>
                <w:szCs w:val="18"/>
              </w:rPr>
            </w:pPr>
            <w:r>
              <w:rPr>
                <w:rFonts w:hint="eastAsia" w:ascii="仿宋_GB2312" w:eastAsia="仿宋_GB2312" w:cs="宋体"/>
                <w:sz w:val="18"/>
                <w:szCs w:val="18"/>
              </w:rPr>
              <w:t>2.第5周前将认定为真实的申报材料提交给相应的认定责任部门：科学研究、发明创造类活动申报材料交科技开发处；技能竞赛、创新创业竞赛类活动申报材料交教务与实训管理处；</w:t>
            </w:r>
            <w:r>
              <w:rPr>
                <w:rFonts w:hint="eastAsia" w:ascii="仿宋_GB2312" w:eastAsia="仿宋_GB2312"/>
                <w:sz w:val="18"/>
                <w:szCs w:val="18"/>
              </w:rPr>
              <w:t>创业培训、创业实践</w:t>
            </w:r>
            <w:r>
              <w:rPr>
                <w:rFonts w:hint="eastAsia" w:ascii="仿宋_GB2312" w:eastAsia="仿宋_GB2312" w:cs="宋体"/>
                <w:sz w:val="18"/>
                <w:szCs w:val="18"/>
              </w:rPr>
              <w:t>类活动申报材料交校团委。</w:t>
            </w:r>
          </w:p>
        </w:tc>
        <w:tc>
          <w:tcPr>
            <w:tcW w:w="1231" w:type="dxa"/>
            <w:noWrap w:val="0"/>
            <w:vAlign w:val="center"/>
          </w:tcPr>
          <w:p>
            <w:pPr>
              <w:pStyle w:val="17"/>
              <w:pageBreakBefore w:val="0"/>
              <w:tabs>
                <w:tab w:val="left" w:pos="174"/>
              </w:tabs>
              <w:kinsoku/>
              <w:overflowPunct/>
              <w:topLinePunct w:val="0"/>
              <w:bidi w:val="0"/>
              <w:spacing w:line="300" w:lineRule="exact"/>
              <w:ind w:firstLine="0" w:firstLineChars="0"/>
              <w:outlineLvl w:val="9"/>
              <w:rPr>
                <w:rFonts w:hint="eastAsia" w:ascii="仿宋_GB2312" w:hAnsi="宋体" w:eastAsia="仿宋_GB2312" w:cs="宋体"/>
                <w:sz w:val="18"/>
                <w:szCs w:val="18"/>
              </w:rPr>
            </w:pPr>
            <w:r>
              <w:rPr>
                <w:rFonts w:hint="eastAsia" w:ascii="仿宋_GB2312" w:eastAsia="仿宋_GB2312"/>
              </w:rPr>
              <w:t>申报学期第5周前</w:t>
            </w:r>
          </w:p>
        </w:tc>
        <w:tc>
          <w:tcPr>
            <w:tcW w:w="781" w:type="dxa"/>
            <w:noWrap w:val="0"/>
            <w:vAlign w:val="center"/>
          </w:tcPr>
          <w:p>
            <w:pPr>
              <w:pStyle w:val="17"/>
              <w:pageBreakBefore w:val="0"/>
              <w:tabs>
                <w:tab w:val="left" w:pos="174"/>
              </w:tabs>
              <w:kinsoku/>
              <w:overflowPunct/>
              <w:topLinePunct w:val="0"/>
              <w:bidi w:val="0"/>
              <w:spacing w:line="300" w:lineRule="exact"/>
              <w:ind w:firstLine="0" w:firstLineChars="0"/>
              <w:outlineLvl w:val="9"/>
              <w:rPr>
                <w:rFonts w:hint="eastAsia" w:ascii="仿宋_GB2312" w:hAnsi="宋体"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2" w:hRule="atLeast"/>
          <w:jc w:val="center"/>
        </w:trPr>
        <w:tc>
          <w:tcPr>
            <w:tcW w:w="2702" w:type="dxa"/>
            <w:vMerge w:val="continue"/>
            <w:noWrap w:val="0"/>
            <w:vAlign w:val="center"/>
          </w:tcPr>
          <w:p>
            <w:pPr>
              <w:pageBreakBefore w:val="0"/>
              <w:kinsoku/>
              <w:overflowPunct/>
              <w:topLinePunct w:val="0"/>
              <w:bidi w:val="0"/>
              <w:spacing w:line="300" w:lineRule="exact"/>
              <w:ind w:firstLine="560"/>
              <w:outlineLvl w:val="9"/>
              <w:rPr>
                <w:rFonts w:hint="eastAsia" w:ascii="仿宋_GB2312" w:eastAsia="仿宋_GB2312"/>
                <w:color w:val="FF0000"/>
              </w:rPr>
            </w:pPr>
          </w:p>
        </w:tc>
        <w:tc>
          <w:tcPr>
            <w:tcW w:w="960" w:type="dxa"/>
            <w:noWrap w:val="0"/>
            <w:vAlign w:val="center"/>
          </w:tcPr>
          <w:p>
            <w:pPr>
              <w:pageBreakBefore w:val="0"/>
              <w:kinsoku/>
              <w:overflowPunct/>
              <w:topLinePunct w:val="0"/>
              <w:bidi w:val="0"/>
              <w:spacing w:line="300" w:lineRule="exact"/>
              <w:jc w:val="center"/>
              <w:outlineLvl w:val="9"/>
              <w:rPr>
                <w:rFonts w:hint="eastAsia" w:ascii="仿宋_GB2312" w:eastAsia="仿宋_GB2312"/>
                <w:sz w:val="18"/>
                <w:szCs w:val="18"/>
              </w:rPr>
            </w:pPr>
            <w:r>
              <w:rPr>
                <w:rFonts w:hint="eastAsia" w:ascii="仿宋_GB2312" w:eastAsia="仿宋_GB2312" w:cs="宋体"/>
                <w:sz w:val="18"/>
                <w:szCs w:val="18"/>
              </w:rPr>
              <w:t>责任部门相关负责人</w:t>
            </w:r>
          </w:p>
        </w:tc>
        <w:tc>
          <w:tcPr>
            <w:tcW w:w="974" w:type="dxa"/>
            <w:noWrap w:val="0"/>
            <w:vAlign w:val="center"/>
          </w:tcPr>
          <w:p>
            <w:pPr>
              <w:pageBreakBefore w:val="0"/>
              <w:kinsoku/>
              <w:overflowPunct/>
              <w:topLinePunct w:val="0"/>
              <w:bidi w:val="0"/>
              <w:spacing w:line="300" w:lineRule="exact"/>
              <w:jc w:val="center"/>
              <w:outlineLvl w:val="9"/>
              <w:rPr>
                <w:rFonts w:hint="eastAsia" w:ascii="仿宋_GB2312" w:eastAsia="仿宋_GB2312"/>
                <w:sz w:val="18"/>
                <w:szCs w:val="18"/>
              </w:rPr>
            </w:pPr>
            <w:r>
              <w:rPr>
                <w:rFonts w:hint="eastAsia" w:ascii="仿宋_GB2312" w:eastAsia="仿宋_GB2312" w:cs="宋体"/>
                <w:sz w:val="18"/>
                <w:szCs w:val="18"/>
              </w:rPr>
              <w:t>各责任部门</w:t>
            </w:r>
          </w:p>
        </w:tc>
        <w:tc>
          <w:tcPr>
            <w:tcW w:w="2835" w:type="dxa"/>
            <w:noWrap w:val="0"/>
            <w:vAlign w:val="center"/>
          </w:tcPr>
          <w:p>
            <w:pPr>
              <w:pStyle w:val="17"/>
              <w:pageBreakBefore w:val="0"/>
              <w:tabs>
                <w:tab w:val="left" w:pos="174"/>
              </w:tabs>
              <w:kinsoku/>
              <w:overflowPunct/>
              <w:topLinePunct w:val="0"/>
              <w:bidi w:val="0"/>
              <w:spacing w:line="300" w:lineRule="exact"/>
              <w:ind w:left="-44" w:firstLine="0" w:firstLineChars="0"/>
              <w:outlineLvl w:val="9"/>
              <w:rPr>
                <w:rFonts w:hint="eastAsia" w:ascii="仿宋_GB2312" w:eastAsia="仿宋_GB2312"/>
                <w:sz w:val="18"/>
                <w:szCs w:val="18"/>
              </w:rPr>
            </w:pPr>
            <w:r>
              <w:rPr>
                <w:rFonts w:hint="eastAsia" w:ascii="仿宋_GB2312" w:eastAsia="仿宋_GB2312"/>
                <w:sz w:val="18"/>
                <w:szCs w:val="18"/>
              </w:rPr>
              <w:t>1.各责任部门在申报学期第8周前将认定结果汇总至《柳州职业技术学院创新创业活动学分奖励认定汇总表》送教务与实训管理处录入。</w:t>
            </w:r>
          </w:p>
          <w:p>
            <w:pPr>
              <w:pStyle w:val="17"/>
              <w:pageBreakBefore w:val="0"/>
              <w:tabs>
                <w:tab w:val="left" w:pos="174"/>
              </w:tabs>
              <w:kinsoku/>
              <w:overflowPunct/>
              <w:topLinePunct w:val="0"/>
              <w:bidi w:val="0"/>
              <w:spacing w:line="300" w:lineRule="exact"/>
              <w:ind w:left="-44" w:firstLine="0" w:firstLineChars="0"/>
              <w:outlineLvl w:val="9"/>
              <w:rPr>
                <w:rFonts w:hint="eastAsia" w:ascii="仿宋_GB2312" w:eastAsia="仿宋_GB2312"/>
                <w:sz w:val="18"/>
                <w:szCs w:val="18"/>
              </w:rPr>
            </w:pPr>
            <w:r>
              <w:rPr>
                <w:rFonts w:hint="eastAsia" w:ascii="仿宋_GB2312" w:eastAsia="仿宋_GB2312"/>
                <w:sz w:val="18"/>
                <w:szCs w:val="18"/>
              </w:rPr>
              <w:t>2.学生提交的认定材料、认定结果等资料等同于试卷，由责任部门留存入档，对不符合认定标准的申请项目予以回退。</w:t>
            </w:r>
          </w:p>
        </w:tc>
        <w:tc>
          <w:tcPr>
            <w:tcW w:w="1231" w:type="dxa"/>
            <w:noWrap w:val="0"/>
            <w:vAlign w:val="center"/>
          </w:tcPr>
          <w:p>
            <w:pPr>
              <w:pStyle w:val="17"/>
              <w:pageBreakBefore w:val="0"/>
              <w:tabs>
                <w:tab w:val="left" w:pos="174"/>
              </w:tabs>
              <w:kinsoku/>
              <w:overflowPunct/>
              <w:topLinePunct w:val="0"/>
              <w:bidi w:val="0"/>
              <w:spacing w:line="300" w:lineRule="exact"/>
              <w:ind w:left="-44" w:firstLine="0" w:firstLineChars="0"/>
              <w:outlineLvl w:val="9"/>
              <w:rPr>
                <w:rFonts w:hint="eastAsia" w:ascii="仿宋_GB2312" w:hAnsi="宋体" w:eastAsia="仿宋_GB2312" w:cs="宋体"/>
                <w:sz w:val="18"/>
                <w:szCs w:val="18"/>
              </w:rPr>
            </w:pPr>
            <w:r>
              <w:rPr>
                <w:rFonts w:hint="eastAsia" w:ascii="仿宋_GB2312" w:eastAsia="仿宋_GB2312"/>
              </w:rPr>
              <w:t>申报学期第8周前</w:t>
            </w:r>
          </w:p>
        </w:tc>
        <w:tc>
          <w:tcPr>
            <w:tcW w:w="781" w:type="dxa"/>
            <w:noWrap w:val="0"/>
            <w:vAlign w:val="center"/>
          </w:tcPr>
          <w:p>
            <w:pPr>
              <w:pStyle w:val="17"/>
              <w:pageBreakBefore w:val="0"/>
              <w:tabs>
                <w:tab w:val="left" w:pos="174"/>
              </w:tabs>
              <w:kinsoku/>
              <w:overflowPunct/>
              <w:topLinePunct w:val="0"/>
              <w:bidi w:val="0"/>
              <w:spacing w:line="300" w:lineRule="exact"/>
              <w:ind w:left="-44" w:firstLine="0" w:firstLineChars="0"/>
              <w:outlineLvl w:val="9"/>
              <w:rPr>
                <w:rFonts w:hint="eastAsia" w:ascii="仿宋_GB2312" w:hAnsi="宋体" w:eastAsia="仿宋_GB2312"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8" w:hRule="atLeast"/>
          <w:jc w:val="center"/>
        </w:trPr>
        <w:tc>
          <w:tcPr>
            <w:tcW w:w="2702" w:type="dxa"/>
            <w:vMerge w:val="continue"/>
            <w:noWrap w:val="0"/>
            <w:vAlign w:val="center"/>
          </w:tcPr>
          <w:p>
            <w:pPr>
              <w:pageBreakBefore w:val="0"/>
              <w:kinsoku/>
              <w:overflowPunct/>
              <w:topLinePunct w:val="0"/>
              <w:bidi w:val="0"/>
              <w:spacing w:line="300" w:lineRule="exact"/>
              <w:ind w:firstLine="560"/>
              <w:outlineLvl w:val="9"/>
              <w:rPr>
                <w:rFonts w:hint="eastAsia" w:ascii="仿宋_GB2312" w:eastAsia="仿宋_GB2312"/>
                <w:color w:val="FF0000"/>
              </w:rPr>
            </w:pPr>
          </w:p>
        </w:tc>
        <w:tc>
          <w:tcPr>
            <w:tcW w:w="960" w:type="dxa"/>
            <w:noWrap w:val="0"/>
            <w:vAlign w:val="center"/>
          </w:tcPr>
          <w:p>
            <w:pPr>
              <w:pageBreakBefore w:val="0"/>
              <w:kinsoku/>
              <w:overflowPunct/>
              <w:topLinePunct w:val="0"/>
              <w:bidi w:val="0"/>
              <w:spacing w:line="300" w:lineRule="exact"/>
              <w:jc w:val="center"/>
              <w:outlineLvl w:val="9"/>
              <w:rPr>
                <w:rFonts w:hint="eastAsia" w:ascii="仿宋_GB2312" w:eastAsia="仿宋_GB2312"/>
                <w:sz w:val="18"/>
                <w:szCs w:val="18"/>
              </w:rPr>
            </w:pPr>
            <w:r>
              <w:rPr>
                <w:rFonts w:hint="eastAsia" w:ascii="仿宋_GB2312" w:eastAsia="仿宋_GB2312" w:cs="宋体"/>
                <w:sz w:val="18"/>
                <w:szCs w:val="18"/>
              </w:rPr>
              <w:t>教务与实训管理处相关负责人</w:t>
            </w:r>
          </w:p>
        </w:tc>
        <w:tc>
          <w:tcPr>
            <w:tcW w:w="974" w:type="dxa"/>
            <w:noWrap w:val="0"/>
            <w:vAlign w:val="center"/>
          </w:tcPr>
          <w:p>
            <w:pPr>
              <w:pageBreakBefore w:val="0"/>
              <w:kinsoku/>
              <w:overflowPunct/>
              <w:topLinePunct w:val="0"/>
              <w:bidi w:val="0"/>
              <w:spacing w:line="300" w:lineRule="exact"/>
              <w:outlineLvl w:val="9"/>
              <w:rPr>
                <w:rFonts w:hint="eastAsia" w:ascii="仿宋_GB2312" w:eastAsia="仿宋_GB2312"/>
                <w:sz w:val="18"/>
                <w:szCs w:val="18"/>
              </w:rPr>
            </w:pPr>
            <w:r>
              <w:rPr>
                <w:rFonts w:hint="eastAsia" w:ascii="仿宋_GB2312" w:eastAsia="仿宋_GB2312" w:cs="宋体"/>
                <w:sz w:val="18"/>
                <w:szCs w:val="18"/>
              </w:rPr>
              <w:t>教务与实训管理处</w:t>
            </w:r>
          </w:p>
        </w:tc>
        <w:tc>
          <w:tcPr>
            <w:tcW w:w="2835" w:type="dxa"/>
            <w:noWrap w:val="0"/>
            <w:vAlign w:val="center"/>
          </w:tcPr>
          <w:p>
            <w:pPr>
              <w:pStyle w:val="17"/>
              <w:pageBreakBefore w:val="0"/>
              <w:tabs>
                <w:tab w:val="left" w:pos="174"/>
              </w:tabs>
              <w:kinsoku/>
              <w:overflowPunct/>
              <w:topLinePunct w:val="0"/>
              <w:bidi w:val="0"/>
              <w:spacing w:line="300" w:lineRule="exact"/>
              <w:ind w:left="-44" w:firstLine="0" w:firstLineChars="0"/>
              <w:outlineLvl w:val="9"/>
              <w:rPr>
                <w:rFonts w:hint="eastAsia" w:ascii="仿宋_GB2312" w:eastAsia="仿宋_GB2312"/>
                <w:sz w:val="18"/>
                <w:szCs w:val="18"/>
              </w:rPr>
            </w:pPr>
            <w:r>
              <w:rPr>
                <w:rFonts w:hint="eastAsia" w:ascii="仿宋_GB2312" w:eastAsia="仿宋_GB2312" w:cs="宋体"/>
                <w:sz w:val="18"/>
                <w:szCs w:val="18"/>
              </w:rPr>
              <w:t>1.教务与实训管理处在</w:t>
            </w:r>
            <w:r>
              <w:rPr>
                <w:rFonts w:hint="eastAsia" w:ascii="仿宋_GB2312" w:eastAsia="仿宋_GB2312"/>
                <w:sz w:val="18"/>
                <w:szCs w:val="18"/>
              </w:rPr>
              <w:t>申报学期第10周前将认定结果录入教务管理系统。</w:t>
            </w:r>
          </w:p>
          <w:p>
            <w:pPr>
              <w:pStyle w:val="17"/>
              <w:pageBreakBefore w:val="0"/>
              <w:tabs>
                <w:tab w:val="left" w:pos="174"/>
              </w:tabs>
              <w:kinsoku/>
              <w:overflowPunct/>
              <w:topLinePunct w:val="0"/>
              <w:bidi w:val="0"/>
              <w:spacing w:line="300" w:lineRule="exact"/>
              <w:ind w:left="-44" w:firstLine="0" w:firstLineChars="0"/>
              <w:outlineLvl w:val="9"/>
              <w:rPr>
                <w:rFonts w:hint="eastAsia" w:ascii="仿宋_GB2312" w:eastAsia="仿宋_GB2312"/>
                <w:sz w:val="18"/>
                <w:szCs w:val="18"/>
              </w:rPr>
            </w:pPr>
            <w:r>
              <w:rPr>
                <w:rFonts w:hint="eastAsia" w:ascii="仿宋_GB2312" w:eastAsia="仿宋_GB2312" w:cs="宋体"/>
                <w:sz w:val="18"/>
                <w:szCs w:val="18"/>
              </w:rPr>
              <w:t>2.将工作中出现的问题通报给相关部门。</w:t>
            </w:r>
          </w:p>
        </w:tc>
        <w:tc>
          <w:tcPr>
            <w:tcW w:w="1231" w:type="dxa"/>
            <w:noWrap w:val="0"/>
            <w:vAlign w:val="center"/>
          </w:tcPr>
          <w:p>
            <w:pPr>
              <w:pStyle w:val="17"/>
              <w:pageBreakBefore w:val="0"/>
              <w:tabs>
                <w:tab w:val="left" w:pos="174"/>
              </w:tabs>
              <w:kinsoku/>
              <w:overflowPunct/>
              <w:topLinePunct w:val="0"/>
              <w:bidi w:val="0"/>
              <w:spacing w:line="300" w:lineRule="exact"/>
              <w:ind w:left="-44" w:firstLine="0" w:firstLineChars="0"/>
              <w:outlineLvl w:val="9"/>
              <w:rPr>
                <w:rFonts w:hint="eastAsia" w:ascii="仿宋_GB2312" w:hAnsi="宋体" w:eastAsia="仿宋_GB2312" w:cs="宋体"/>
                <w:sz w:val="18"/>
                <w:szCs w:val="18"/>
              </w:rPr>
            </w:pPr>
            <w:r>
              <w:rPr>
                <w:rFonts w:hint="eastAsia" w:ascii="仿宋_GB2312" w:eastAsia="仿宋_GB2312"/>
              </w:rPr>
              <w:t>申报学期第10周前</w:t>
            </w:r>
          </w:p>
        </w:tc>
        <w:tc>
          <w:tcPr>
            <w:tcW w:w="781" w:type="dxa"/>
            <w:noWrap w:val="0"/>
            <w:vAlign w:val="center"/>
          </w:tcPr>
          <w:p>
            <w:pPr>
              <w:pStyle w:val="17"/>
              <w:pageBreakBefore w:val="0"/>
              <w:tabs>
                <w:tab w:val="left" w:pos="174"/>
              </w:tabs>
              <w:kinsoku/>
              <w:overflowPunct/>
              <w:topLinePunct w:val="0"/>
              <w:bidi w:val="0"/>
              <w:spacing w:line="300" w:lineRule="exact"/>
              <w:ind w:firstLine="0" w:firstLineChars="0"/>
              <w:outlineLvl w:val="9"/>
              <w:rPr>
                <w:rFonts w:hint="eastAsia" w:ascii="仿宋_GB2312" w:hAnsi="宋体" w:eastAsia="仿宋_GB2312" w:cs="宋体"/>
                <w:sz w:val="18"/>
                <w:szCs w:val="18"/>
              </w:rPr>
            </w:pPr>
          </w:p>
        </w:tc>
      </w:tr>
    </w:tbl>
    <w:p>
      <w:pPr>
        <w:pageBreakBefore w:val="0"/>
        <w:kinsoku/>
        <w:overflowPunct/>
        <w:topLinePunct w:val="0"/>
        <w:bidi w:val="0"/>
        <w:outlineLvl w:val="9"/>
        <w:rPr>
          <w:rFonts w:hint="eastAsia" w:ascii="黑体" w:eastAsia="黑体"/>
          <w:sz w:val="32"/>
          <w:szCs w:val="32"/>
        </w:rPr>
      </w:pPr>
      <w:r>
        <w:rPr>
          <w:rFonts w:ascii="宋体" w:hAnsi="宋体" w:cs="仿宋"/>
          <w:kern w:val="0"/>
          <w:szCs w:val="28"/>
        </w:rPr>
        <w:br w:type="page"/>
      </w:r>
      <w:bookmarkStart w:id="433" w:name="_Toc27175_WPSOffice_Level1"/>
      <w:r>
        <w:rPr>
          <w:rFonts w:hint="eastAsia" w:ascii="黑体" w:eastAsia="黑体"/>
          <w:sz w:val="32"/>
          <w:szCs w:val="32"/>
        </w:rPr>
        <w:t>附件2：</w:t>
      </w:r>
      <w:bookmarkEnd w:id="433"/>
    </w:p>
    <w:p>
      <w:pPr>
        <w:pageBreakBefore w:val="0"/>
        <w:kinsoku/>
        <w:overflowPunct/>
        <w:topLinePunct w:val="0"/>
        <w:bidi w:val="0"/>
        <w:spacing w:line="590" w:lineRule="exact"/>
        <w:jc w:val="center"/>
        <w:outlineLvl w:val="9"/>
        <w:rPr>
          <w:b/>
          <w:color w:val="000000"/>
          <w:sz w:val="36"/>
          <w:szCs w:val="36"/>
        </w:rPr>
      </w:pPr>
      <w:bookmarkStart w:id="434" w:name="_Toc18675_WPSOffice_Level1"/>
      <w:r>
        <w:rPr>
          <w:rFonts w:hint="eastAsia"/>
          <w:b/>
          <w:color w:val="000000"/>
          <w:sz w:val="36"/>
          <w:szCs w:val="36"/>
        </w:rPr>
        <w:t>柳州职业技术学院创新创业活动学分奖励认定参考标准</w:t>
      </w:r>
      <w:bookmarkEnd w:id="434"/>
    </w:p>
    <w:tbl>
      <w:tblPr>
        <w:tblStyle w:val="14"/>
        <w:tblW w:w="92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
      <w:tblGrid>
        <w:gridCol w:w="787"/>
        <w:gridCol w:w="913"/>
        <w:gridCol w:w="1985"/>
        <w:gridCol w:w="1200"/>
        <w:gridCol w:w="1275"/>
        <w:gridCol w:w="2341"/>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12" w:hRule="atLeast"/>
          <w:tblHeader/>
          <w:jc w:val="center"/>
        </w:trPr>
        <w:tc>
          <w:tcPr>
            <w:tcW w:w="787"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hint="eastAsia" w:eastAsia="仿宋_GB2312"/>
                <w:b/>
                <w:bCs/>
                <w:kern w:val="0"/>
                <w:sz w:val="21"/>
                <w:szCs w:val="21"/>
              </w:rPr>
            </w:pPr>
            <w:r>
              <w:rPr>
                <w:rFonts w:hint="eastAsia" w:eastAsia="仿宋_GB2312"/>
                <w:b/>
                <w:bCs/>
                <w:kern w:val="0"/>
                <w:sz w:val="21"/>
                <w:szCs w:val="21"/>
              </w:rPr>
              <w:t>活动</w:t>
            </w:r>
          </w:p>
          <w:p>
            <w:pPr>
              <w:pageBreakBefore w:val="0"/>
              <w:kinsoku/>
              <w:overflowPunct/>
              <w:topLinePunct w:val="0"/>
              <w:bidi w:val="0"/>
              <w:spacing w:line="280" w:lineRule="exact"/>
              <w:jc w:val="center"/>
              <w:outlineLvl w:val="9"/>
              <w:rPr>
                <w:rFonts w:hint="eastAsia" w:eastAsia="仿宋_GB2312"/>
                <w:b/>
                <w:bCs/>
                <w:kern w:val="0"/>
                <w:sz w:val="21"/>
                <w:szCs w:val="21"/>
              </w:rPr>
            </w:pPr>
            <w:r>
              <w:rPr>
                <w:rFonts w:hint="eastAsia" w:eastAsia="仿宋_GB2312"/>
                <w:b/>
                <w:bCs/>
                <w:kern w:val="0"/>
                <w:sz w:val="21"/>
                <w:szCs w:val="21"/>
              </w:rPr>
              <w:t>类别</w:t>
            </w:r>
          </w:p>
        </w:tc>
        <w:tc>
          <w:tcPr>
            <w:tcW w:w="913"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hint="eastAsia" w:eastAsia="仿宋_GB2312"/>
                <w:b/>
                <w:bCs/>
                <w:kern w:val="0"/>
                <w:sz w:val="21"/>
                <w:szCs w:val="21"/>
              </w:rPr>
            </w:pPr>
            <w:r>
              <w:rPr>
                <w:rFonts w:hint="eastAsia" w:eastAsia="仿宋_GB2312"/>
                <w:b/>
                <w:bCs/>
                <w:kern w:val="0"/>
                <w:sz w:val="21"/>
                <w:szCs w:val="21"/>
              </w:rPr>
              <w:t>类别</w:t>
            </w:r>
          </w:p>
          <w:p>
            <w:pPr>
              <w:pageBreakBefore w:val="0"/>
              <w:kinsoku/>
              <w:overflowPunct/>
              <w:topLinePunct w:val="0"/>
              <w:bidi w:val="0"/>
              <w:spacing w:line="280" w:lineRule="exact"/>
              <w:jc w:val="center"/>
              <w:outlineLvl w:val="9"/>
              <w:rPr>
                <w:rFonts w:eastAsia="仿宋_GB2312"/>
                <w:b/>
                <w:bCs/>
                <w:kern w:val="0"/>
                <w:sz w:val="21"/>
                <w:szCs w:val="21"/>
              </w:rPr>
            </w:pPr>
            <w:r>
              <w:rPr>
                <w:rFonts w:hint="eastAsia" w:eastAsia="仿宋_GB2312"/>
                <w:b/>
                <w:bCs/>
                <w:kern w:val="0"/>
                <w:sz w:val="21"/>
                <w:szCs w:val="21"/>
              </w:rPr>
              <w:t>细目</w:t>
            </w:r>
          </w:p>
        </w:tc>
        <w:tc>
          <w:tcPr>
            <w:tcW w:w="6801"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eastAsia="仿宋_GB2312"/>
                <w:b/>
                <w:bCs/>
                <w:kern w:val="0"/>
                <w:sz w:val="21"/>
                <w:szCs w:val="21"/>
              </w:rPr>
            </w:pPr>
            <w:r>
              <w:rPr>
                <w:rFonts w:hint="eastAsia" w:eastAsia="仿宋_GB2312" w:cs="仿宋_GB2312"/>
                <w:b/>
                <w:bCs/>
                <w:kern w:val="0"/>
                <w:sz w:val="21"/>
                <w:szCs w:val="21"/>
              </w:rPr>
              <w:t>学分奖励标准</w:t>
            </w:r>
          </w:p>
        </w:tc>
        <w:tc>
          <w:tcPr>
            <w:tcW w:w="735"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eastAsia="仿宋_GB2312" w:cs="仿宋_GB2312"/>
                <w:b/>
                <w:bCs/>
                <w:kern w:val="0"/>
                <w:sz w:val="21"/>
                <w:szCs w:val="21"/>
              </w:rPr>
            </w:pPr>
            <w:r>
              <w:rPr>
                <w:rFonts w:hint="eastAsia" w:eastAsia="仿宋_GB2312" w:cs="仿宋_GB2312"/>
                <w:b/>
                <w:bCs/>
                <w:kern w:val="0"/>
                <w:sz w:val="21"/>
                <w:szCs w:val="21"/>
              </w:rPr>
              <w:t>主要认定部门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16" w:hRule="atLeast"/>
          <w:jc w:val="center"/>
        </w:trPr>
        <w:tc>
          <w:tcPr>
            <w:tcW w:w="787"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cs="仿宋_GB2312"/>
                <w:kern w:val="0"/>
                <w:sz w:val="21"/>
                <w:szCs w:val="21"/>
              </w:rPr>
            </w:pPr>
          </w:p>
        </w:tc>
        <w:tc>
          <w:tcPr>
            <w:tcW w:w="913"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pageBreakBefore w:val="0"/>
              <w:kinsoku/>
              <w:overflowPunct/>
              <w:topLinePunct w:val="0"/>
              <w:bidi w:val="0"/>
              <w:spacing w:line="280" w:lineRule="exact"/>
              <w:ind w:firstLine="630" w:firstLineChars="300"/>
              <w:jc w:val="right"/>
              <w:outlineLvl w:val="9"/>
              <w:rPr>
                <w:rFonts w:eastAsia="仿宋_GB2312"/>
                <w:b/>
                <w:kern w:val="0"/>
                <w:sz w:val="21"/>
                <w:szCs w:val="21"/>
              </w:rPr>
            </w:pPr>
            <w:r>
              <w:rPr>
                <w:rFonts w:hint="eastAsia" w:eastAsia="仿宋_GB2312" w:cs="仿宋_GB2312"/>
                <w:b/>
                <w:kern w:val="0"/>
                <w:sz w:val="21"/>
                <w:szCs w:val="21"/>
              </w:rPr>
              <w:t>排名</w:t>
            </w:r>
          </w:p>
          <w:p>
            <w:pPr>
              <w:pageBreakBefore w:val="0"/>
              <w:kinsoku/>
              <w:overflowPunct/>
              <w:topLinePunct w:val="0"/>
              <w:bidi w:val="0"/>
              <w:spacing w:line="280" w:lineRule="exact"/>
              <w:outlineLvl w:val="9"/>
              <w:rPr>
                <w:rFonts w:eastAsia="仿宋_GB2312"/>
                <w:b/>
                <w:kern w:val="0"/>
                <w:sz w:val="21"/>
                <w:szCs w:val="21"/>
              </w:rPr>
            </w:pPr>
            <w:r>
              <w:rPr>
                <w:rFonts w:hint="eastAsia" w:eastAsia="仿宋_GB2312" w:cs="仿宋_GB2312"/>
                <w:b/>
                <w:kern w:val="0"/>
                <w:sz w:val="21"/>
                <w:szCs w:val="21"/>
              </w:rPr>
              <w:t>级别</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eastAsia="仿宋_GB2312" w:cs="仿宋_GB2312"/>
                <w:b/>
                <w:kern w:val="0"/>
                <w:sz w:val="21"/>
                <w:szCs w:val="21"/>
              </w:rPr>
            </w:pPr>
            <w:r>
              <w:rPr>
                <w:rFonts w:hint="eastAsia" w:eastAsia="仿宋_GB2312" w:cs="仿宋_GB2312"/>
                <w:b/>
                <w:kern w:val="0"/>
                <w:sz w:val="21"/>
                <w:szCs w:val="21"/>
              </w:rPr>
              <w:t>主持人（或第一作者）</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eastAsia="仿宋_GB2312" w:cs="仿宋_GB2312"/>
                <w:b/>
                <w:kern w:val="0"/>
                <w:sz w:val="21"/>
                <w:szCs w:val="21"/>
              </w:rPr>
            </w:pPr>
            <w:r>
              <w:rPr>
                <w:rFonts w:hint="eastAsia" w:eastAsia="仿宋_GB2312" w:cs="仿宋_GB2312"/>
                <w:b/>
                <w:kern w:val="0"/>
                <w:sz w:val="21"/>
                <w:szCs w:val="21"/>
              </w:rPr>
              <w:t>参与人（或第二作者）</w:t>
            </w:r>
          </w:p>
        </w:tc>
        <w:tc>
          <w:tcPr>
            <w:tcW w:w="234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eastAsia="仿宋_GB2312"/>
                <w:b/>
                <w:kern w:val="0"/>
                <w:sz w:val="21"/>
                <w:szCs w:val="21"/>
              </w:rPr>
            </w:pPr>
            <w:r>
              <w:rPr>
                <w:rFonts w:hint="eastAsia" w:eastAsia="仿宋_GB2312"/>
                <w:b/>
                <w:kern w:val="0"/>
                <w:sz w:val="21"/>
                <w:szCs w:val="21"/>
              </w:rPr>
              <w:t>备注</w:t>
            </w:r>
          </w:p>
        </w:tc>
        <w:tc>
          <w:tcPr>
            <w:tcW w:w="735" w:type="dxa"/>
            <w:vMerge w:val="continue"/>
            <w:tcBorders>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105" w:firstLineChars="5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408" w:hRule="atLeast"/>
          <w:jc w:val="center"/>
        </w:trPr>
        <w:tc>
          <w:tcPr>
            <w:tcW w:w="787" w:type="dxa"/>
            <w:vMerge w:val="restart"/>
            <w:tcBorders>
              <w:left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hint="eastAsia" w:eastAsia="仿宋_GB2312" w:cs="仿宋_GB2312"/>
                <w:kern w:val="0"/>
                <w:sz w:val="21"/>
                <w:szCs w:val="21"/>
              </w:rPr>
            </w:pPr>
            <w:r>
              <w:rPr>
                <w:rFonts w:hint="eastAsia" w:eastAsia="仿宋_GB2312" w:cs="仿宋_GB2312"/>
                <w:kern w:val="0"/>
                <w:sz w:val="21"/>
                <w:szCs w:val="21"/>
              </w:rPr>
              <w:t>科学</w:t>
            </w:r>
          </w:p>
          <w:p>
            <w:pPr>
              <w:pageBreakBefore w:val="0"/>
              <w:kinsoku/>
              <w:overflowPunct/>
              <w:topLinePunct w:val="0"/>
              <w:bidi w:val="0"/>
              <w:spacing w:line="280" w:lineRule="exact"/>
              <w:jc w:val="center"/>
              <w:outlineLvl w:val="9"/>
              <w:rPr>
                <w:rFonts w:eastAsia="仿宋_GB2312" w:cs="仿宋_GB2312"/>
                <w:kern w:val="0"/>
                <w:sz w:val="21"/>
                <w:szCs w:val="21"/>
              </w:rPr>
            </w:pPr>
            <w:r>
              <w:rPr>
                <w:rFonts w:hint="eastAsia" w:eastAsia="仿宋_GB2312" w:cs="仿宋_GB2312"/>
                <w:kern w:val="0"/>
                <w:sz w:val="21"/>
                <w:szCs w:val="21"/>
              </w:rPr>
              <w:t>研究</w:t>
            </w:r>
          </w:p>
        </w:tc>
        <w:tc>
          <w:tcPr>
            <w:tcW w:w="913" w:type="dxa"/>
            <w:vMerge w:val="restart"/>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outlineLvl w:val="9"/>
              <w:rPr>
                <w:rFonts w:eastAsia="仿宋_GB2312"/>
                <w:kern w:val="0"/>
                <w:sz w:val="21"/>
                <w:szCs w:val="21"/>
              </w:rPr>
            </w:pPr>
            <w:r>
              <w:rPr>
                <w:rFonts w:hint="eastAsia" w:eastAsia="仿宋_GB2312" w:cs="仿宋_GB2312"/>
                <w:kern w:val="0"/>
                <w:sz w:val="21"/>
                <w:szCs w:val="21"/>
              </w:rPr>
              <w:t>科研课题或成果</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outlineLvl w:val="9"/>
              <w:rPr>
                <w:rFonts w:eastAsia="仿宋_GB2312"/>
                <w:kern w:val="0"/>
                <w:sz w:val="21"/>
                <w:szCs w:val="21"/>
              </w:rPr>
            </w:pPr>
            <w:r>
              <w:rPr>
                <w:rFonts w:hint="eastAsia" w:eastAsia="仿宋_GB2312" w:cs="仿宋_GB2312"/>
                <w:kern w:val="0"/>
                <w:sz w:val="21"/>
                <w:szCs w:val="21"/>
              </w:rPr>
              <w:t>国家级</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cs="仿宋_GB2312"/>
                <w:kern w:val="0"/>
                <w:sz w:val="21"/>
                <w:szCs w:val="21"/>
              </w:rPr>
            </w:pPr>
            <w:r>
              <w:rPr>
                <w:rFonts w:hint="eastAsia" w:eastAsia="仿宋_GB2312" w:cs="仿宋_GB2312"/>
                <w:kern w:val="0"/>
                <w:sz w:val="21"/>
                <w:szCs w:val="21"/>
              </w:rPr>
              <w:t>5</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kern w:val="0"/>
                <w:sz w:val="21"/>
                <w:szCs w:val="21"/>
              </w:rPr>
            </w:pPr>
            <w:r>
              <w:rPr>
                <w:rFonts w:hint="eastAsia" w:eastAsia="仿宋_GB2312"/>
                <w:kern w:val="0"/>
                <w:sz w:val="21"/>
                <w:szCs w:val="21"/>
              </w:rPr>
              <w:t>3</w:t>
            </w:r>
          </w:p>
        </w:tc>
        <w:tc>
          <w:tcPr>
            <w:tcW w:w="2341"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hint="eastAsia" w:eastAsia="仿宋_GB2312"/>
                <w:kern w:val="0"/>
                <w:sz w:val="21"/>
                <w:szCs w:val="21"/>
              </w:rPr>
            </w:pPr>
            <w:r>
              <w:rPr>
                <w:rFonts w:hint="eastAsia" w:eastAsia="仿宋_GB2312"/>
                <w:kern w:val="0"/>
                <w:sz w:val="21"/>
                <w:szCs w:val="21"/>
              </w:rPr>
              <w:t>只计5位主要成员（含主持人）；需</w:t>
            </w:r>
            <w:r>
              <w:rPr>
                <w:rFonts w:hint="eastAsia" w:eastAsia="仿宋_GB2312" w:cs="仿宋_GB2312"/>
                <w:kern w:val="0"/>
                <w:sz w:val="21"/>
                <w:szCs w:val="21"/>
              </w:rPr>
              <w:t>提供立项文件、结题证书或获奖证书等证明材料</w:t>
            </w:r>
          </w:p>
        </w:tc>
        <w:tc>
          <w:tcPr>
            <w:tcW w:w="735"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ind w:firstLine="105" w:firstLineChars="50"/>
              <w:jc w:val="center"/>
              <w:outlineLvl w:val="9"/>
              <w:rPr>
                <w:rFonts w:eastAsia="仿宋_GB2312"/>
                <w:kern w:val="0"/>
                <w:sz w:val="21"/>
                <w:szCs w:val="21"/>
              </w:rPr>
            </w:pPr>
            <w:r>
              <w:rPr>
                <w:rFonts w:hint="eastAsia" w:hAnsi="仿宋_GB2312" w:eastAsia="仿宋_GB2312" w:cs="仿宋_GB2312"/>
                <w:kern w:val="0"/>
                <w:sz w:val="21"/>
                <w:szCs w:val="21"/>
              </w:rPr>
              <w:t>科技开发处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395" w:hRule="atLeast"/>
          <w:jc w:val="center"/>
        </w:trPr>
        <w:tc>
          <w:tcPr>
            <w:tcW w:w="787"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913"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outlineLvl w:val="9"/>
              <w:rPr>
                <w:rFonts w:hint="eastAsia" w:eastAsia="仿宋_GB2312" w:cs="仿宋_GB2312"/>
                <w:kern w:val="0"/>
                <w:sz w:val="21"/>
                <w:szCs w:val="21"/>
              </w:rPr>
            </w:pPr>
            <w:r>
              <w:rPr>
                <w:rFonts w:hint="eastAsia" w:eastAsia="仿宋_GB2312" w:cs="仿宋_GB2312"/>
                <w:kern w:val="0"/>
                <w:sz w:val="21"/>
                <w:szCs w:val="21"/>
              </w:rPr>
              <w:t>省级</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cs="仿宋_GB2312"/>
                <w:b/>
                <w:kern w:val="0"/>
                <w:sz w:val="21"/>
                <w:szCs w:val="21"/>
              </w:rPr>
            </w:pPr>
            <w:r>
              <w:rPr>
                <w:rFonts w:hint="eastAsia" w:eastAsia="仿宋_GB2312" w:cs="仿宋_GB2312"/>
                <w:kern w:val="0"/>
                <w:sz w:val="21"/>
                <w:szCs w:val="21"/>
              </w:rPr>
              <w:t>3</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b/>
                <w:kern w:val="0"/>
                <w:sz w:val="21"/>
                <w:szCs w:val="21"/>
              </w:rPr>
            </w:pPr>
            <w:r>
              <w:rPr>
                <w:rFonts w:hint="eastAsia" w:eastAsia="仿宋_GB2312"/>
                <w:kern w:val="0"/>
                <w:sz w:val="21"/>
                <w:szCs w:val="21"/>
              </w:rPr>
              <w:t>1.5</w:t>
            </w:r>
          </w:p>
        </w:tc>
        <w:tc>
          <w:tcPr>
            <w:tcW w:w="2341"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40"/>
              <w:jc w:val="left"/>
              <w:outlineLvl w:val="9"/>
              <w:rPr>
                <w:rFonts w:hint="eastAsia" w:eastAsia="仿宋_GB2312"/>
                <w:kern w:val="0"/>
                <w:sz w:val="21"/>
                <w:szCs w:val="21"/>
              </w:rPr>
            </w:pPr>
          </w:p>
        </w:tc>
        <w:tc>
          <w:tcPr>
            <w:tcW w:w="735"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381" w:hRule="atLeast"/>
          <w:jc w:val="center"/>
        </w:trPr>
        <w:tc>
          <w:tcPr>
            <w:tcW w:w="787"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913"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outlineLvl w:val="9"/>
              <w:rPr>
                <w:rFonts w:hint="eastAsia" w:eastAsia="仿宋_GB2312" w:cs="仿宋_GB2312"/>
                <w:kern w:val="0"/>
                <w:sz w:val="21"/>
                <w:szCs w:val="21"/>
              </w:rPr>
            </w:pPr>
            <w:r>
              <w:rPr>
                <w:rFonts w:hint="eastAsia" w:eastAsia="仿宋_GB2312" w:cs="仿宋_GB2312"/>
                <w:kern w:val="0"/>
                <w:sz w:val="21"/>
                <w:szCs w:val="21"/>
              </w:rPr>
              <w:t>校级</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cs="仿宋_GB2312"/>
                <w:b/>
                <w:kern w:val="0"/>
                <w:sz w:val="21"/>
                <w:szCs w:val="21"/>
              </w:rPr>
            </w:pPr>
            <w:r>
              <w:rPr>
                <w:rFonts w:hint="eastAsia" w:eastAsia="仿宋_GB2312" w:cs="仿宋_GB2312"/>
                <w:kern w:val="0"/>
                <w:sz w:val="21"/>
                <w:szCs w:val="21"/>
              </w:rPr>
              <w:t>2</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kern w:val="0"/>
                <w:sz w:val="21"/>
                <w:szCs w:val="21"/>
              </w:rPr>
            </w:pPr>
            <w:r>
              <w:rPr>
                <w:rFonts w:hint="eastAsia" w:eastAsia="仿宋_GB2312"/>
                <w:kern w:val="0"/>
                <w:sz w:val="21"/>
                <w:szCs w:val="21"/>
              </w:rPr>
              <w:t>1</w:t>
            </w:r>
          </w:p>
        </w:tc>
        <w:tc>
          <w:tcPr>
            <w:tcW w:w="2341"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40"/>
              <w:jc w:val="left"/>
              <w:outlineLvl w:val="9"/>
              <w:rPr>
                <w:rFonts w:hint="eastAsia" w:eastAsia="仿宋_GB2312"/>
                <w:kern w:val="0"/>
                <w:sz w:val="21"/>
                <w:szCs w:val="21"/>
              </w:rPr>
            </w:pPr>
          </w:p>
        </w:tc>
        <w:tc>
          <w:tcPr>
            <w:tcW w:w="735"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317" w:hRule="atLeast"/>
          <w:jc w:val="center"/>
        </w:trPr>
        <w:tc>
          <w:tcPr>
            <w:tcW w:w="787"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913"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outlineLvl w:val="9"/>
              <w:rPr>
                <w:rFonts w:hint="eastAsia" w:eastAsia="仿宋_GB2312"/>
                <w:kern w:val="0"/>
                <w:sz w:val="21"/>
                <w:szCs w:val="21"/>
              </w:rPr>
            </w:pPr>
            <w:r>
              <w:rPr>
                <w:rFonts w:hint="eastAsia" w:eastAsia="仿宋_GB2312" w:cs="仿宋_GB2312"/>
                <w:kern w:val="0"/>
                <w:sz w:val="21"/>
                <w:szCs w:val="21"/>
              </w:rPr>
              <w:t>学生参与教师主持科研项目的，每学期记</w:t>
            </w:r>
            <w:r>
              <w:rPr>
                <w:rFonts w:eastAsia="仿宋_GB2312"/>
                <w:kern w:val="0"/>
                <w:sz w:val="21"/>
                <w:szCs w:val="21"/>
              </w:rPr>
              <w:t>1</w:t>
            </w:r>
            <w:r>
              <w:rPr>
                <w:rFonts w:hint="eastAsia" w:eastAsia="仿宋_GB2312" w:cs="仿宋_GB2312"/>
                <w:kern w:val="0"/>
                <w:sz w:val="21"/>
                <w:szCs w:val="21"/>
              </w:rPr>
              <w:t>学分，最多计</w:t>
            </w:r>
            <w:r>
              <w:rPr>
                <w:rFonts w:eastAsia="仿宋_GB2312"/>
                <w:kern w:val="0"/>
                <w:sz w:val="21"/>
                <w:szCs w:val="21"/>
              </w:rPr>
              <w:t>2</w:t>
            </w:r>
            <w:r>
              <w:rPr>
                <w:rFonts w:hint="eastAsia" w:eastAsia="仿宋_GB2312" w:cs="仿宋_GB2312"/>
                <w:kern w:val="0"/>
                <w:sz w:val="21"/>
                <w:szCs w:val="21"/>
              </w:rPr>
              <w:t>学期</w:t>
            </w:r>
          </w:p>
        </w:tc>
        <w:tc>
          <w:tcPr>
            <w:tcW w:w="2341"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40"/>
              <w:jc w:val="left"/>
              <w:outlineLvl w:val="9"/>
              <w:rPr>
                <w:rFonts w:hint="eastAsia" w:eastAsia="仿宋_GB2312"/>
                <w:kern w:val="0"/>
                <w:sz w:val="21"/>
                <w:szCs w:val="21"/>
              </w:rPr>
            </w:pPr>
          </w:p>
        </w:tc>
        <w:tc>
          <w:tcPr>
            <w:tcW w:w="735"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317" w:hRule="atLeast"/>
          <w:jc w:val="center"/>
        </w:trPr>
        <w:tc>
          <w:tcPr>
            <w:tcW w:w="787"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913" w:type="dxa"/>
            <w:vMerge w:val="restart"/>
            <w:tcBorders>
              <w:left w:val="single" w:color="auto" w:sz="4" w:space="0"/>
              <w:right w:val="single" w:color="auto" w:sz="4" w:space="0"/>
            </w:tcBorders>
            <w:noWrap w:val="0"/>
            <w:vAlign w:val="center"/>
          </w:tcPr>
          <w:p>
            <w:pPr>
              <w:pageBreakBefore w:val="0"/>
              <w:kinsoku/>
              <w:overflowPunct/>
              <w:topLinePunct w:val="0"/>
              <w:bidi w:val="0"/>
              <w:spacing w:line="280" w:lineRule="exact"/>
              <w:outlineLvl w:val="9"/>
              <w:rPr>
                <w:rFonts w:eastAsia="仿宋_GB2312"/>
                <w:kern w:val="0"/>
                <w:sz w:val="21"/>
                <w:szCs w:val="21"/>
              </w:rPr>
            </w:pPr>
            <w:r>
              <w:rPr>
                <w:rFonts w:hint="eastAsia" w:eastAsia="仿宋_GB2312" w:cs="仿宋_GB2312"/>
                <w:kern w:val="0"/>
                <w:sz w:val="21"/>
                <w:szCs w:val="21"/>
              </w:rPr>
              <w:t>论文</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cs="仿宋_GB2312"/>
                <w:kern w:val="0"/>
                <w:sz w:val="21"/>
                <w:szCs w:val="21"/>
              </w:rPr>
              <w:t>被</w:t>
            </w:r>
            <w:r>
              <w:rPr>
                <w:rFonts w:eastAsia="仿宋_GB2312"/>
                <w:kern w:val="0"/>
                <w:sz w:val="21"/>
                <w:szCs w:val="21"/>
              </w:rPr>
              <w:t>SCI</w:t>
            </w:r>
            <w:r>
              <w:rPr>
                <w:rFonts w:hint="eastAsia" w:eastAsia="仿宋_GB2312" w:cs="仿宋_GB2312"/>
                <w:kern w:val="0"/>
                <w:sz w:val="21"/>
                <w:szCs w:val="21"/>
              </w:rPr>
              <w:t>、</w:t>
            </w:r>
            <w:r>
              <w:rPr>
                <w:rFonts w:eastAsia="仿宋_GB2312"/>
                <w:kern w:val="0"/>
                <w:sz w:val="21"/>
                <w:szCs w:val="21"/>
              </w:rPr>
              <w:t>SSCI</w:t>
            </w:r>
            <w:r>
              <w:rPr>
                <w:rFonts w:hint="eastAsia" w:eastAsia="仿宋_GB2312" w:cs="仿宋_GB2312"/>
                <w:kern w:val="0"/>
                <w:sz w:val="21"/>
                <w:szCs w:val="21"/>
              </w:rPr>
              <w:t>、</w:t>
            </w:r>
            <w:r>
              <w:rPr>
                <w:rFonts w:eastAsia="仿宋_GB2312"/>
                <w:kern w:val="0"/>
                <w:sz w:val="21"/>
                <w:szCs w:val="21"/>
              </w:rPr>
              <w:t>EI</w:t>
            </w:r>
            <w:r>
              <w:rPr>
                <w:rFonts w:hint="eastAsia" w:eastAsia="仿宋_GB2312" w:cs="仿宋_GB2312"/>
                <w:kern w:val="0"/>
                <w:sz w:val="21"/>
                <w:szCs w:val="21"/>
              </w:rPr>
              <w:t>、</w:t>
            </w:r>
            <w:r>
              <w:rPr>
                <w:rFonts w:eastAsia="仿宋_GB2312"/>
                <w:kern w:val="0"/>
                <w:sz w:val="21"/>
                <w:szCs w:val="21"/>
              </w:rPr>
              <w:t>CSSCI</w:t>
            </w:r>
            <w:r>
              <w:rPr>
                <w:rFonts w:hint="eastAsia" w:eastAsia="仿宋_GB2312" w:cs="仿宋_GB2312"/>
                <w:kern w:val="0"/>
                <w:sz w:val="21"/>
                <w:szCs w:val="21"/>
              </w:rPr>
              <w:t>等检索</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5</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3</w:t>
            </w:r>
          </w:p>
        </w:tc>
        <w:tc>
          <w:tcPr>
            <w:tcW w:w="2341"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kern w:val="0"/>
                <w:sz w:val="21"/>
                <w:szCs w:val="21"/>
              </w:rPr>
              <w:t>只计前2位作者，</w:t>
            </w:r>
            <w:r>
              <w:rPr>
                <w:rFonts w:hint="eastAsia" w:ascii="仿宋_GB2312" w:eastAsia="仿宋_GB2312"/>
                <w:sz w:val="21"/>
                <w:szCs w:val="21"/>
              </w:rPr>
              <w:t>需提供出版刊物等证明材料</w:t>
            </w:r>
          </w:p>
        </w:tc>
        <w:tc>
          <w:tcPr>
            <w:tcW w:w="735"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463" w:hRule="atLeast"/>
          <w:jc w:val="center"/>
        </w:trPr>
        <w:tc>
          <w:tcPr>
            <w:tcW w:w="787"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913"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105" w:firstLineChars="50"/>
              <w:jc w:val="left"/>
              <w:outlineLvl w:val="9"/>
              <w:rPr>
                <w:rFonts w:eastAsia="仿宋_GB2312"/>
                <w:kern w:val="0"/>
                <w:sz w:val="21"/>
                <w:szCs w:val="21"/>
              </w:rPr>
            </w:pPr>
            <w:r>
              <w:rPr>
                <w:rFonts w:hint="eastAsia" w:eastAsia="仿宋_GB2312" w:cs="仿宋_GB2312"/>
                <w:kern w:val="0"/>
                <w:sz w:val="21"/>
                <w:szCs w:val="21"/>
              </w:rPr>
              <w:t>核心期刊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4</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2</w:t>
            </w:r>
          </w:p>
        </w:tc>
        <w:tc>
          <w:tcPr>
            <w:tcW w:w="2341"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40"/>
              <w:jc w:val="left"/>
              <w:outlineLvl w:val="9"/>
              <w:rPr>
                <w:rFonts w:eastAsia="仿宋_GB2312"/>
                <w:kern w:val="0"/>
                <w:sz w:val="21"/>
                <w:szCs w:val="21"/>
              </w:rPr>
            </w:pPr>
          </w:p>
        </w:tc>
        <w:tc>
          <w:tcPr>
            <w:tcW w:w="735"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410" w:hRule="atLeast"/>
          <w:jc w:val="center"/>
        </w:trPr>
        <w:tc>
          <w:tcPr>
            <w:tcW w:w="787" w:type="dxa"/>
            <w:vMerge w:val="continue"/>
            <w:tcBorders>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913" w:type="dxa"/>
            <w:vMerge w:val="continue"/>
            <w:tcBorders>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cs="仿宋_GB2312"/>
                <w:kern w:val="0"/>
                <w:sz w:val="21"/>
                <w:szCs w:val="21"/>
              </w:rPr>
              <w:t>一般期刊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2</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eastAsia="仿宋_GB2312"/>
                <w:kern w:val="0"/>
                <w:sz w:val="21"/>
                <w:szCs w:val="21"/>
              </w:rPr>
              <w:t>1</w:t>
            </w:r>
          </w:p>
        </w:tc>
        <w:tc>
          <w:tcPr>
            <w:tcW w:w="2341"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40"/>
              <w:jc w:val="left"/>
              <w:outlineLvl w:val="9"/>
              <w:rPr>
                <w:rFonts w:eastAsia="仿宋_GB2312"/>
                <w:kern w:val="0"/>
                <w:sz w:val="21"/>
                <w:szCs w:val="21"/>
              </w:rPr>
            </w:pPr>
          </w:p>
        </w:tc>
        <w:tc>
          <w:tcPr>
            <w:tcW w:w="735"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29" w:hRule="atLeast"/>
          <w:jc w:val="center"/>
        </w:trPr>
        <w:tc>
          <w:tcPr>
            <w:tcW w:w="787" w:type="dxa"/>
            <w:vMerge w:val="restart"/>
            <w:tcBorders>
              <w:top w:val="single" w:color="auto" w:sz="4" w:space="0"/>
              <w:left w:val="single" w:color="auto" w:sz="4" w:space="0"/>
              <w:right w:val="single" w:color="auto" w:sz="4" w:space="0"/>
            </w:tcBorders>
            <w:noWrap w:val="0"/>
            <w:vAlign w:val="center"/>
          </w:tcPr>
          <w:p>
            <w:pPr>
              <w:pageBreakBefore w:val="0"/>
              <w:widowControl/>
              <w:kinsoku/>
              <w:overflowPunct/>
              <w:topLinePunct w:val="0"/>
              <w:bidi w:val="0"/>
              <w:spacing w:line="280" w:lineRule="exact"/>
              <w:jc w:val="center"/>
              <w:outlineLvl w:val="9"/>
              <w:rPr>
                <w:rFonts w:hint="eastAsia" w:eastAsia="仿宋_GB2312" w:cs="仿宋_GB2312"/>
                <w:kern w:val="0"/>
                <w:sz w:val="21"/>
                <w:szCs w:val="21"/>
              </w:rPr>
            </w:pPr>
            <w:r>
              <w:rPr>
                <w:rFonts w:hint="eastAsia" w:eastAsia="仿宋_GB2312" w:cs="仿宋_GB2312"/>
                <w:kern w:val="0"/>
                <w:sz w:val="21"/>
                <w:szCs w:val="21"/>
              </w:rPr>
              <w:t>发明</w:t>
            </w:r>
          </w:p>
          <w:p>
            <w:pPr>
              <w:pageBreakBefore w:val="0"/>
              <w:widowControl/>
              <w:kinsoku/>
              <w:overflowPunct/>
              <w:topLinePunct w:val="0"/>
              <w:bidi w:val="0"/>
              <w:spacing w:line="280" w:lineRule="exact"/>
              <w:jc w:val="center"/>
              <w:outlineLvl w:val="9"/>
              <w:rPr>
                <w:rFonts w:hint="eastAsia" w:eastAsia="仿宋_GB2312" w:cs="仿宋_GB2312"/>
                <w:kern w:val="0"/>
                <w:sz w:val="21"/>
                <w:szCs w:val="21"/>
              </w:rPr>
            </w:pPr>
            <w:r>
              <w:rPr>
                <w:rFonts w:hint="eastAsia" w:eastAsia="仿宋_GB2312" w:cs="仿宋_GB2312"/>
                <w:kern w:val="0"/>
                <w:sz w:val="21"/>
                <w:szCs w:val="21"/>
              </w:rPr>
              <w:t>创造</w:t>
            </w:r>
          </w:p>
        </w:tc>
        <w:tc>
          <w:tcPr>
            <w:tcW w:w="913" w:type="dxa"/>
            <w:vMerge w:val="restart"/>
            <w:tcBorders>
              <w:top w:val="single" w:color="auto" w:sz="4" w:space="0"/>
              <w:left w:val="single" w:color="auto" w:sz="4" w:space="0"/>
              <w:right w:val="single" w:color="auto" w:sz="4" w:space="0"/>
            </w:tcBorders>
            <w:noWrap w:val="0"/>
            <w:vAlign w:val="center"/>
          </w:tcPr>
          <w:p>
            <w:pPr>
              <w:pageBreakBefore w:val="0"/>
              <w:widowControl/>
              <w:kinsoku/>
              <w:overflowPunct/>
              <w:topLinePunct w:val="0"/>
              <w:bidi w:val="0"/>
              <w:spacing w:line="280" w:lineRule="exact"/>
              <w:outlineLvl w:val="9"/>
              <w:rPr>
                <w:rFonts w:eastAsia="仿宋_GB2312"/>
                <w:kern w:val="0"/>
                <w:sz w:val="21"/>
                <w:szCs w:val="21"/>
              </w:rPr>
            </w:pPr>
            <w:r>
              <w:rPr>
                <w:rFonts w:hint="eastAsia" w:eastAsia="仿宋_GB2312" w:cs="仿宋_GB2312"/>
                <w:kern w:val="0"/>
                <w:sz w:val="21"/>
                <w:szCs w:val="21"/>
              </w:rPr>
              <w:t>专利</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cs="仿宋_GB2312"/>
                <w:kern w:val="0"/>
                <w:sz w:val="21"/>
                <w:szCs w:val="21"/>
              </w:rPr>
              <w:t>发明专利</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4</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2</w:t>
            </w:r>
          </w:p>
        </w:tc>
        <w:tc>
          <w:tcPr>
            <w:tcW w:w="2341" w:type="dxa"/>
            <w:vMerge w:val="restart"/>
            <w:tcBorders>
              <w:left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kern w:val="0"/>
                <w:sz w:val="21"/>
                <w:szCs w:val="21"/>
              </w:rPr>
              <w:t>只计前2位作者，</w:t>
            </w:r>
            <w:r>
              <w:rPr>
                <w:rFonts w:hint="eastAsia" w:ascii="仿宋_GB2312" w:eastAsia="仿宋_GB2312"/>
                <w:sz w:val="21"/>
                <w:szCs w:val="21"/>
              </w:rPr>
              <w:t>需提供专利证书等证明材料</w:t>
            </w:r>
          </w:p>
        </w:tc>
        <w:tc>
          <w:tcPr>
            <w:tcW w:w="735"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680" w:hRule="atLeast"/>
          <w:jc w:val="center"/>
        </w:trPr>
        <w:tc>
          <w:tcPr>
            <w:tcW w:w="787" w:type="dxa"/>
            <w:vMerge w:val="continue"/>
            <w:tcBorders>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913" w:type="dxa"/>
            <w:vMerge w:val="continue"/>
            <w:tcBorders>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cs="仿宋_GB2312"/>
                <w:kern w:val="0"/>
                <w:sz w:val="21"/>
                <w:szCs w:val="21"/>
              </w:rPr>
              <w:t>实用新型、外观设计、软件著作权</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cs="仿宋_GB2312"/>
                <w:kern w:val="0"/>
                <w:sz w:val="21"/>
                <w:szCs w:val="21"/>
              </w:rPr>
              <w:t>2</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1</w:t>
            </w:r>
          </w:p>
        </w:tc>
        <w:tc>
          <w:tcPr>
            <w:tcW w:w="2341" w:type="dxa"/>
            <w:vMerge w:val="continue"/>
            <w:tcBorders>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40"/>
              <w:jc w:val="left"/>
              <w:outlineLvl w:val="9"/>
              <w:rPr>
                <w:rFonts w:eastAsia="仿宋_GB2312"/>
                <w:kern w:val="0"/>
                <w:sz w:val="21"/>
                <w:szCs w:val="21"/>
              </w:rPr>
            </w:pPr>
          </w:p>
        </w:tc>
        <w:tc>
          <w:tcPr>
            <w:tcW w:w="735" w:type="dxa"/>
            <w:vMerge w:val="continue"/>
            <w:tcBorders>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680" w:hRule="atLeast"/>
          <w:jc w:val="center"/>
        </w:trPr>
        <w:tc>
          <w:tcPr>
            <w:tcW w:w="787" w:type="dxa"/>
            <w:tcBorders>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280" w:lineRule="exact"/>
              <w:jc w:val="center"/>
              <w:outlineLvl w:val="9"/>
              <w:rPr>
                <w:rFonts w:hint="eastAsia" w:eastAsia="仿宋_GB2312"/>
                <w:kern w:val="0"/>
                <w:sz w:val="21"/>
                <w:szCs w:val="21"/>
              </w:rPr>
            </w:pPr>
            <w:r>
              <w:rPr>
                <w:rFonts w:hint="eastAsia" w:eastAsia="仿宋_GB2312"/>
                <w:kern w:val="0"/>
                <w:sz w:val="21"/>
                <w:szCs w:val="21"/>
              </w:rPr>
              <w:t>技能</w:t>
            </w:r>
          </w:p>
          <w:p>
            <w:pPr>
              <w:pageBreakBefore w:val="0"/>
              <w:widowControl/>
              <w:kinsoku/>
              <w:overflowPunct/>
              <w:topLinePunct w:val="0"/>
              <w:bidi w:val="0"/>
              <w:spacing w:line="280" w:lineRule="exact"/>
              <w:jc w:val="center"/>
              <w:outlineLvl w:val="9"/>
              <w:rPr>
                <w:rFonts w:hint="eastAsia" w:eastAsia="仿宋_GB2312"/>
                <w:kern w:val="0"/>
                <w:sz w:val="21"/>
                <w:szCs w:val="21"/>
              </w:rPr>
            </w:pPr>
            <w:r>
              <w:rPr>
                <w:rFonts w:hint="eastAsia" w:eastAsia="仿宋_GB2312"/>
                <w:kern w:val="0"/>
                <w:sz w:val="21"/>
                <w:szCs w:val="21"/>
              </w:rPr>
              <w:t>竞赛</w:t>
            </w:r>
          </w:p>
        </w:tc>
        <w:tc>
          <w:tcPr>
            <w:tcW w:w="913" w:type="dxa"/>
            <w:tcBorders>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280" w:lineRule="exact"/>
              <w:outlineLvl w:val="9"/>
              <w:rPr>
                <w:rFonts w:eastAsia="仿宋_GB2312"/>
                <w:kern w:val="0"/>
                <w:sz w:val="21"/>
                <w:szCs w:val="21"/>
              </w:rPr>
            </w:pPr>
            <w:r>
              <w:rPr>
                <w:rFonts w:hint="eastAsia" w:eastAsia="仿宋_GB2312"/>
                <w:kern w:val="0"/>
                <w:sz w:val="21"/>
                <w:szCs w:val="21"/>
              </w:rPr>
              <w:t>专业/通用技能竞赛</w:t>
            </w:r>
          </w:p>
        </w:tc>
        <w:tc>
          <w:tcPr>
            <w:tcW w:w="6801"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40"/>
              <w:jc w:val="center"/>
              <w:outlineLvl w:val="9"/>
              <w:rPr>
                <w:rFonts w:hint="eastAsia" w:eastAsia="仿宋_GB2312"/>
                <w:kern w:val="0"/>
                <w:sz w:val="21"/>
                <w:szCs w:val="21"/>
              </w:rPr>
            </w:pPr>
            <w:r>
              <w:rPr>
                <w:rFonts w:hint="eastAsia" w:eastAsia="仿宋_GB2312"/>
                <w:kern w:val="0"/>
                <w:sz w:val="21"/>
                <w:szCs w:val="21"/>
              </w:rPr>
              <w:t>按照学校《学生技能竞赛管理办法》执行。</w:t>
            </w:r>
          </w:p>
        </w:tc>
        <w:tc>
          <w:tcPr>
            <w:tcW w:w="735"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outlineLvl w:val="9"/>
              <w:rPr>
                <w:rFonts w:eastAsia="仿宋_GB2312"/>
                <w:kern w:val="0"/>
                <w:sz w:val="21"/>
                <w:szCs w:val="21"/>
              </w:rPr>
            </w:pPr>
            <w:r>
              <w:rPr>
                <w:rFonts w:hint="eastAsia" w:hAnsi="仿宋_GB2312" w:eastAsia="仿宋_GB2312" w:cs="仿宋_GB2312"/>
                <w:kern w:val="0"/>
                <w:sz w:val="21"/>
                <w:szCs w:val="21"/>
              </w:rPr>
              <w:t>教务与实训管理处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644" w:hRule="atLeast"/>
          <w:jc w:val="center"/>
        </w:trPr>
        <w:tc>
          <w:tcPr>
            <w:tcW w:w="787" w:type="dxa"/>
            <w:vMerge w:val="restart"/>
            <w:tcBorders>
              <w:left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hint="eastAsia" w:eastAsia="仿宋_GB2312" w:cs="仿宋_GB2312"/>
                <w:kern w:val="0"/>
                <w:sz w:val="21"/>
                <w:szCs w:val="21"/>
              </w:rPr>
            </w:pPr>
            <w:r>
              <w:rPr>
                <w:rFonts w:hint="eastAsia" w:eastAsia="仿宋_GB2312" w:cs="仿宋_GB2312"/>
                <w:kern w:val="0"/>
                <w:sz w:val="21"/>
                <w:szCs w:val="21"/>
              </w:rPr>
              <w:t>创新创业竞赛或项目</w:t>
            </w:r>
          </w:p>
          <w:p>
            <w:pPr>
              <w:pageBreakBefore w:val="0"/>
              <w:kinsoku/>
              <w:overflowPunct/>
              <w:topLinePunct w:val="0"/>
              <w:bidi w:val="0"/>
              <w:spacing w:line="280" w:lineRule="exact"/>
              <w:ind w:firstLine="480"/>
              <w:jc w:val="center"/>
              <w:outlineLvl w:val="9"/>
              <w:rPr>
                <w:rFonts w:hint="eastAsia" w:eastAsia="仿宋_GB2312" w:cs="仿宋_GB2312"/>
                <w:kern w:val="0"/>
                <w:sz w:val="21"/>
                <w:szCs w:val="21"/>
              </w:rPr>
            </w:pPr>
          </w:p>
        </w:tc>
        <w:tc>
          <w:tcPr>
            <w:tcW w:w="913" w:type="dxa"/>
            <w:vMerge w:val="restart"/>
            <w:tcBorders>
              <w:left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hint="eastAsia" w:eastAsia="仿宋_GB2312" w:cs="仿宋_GB2312"/>
                <w:kern w:val="0"/>
                <w:sz w:val="21"/>
                <w:szCs w:val="21"/>
              </w:rPr>
            </w:pPr>
            <w:r>
              <w:rPr>
                <w:rFonts w:hint="eastAsia" w:eastAsia="仿宋_GB2312" w:cs="仿宋_GB2312"/>
                <w:kern w:val="0"/>
                <w:sz w:val="21"/>
                <w:szCs w:val="21"/>
              </w:rPr>
              <w:t>创新/创业大赛</w:t>
            </w:r>
          </w:p>
          <w:p>
            <w:pPr>
              <w:pageBreakBefore w:val="0"/>
              <w:kinsoku/>
              <w:overflowPunct/>
              <w:topLinePunct w:val="0"/>
              <w:bidi w:val="0"/>
              <w:spacing w:line="280" w:lineRule="exact"/>
              <w:jc w:val="left"/>
              <w:outlineLvl w:val="9"/>
              <w:rPr>
                <w:rFonts w:eastAsia="仿宋_GB2312" w:cs="仿宋_GB2312"/>
                <w:kern w:val="0"/>
                <w:sz w:val="21"/>
                <w:szCs w:val="21"/>
              </w:rPr>
            </w:pPr>
            <w:r>
              <w:rPr>
                <w:rFonts w:hint="eastAsia" w:eastAsia="仿宋_GB2312" w:cs="仿宋_GB2312"/>
                <w:kern w:val="0"/>
                <w:sz w:val="21"/>
                <w:szCs w:val="21"/>
              </w:rPr>
              <w:t>（含学校大学生创新与创造项目）</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105" w:firstLineChars="50"/>
              <w:outlineLvl w:val="9"/>
              <w:rPr>
                <w:rFonts w:eastAsia="仿宋_GB2312"/>
                <w:kern w:val="0"/>
                <w:sz w:val="21"/>
                <w:szCs w:val="21"/>
              </w:rPr>
            </w:pPr>
            <w:r>
              <w:rPr>
                <w:rFonts w:hint="eastAsia" w:eastAsia="仿宋_GB2312" w:cs="仿宋_GB2312"/>
                <w:kern w:val="0"/>
                <w:sz w:val="21"/>
                <w:szCs w:val="21"/>
              </w:rPr>
              <w:t>国家级</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4</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2</w:t>
            </w:r>
          </w:p>
        </w:tc>
        <w:tc>
          <w:tcPr>
            <w:tcW w:w="2341"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hint="eastAsia" w:eastAsia="仿宋_GB2312"/>
                <w:kern w:val="0"/>
                <w:sz w:val="21"/>
                <w:szCs w:val="21"/>
              </w:rPr>
            </w:pPr>
            <w:r>
              <w:rPr>
                <w:rFonts w:hint="eastAsia" w:eastAsia="仿宋_GB2312"/>
                <w:kern w:val="0"/>
                <w:sz w:val="21"/>
                <w:szCs w:val="21"/>
              </w:rPr>
              <w:t>1.只计8位主要成员（含主持人），需提供获奖证书或获奖文件等证明材料；</w:t>
            </w:r>
          </w:p>
          <w:p>
            <w:pPr>
              <w:pageBreakBefore w:val="0"/>
              <w:kinsoku/>
              <w:overflowPunct/>
              <w:topLinePunct w:val="0"/>
              <w:bidi w:val="0"/>
              <w:spacing w:line="280" w:lineRule="exact"/>
              <w:jc w:val="left"/>
              <w:outlineLvl w:val="9"/>
              <w:rPr>
                <w:rFonts w:hint="eastAsia" w:eastAsia="仿宋_GB2312" w:cs="仿宋_GB2312"/>
                <w:kern w:val="0"/>
                <w:sz w:val="21"/>
                <w:szCs w:val="21"/>
              </w:rPr>
            </w:pPr>
            <w:r>
              <w:rPr>
                <w:rFonts w:hint="eastAsia" w:eastAsia="仿宋_GB2312"/>
                <w:kern w:val="0"/>
                <w:sz w:val="21"/>
                <w:szCs w:val="21"/>
              </w:rPr>
              <w:t>2.学校大学生创新与创造项目需提供结题文件</w:t>
            </w:r>
          </w:p>
        </w:tc>
        <w:tc>
          <w:tcPr>
            <w:tcW w:w="735"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604" w:hRule="atLeast"/>
          <w:jc w:val="center"/>
        </w:trPr>
        <w:tc>
          <w:tcPr>
            <w:tcW w:w="787"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c>
          <w:tcPr>
            <w:tcW w:w="913"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outlineLvl w:val="9"/>
              <w:rPr>
                <w:rFonts w:hint="eastAsia" w:eastAsia="仿宋_GB2312" w:cs="仿宋_GB2312"/>
                <w:kern w:val="0"/>
                <w:sz w:val="21"/>
                <w:szCs w:val="21"/>
              </w:rPr>
            </w:pPr>
            <w:r>
              <w:rPr>
                <w:rFonts w:hint="eastAsia" w:eastAsia="仿宋_GB2312" w:cs="仿宋_GB2312"/>
                <w:kern w:val="0"/>
                <w:sz w:val="21"/>
                <w:szCs w:val="21"/>
              </w:rPr>
              <w:t>省级</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cs="仿宋_GB2312"/>
                <w:kern w:val="0"/>
                <w:sz w:val="21"/>
                <w:szCs w:val="21"/>
              </w:rPr>
            </w:pPr>
            <w:r>
              <w:rPr>
                <w:rFonts w:hint="eastAsia" w:eastAsia="仿宋_GB2312"/>
                <w:kern w:val="0"/>
                <w:sz w:val="21"/>
                <w:szCs w:val="21"/>
              </w:rPr>
              <w:t>3</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kern w:val="0"/>
                <w:sz w:val="21"/>
                <w:szCs w:val="21"/>
              </w:rPr>
            </w:pPr>
            <w:r>
              <w:rPr>
                <w:rFonts w:hint="eastAsia" w:eastAsia="仿宋_GB2312"/>
                <w:kern w:val="0"/>
                <w:sz w:val="21"/>
                <w:szCs w:val="21"/>
              </w:rPr>
              <w:t>1.5</w:t>
            </w:r>
          </w:p>
        </w:tc>
        <w:tc>
          <w:tcPr>
            <w:tcW w:w="2341"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40"/>
              <w:jc w:val="left"/>
              <w:outlineLvl w:val="9"/>
              <w:rPr>
                <w:rFonts w:hint="eastAsia" w:eastAsia="仿宋_GB2312" w:cs="仿宋_GB2312"/>
                <w:kern w:val="0"/>
                <w:sz w:val="21"/>
                <w:szCs w:val="21"/>
              </w:rPr>
            </w:pPr>
          </w:p>
        </w:tc>
        <w:tc>
          <w:tcPr>
            <w:tcW w:w="735"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605" w:hRule="atLeast"/>
          <w:jc w:val="center"/>
        </w:trPr>
        <w:tc>
          <w:tcPr>
            <w:tcW w:w="787"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c>
          <w:tcPr>
            <w:tcW w:w="913"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outlineLvl w:val="9"/>
              <w:rPr>
                <w:rFonts w:hint="eastAsia" w:eastAsia="仿宋_GB2312" w:cs="仿宋_GB2312"/>
                <w:kern w:val="0"/>
                <w:sz w:val="21"/>
                <w:szCs w:val="21"/>
              </w:rPr>
            </w:pPr>
            <w:r>
              <w:rPr>
                <w:rFonts w:hint="eastAsia" w:eastAsia="仿宋_GB2312" w:cs="仿宋_GB2312"/>
                <w:kern w:val="0"/>
                <w:sz w:val="21"/>
                <w:szCs w:val="21"/>
              </w:rPr>
              <w:t>校级</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cs="仿宋_GB2312"/>
                <w:kern w:val="0"/>
                <w:sz w:val="21"/>
                <w:szCs w:val="21"/>
              </w:rPr>
            </w:pPr>
            <w:r>
              <w:rPr>
                <w:rFonts w:hint="eastAsia" w:eastAsia="仿宋_GB2312"/>
                <w:kern w:val="0"/>
                <w:sz w:val="21"/>
                <w:szCs w:val="21"/>
              </w:rPr>
              <w:t>2</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kern w:val="0"/>
                <w:sz w:val="21"/>
                <w:szCs w:val="21"/>
              </w:rPr>
            </w:pPr>
            <w:r>
              <w:rPr>
                <w:rFonts w:hint="eastAsia" w:eastAsia="仿宋_GB2312"/>
                <w:kern w:val="0"/>
                <w:sz w:val="21"/>
                <w:szCs w:val="21"/>
              </w:rPr>
              <w:t>1</w:t>
            </w:r>
          </w:p>
        </w:tc>
        <w:tc>
          <w:tcPr>
            <w:tcW w:w="2341"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40"/>
              <w:jc w:val="left"/>
              <w:outlineLvl w:val="9"/>
              <w:rPr>
                <w:rFonts w:hint="eastAsia" w:eastAsia="仿宋_GB2312" w:cs="仿宋_GB2312"/>
                <w:kern w:val="0"/>
                <w:sz w:val="21"/>
                <w:szCs w:val="21"/>
              </w:rPr>
            </w:pPr>
          </w:p>
        </w:tc>
        <w:tc>
          <w:tcPr>
            <w:tcW w:w="735"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46" w:hRule="atLeast"/>
          <w:jc w:val="center"/>
        </w:trPr>
        <w:tc>
          <w:tcPr>
            <w:tcW w:w="787" w:type="dxa"/>
            <w:tcBorders>
              <w:left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hint="eastAsia" w:eastAsia="仿宋_GB2312" w:cs="仿宋_GB2312"/>
                <w:kern w:val="0"/>
                <w:sz w:val="21"/>
                <w:szCs w:val="21"/>
              </w:rPr>
            </w:pPr>
            <w:r>
              <w:rPr>
                <w:rFonts w:hint="eastAsia" w:eastAsia="仿宋_GB2312" w:cs="仿宋_GB2312"/>
                <w:kern w:val="0"/>
                <w:sz w:val="21"/>
                <w:szCs w:val="21"/>
              </w:rPr>
              <w:t>创业</w:t>
            </w:r>
          </w:p>
          <w:p>
            <w:pPr>
              <w:pageBreakBefore w:val="0"/>
              <w:kinsoku/>
              <w:overflowPunct/>
              <w:topLinePunct w:val="0"/>
              <w:bidi w:val="0"/>
              <w:spacing w:line="280" w:lineRule="exact"/>
              <w:jc w:val="center"/>
              <w:outlineLvl w:val="9"/>
              <w:rPr>
                <w:rFonts w:hint="eastAsia" w:eastAsia="仿宋_GB2312" w:cs="仿宋_GB2312"/>
                <w:kern w:val="0"/>
                <w:sz w:val="21"/>
                <w:szCs w:val="21"/>
              </w:rPr>
            </w:pPr>
            <w:r>
              <w:rPr>
                <w:rFonts w:hint="eastAsia" w:eastAsia="仿宋_GB2312" w:cs="仿宋_GB2312"/>
                <w:kern w:val="0"/>
                <w:sz w:val="21"/>
                <w:szCs w:val="21"/>
              </w:rPr>
              <w:t>培训</w:t>
            </w:r>
          </w:p>
        </w:tc>
        <w:tc>
          <w:tcPr>
            <w:tcW w:w="913" w:type="dxa"/>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cs="仿宋_GB2312"/>
                <w:kern w:val="0"/>
                <w:sz w:val="21"/>
                <w:szCs w:val="21"/>
              </w:rPr>
              <w:t>各类创业培训项目</w:t>
            </w:r>
          </w:p>
        </w:tc>
        <w:tc>
          <w:tcPr>
            <w:tcW w:w="2475" w:type="dxa"/>
            <w:gridSpan w:val="2"/>
            <w:tcBorders>
              <w:top w:val="single" w:color="auto" w:sz="4" w:space="0"/>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cs="仿宋_GB2312"/>
                <w:kern w:val="0"/>
                <w:sz w:val="21"/>
                <w:szCs w:val="21"/>
              </w:rPr>
              <w:t>按每3项/</w:t>
            </w:r>
            <w:r>
              <w:rPr>
                <w:rFonts w:eastAsia="仿宋_GB2312"/>
                <w:kern w:val="0"/>
                <w:sz w:val="21"/>
                <w:szCs w:val="21"/>
              </w:rPr>
              <w:t>1</w:t>
            </w:r>
            <w:r>
              <w:rPr>
                <w:rFonts w:hint="eastAsia" w:eastAsia="仿宋_GB2312" w:cs="仿宋_GB2312"/>
                <w:kern w:val="0"/>
                <w:sz w:val="21"/>
                <w:szCs w:val="21"/>
              </w:rPr>
              <w:t>分计算</w:t>
            </w:r>
          </w:p>
        </w:tc>
        <w:tc>
          <w:tcPr>
            <w:tcW w:w="2341" w:type="dxa"/>
            <w:tcBorders>
              <w:left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hint="eastAsia" w:eastAsia="仿宋_GB2312"/>
                <w:kern w:val="0"/>
                <w:sz w:val="21"/>
                <w:szCs w:val="21"/>
              </w:rPr>
            </w:pPr>
            <w:r>
              <w:rPr>
                <w:rFonts w:hint="eastAsia" w:eastAsia="仿宋_GB2312"/>
                <w:kern w:val="0"/>
                <w:sz w:val="21"/>
                <w:szCs w:val="21"/>
              </w:rPr>
              <w:t>需</w:t>
            </w:r>
            <w:r>
              <w:rPr>
                <w:rFonts w:hint="eastAsia" w:eastAsia="仿宋_GB2312" w:cs="仿宋_GB2312"/>
                <w:kern w:val="0"/>
                <w:sz w:val="21"/>
                <w:szCs w:val="21"/>
              </w:rPr>
              <w:t>提交结业证书等证明材料</w:t>
            </w:r>
          </w:p>
        </w:tc>
        <w:tc>
          <w:tcPr>
            <w:tcW w:w="735" w:type="dxa"/>
            <w:vMerge w:val="restart"/>
            <w:tcBorders>
              <w:left w:val="single" w:color="auto" w:sz="4" w:space="0"/>
              <w:right w:val="single" w:color="auto" w:sz="4" w:space="0"/>
            </w:tcBorders>
            <w:noWrap w:val="0"/>
            <w:vAlign w:val="center"/>
          </w:tcPr>
          <w:p>
            <w:pPr>
              <w:pageBreakBefore w:val="0"/>
              <w:kinsoku/>
              <w:overflowPunct/>
              <w:topLinePunct w:val="0"/>
              <w:bidi w:val="0"/>
              <w:spacing w:line="280" w:lineRule="exact"/>
              <w:outlineLvl w:val="9"/>
              <w:rPr>
                <w:rFonts w:eastAsia="仿宋_GB2312"/>
                <w:kern w:val="0"/>
                <w:sz w:val="21"/>
                <w:szCs w:val="21"/>
              </w:rPr>
            </w:pPr>
            <w:r>
              <w:rPr>
                <w:rFonts w:hint="eastAsia" w:hAnsi="仿宋_GB2312" w:eastAsia="仿宋_GB2312" w:cs="仿宋_GB2312"/>
                <w:kern w:val="0"/>
                <w:sz w:val="21"/>
                <w:szCs w:val="21"/>
              </w:rPr>
              <w:t>团委、就业处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605" w:hRule="atLeast"/>
          <w:jc w:val="center"/>
        </w:trPr>
        <w:tc>
          <w:tcPr>
            <w:tcW w:w="787" w:type="dxa"/>
            <w:vMerge w:val="restart"/>
            <w:tcBorders>
              <w:left w:val="single" w:color="auto" w:sz="4" w:space="0"/>
              <w:right w:val="single" w:color="auto" w:sz="4" w:space="0"/>
            </w:tcBorders>
            <w:noWrap w:val="0"/>
            <w:vAlign w:val="center"/>
          </w:tcPr>
          <w:p>
            <w:pPr>
              <w:pageBreakBefore w:val="0"/>
              <w:kinsoku/>
              <w:overflowPunct/>
              <w:topLinePunct w:val="0"/>
              <w:bidi w:val="0"/>
              <w:spacing w:line="280" w:lineRule="exact"/>
              <w:jc w:val="center"/>
              <w:outlineLvl w:val="9"/>
              <w:rPr>
                <w:rFonts w:hint="eastAsia" w:eastAsia="仿宋_GB2312" w:cs="仿宋_GB2312"/>
                <w:kern w:val="0"/>
                <w:sz w:val="21"/>
                <w:szCs w:val="21"/>
              </w:rPr>
            </w:pPr>
            <w:r>
              <w:rPr>
                <w:rFonts w:hint="eastAsia" w:eastAsia="仿宋_GB2312" w:cs="仿宋_GB2312"/>
                <w:kern w:val="0"/>
                <w:sz w:val="21"/>
                <w:szCs w:val="21"/>
              </w:rPr>
              <w:t>创业</w:t>
            </w:r>
          </w:p>
          <w:p>
            <w:pPr>
              <w:pageBreakBefore w:val="0"/>
              <w:kinsoku/>
              <w:overflowPunct/>
              <w:topLinePunct w:val="0"/>
              <w:bidi w:val="0"/>
              <w:spacing w:line="280" w:lineRule="exact"/>
              <w:jc w:val="center"/>
              <w:outlineLvl w:val="9"/>
              <w:rPr>
                <w:rFonts w:hint="eastAsia" w:eastAsia="仿宋_GB2312" w:cs="仿宋_GB2312"/>
                <w:kern w:val="0"/>
                <w:sz w:val="21"/>
                <w:szCs w:val="21"/>
              </w:rPr>
            </w:pPr>
            <w:r>
              <w:rPr>
                <w:rFonts w:hint="eastAsia" w:eastAsia="仿宋_GB2312" w:cs="仿宋_GB2312"/>
                <w:kern w:val="0"/>
                <w:sz w:val="21"/>
                <w:szCs w:val="21"/>
              </w:rPr>
              <w:t>实践</w:t>
            </w:r>
          </w:p>
        </w:tc>
        <w:tc>
          <w:tcPr>
            <w:tcW w:w="913" w:type="dxa"/>
            <w:vMerge w:val="restart"/>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cs="仿宋_GB2312"/>
                <w:kern w:val="0"/>
                <w:sz w:val="21"/>
                <w:szCs w:val="21"/>
              </w:rPr>
              <w:t>创业基金项目</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cs="仿宋_GB2312"/>
                <w:kern w:val="0"/>
                <w:sz w:val="21"/>
                <w:szCs w:val="21"/>
              </w:rPr>
              <w:t>3</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1.5</w:t>
            </w:r>
          </w:p>
        </w:tc>
        <w:tc>
          <w:tcPr>
            <w:tcW w:w="2341" w:type="dxa"/>
            <w:tcBorders>
              <w:left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hint="eastAsia" w:eastAsia="仿宋_GB2312"/>
                <w:kern w:val="0"/>
                <w:sz w:val="21"/>
                <w:szCs w:val="21"/>
              </w:rPr>
            </w:pPr>
            <w:r>
              <w:rPr>
                <w:rFonts w:hint="eastAsia" w:eastAsia="仿宋_GB2312"/>
                <w:kern w:val="0"/>
                <w:sz w:val="21"/>
                <w:szCs w:val="21"/>
              </w:rPr>
              <w:t>需</w:t>
            </w:r>
            <w:r>
              <w:rPr>
                <w:rFonts w:hint="eastAsia" w:eastAsia="仿宋_GB2312" w:cs="仿宋_GB2312"/>
                <w:kern w:val="0"/>
                <w:sz w:val="21"/>
                <w:szCs w:val="21"/>
              </w:rPr>
              <w:t>提交进展报告、结项报告等证明材料</w:t>
            </w:r>
          </w:p>
        </w:tc>
        <w:tc>
          <w:tcPr>
            <w:tcW w:w="735"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605" w:hRule="atLeast"/>
          <w:jc w:val="center"/>
        </w:trPr>
        <w:tc>
          <w:tcPr>
            <w:tcW w:w="787"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hint="eastAsia" w:eastAsia="仿宋_GB2312" w:cs="仿宋_GB2312"/>
                <w:kern w:val="0"/>
                <w:sz w:val="21"/>
                <w:szCs w:val="21"/>
              </w:rPr>
            </w:pPr>
          </w:p>
        </w:tc>
        <w:tc>
          <w:tcPr>
            <w:tcW w:w="913"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cs="仿宋_GB2312"/>
                <w:kern w:val="0"/>
                <w:sz w:val="21"/>
                <w:szCs w:val="21"/>
              </w:rPr>
              <w:t>自主创业</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cs="仿宋_GB2312"/>
                <w:kern w:val="0"/>
                <w:sz w:val="21"/>
                <w:szCs w:val="21"/>
              </w:rPr>
              <w:t>3</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1.5</w:t>
            </w:r>
          </w:p>
        </w:tc>
        <w:tc>
          <w:tcPr>
            <w:tcW w:w="2341" w:type="dxa"/>
            <w:vMerge w:val="restart"/>
            <w:tcBorders>
              <w:left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hint="eastAsia" w:eastAsia="仿宋_GB2312"/>
                <w:kern w:val="0"/>
                <w:sz w:val="21"/>
                <w:szCs w:val="21"/>
              </w:rPr>
            </w:pPr>
            <w:r>
              <w:rPr>
                <w:rFonts w:hint="eastAsia" w:eastAsia="仿宋_GB2312"/>
                <w:kern w:val="0"/>
                <w:sz w:val="21"/>
                <w:szCs w:val="21"/>
              </w:rPr>
              <w:t>需</w:t>
            </w:r>
            <w:r>
              <w:rPr>
                <w:rFonts w:hint="eastAsia" w:eastAsia="仿宋_GB2312" w:cs="仿宋_GB2312"/>
                <w:kern w:val="0"/>
                <w:sz w:val="21"/>
                <w:szCs w:val="21"/>
              </w:rPr>
              <w:t>提供的</w:t>
            </w:r>
            <w:r>
              <w:rPr>
                <w:rFonts w:hint="eastAsia" w:ascii="仿宋_GB2312" w:eastAsia="仿宋_GB2312"/>
                <w:sz w:val="21"/>
                <w:szCs w:val="21"/>
              </w:rPr>
              <w:t>证明材料见“认定说明”</w:t>
            </w:r>
          </w:p>
        </w:tc>
        <w:tc>
          <w:tcPr>
            <w:tcW w:w="735"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89" w:hRule="atLeast"/>
          <w:jc w:val="center"/>
        </w:trPr>
        <w:tc>
          <w:tcPr>
            <w:tcW w:w="787"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913" w:type="dxa"/>
            <w:vMerge w:val="continue"/>
            <w:tcBorders>
              <w:left w:val="single" w:color="auto" w:sz="4" w:space="0"/>
              <w:right w:val="single" w:color="auto" w:sz="4" w:space="0"/>
            </w:tcBorders>
            <w:noWrap w:val="0"/>
            <w:vAlign w:val="center"/>
          </w:tcPr>
          <w:p>
            <w:pPr>
              <w:pageBreakBefore w:val="0"/>
              <w:widowControl/>
              <w:kinsoku/>
              <w:overflowPunct/>
              <w:topLinePunct w:val="0"/>
              <w:bidi w:val="0"/>
              <w:spacing w:line="280" w:lineRule="exact"/>
              <w:ind w:firstLine="480"/>
              <w:jc w:val="center"/>
              <w:outlineLvl w:val="9"/>
              <w:rPr>
                <w:rFonts w:eastAsia="仿宋_GB2312"/>
                <w:kern w:val="0"/>
                <w:sz w:val="21"/>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jc w:val="left"/>
              <w:outlineLvl w:val="9"/>
              <w:rPr>
                <w:rFonts w:eastAsia="仿宋_GB2312"/>
                <w:kern w:val="0"/>
                <w:sz w:val="21"/>
                <w:szCs w:val="21"/>
              </w:rPr>
            </w:pPr>
            <w:r>
              <w:rPr>
                <w:rFonts w:hint="eastAsia" w:eastAsia="仿宋_GB2312" w:cs="仿宋_GB2312"/>
                <w:kern w:val="0"/>
                <w:sz w:val="21"/>
                <w:szCs w:val="21"/>
              </w:rPr>
              <w:t>自主创业且获得创业基金支持</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cs="仿宋_GB2312"/>
                <w:kern w:val="0"/>
                <w:sz w:val="21"/>
                <w:szCs w:val="21"/>
              </w:rPr>
              <w:t>4</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r>
              <w:rPr>
                <w:rFonts w:hint="eastAsia" w:eastAsia="仿宋_GB2312"/>
                <w:kern w:val="0"/>
                <w:sz w:val="21"/>
                <w:szCs w:val="21"/>
              </w:rPr>
              <w:t>2</w:t>
            </w:r>
          </w:p>
        </w:tc>
        <w:tc>
          <w:tcPr>
            <w:tcW w:w="2341"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c>
          <w:tcPr>
            <w:tcW w:w="735" w:type="dxa"/>
            <w:vMerge w:val="continue"/>
            <w:tcBorders>
              <w:left w:val="single" w:color="auto" w:sz="4" w:space="0"/>
              <w:right w:val="single" w:color="auto" w:sz="4" w:space="0"/>
            </w:tcBorders>
            <w:noWrap w:val="0"/>
            <w:vAlign w:val="center"/>
          </w:tcPr>
          <w:p>
            <w:pPr>
              <w:pageBreakBefore w:val="0"/>
              <w:kinsoku/>
              <w:overflowPunct/>
              <w:topLinePunct w:val="0"/>
              <w:bidi w:val="0"/>
              <w:spacing w:line="280" w:lineRule="exact"/>
              <w:ind w:firstLine="480"/>
              <w:jc w:val="center"/>
              <w:outlineLvl w:val="9"/>
              <w:rPr>
                <w:rFonts w:eastAsia="仿宋_GB2312"/>
                <w:kern w:val="0"/>
                <w:sz w:val="21"/>
                <w:szCs w:val="21"/>
              </w:rPr>
            </w:pPr>
          </w:p>
        </w:tc>
      </w:tr>
    </w:tbl>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b/>
          <w:kern w:val="0"/>
          <w:szCs w:val="28"/>
          <w:lang w:bidi="ar"/>
        </w:rPr>
      </w:pPr>
      <w:r>
        <w:rPr>
          <w:rFonts w:hint="eastAsia" w:ascii="仿宋_GB2312" w:hAnsi="仿宋_GB2312" w:eastAsia="仿宋_GB2312" w:cs="仿宋_GB2312"/>
          <w:b/>
          <w:kern w:val="0"/>
          <w:szCs w:val="28"/>
          <w:lang w:bidi="ar"/>
        </w:rPr>
        <w:t>认定说明：</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1.创新创业活动的奖励学分可申请记为公共选修、专业选修、公共必修或专业必修四种类别的学分。若申请记为公共必修或专业必修学分的，学生需在申请时填写拟置换学分的必修课程（该课程内容应与学生参与的创新创业活动内容相关），经二级学院、相关责任部门及教务与实训管理处审核认定。审核通过的，课程成绩按90分记录。每名学生在籍期间，奖励学分累计不得超过5学分。</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2.论文、专利等成果的第一署名单位均需为柳州职业技术学院，核心期刊以论文发表年份对应的北京大学图书馆“中文核心期刊”名录为依据。</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3.技能竞赛学分奖励按照学校《学生技能竞赛管理办法》中相关条款执行。</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4.学生参加同一竞赛、同一成果在一次赛事（含不同分段赛）中获得多个奖项，以最高奖项认定创新学分。个人或团队参赛均获得奖励学分（获奖团队中的每个参赛选手均可获得同样的奖励学分）。</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5.同一项目或成果参加多种竞赛获奖，以最高级奖励计算学分。</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6.国际比赛获奖一般情况下等同国家级一等奖。</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7.学生参与教师科研项目认定要求：学生每学期参与科研项目的工作量应不少于40小时，由教师（项目负责人）对学生的科研工作进行鉴定，并出具经教学部门确认的学生参与科研的证明；学生应提供不少于3000字的研究报告。</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8.专利类成果只得到申请号的，学分按一半折算。</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9.学生主持或参与各类科研、创新创业项目均需完成项目，并通过验收。</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10.自主创业认定要求：在校大学生创办企业或从事个体工商经营，完成工商注册，担任该企业的法定代表人或非法人股东，且大学生创业团队核心成员出资总额不低于注册资本的30%，可认定为自主创业。认定材料包括：</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（1）《企业法人营业执照（副本）》复印件（需加盖公司公章）；</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（2）《公司股东（发起人）名录》复印件（需加盖工商部门公章）。</w:t>
      </w:r>
    </w:p>
    <w:p>
      <w:pPr>
        <w:pageBreakBefore w:val="0"/>
        <w:kinsoku/>
        <w:overflowPunct/>
        <w:topLinePunct w:val="0"/>
        <w:bidi w:val="0"/>
        <w:spacing w:line="550" w:lineRule="exact"/>
        <w:ind w:firstLine="420" w:firstLineChars="200"/>
        <w:outlineLvl w:val="9"/>
        <w:rPr>
          <w:rFonts w:hint="eastAsia" w:ascii="仿宋_GB2312" w:hAnsi="仿宋_GB2312" w:eastAsia="仿宋_GB2312" w:cs="仿宋_GB2312"/>
          <w:kern w:val="0"/>
          <w:szCs w:val="28"/>
          <w:lang w:bidi="ar"/>
        </w:rPr>
      </w:pPr>
      <w:r>
        <w:rPr>
          <w:rFonts w:hint="eastAsia" w:ascii="仿宋_GB2312" w:hAnsi="仿宋_GB2312" w:eastAsia="仿宋_GB2312" w:cs="仿宋_GB2312"/>
          <w:kern w:val="0"/>
          <w:szCs w:val="28"/>
          <w:lang w:bidi="ar"/>
        </w:rPr>
        <w:t>11.创业培训指由上级主管部门、学校、教学部门统一组织，根据创新创业教育工作需要举办的创业指导培训类项目。</w:t>
      </w:r>
    </w:p>
    <w:p>
      <w:pPr>
        <w:pageBreakBefore w:val="0"/>
        <w:kinsoku/>
        <w:overflowPunct/>
        <w:topLinePunct w:val="0"/>
        <w:bidi w:val="0"/>
        <w:outlineLvl w:val="9"/>
        <w:rPr>
          <w:rFonts w:hint="eastAsia" w:ascii="黑体" w:eastAsia="黑体"/>
          <w:sz w:val="32"/>
          <w:szCs w:val="32"/>
        </w:rPr>
      </w:pPr>
      <w:r>
        <w:rPr>
          <w:rFonts w:ascii="宋体" w:hAnsi="宋体" w:cs="仿宋"/>
          <w:kern w:val="0"/>
          <w:sz w:val="24"/>
        </w:rPr>
        <w:br w:type="page"/>
      </w:r>
      <w:r>
        <w:rPr>
          <w:rFonts w:hint="eastAsia" w:ascii="黑体" w:eastAsia="黑体"/>
          <w:sz w:val="32"/>
          <w:szCs w:val="32"/>
        </w:rPr>
        <w:t xml:space="preserve">附件3： </w:t>
      </w:r>
    </w:p>
    <w:p>
      <w:pPr>
        <w:pageBreakBefore w:val="0"/>
        <w:kinsoku/>
        <w:overflowPunct/>
        <w:topLinePunct w:val="0"/>
        <w:bidi w:val="0"/>
        <w:spacing w:line="590" w:lineRule="exact"/>
        <w:jc w:val="center"/>
        <w:outlineLvl w:val="9"/>
        <w:rPr>
          <w:rFonts w:hint="eastAsia"/>
          <w:b/>
          <w:color w:val="000000"/>
          <w:sz w:val="36"/>
          <w:szCs w:val="36"/>
        </w:rPr>
      </w:pPr>
      <w:bookmarkStart w:id="435" w:name="_Toc28577_WPSOffice_Level1"/>
      <w:r>
        <w:rPr>
          <w:rFonts w:hint="eastAsia"/>
          <w:b/>
          <w:color w:val="000000"/>
          <w:sz w:val="36"/>
          <w:szCs w:val="36"/>
        </w:rPr>
        <w:t>柳州职业技术学院创新创业活动学分奖励申请表</w:t>
      </w:r>
      <w:bookmarkEnd w:id="435"/>
    </w:p>
    <w:p>
      <w:pPr>
        <w:pageBreakBefore w:val="0"/>
        <w:kinsoku/>
        <w:overflowPunct/>
        <w:topLinePunct w:val="0"/>
        <w:bidi w:val="0"/>
        <w:ind w:firstLine="560"/>
        <w:jc w:val="center"/>
        <w:outlineLvl w:val="9"/>
        <w:rPr>
          <w:rFonts w:hint="eastAsia" w:ascii="仿宋_GB2312" w:hAnsi="宋体" w:eastAsia="仿宋_GB2312" w:cs="宋体"/>
          <w:kern w:val="0"/>
          <w:szCs w:val="28"/>
        </w:rPr>
      </w:pPr>
      <w:r>
        <w:rPr>
          <w:rFonts w:hint="eastAsia" w:ascii="仿宋_GB2312" w:hAnsi="宋体" w:eastAsia="仿宋_GB2312" w:cs="宋体"/>
          <w:kern w:val="0"/>
          <w:szCs w:val="28"/>
        </w:rPr>
        <w:t>（20</w:t>
      </w:r>
      <w:r>
        <w:rPr>
          <w:rFonts w:hint="eastAsia" w:ascii="仿宋_GB2312" w:hAnsi="宋体" w:eastAsia="仿宋_GB2312" w:cs="宋体"/>
          <w:kern w:val="0"/>
          <w:szCs w:val="28"/>
          <w:u w:val="single"/>
        </w:rPr>
        <w:t xml:space="preserve">    </w:t>
      </w:r>
      <w:r>
        <w:rPr>
          <w:rFonts w:hint="eastAsia" w:ascii="仿宋_GB2312" w:hAnsi="宋体" w:eastAsia="仿宋_GB2312" w:cs="宋体"/>
          <w:kern w:val="0"/>
          <w:szCs w:val="28"/>
        </w:rPr>
        <w:t>- 20</w:t>
      </w:r>
      <w:r>
        <w:rPr>
          <w:rFonts w:hint="eastAsia" w:ascii="仿宋_GB2312" w:hAnsi="宋体" w:eastAsia="仿宋_GB2312" w:cs="宋体"/>
          <w:kern w:val="0"/>
          <w:szCs w:val="28"/>
          <w:u w:val="single"/>
        </w:rPr>
        <w:t xml:space="preserve">    </w:t>
      </w:r>
      <w:r>
        <w:rPr>
          <w:rFonts w:hint="eastAsia" w:ascii="仿宋_GB2312" w:hAnsi="宋体" w:eastAsia="仿宋_GB2312" w:cs="宋体"/>
          <w:kern w:val="0"/>
          <w:szCs w:val="28"/>
        </w:rPr>
        <w:t xml:space="preserve"> 学年 </w:t>
      </w:r>
      <w:r>
        <w:rPr>
          <w:rFonts w:hint="eastAsia" w:ascii="仿宋_GB2312" w:hAnsi="宋体" w:eastAsia="仿宋_GB2312" w:cs="宋体"/>
          <w:kern w:val="0"/>
          <w:szCs w:val="28"/>
          <w:u w:val="single"/>
        </w:rPr>
        <w:t xml:space="preserve">   </w:t>
      </w:r>
      <w:r>
        <w:rPr>
          <w:rFonts w:hint="eastAsia" w:ascii="仿宋_GB2312" w:hAnsi="宋体" w:eastAsia="仿宋_GB2312" w:cs="宋体"/>
          <w:kern w:val="0"/>
          <w:szCs w:val="28"/>
        </w:rPr>
        <w:t xml:space="preserve"> 学期）</w:t>
      </w:r>
    </w:p>
    <w:p>
      <w:pPr>
        <w:pageBreakBefore w:val="0"/>
        <w:kinsoku/>
        <w:overflowPunct/>
        <w:topLinePunct w:val="0"/>
        <w:bidi w:val="0"/>
        <w:jc w:val="left"/>
        <w:outlineLvl w:val="9"/>
        <w:rPr>
          <w:rFonts w:hint="eastAsia" w:ascii="仿宋_GB2312" w:hAnsi="宋体" w:eastAsia="仿宋_GB2312" w:cs="仿宋"/>
          <w:b/>
          <w:kern w:val="0"/>
          <w:sz w:val="32"/>
          <w:szCs w:val="32"/>
          <w:u w:val="single"/>
        </w:rPr>
      </w:pPr>
      <w:r>
        <w:rPr>
          <w:rFonts w:hint="eastAsia" w:ascii="仿宋_GB2312" w:hAnsi="宋体" w:eastAsia="仿宋_GB2312" w:cs="宋体"/>
          <w:b/>
          <w:kern w:val="0"/>
          <w:szCs w:val="28"/>
        </w:rPr>
        <w:t>认定部门：</w:t>
      </w:r>
      <w:r>
        <w:rPr>
          <w:rFonts w:hint="eastAsia" w:ascii="仿宋_GB2312" w:hAnsi="宋体" w:eastAsia="仿宋_GB2312" w:cs="宋体"/>
          <w:b/>
          <w:kern w:val="0"/>
          <w:szCs w:val="28"/>
          <w:u w:val="single"/>
        </w:rPr>
        <w:t xml:space="preserve">                    </w:t>
      </w:r>
    </w:p>
    <w:tbl>
      <w:tblPr>
        <w:tblStyle w:val="14"/>
        <w:tblW w:w="96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1"/>
        <w:gridCol w:w="13"/>
        <w:gridCol w:w="408"/>
        <w:gridCol w:w="1289"/>
        <w:gridCol w:w="1030"/>
        <w:gridCol w:w="6"/>
        <w:gridCol w:w="827"/>
        <w:gridCol w:w="517"/>
        <w:gridCol w:w="509"/>
        <w:gridCol w:w="625"/>
        <w:gridCol w:w="40"/>
        <w:gridCol w:w="1926"/>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4" w:type="dxa"/>
            <w:gridSpan w:val="2"/>
            <w:tcBorders>
              <w:top w:val="single" w:color="000000" w:sz="2" w:space="0"/>
              <w:left w:val="single" w:color="000000" w:sz="2" w:space="0"/>
              <w:bottom w:val="single" w:color="000000" w:sz="2"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cs="仿宋"/>
                <w:b/>
                <w:sz w:val="24"/>
              </w:rPr>
              <w:t>姓名</w:t>
            </w:r>
          </w:p>
        </w:tc>
        <w:tc>
          <w:tcPr>
            <w:tcW w:w="1697" w:type="dxa"/>
            <w:gridSpan w:val="2"/>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ind w:firstLine="482"/>
              <w:jc w:val="center"/>
              <w:outlineLvl w:val="9"/>
              <w:rPr>
                <w:rFonts w:hint="eastAsia" w:ascii="仿宋_GB2312" w:eastAsia="仿宋_GB2312"/>
                <w:b/>
                <w:sz w:val="24"/>
              </w:rPr>
            </w:pPr>
          </w:p>
        </w:tc>
        <w:tc>
          <w:tcPr>
            <w:tcW w:w="1036" w:type="dxa"/>
            <w:gridSpan w:val="2"/>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cs="仿宋"/>
                <w:b/>
                <w:sz w:val="24"/>
              </w:rPr>
              <w:t>学号</w:t>
            </w:r>
          </w:p>
        </w:tc>
        <w:tc>
          <w:tcPr>
            <w:tcW w:w="1344" w:type="dxa"/>
            <w:gridSpan w:val="2"/>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ind w:firstLine="482"/>
              <w:jc w:val="center"/>
              <w:outlineLvl w:val="9"/>
              <w:rPr>
                <w:rFonts w:hint="eastAsia" w:ascii="仿宋_GB2312" w:eastAsia="仿宋_GB2312"/>
                <w:b/>
                <w:sz w:val="24"/>
              </w:rPr>
            </w:pPr>
          </w:p>
        </w:tc>
        <w:tc>
          <w:tcPr>
            <w:tcW w:w="1134" w:type="dxa"/>
            <w:gridSpan w:val="2"/>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cs="仿宋"/>
                <w:b/>
                <w:sz w:val="24"/>
              </w:rPr>
              <w:t>班级</w:t>
            </w:r>
          </w:p>
        </w:tc>
        <w:tc>
          <w:tcPr>
            <w:tcW w:w="3454" w:type="dxa"/>
            <w:gridSpan w:val="3"/>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24" w:type="dxa"/>
            <w:gridSpan w:val="2"/>
            <w:tcBorders>
              <w:top w:val="single" w:color="000000" w:sz="2" w:space="0"/>
              <w:left w:val="single" w:color="000000" w:sz="2" w:space="0"/>
              <w:bottom w:val="single" w:color="000000" w:sz="2"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b/>
                <w:sz w:val="24"/>
              </w:rPr>
              <w:t>所属学院</w:t>
            </w:r>
          </w:p>
        </w:tc>
        <w:tc>
          <w:tcPr>
            <w:tcW w:w="1697" w:type="dxa"/>
            <w:gridSpan w:val="2"/>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ind w:firstLine="482"/>
              <w:jc w:val="center"/>
              <w:outlineLvl w:val="9"/>
              <w:rPr>
                <w:rFonts w:hint="eastAsia" w:ascii="仿宋_GB2312" w:eastAsia="仿宋_GB2312"/>
                <w:b/>
                <w:sz w:val="24"/>
              </w:rPr>
            </w:pPr>
          </w:p>
        </w:tc>
        <w:tc>
          <w:tcPr>
            <w:tcW w:w="1036" w:type="dxa"/>
            <w:gridSpan w:val="2"/>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ind w:right="-107" w:rightChars="-51"/>
              <w:outlineLvl w:val="9"/>
              <w:rPr>
                <w:rFonts w:hint="eastAsia" w:ascii="仿宋_GB2312" w:eastAsia="仿宋_GB2312"/>
                <w:b/>
                <w:sz w:val="24"/>
              </w:rPr>
            </w:pPr>
            <w:r>
              <w:rPr>
                <w:rFonts w:hint="eastAsia" w:ascii="仿宋_GB2312" w:eastAsia="仿宋_GB2312" w:cs="仿宋"/>
                <w:b/>
                <w:sz w:val="24"/>
              </w:rPr>
              <w:t>联系电话</w:t>
            </w:r>
          </w:p>
        </w:tc>
        <w:tc>
          <w:tcPr>
            <w:tcW w:w="1344" w:type="dxa"/>
            <w:gridSpan w:val="2"/>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ind w:firstLine="482"/>
              <w:jc w:val="center"/>
              <w:outlineLvl w:val="9"/>
              <w:rPr>
                <w:rFonts w:hint="eastAsia" w:ascii="仿宋_GB2312" w:eastAsia="仿宋_GB2312"/>
                <w:b/>
                <w:sz w:val="24"/>
              </w:rPr>
            </w:pPr>
          </w:p>
        </w:tc>
        <w:tc>
          <w:tcPr>
            <w:tcW w:w="1134" w:type="dxa"/>
            <w:gridSpan w:val="2"/>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cs="仿宋"/>
                <w:b/>
                <w:sz w:val="24"/>
              </w:rPr>
              <w:t>申报时间</w:t>
            </w:r>
          </w:p>
        </w:tc>
        <w:tc>
          <w:tcPr>
            <w:tcW w:w="3454" w:type="dxa"/>
            <w:gridSpan w:val="3"/>
            <w:tcBorders>
              <w:top w:val="single" w:color="000000" w:sz="2" w:space="0"/>
              <w:left w:val="single" w:color="auto" w:sz="4" w:space="0"/>
              <w:bottom w:val="single" w:color="000000" w:sz="2"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11" w:type="dxa"/>
            <w:vMerge w:val="restart"/>
            <w:tcBorders>
              <w:top w:val="single" w:color="auto" w:sz="4" w:space="0"/>
              <w:left w:val="single" w:color="000000" w:sz="2"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cs="仿宋"/>
                <w:b/>
                <w:sz w:val="24"/>
              </w:rPr>
              <w:t>学生参与活动信息</w:t>
            </w:r>
          </w:p>
        </w:tc>
        <w:tc>
          <w:tcPr>
            <w:tcW w:w="421"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b/>
                <w:sz w:val="24"/>
              </w:rPr>
              <w:t>序号</w:t>
            </w:r>
          </w:p>
        </w:tc>
        <w:tc>
          <w:tcPr>
            <w:tcW w:w="2319"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196" w:firstLineChars="82"/>
              <w:jc w:val="center"/>
              <w:outlineLvl w:val="9"/>
              <w:rPr>
                <w:rFonts w:hint="eastAsia" w:ascii="仿宋_GB2312" w:eastAsia="仿宋_GB2312"/>
                <w:b/>
                <w:sz w:val="24"/>
              </w:rPr>
            </w:pPr>
            <w:r>
              <w:rPr>
                <w:rFonts w:hint="eastAsia" w:ascii="仿宋_GB2312" w:eastAsia="仿宋_GB2312" w:cs="仿宋"/>
                <w:b/>
                <w:sz w:val="24"/>
              </w:rPr>
              <w:t>活动（项目）名称</w:t>
            </w:r>
          </w:p>
        </w:tc>
        <w:tc>
          <w:tcPr>
            <w:tcW w:w="833"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jc w:val="center"/>
              <w:outlineLvl w:val="9"/>
              <w:rPr>
                <w:rFonts w:hint="eastAsia" w:ascii="仿宋_GB2312" w:eastAsia="仿宋_GB2312" w:cs="仿宋"/>
                <w:b/>
                <w:sz w:val="24"/>
              </w:rPr>
            </w:pPr>
            <w:r>
              <w:rPr>
                <w:rFonts w:hint="eastAsia" w:ascii="仿宋_GB2312" w:eastAsia="仿宋_GB2312" w:cs="仿宋"/>
                <w:b/>
                <w:sz w:val="24"/>
              </w:rPr>
              <w:t>活动</w:t>
            </w:r>
          </w:p>
          <w:p>
            <w:pPr>
              <w:pageBreakBefore w:val="0"/>
              <w:kinsoku/>
              <w:overflowPunct/>
              <w:topLinePunct w:val="0"/>
              <w:bidi w:val="0"/>
              <w:snapToGrid w:val="0"/>
              <w:jc w:val="center"/>
              <w:outlineLvl w:val="9"/>
              <w:rPr>
                <w:rFonts w:hint="eastAsia" w:ascii="仿宋_GB2312" w:eastAsia="仿宋_GB2312" w:cs="仿宋"/>
                <w:b/>
                <w:sz w:val="24"/>
              </w:rPr>
            </w:pPr>
            <w:r>
              <w:rPr>
                <w:rFonts w:hint="eastAsia" w:ascii="仿宋_GB2312" w:eastAsia="仿宋_GB2312" w:cs="仿宋"/>
                <w:b/>
                <w:sz w:val="24"/>
              </w:rPr>
              <w:t>类别</w:t>
            </w:r>
          </w:p>
        </w:tc>
        <w:tc>
          <w:tcPr>
            <w:tcW w:w="1026"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cs="仿宋"/>
                <w:b/>
                <w:sz w:val="24"/>
              </w:rPr>
            </w:pPr>
            <w:r>
              <w:rPr>
                <w:rFonts w:hint="eastAsia" w:ascii="仿宋_GB2312" w:eastAsia="仿宋_GB2312" w:cs="仿宋"/>
                <w:b/>
                <w:sz w:val="24"/>
              </w:rPr>
              <w:t>申请奖励</w:t>
            </w:r>
          </w:p>
          <w:p>
            <w:pPr>
              <w:pageBreakBefore w:val="0"/>
              <w:kinsoku/>
              <w:overflowPunct/>
              <w:topLinePunct w:val="0"/>
              <w:bidi w:val="0"/>
              <w:snapToGrid w:val="0"/>
              <w:jc w:val="center"/>
              <w:outlineLvl w:val="9"/>
              <w:rPr>
                <w:rFonts w:hint="eastAsia" w:ascii="仿宋_GB2312" w:eastAsia="仿宋_GB2312"/>
                <w:b/>
                <w:sz w:val="21"/>
                <w:szCs w:val="21"/>
              </w:rPr>
            </w:pPr>
            <w:r>
              <w:rPr>
                <w:rFonts w:hint="eastAsia" w:ascii="仿宋_GB2312" w:eastAsia="仿宋_GB2312" w:cs="仿宋"/>
                <w:b/>
                <w:sz w:val="24"/>
              </w:rPr>
              <w:t>学分类别</w:t>
            </w:r>
          </w:p>
        </w:tc>
        <w:tc>
          <w:tcPr>
            <w:tcW w:w="665"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cs="仿宋"/>
                <w:b/>
                <w:sz w:val="24"/>
              </w:rPr>
            </w:pPr>
            <w:r>
              <w:rPr>
                <w:rFonts w:hint="eastAsia" w:ascii="仿宋_GB2312" w:eastAsia="仿宋_GB2312" w:cs="仿宋"/>
                <w:b/>
                <w:sz w:val="24"/>
              </w:rPr>
              <w:t>申请学分数</w:t>
            </w:r>
          </w:p>
        </w:tc>
        <w:tc>
          <w:tcPr>
            <w:tcW w:w="1926"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b/>
                <w:sz w:val="24"/>
              </w:rPr>
              <w:t>课程名称</w:t>
            </w:r>
          </w:p>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cs="仿宋"/>
                <w:b/>
                <w:sz w:val="18"/>
                <w:szCs w:val="18"/>
              </w:rPr>
              <w:t>（申请记为必修学分时需填写本项）</w:t>
            </w:r>
          </w:p>
        </w:tc>
        <w:tc>
          <w:tcPr>
            <w:tcW w:w="1488"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cs="仿宋"/>
                <w:b/>
                <w:sz w:val="24"/>
              </w:rPr>
            </w:pPr>
            <w:r>
              <w:rPr>
                <w:rFonts w:hint="eastAsia" w:ascii="仿宋_GB2312" w:eastAsia="仿宋_GB2312" w:cs="仿宋"/>
                <w:b/>
                <w:sz w:val="24"/>
              </w:rPr>
              <w:t>核准学分数</w:t>
            </w:r>
          </w:p>
          <w:p>
            <w:pPr>
              <w:pageBreakBefore w:val="0"/>
              <w:kinsoku/>
              <w:overflowPunct/>
              <w:topLinePunct w:val="0"/>
              <w:bidi w:val="0"/>
              <w:snapToGrid w:val="0"/>
              <w:jc w:val="center"/>
              <w:outlineLvl w:val="9"/>
              <w:rPr>
                <w:rFonts w:hint="eastAsia" w:ascii="仿宋_GB2312" w:eastAsia="仿宋_GB2312"/>
                <w:b/>
                <w:sz w:val="18"/>
                <w:szCs w:val="18"/>
              </w:rPr>
            </w:pPr>
            <w:r>
              <w:rPr>
                <w:rFonts w:hint="eastAsia" w:ascii="仿宋_GB2312" w:eastAsia="仿宋_GB2312" w:cs="仿宋"/>
                <w:b/>
                <w:sz w:val="18"/>
                <w:szCs w:val="18"/>
              </w:rPr>
              <w:t>（认定部门填写）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11" w:type="dxa"/>
            <w:vMerge w:val="continue"/>
            <w:tcBorders>
              <w:left w:val="single" w:color="000000" w:sz="2" w:space="0"/>
              <w:right w:val="single" w:color="000000" w:sz="2" w:space="0"/>
            </w:tcBorders>
            <w:noWrap w:val="0"/>
            <w:vAlign w:val="center"/>
          </w:tcPr>
          <w:p>
            <w:pPr>
              <w:pageBreakBefore w:val="0"/>
              <w:widowControl/>
              <w:kinsoku/>
              <w:overflowPunct/>
              <w:topLinePunct w:val="0"/>
              <w:bidi w:val="0"/>
              <w:ind w:firstLine="482"/>
              <w:jc w:val="center"/>
              <w:outlineLvl w:val="9"/>
              <w:rPr>
                <w:rFonts w:hint="eastAsia" w:ascii="仿宋_GB2312" w:eastAsia="仿宋_GB2312"/>
                <w:b/>
                <w:sz w:val="24"/>
              </w:rPr>
            </w:pPr>
          </w:p>
        </w:tc>
        <w:tc>
          <w:tcPr>
            <w:tcW w:w="421"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2319"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833" w:type="dxa"/>
            <w:gridSpan w:val="2"/>
            <w:tcBorders>
              <w:top w:val="single" w:color="auto" w:sz="4" w:space="0"/>
              <w:left w:val="single" w:color="auto" w:sz="4" w:space="0"/>
              <w:bottom w:val="single" w:color="auto" w:sz="4" w:space="0"/>
              <w:right w:val="single" w:color="auto" w:sz="4" w:space="0"/>
            </w:tcBorders>
            <w:noWrap w:val="0"/>
            <w:vAlign w:val="top"/>
          </w:tcPr>
          <w:p>
            <w:pPr>
              <w:pageBreakBefore w:val="0"/>
              <w:kinsoku/>
              <w:overflowPunct/>
              <w:topLinePunct w:val="0"/>
              <w:bidi w:val="0"/>
              <w:snapToGrid w:val="0"/>
              <w:ind w:firstLine="480"/>
              <w:jc w:val="center"/>
              <w:outlineLvl w:val="9"/>
              <w:rPr>
                <w:rFonts w:hint="eastAsia" w:ascii="仿宋_GB2312" w:eastAsia="仿宋_GB2312"/>
                <w:sz w:val="24"/>
              </w:rPr>
            </w:pPr>
          </w:p>
        </w:tc>
        <w:tc>
          <w:tcPr>
            <w:tcW w:w="1026"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665"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1926"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1488"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11" w:type="dxa"/>
            <w:vMerge w:val="continue"/>
            <w:tcBorders>
              <w:left w:val="single" w:color="000000" w:sz="2" w:space="0"/>
              <w:right w:val="single" w:color="000000" w:sz="2" w:space="0"/>
            </w:tcBorders>
            <w:noWrap w:val="0"/>
            <w:vAlign w:val="center"/>
          </w:tcPr>
          <w:p>
            <w:pPr>
              <w:pageBreakBefore w:val="0"/>
              <w:widowControl/>
              <w:kinsoku/>
              <w:overflowPunct/>
              <w:topLinePunct w:val="0"/>
              <w:bidi w:val="0"/>
              <w:ind w:firstLine="482"/>
              <w:jc w:val="center"/>
              <w:outlineLvl w:val="9"/>
              <w:rPr>
                <w:rFonts w:hint="eastAsia" w:ascii="仿宋_GB2312" w:eastAsia="仿宋_GB2312"/>
                <w:b/>
                <w:sz w:val="24"/>
              </w:rPr>
            </w:pPr>
          </w:p>
        </w:tc>
        <w:tc>
          <w:tcPr>
            <w:tcW w:w="421"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2319"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833" w:type="dxa"/>
            <w:gridSpan w:val="2"/>
            <w:tcBorders>
              <w:top w:val="single" w:color="auto" w:sz="4" w:space="0"/>
              <w:left w:val="single" w:color="auto" w:sz="4" w:space="0"/>
              <w:bottom w:val="single" w:color="auto" w:sz="4" w:space="0"/>
              <w:right w:val="single" w:color="auto" w:sz="4" w:space="0"/>
            </w:tcBorders>
            <w:noWrap w:val="0"/>
            <w:vAlign w:val="top"/>
          </w:tcPr>
          <w:p>
            <w:pPr>
              <w:pageBreakBefore w:val="0"/>
              <w:kinsoku/>
              <w:overflowPunct/>
              <w:topLinePunct w:val="0"/>
              <w:bidi w:val="0"/>
              <w:snapToGrid w:val="0"/>
              <w:ind w:firstLine="480"/>
              <w:jc w:val="center"/>
              <w:outlineLvl w:val="9"/>
              <w:rPr>
                <w:rFonts w:hint="eastAsia" w:ascii="仿宋_GB2312" w:eastAsia="仿宋_GB2312"/>
                <w:sz w:val="24"/>
              </w:rPr>
            </w:pPr>
          </w:p>
        </w:tc>
        <w:tc>
          <w:tcPr>
            <w:tcW w:w="1026"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665"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1926"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1488"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11" w:type="dxa"/>
            <w:vMerge w:val="continue"/>
            <w:tcBorders>
              <w:left w:val="single" w:color="000000" w:sz="2" w:space="0"/>
              <w:bottom w:val="single" w:color="auto" w:sz="4" w:space="0"/>
              <w:right w:val="single" w:color="000000" w:sz="2" w:space="0"/>
            </w:tcBorders>
            <w:noWrap w:val="0"/>
            <w:vAlign w:val="center"/>
          </w:tcPr>
          <w:p>
            <w:pPr>
              <w:pageBreakBefore w:val="0"/>
              <w:widowControl/>
              <w:kinsoku/>
              <w:overflowPunct/>
              <w:topLinePunct w:val="0"/>
              <w:bidi w:val="0"/>
              <w:ind w:firstLine="482"/>
              <w:jc w:val="center"/>
              <w:outlineLvl w:val="9"/>
              <w:rPr>
                <w:rFonts w:hint="eastAsia" w:ascii="仿宋_GB2312" w:eastAsia="仿宋_GB2312"/>
                <w:b/>
                <w:sz w:val="24"/>
              </w:rPr>
            </w:pPr>
          </w:p>
        </w:tc>
        <w:tc>
          <w:tcPr>
            <w:tcW w:w="421"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2319"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833" w:type="dxa"/>
            <w:gridSpan w:val="2"/>
            <w:tcBorders>
              <w:top w:val="single" w:color="auto" w:sz="4" w:space="0"/>
              <w:left w:val="single" w:color="auto" w:sz="4" w:space="0"/>
              <w:bottom w:val="single" w:color="auto" w:sz="4" w:space="0"/>
              <w:right w:val="single" w:color="auto" w:sz="4" w:space="0"/>
            </w:tcBorders>
            <w:noWrap w:val="0"/>
            <w:vAlign w:val="top"/>
          </w:tcPr>
          <w:p>
            <w:pPr>
              <w:pageBreakBefore w:val="0"/>
              <w:kinsoku/>
              <w:overflowPunct/>
              <w:topLinePunct w:val="0"/>
              <w:bidi w:val="0"/>
              <w:snapToGrid w:val="0"/>
              <w:ind w:firstLine="480"/>
              <w:jc w:val="center"/>
              <w:outlineLvl w:val="9"/>
              <w:rPr>
                <w:rFonts w:hint="eastAsia" w:ascii="仿宋_GB2312" w:eastAsia="仿宋_GB2312"/>
                <w:sz w:val="24"/>
              </w:rPr>
            </w:pPr>
          </w:p>
        </w:tc>
        <w:tc>
          <w:tcPr>
            <w:tcW w:w="1026"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665" w:type="dxa"/>
            <w:gridSpan w:val="2"/>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1926"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c>
          <w:tcPr>
            <w:tcW w:w="1488"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11" w:type="dxa"/>
            <w:vMerge w:val="restart"/>
            <w:tcBorders>
              <w:top w:val="single" w:color="auto" w:sz="4" w:space="0"/>
              <w:left w:val="single" w:color="000000" w:sz="2" w:space="0"/>
              <w:bottom w:val="single" w:color="000000" w:sz="2"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cs="仿宋"/>
                <w:b/>
                <w:sz w:val="24"/>
              </w:rPr>
              <w:t>申请依据</w:t>
            </w:r>
            <w:r>
              <w:rPr>
                <w:rFonts w:hint="eastAsia" w:ascii="仿宋_GB2312" w:eastAsia="仿宋_GB2312" w:cs="仿宋"/>
                <w:sz w:val="24"/>
              </w:rPr>
              <w:t>（另附相关文字材料及证书等证明材料）</w:t>
            </w:r>
          </w:p>
        </w:tc>
        <w:tc>
          <w:tcPr>
            <w:tcW w:w="8678" w:type="dxa"/>
            <w:gridSpan w:val="12"/>
            <w:tcBorders>
              <w:top w:val="single" w:color="auto" w:sz="4" w:space="0"/>
              <w:left w:val="single" w:color="auto" w:sz="4" w:space="0"/>
              <w:bottom w:val="single" w:color="000000" w:sz="2" w:space="0"/>
              <w:right w:val="single" w:color="000000" w:sz="2" w:space="0"/>
            </w:tcBorders>
            <w:noWrap w:val="0"/>
            <w:vAlign w:val="top"/>
          </w:tcPr>
          <w:p>
            <w:pPr>
              <w:pageBreakBefore w:val="0"/>
              <w:kinsoku/>
              <w:overflowPunct/>
              <w:topLinePunct w:val="0"/>
              <w:bidi w:val="0"/>
              <w:snapToGrid w:val="0"/>
              <w:ind w:firstLine="199" w:firstLineChars="83"/>
              <w:jc w:val="left"/>
              <w:outlineLvl w:val="9"/>
              <w:rPr>
                <w:rFonts w:hint="eastAsia" w:ascii="仿宋_GB2312" w:eastAsia="仿宋_GB2312" w:cs="仿宋"/>
                <w:sz w:val="24"/>
              </w:rPr>
            </w:pPr>
            <w:r>
              <w:rPr>
                <w:rFonts w:hint="eastAsia" w:ascii="仿宋_GB2312" w:eastAsia="仿宋_GB2312" w:cs="仿宋"/>
                <w:sz w:val="24"/>
              </w:rPr>
              <w:t>申请理由（各项活动、项目内容简介、申请人承担的主要工作等，可另附页填写）：</w:t>
            </w:r>
          </w:p>
          <w:p>
            <w:pPr>
              <w:pageBreakBefore w:val="0"/>
              <w:kinsoku/>
              <w:overflowPunct/>
              <w:topLinePunct w:val="0"/>
              <w:bidi w:val="0"/>
              <w:snapToGrid w:val="0"/>
              <w:ind w:left="157" w:leftChars="75" w:firstLine="480"/>
              <w:jc w:val="left"/>
              <w:outlineLvl w:val="9"/>
              <w:rPr>
                <w:rFonts w:hint="eastAsia" w:ascii="仿宋_GB2312" w:eastAsia="仿宋_GB2312"/>
                <w:sz w:val="24"/>
              </w:rPr>
            </w:pPr>
          </w:p>
          <w:p>
            <w:pPr>
              <w:pageBreakBefore w:val="0"/>
              <w:kinsoku/>
              <w:overflowPunct/>
              <w:topLinePunct w:val="0"/>
              <w:bidi w:val="0"/>
              <w:snapToGrid w:val="0"/>
              <w:ind w:right="2133" w:rightChars="1016" w:firstLine="16" w:firstLineChars="7"/>
              <w:jc w:val="left"/>
              <w:outlineLvl w:val="9"/>
              <w:rPr>
                <w:rFonts w:hint="eastAsia" w:ascii="仿宋_GB2312" w:eastAsia="仿宋_GB2312"/>
                <w:sz w:val="24"/>
              </w:rPr>
            </w:pPr>
          </w:p>
          <w:p>
            <w:pPr>
              <w:pageBreakBefore w:val="0"/>
              <w:kinsoku/>
              <w:overflowPunct/>
              <w:topLinePunct w:val="0"/>
              <w:bidi w:val="0"/>
              <w:snapToGrid w:val="0"/>
              <w:ind w:right="2133" w:rightChars="1016" w:firstLine="16" w:firstLineChars="7"/>
              <w:jc w:val="left"/>
              <w:outlineLvl w:val="9"/>
              <w:rPr>
                <w:rFonts w:hint="eastAsia" w:ascii="仿宋_GB2312" w:eastAsia="仿宋_GB2312"/>
                <w:sz w:val="24"/>
              </w:rPr>
            </w:pPr>
          </w:p>
          <w:p>
            <w:pPr>
              <w:pageBreakBefore w:val="0"/>
              <w:kinsoku/>
              <w:overflowPunct/>
              <w:topLinePunct w:val="0"/>
              <w:bidi w:val="0"/>
              <w:snapToGrid w:val="0"/>
              <w:ind w:right="2133" w:rightChars="1016" w:firstLine="16" w:firstLineChars="7"/>
              <w:jc w:val="left"/>
              <w:outlineLvl w:val="9"/>
              <w:rPr>
                <w:rFonts w:hint="eastAsia" w:ascii="仿宋_GB2312" w:eastAsia="仿宋_GB2312"/>
                <w:sz w:val="24"/>
              </w:rPr>
            </w:pPr>
          </w:p>
          <w:p>
            <w:pPr>
              <w:pageBreakBefore w:val="0"/>
              <w:kinsoku/>
              <w:overflowPunct/>
              <w:topLinePunct w:val="0"/>
              <w:bidi w:val="0"/>
              <w:snapToGrid w:val="0"/>
              <w:ind w:right="2133" w:rightChars="1016" w:firstLine="16" w:firstLineChars="7"/>
              <w:jc w:val="left"/>
              <w:outlineLvl w:val="9"/>
              <w:rPr>
                <w:rFonts w:hint="eastAsia" w:ascii="仿宋_GB2312" w:eastAsia="仿宋_GB2312"/>
                <w:sz w:val="24"/>
              </w:rPr>
            </w:pPr>
            <w:r>
              <w:rPr>
                <w:rFonts w:hint="eastAsia" w:ascii="仿宋_GB2312" w:eastAsia="仿宋_GB2312"/>
                <w:sz w:val="24"/>
              </w:rPr>
              <w:t xml:space="preserve">       </w:t>
            </w:r>
          </w:p>
          <w:p>
            <w:pPr>
              <w:pageBreakBefore w:val="0"/>
              <w:kinsoku/>
              <w:overflowPunct/>
              <w:topLinePunct w:val="0"/>
              <w:bidi w:val="0"/>
              <w:snapToGrid w:val="0"/>
              <w:ind w:right="2133" w:rightChars="1016" w:firstLine="16" w:firstLineChars="7"/>
              <w:jc w:val="left"/>
              <w:outlineLvl w:val="9"/>
              <w:rPr>
                <w:rFonts w:hint="eastAsia" w:ascii="仿宋_GB2312" w:eastAsia="仿宋_GB2312"/>
                <w:sz w:val="24"/>
              </w:rPr>
            </w:pPr>
          </w:p>
          <w:p>
            <w:pPr>
              <w:pageBreakBefore w:val="0"/>
              <w:kinsoku/>
              <w:overflowPunct/>
              <w:topLinePunct w:val="0"/>
              <w:bidi w:val="0"/>
              <w:snapToGrid w:val="0"/>
              <w:ind w:right="120" w:firstLine="480"/>
              <w:jc w:val="right"/>
              <w:outlineLvl w:val="9"/>
              <w:rPr>
                <w:rFonts w:hint="eastAsia" w:ascii="仿宋_GB2312" w:eastAsia="仿宋_GB2312"/>
                <w:sz w:val="24"/>
              </w:rPr>
            </w:pPr>
            <w:r>
              <w:rPr>
                <w:rFonts w:hint="eastAsia" w:ascii="仿宋_GB2312" w:eastAsia="仿宋_GB2312" w:cs="仿宋"/>
                <w:sz w:val="24"/>
              </w:rPr>
              <w:t xml:space="preserve">申请人：           </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11" w:type="dxa"/>
            <w:vMerge w:val="continue"/>
            <w:tcBorders>
              <w:top w:val="single" w:color="auto" w:sz="4" w:space="0"/>
              <w:left w:val="single" w:color="000000" w:sz="2" w:space="0"/>
              <w:bottom w:val="single" w:color="000000" w:sz="2" w:space="0"/>
              <w:right w:val="single" w:color="000000" w:sz="2" w:space="0"/>
            </w:tcBorders>
            <w:noWrap w:val="0"/>
            <w:vAlign w:val="center"/>
          </w:tcPr>
          <w:p>
            <w:pPr>
              <w:pageBreakBefore w:val="0"/>
              <w:widowControl/>
              <w:kinsoku/>
              <w:overflowPunct/>
              <w:topLinePunct w:val="0"/>
              <w:bidi w:val="0"/>
              <w:ind w:firstLine="482"/>
              <w:jc w:val="center"/>
              <w:outlineLvl w:val="9"/>
              <w:rPr>
                <w:rFonts w:hint="eastAsia" w:ascii="仿宋_GB2312" w:eastAsia="仿宋_GB2312"/>
                <w:b/>
                <w:sz w:val="24"/>
              </w:rPr>
            </w:pPr>
          </w:p>
        </w:tc>
        <w:tc>
          <w:tcPr>
            <w:tcW w:w="8678" w:type="dxa"/>
            <w:gridSpan w:val="12"/>
            <w:tcBorders>
              <w:top w:val="single" w:color="auto" w:sz="4" w:space="0"/>
              <w:left w:val="single" w:color="auto" w:sz="4" w:space="0"/>
              <w:bottom w:val="single" w:color="000000" w:sz="2" w:space="0"/>
              <w:right w:val="single" w:color="000000" w:sz="2" w:space="0"/>
            </w:tcBorders>
            <w:noWrap w:val="0"/>
            <w:vAlign w:val="top"/>
          </w:tcPr>
          <w:p>
            <w:pPr>
              <w:pageBreakBefore w:val="0"/>
              <w:kinsoku/>
              <w:overflowPunct/>
              <w:topLinePunct w:val="0"/>
              <w:bidi w:val="0"/>
              <w:snapToGrid w:val="0"/>
              <w:ind w:firstLine="199" w:firstLineChars="83"/>
              <w:jc w:val="left"/>
              <w:outlineLvl w:val="9"/>
              <w:rPr>
                <w:rFonts w:hint="eastAsia" w:ascii="仿宋_GB2312" w:eastAsia="仿宋_GB2312"/>
                <w:sz w:val="24"/>
              </w:rPr>
            </w:pPr>
            <w:r>
              <w:rPr>
                <w:rFonts w:hint="eastAsia" w:ascii="仿宋_GB2312" w:eastAsia="仿宋_GB2312" w:cs="仿宋"/>
                <w:sz w:val="24"/>
              </w:rPr>
              <w:t>所附申请材料名称及件数：</w:t>
            </w:r>
          </w:p>
          <w:p>
            <w:pPr>
              <w:pageBreakBefore w:val="0"/>
              <w:kinsoku/>
              <w:overflowPunct/>
              <w:topLinePunct w:val="0"/>
              <w:bidi w:val="0"/>
              <w:snapToGrid w:val="0"/>
              <w:ind w:left="157" w:leftChars="75" w:firstLine="480"/>
              <w:jc w:val="left"/>
              <w:outlineLvl w:val="9"/>
              <w:rPr>
                <w:rFonts w:hint="eastAsia" w:ascii="仿宋_GB2312" w:eastAsia="仿宋_GB2312"/>
                <w:sz w:val="24"/>
              </w:rPr>
            </w:pPr>
          </w:p>
          <w:p>
            <w:pPr>
              <w:pageBreakBefore w:val="0"/>
              <w:kinsoku/>
              <w:overflowPunct/>
              <w:topLinePunct w:val="0"/>
              <w:bidi w:val="0"/>
              <w:snapToGrid w:val="0"/>
              <w:ind w:left="157" w:leftChars="75" w:firstLine="480"/>
              <w:jc w:val="left"/>
              <w:outlineLvl w:val="9"/>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11" w:type="dxa"/>
            <w:tcBorders>
              <w:top w:val="single" w:color="auto" w:sz="4" w:space="0"/>
              <w:left w:val="single" w:color="000000" w:sz="2" w:space="0"/>
              <w:bottom w:val="single" w:color="000000" w:sz="2"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b/>
                <w:sz w:val="24"/>
              </w:rPr>
            </w:pPr>
            <w:r>
              <w:rPr>
                <w:rFonts w:hint="eastAsia" w:ascii="仿宋_GB2312" w:eastAsia="仿宋_GB2312" w:cs="仿宋"/>
                <w:b/>
                <w:sz w:val="24"/>
              </w:rPr>
              <w:t>学生所属学院审核意见</w:t>
            </w:r>
          </w:p>
        </w:tc>
        <w:tc>
          <w:tcPr>
            <w:tcW w:w="8678" w:type="dxa"/>
            <w:gridSpan w:val="12"/>
            <w:tcBorders>
              <w:top w:val="single" w:color="auto" w:sz="4" w:space="0"/>
              <w:left w:val="single" w:color="auto" w:sz="4" w:space="0"/>
              <w:bottom w:val="single" w:color="000000" w:sz="2" w:space="0"/>
              <w:right w:val="single" w:color="000000" w:sz="2" w:space="0"/>
            </w:tcBorders>
            <w:noWrap w:val="0"/>
            <w:vAlign w:val="top"/>
          </w:tcPr>
          <w:p>
            <w:pPr>
              <w:pageBreakBefore w:val="0"/>
              <w:kinsoku/>
              <w:overflowPunct/>
              <w:topLinePunct w:val="0"/>
              <w:bidi w:val="0"/>
              <w:snapToGrid w:val="0"/>
              <w:ind w:firstLine="480"/>
              <w:jc w:val="left"/>
              <w:outlineLvl w:val="9"/>
              <w:rPr>
                <w:rFonts w:hint="eastAsia" w:ascii="仿宋_GB2312" w:eastAsia="仿宋_GB2312"/>
                <w:sz w:val="24"/>
              </w:rPr>
            </w:pPr>
          </w:p>
          <w:p>
            <w:pPr>
              <w:pageBreakBefore w:val="0"/>
              <w:kinsoku/>
              <w:overflowPunct/>
              <w:topLinePunct w:val="0"/>
              <w:bidi w:val="0"/>
              <w:snapToGrid w:val="0"/>
              <w:ind w:firstLine="480"/>
              <w:jc w:val="left"/>
              <w:outlineLvl w:val="9"/>
              <w:rPr>
                <w:rFonts w:hint="eastAsia" w:ascii="仿宋_GB2312" w:eastAsia="仿宋_GB2312"/>
                <w:sz w:val="24"/>
              </w:rPr>
            </w:pPr>
          </w:p>
          <w:p>
            <w:pPr>
              <w:pageBreakBefore w:val="0"/>
              <w:kinsoku/>
              <w:overflowPunct/>
              <w:topLinePunct w:val="0"/>
              <w:bidi w:val="0"/>
              <w:snapToGrid w:val="0"/>
              <w:ind w:firstLine="480"/>
              <w:jc w:val="left"/>
              <w:outlineLvl w:val="9"/>
              <w:rPr>
                <w:rFonts w:hint="eastAsia" w:ascii="仿宋_GB2312" w:eastAsia="仿宋_GB2312"/>
                <w:sz w:val="24"/>
              </w:rPr>
            </w:pPr>
          </w:p>
          <w:p>
            <w:pPr>
              <w:pageBreakBefore w:val="0"/>
              <w:kinsoku/>
              <w:overflowPunct/>
              <w:topLinePunct w:val="0"/>
              <w:bidi w:val="0"/>
              <w:snapToGrid w:val="0"/>
              <w:ind w:right="120" w:firstLine="480"/>
              <w:jc w:val="right"/>
              <w:outlineLvl w:val="9"/>
              <w:rPr>
                <w:rFonts w:hint="eastAsia" w:ascii="仿宋_GB2312" w:eastAsia="仿宋_GB2312"/>
                <w:sz w:val="24"/>
              </w:rPr>
            </w:pPr>
            <w:r>
              <w:rPr>
                <w:rFonts w:hint="eastAsia" w:ascii="仿宋_GB2312" w:eastAsia="仿宋_GB2312" w:cs="仿宋"/>
                <w:sz w:val="24"/>
              </w:rPr>
              <w:t xml:space="preserve">负责人签名：         </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11" w:type="dxa"/>
            <w:tcBorders>
              <w:top w:val="single" w:color="auto" w:sz="4" w:space="0"/>
              <w:left w:val="single" w:color="000000" w:sz="2" w:space="0"/>
              <w:bottom w:val="single" w:color="000000" w:sz="2"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eastAsia="仿宋_GB2312" w:cs="仿宋"/>
                <w:b/>
                <w:sz w:val="24"/>
              </w:rPr>
            </w:pPr>
            <w:r>
              <w:rPr>
                <w:rFonts w:hint="eastAsia" w:ascii="仿宋_GB2312" w:eastAsia="仿宋_GB2312" w:cs="仿宋"/>
                <w:b/>
                <w:sz w:val="24"/>
              </w:rPr>
              <w:t>认定部门审核意见</w:t>
            </w:r>
          </w:p>
        </w:tc>
        <w:tc>
          <w:tcPr>
            <w:tcW w:w="8678" w:type="dxa"/>
            <w:gridSpan w:val="12"/>
            <w:tcBorders>
              <w:top w:val="single" w:color="auto" w:sz="4" w:space="0"/>
              <w:left w:val="single" w:color="auto" w:sz="4" w:space="0"/>
              <w:bottom w:val="single" w:color="000000" w:sz="2" w:space="0"/>
              <w:right w:val="single" w:color="000000" w:sz="2" w:space="0"/>
            </w:tcBorders>
            <w:noWrap w:val="0"/>
            <w:vAlign w:val="top"/>
          </w:tcPr>
          <w:p>
            <w:pPr>
              <w:pageBreakBefore w:val="0"/>
              <w:kinsoku/>
              <w:overflowPunct/>
              <w:topLinePunct w:val="0"/>
              <w:bidi w:val="0"/>
              <w:snapToGrid w:val="0"/>
              <w:ind w:firstLine="480"/>
              <w:jc w:val="left"/>
              <w:outlineLvl w:val="9"/>
              <w:rPr>
                <w:rFonts w:hint="eastAsia" w:ascii="仿宋_GB2312" w:eastAsia="仿宋_GB2312"/>
                <w:sz w:val="24"/>
              </w:rPr>
            </w:pPr>
          </w:p>
          <w:p>
            <w:pPr>
              <w:pageBreakBefore w:val="0"/>
              <w:kinsoku/>
              <w:overflowPunct/>
              <w:topLinePunct w:val="0"/>
              <w:bidi w:val="0"/>
              <w:snapToGrid w:val="0"/>
              <w:ind w:firstLine="480"/>
              <w:jc w:val="left"/>
              <w:outlineLvl w:val="9"/>
              <w:rPr>
                <w:rFonts w:hint="eastAsia" w:ascii="仿宋_GB2312" w:eastAsia="仿宋_GB2312"/>
                <w:sz w:val="24"/>
              </w:rPr>
            </w:pPr>
          </w:p>
          <w:p>
            <w:pPr>
              <w:pageBreakBefore w:val="0"/>
              <w:kinsoku/>
              <w:overflowPunct/>
              <w:topLinePunct w:val="0"/>
              <w:bidi w:val="0"/>
              <w:snapToGrid w:val="0"/>
              <w:ind w:firstLine="480"/>
              <w:jc w:val="left"/>
              <w:outlineLvl w:val="9"/>
              <w:rPr>
                <w:rFonts w:hint="eastAsia" w:ascii="仿宋_GB2312" w:eastAsia="仿宋_GB2312"/>
                <w:sz w:val="24"/>
              </w:rPr>
            </w:pPr>
          </w:p>
          <w:p>
            <w:pPr>
              <w:pageBreakBefore w:val="0"/>
              <w:kinsoku/>
              <w:overflowPunct/>
              <w:topLinePunct w:val="0"/>
              <w:bidi w:val="0"/>
              <w:snapToGrid w:val="0"/>
              <w:ind w:firstLine="3360" w:firstLineChars="1400"/>
              <w:jc w:val="left"/>
              <w:outlineLvl w:val="9"/>
              <w:rPr>
                <w:rFonts w:hint="eastAsia" w:ascii="仿宋_GB2312" w:eastAsia="仿宋_GB2312"/>
                <w:sz w:val="24"/>
              </w:rPr>
            </w:pPr>
            <w:r>
              <w:rPr>
                <w:rFonts w:hint="eastAsia" w:ascii="仿宋_GB2312" w:eastAsia="仿宋_GB2312" w:cs="仿宋"/>
                <w:sz w:val="24"/>
              </w:rPr>
              <w:t xml:space="preserve">负责人签名：         </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p>
        </w:tc>
      </w:tr>
    </w:tbl>
    <w:p>
      <w:pPr>
        <w:pageBreakBefore w:val="0"/>
        <w:kinsoku/>
        <w:overflowPunct/>
        <w:topLinePunct w:val="0"/>
        <w:bidi w:val="0"/>
        <w:snapToGrid w:val="0"/>
        <w:jc w:val="left"/>
        <w:outlineLvl w:val="9"/>
        <w:rPr>
          <w:rFonts w:hint="eastAsia" w:ascii="仿宋_GB2312" w:eastAsia="仿宋_GB2312" w:cs="仿宋"/>
          <w:b/>
          <w:kern w:val="0"/>
          <w:sz w:val="21"/>
          <w:szCs w:val="21"/>
        </w:rPr>
      </w:pPr>
      <w:r>
        <w:rPr>
          <w:rFonts w:hint="eastAsia" w:ascii="仿宋_GB2312" w:eastAsia="仿宋_GB2312" w:cs="仿宋"/>
          <w:b/>
          <w:kern w:val="0"/>
          <w:sz w:val="21"/>
          <w:szCs w:val="21"/>
        </w:rPr>
        <w:t>注：</w:t>
      </w:r>
    </w:p>
    <w:p>
      <w:pPr>
        <w:pageBreakBefore w:val="0"/>
        <w:kinsoku/>
        <w:overflowPunct/>
        <w:topLinePunct w:val="0"/>
        <w:bidi w:val="0"/>
        <w:snapToGrid w:val="0"/>
        <w:jc w:val="left"/>
        <w:outlineLvl w:val="9"/>
        <w:rPr>
          <w:rFonts w:hint="eastAsia" w:ascii="仿宋_GB2312" w:eastAsia="仿宋_GB2312" w:cs="仿宋"/>
          <w:b/>
          <w:kern w:val="0"/>
          <w:sz w:val="21"/>
          <w:szCs w:val="21"/>
        </w:rPr>
      </w:pPr>
      <w:r>
        <w:rPr>
          <w:rFonts w:hint="eastAsia" w:ascii="仿宋_GB2312" w:eastAsia="仿宋_GB2312" w:cs="仿宋"/>
          <w:b/>
          <w:kern w:val="0"/>
          <w:sz w:val="21"/>
          <w:szCs w:val="21"/>
        </w:rPr>
        <w:t>1.学生填报前需先查阅《柳州职业技术学院创新创业活动学分奖励认定参考标准》，按学分奖励认定部门分类填写本表，每份申请表对应一个认定部门。</w:t>
      </w:r>
    </w:p>
    <w:p>
      <w:pPr>
        <w:pageBreakBefore w:val="0"/>
        <w:kinsoku/>
        <w:overflowPunct/>
        <w:topLinePunct w:val="0"/>
        <w:bidi w:val="0"/>
        <w:snapToGrid w:val="0"/>
        <w:jc w:val="left"/>
        <w:outlineLvl w:val="9"/>
        <w:rPr>
          <w:rFonts w:hint="eastAsia" w:ascii="仿宋_GB2312" w:eastAsia="仿宋_GB2312" w:cs="仿宋"/>
          <w:b/>
          <w:kern w:val="0"/>
          <w:sz w:val="21"/>
          <w:szCs w:val="21"/>
        </w:rPr>
      </w:pPr>
      <w:r>
        <w:rPr>
          <w:rFonts w:hint="eastAsia" w:ascii="仿宋_GB2312" w:eastAsia="仿宋_GB2312" w:cs="仿宋"/>
          <w:b/>
          <w:kern w:val="0"/>
          <w:sz w:val="21"/>
          <w:szCs w:val="21"/>
        </w:rPr>
        <w:t>2.本表一式两份，一份由认定部门留存，一份由教务与实训管理处留存。</w:t>
      </w:r>
    </w:p>
    <w:p>
      <w:pPr>
        <w:pageBreakBefore w:val="0"/>
        <w:kinsoku/>
        <w:overflowPunct/>
        <w:topLinePunct w:val="0"/>
        <w:bidi w:val="0"/>
        <w:snapToGrid w:val="0"/>
        <w:jc w:val="left"/>
        <w:outlineLvl w:val="9"/>
        <w:rPr>
          <w:rFonts w:ascii="仿宋_GB2312" w:hAnsi="仿宋_GB2312" w:eastAsia="仿宋_GB2312" w:cs="仿宋_GB2312"/>
          <w:kern w:val="0"/>
          <w:sz w:val="32"/>
          <w:szCs w:val="32"/>
          <w:lang w:bidi="ar"/>
        </w:rPr>
        <w:sectPr>
          <w:pgSz w:w="11906" w:h="16838"/>
          <w:pgMar w:top="2098" w:right="1474" w:bottom="1985" w:left="1588" w:header="851" w:footer="1559" w:gutter="0"/>
          <w:pgNumType w:fmt="decimal"/>
          <w:cols w:space="425" w:num="1"/>
          <w:docGrid w:type="linesAndChars" w:linePitch="584" w:charSpace="0"/>
        </w:sectPr>
      </w:pPr>
    </w:p>
    <w:p>
      <w:pPr>
        <w:pageBreakBefore w:val="0"/>
        <w:kinsoku/>
        <w:overflowPunct/>
        <w:topLinePunct w:val="0"/>
        <w:bidi w:val="0"/>
        <w:outlineLvl w:val="9"/>
        <w:rPr>
          <w:rFonts w:hint="eastAsia" w:ascii="黑体" w:eastAsia="黑体"/>
          <w:sz w:val="32"/>
          <w:szCs w:val="32"/>
        </w:rPr>
      </w:pPr>
      <w:r>
        <w:rPr>
          <w:rFonts w:hint="eastAsia" w:ascii="黑体" w:eastAsia="黑体"/>
          <w:sz w:val="32"/>
          <w:szCs w:val="32"/>
        </w:rPr>
        <w:t>附件4：</w:t>
      </w:r>
    </w:p>
    <w:p>
      <w:pPr>
        <w:pageBreakBefore w:val="0"/>
        <w:kinsoku/>
        <w:overflowPunct/>
        <w:topLinePunct w:val="0"/>
        <w:bidi w:val="0"/>
        <w:spacing w:line="590" w:lineRule="exact"/>
        <w:jc w:val="center"/>
        <w:outlineLvl w:val="9"/>
        <w:rPr>
          <w:rFonts w:hint="eastAsia"/>
          <w:b/>
          <w:color w:val="000000"/>
          <w:sz w:val="36"/>
          <w:szCs w:val="36"/>
        </w:rPr>
      </w:pPr>
      <w:bookmarkStart w:id="436" w:name="_Toc21969_WPSOffice_Level1"/>
      <w:r>
        <w:rPr>
          <w:rFonts w:hint="eastAsia"/>
          <w:b/>
          <w:color w:val="000000"/>
          <w:sz w:val="36"/>
          <w:szCs w:val="36"/>
        </w:rPr>
        <w:t>柳州职业技术学院创新创业活动学分奖励认定汇总表</w:t>
      </w:r>
      <w:bookmarkEnd w:id="436"/>
    </w:p>
    <w:p>
      <w:pPr>
        <w:pageBreakBefore w:val="0"/>
        <w:widowControl/>
        <w:kinsoku/>
        <w:overflowPunct/>
        <w:topLinePunct w:val="0"/>
        <w:bidi w:val="0"/>
        <w:ind w:firstLine="562"/>
        <w:jc w:val="center"/>
        <w:outlineLvl w:val="9"/>
        <w:rPr>
          <w:rFonts w:hint="eastAsia" w:ascii="仿宋_GB2312" w:hAnsi="宋体" w:eastAsia="仿宋_GB2312" w:cs="宋体"/>
          <w:b/>
          <w:kern w:val="0"/>
          <w:szCs w:val="28"/>
        </w:rPr>
      </w:pPr>
      <w:r>
        <w:rPr>
          <w:rFonts w:hint="eastAsia" w:ascii="仿宋_GB2312" w:hAnsi="宋体" w:eastAsia="仿宋_GB2312" w:cs="宋体"/>
          <w:b/>
          <w:kern w:val="0"/>
          <w:szCs w:val="28"/>
        </w:rPr>
        <w:t>（20</w:t>
      </w:r>
      <w:r>
        <w:rPr>
          <w:rFonts w:hint="eastAsia" w:ascii="仿宋_GB2312" w:hAnsi="宋体" w:eastAsia="仿宋_GB2312" w:cs="宋体"/>
          <w:b/>
          <w:kern w:val="0"/>
          <w:szCs w:val="28"/>
          <w:u w:val="single"/>
        </w:rPr>
        <w:t xml:space="preserve">    </w:t>
      </w:r>
      <w:r>
        <w:rPr>
          <w:rFonts w:hint="eastAsia" w:ascii="仿宋_GB2312" w:hAnsi="宋体" w:eastAsia="仿宋_GB2312" w:cs="宋体"/>
          <w:b/>
          <w:kern w:val="0"/>
          <w:szCs w:val="28"/>
        </w:rPr>
        <w:t>- 20</w:t>
      </w:r>
      <w:r>
        <w:rPr>
          <w:rFonts w:hint="eastAsia" w:ascii="仿宋_GB2312" w:hAnsi="宋体" w:eastAsia="仿宋_GB2312" w:cs="宋体"/>
          <w:b/>
          <w:kern w:val="0"/>
          <w:szCs w:val="28"/>
          <w:u w:val="single"/>
        </w:rPr>
        <w:t xml:space="preserve">    </w:t>
      </w:r>
      <w:r>
        <w:rPr>
          <w:rFonts w:hint="eastAsia" w:ascii="仿宋_GB2312" w:hAnsi="宋体" w:eastAsia="仿宋_GB2312" w:cs="宋体"/>
          <w:b/>
          <w:kern w:val="0"/>
          <w:szCs w:val="28"/>
        </w:rPr>
        <w:t xml:space="preserve"> 学年 </w:t>
      </w:r>
      <w:r>
        <w:rPr>
          <w:rFonts w:hint="eastAsia" w:ascii="仿宋_GB2312" w:hAnsi="宋体" w:eastAsia="仿宋_GB2312" w:cs="宋体"/>
          <w:b/>
          <w:kern w:val="0"/>
          <w:szCs w:val="28"/>
          <w:u w:val="single"/>
        </w:rPr>
        <w:t xml:space="preserve">   </w:t>
      </w:r>
      <w:r>
        <w:rPr>
          <w:rFonts w:hint="eastAsia" w:ascii="仿宋_GB2312" w:hAnsi="宋体" w:eastAsia="仿宋_GB2312" w:cs="宋体"/>
          <w:b/>
          <w:kern w:val="0"/>
          <w:szCs w:val="28"/>
        </w:rPr>
        <w:t xml:space="preserve"> 学期）</w:t>
      </w:r>
    </w:p>
    <w:p>
      <w:pPr>
        <w:pageBreakBefore w:val="0"/>
        <w:widowControl/>
        <w:kinsoku/>
        <w:overflowPunct/>
        <w:topLinePunct w:val="0"/>
        <w:bidi w:val="0"/>
        <w:ind w:firstLine="301"/>
        <w:jc w:val="center"/>
        <w:outlineLvl w:val="9"/>
        <w:rPr>
          <w:rFonts w:hint="eastAsia" w:ascii="仿宋_GB2312" w:hAnsi="宋体" w:eastAsia="仿宋_GB2312" w:cs="仿宋"/>
          <w:b/>
          <w:kern w:val="0"/>
          <w:sz w:val="15"/>
          <w:szCs w:val="15"/>
        </w:rPr>
      </w:pPr>
    </w:p>
    <w:p>
      <w:pPr>
        <w:pageBreakBefore w:val="0"/>
        <w:kinsoku/>
        <w:overflowPunct/>
        <w:topLinePunct w:val="0"/>
        <w:bidi w:val="0"/>
        <w:jc w:val="left"/>
        <w:outlineLvl w:val="9"/>
        <w:rPr>
          <w:rFonts w:hint="eastAsia" w:ascii="仿宋_GB2312" w:hAnsi="宋体" w:eastAsia="仿宋_GB2312" w:cs="仿宋"/>
          <w:b/>
          <w:kern w:val="0"/>
          <w:sz w:val="24"/>
        </w:rPr>
      </w:pPr>
      <w:r>
        <w:rPr>
          <w:rFonts w:hint="eastAsia" w:ascii="仿宋_GB2312" w:hAnsi="宋体" w:eastAsia="仿宋_GB2312" w:cs="宋体"/>
          <w:b/>
          <w:kern w:val="0"/>
          <w:sz w:val="24"/>
        </w:rPr>
        <w:t>认定部门：</w:t>
      </w:r>
      <w:r>
        <w:rPr>
          <w:rFonts w:hint="eastAsia" w:ascii="仿宋_GB2312" w:hAnsi="宋体" w:eastAsia="仿宋_GB2312" w:cs="宋体"/>
          <w:b/>
          <w:kern w:val="0"/>
          <w:sz w:val="24"/>
          <w:u w:val="single"/>
        </w:rPr>
        <w:t xml:space="preserve">                    </w:t>
      </w:r>
      <w:r>
        <w:rPr>
          <w:rFonts w:hint="eastAsia" w:ascii="仿宋_GB2312" w:hAnsi="宋体" w:eastAsia="仿宋_GB2312" w:cs="仿宋"/>
          <w:b/>
          <w:kern w:val="0"/>
          <w:sz w:val="24"/>
        </w:rPr>
        <w:t xml:space="preserve">                     制表人：</w:t>
      </w:r>
      <w:r>
        <w:rPr>
          <w:rFonts w:hint="eastAsia" w:ascii="仿宋_GB2312" w:hAnsi="宋体" w:eastAsia="仿宋_GB2312" w:cs="仿宋"/>
          <w:b/>
          <w:kern w:val="0"/>
          <w:sz w:val="24"/>
          <w:u w:val="single"/>
        </w:rPr>
        <w:t xml:space="preserve">               </w:t>
      </w:r>
      <w:r>
        <w:rPr>
          <w:rFonts w:hint="eastAsia" w:ascii="仿宋_GB2312" w:hAnsi="宋体" w:eastAsia="仿宋_GB2312" w:cs="仿宋"/>
          <w:b/>
          <w:kern w:val="0"/>
          <w:sz w:val="24"/>
        </w:rPr>
        <w:t xml:space="preserve">          </w:t>
      </w:r>
      <w:r>
        <w:rPr>
          <w:rFonts w:hint="eastAsia" w:ascii="仿宋_GB2312" w:hAnsi="宋体" w:eastAsia="仿宋_GB2312" w:cs="仿宋"/>
          <w:b/>
          <w:sz w:val="24"/>
          <w:u w:val="single"/>
        </w:rPr>
        <w:t>　  　　</w:t>
      </w:r>
      <w:r>
        <w:rPr>
          <w:rFonts w:hint="eastAsia" w:ascii="仿宋_GB2312" w:hAnsi="宋体" w:eastAsia="仿宋_GB2312" w:cs="仿宋"/>
          <w:b/>
          <w:sz w:val="24"/>
        </w:rPr>
        <w:t>年</w:t>
      </w:r>
      <w:r>
        <w:rPr>
          <w:rFonts w:hint="eastAsia" w:ascii="仿宋_GB2312" w:hAnsi="宋体" w:eastAsia="仿宋_GB2312" w:cs="仿宋"/>
          <w:b/>
          <w:sz w:val="24"/>
          <w:u w:val="single"/>
        </w:rPr>
        <w:t>　　</w:t>
      </w:r>
      <w:r>
        <w:rPr>
          <w:rFonts w:hint="eastAsia" w:ascii="仿宋_GB2312" w:hAnsi="宋体" w:eastAsia="仿宋_GB2312" w:cs="仿宋"/>
          <w:b/>
          <w:sz w:val="24"/>
        </w:rPr>
        <w:t>月</w:t>
      </w:r>
      <w:r>
        <w:rPr>
          <w:rFonts w:hint="eastAsia" w:ascii="仿宋_GB2312" w:hAnsi="宋体" w:eastAsia="仿宋_GB2312" w:cs="仿宋"/>
          <w:b/>
          <w:sz w:val="24"/>
          <w:u w:val="single"/>
        </w:rPr>
        <w:t>　　</w:t>
      </w:r>
      <w:r>
        <w:rPr>
          <w:rFonts w:hint="eastAsia" w:ascii="仿宋_GB2312" w:hAnsi="宋体" w:eastAsia="仿宋_GB2312" w:cs="仿宋"/>
          <w:b/>
          <w:sz w:val="24"/>
        </w:rPr>
        <w:t>日</w:t>
      </w:r>
    </w:p>
    <w:tbl>
      <w:tblPr>
        <w:tblStyle w:val="14"/>
        <w:tblW w:w="132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4"/>
        <w:gridCol w:w="1842"/>
        <w:gridCol w:w="2552"/>
        <w:gridCol w:w="1055"/>
        <w:gridCol w:w="1701"/>
        <w:gridCol w:w="1276"/>
        <w:gridCol w:w="850"/>
        <w:gridCol w:w="2174"/>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88" w:hRule="atLeast"/>
          <w:jc w:val="center"/>
        </w:trPr>
        <w:tc>
          <w:tcPr>
            <w:tcW w:w="60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hAnsi="宋体" w:eastAsia="仿宋_GB2312"/>
                <w:b/>
                <w:sz w:val="21"/>
                <w:szCs w:val="21"/>
              </w:rPr>
            </w:pPr>
            <w:r>
              <w:rPr>
                <w:rFonts w:hint="eastAsia" w:ascii="仿宋_GB2312" w:hAnsi="宋体" w:eastAsia="仿宋_GB2312" w:cs="仿宋"/>
                <w:b/>
                <w:sz w:val="21"/>
                <w:szCs w:val="21"/>
              </w:rPr>
              <w:t>序号</w:t>
            </w:r>
          </w:p>
        </w:tc>
        <w:tc>
          <w:tcPr>
            <w:tcW w:w="1842"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hAnsi="宋体" w:eastAsia="仿宋_GB2312"/>
                <w:b/>
                <w:sz w:val="21"/>
                <w:szCs w:val="21"/>
              </w:rPr>
            </w:pPr>
            <w:r>
              <w:rPr>
                <w:rFonts w:hint="eastAsia" w:ascii="仿宋_GB2312" w:hAnsi="宋体" w:eastAsia="仿宋_GB2312" w:cs="仿宋"/>
                <w:b/>
                <w:sz w:val="21"/>
                <w:szCs w:val="21"/>
              </w:rPr>
              <w:t>学生所属学院</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jc w:val="center"/>
              <w:outlineLvl w:val="9"/>
              <w:rPr>
                <w:rFonts w:hint="eastAsia" w:ascii="仿宋_GB2312" w:hAnsi="宋体" w:eastAsia="仿宋_GB2312" w:cs="仿宋"/>
                <w:b/>
                <w:sz w:val="21"/>
                <w:szCs w:val="21"/>
              </w:rPr>
            </w:pPr>
            <w:r>
              <w:rPr>
                <w:rFonts w:hint="eastAsia" w:ascii="仿宋_GB2312" w:hAnsi="宋体" w:eastAsia="仿宋_GB2312" w:cs="仿宋"/>
                <w:b/>
                <w:sz w:val="21"/>
                <w:szCs w:val="21"/>
              </w:rPr>
              <w:t>学生班级</w:t>
            </w:r>
          </w:p>
        </w:tc>
        <w:tc>
          <w:tcPr>
            <w:tcW w:w="10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jc w:val="center"/>
              <w:outlineLvl w:val="9"/>
              <w:rPr>
                <w:rFonts w:hint="eastAsia" w:ascii="仿宋_GB2312" w:hAnsi="宋体" w:eastAsia="仿宋_GB2312" w:cs="仿宋"/>
                <w:b/>
                <w:sz w:val="21"/>
                <w:szCs w:val="21"/>
              </w:rPr>
            </w:pPr>
            <w:r>
              <w:rPr>
                <w:rFonts w:hint="eastAsia" w:ascii="仿宋_GB2312" w:hAnsi="宋体" w:eastAsia="仿宋_GB2312" w:cs="仿宋"/>
                <w:b/>
                <w:sz w:val="21"/>
                <w:szCs w:val="21"/>
              </w:rPr>
              <w:t>学生姓名</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jc w:val="center"/>
              <w:outlineLvl w:val="9"/>
              <w:rPr>
                <w:rFonts w:hint="eastAsia" w:ascii="仿宋_GB2312" w:hAnsi="宋体" w:eastAsia="仿宋_GB2312" w:cs="仿宋"/>
                <w:b/>
                <w:sz w:val="21"/>
                <w:szCs w:val="21"/>
              </w:rPr>
            </w:pPr>
            <w:r>
              <w:rPr>
                <w:rFonts w:hint="eastAsia" w:ascii="仿宋_GB2312" w:hAnsi="宋体" w:eastAsia="仿宋_GB2312" w:cs="仿宋"/>
                <w:b/>
                <w:sz w:val="21"/>
                <w:szCs w:val="21"/>
              </w:rPr>
              <w:t>学号</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jc w:val="center"/>
              <w:outlineLvl w:val="9"/>
              <w:rPr>
                <w:rFonts w:hint="eastAsia" w:ascii="仿宋_GB2312" w:hAnsi="宋体" w:eastAsia="仿宋_GB2312" w:cs="仿宋"/>
                <w:b/>
                <w:sz w:val="21"/>
                <w:szCs w:val="21"/>
              </w:rPr>
            </w:pPr>
            <w:r>
              <w:rPr>
                <w:rFonts w:hint="eastAsia" w:ascii="仿宋_GB2312" w:hAnsi="宋体" w:eastAsia="仿宋_GB2312" w:cs="仿宋"/>
                <w:b/>
                <w:sz w:val="21"/>
                <w:szCs w:val="21"/>
              </w:rPr>
              <w:t>奖励学分</w:t>
            </w:r>
          </w:p>
          <w:p>
            <w:pPr>
              <w:pageBreakBefore w:val="0"/>
              <w:kinsoku/>
              <w:overflowPunct/>
              <w:topLinePunct w:val="0"/>
              <w:bidi w:val="0"/>
              <w:snapToGrid w:val="0"/>
              <w:jc w:val="center"/>
              <w:outlineLvl w:val="9"/>
              <w:rPr>
                <w:rFonts w:hint="eastAsia" w:ascii="仿宋_GB2312" w:hAnsi="宋体" w:eastAsia="仿宋_GB2312" w:cs="仿宋"/>
                <w:b/>
                <w:sz w:val="21"/>
                <w:szCs w:val="21"/>
              </w:rPr>
            </w:pPr>
            <w:r>
              <w:rPr>
                <w:rFonts w:hint="eastAsia" w:ascii="仿宋_GB2312" w:hAnsi="宋体" w:eastAsia="仿宋_GB2312" w:cs="仿宋"/>
                <w:b/>
                <w:sz w:val="21"/>
                <w:szCs w:val="21"/>
              </w:rPr>
              <w:t>类别</w:t>
            </w:r>
          </w:p>
        </w:tc>
        <w:tc>
          <w:tcPr>
            <w:tcW w:w="850"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hAnsi="宋体" w:eastAsia="仿宋_GB2312" w:cs="仿宋"/>
                <w:b/>
                <w:sz w:val="21"/>
                <w:szCs w:val="21"/>
              </w:rPr>
            </w:pPr>
            <w:r>
              <w:rPr>
                <w:rFonts w:hint="eastAsia" w:ascii="仿宋_GB2312" w:hAnsi="宋体" w:eastAsia="仿宋_GB2312" w:cs="仿宋"/>
                <w:b/>
                <w:sz w:val="21"/>
                <w:szCs w:val="21"/>
              </w:rPr>
              <w:t>奖励学</w:t>
            </w:r>
          </w:p>
          <w:p>
            <w:pPr>
              <w:pageBreakBefore w:val="0"/>
              <w:kinsoku/>
              <w:overflowPunct/>
              <w:topLinePunct w:val="0"/>
              <w:bidi w:val="0"/>
              <w:snapToGrid w:val="0"/>
              <w:jc w:val="center"/>
              <w:outlineLvl w:val="9"/>
              <w:rPr>
                <w:rFonts w:hint="eastAsia" w:ascii="仿宋_GB2312" w:hAnsi="宋体" w:eastAsia="仿宋_GB2312"/>
                <w:b/>
                <w:sz w:val="21"/>
                <w:szCs w:val="21"/>
              </w:rPr>
            </w:pPr>
            <w:r>
              <w:rPr>
                <w:rFonts w:hint="eastAsia" w:ascii="仿宋_GB2312" w:hAnsi="宋体" w:eastAsia="仿宋_GB2312" w:cs="仿宋"/>
                <w:b/>
                <w:sz w:val="21"/>
                <w:szCs w:val="21"/>
              </w:rPr>
              <w:t>分数</w:t>
            </w:r>
          </w:p>
        </w:tc>
        <w:tc>
          <w:tcPr>
            <w:tcW w:w="217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hAnsi="宋体" w:eastAsia="仿宋_GB2312"/>
                <w:b/>
                <w:sz w:val="21"/>
                <w:szCs w:val="21"/>
              </w:rPr>
            </w:pPr>
            <w:r>
              <w:rPr>
                <w:rFonts w:hint="eastAsia" w:ascii="仿宋_GB2312" w:hAnsi="宋体" w:eastAsia="仿宋_GB2312" w:cs="仿宋"/>
                <w:b/>
                <w:sz w:val="21"/>
                <w:szCs w:val="21"/>
              </w:rPr>
              <w:t>课程名称</w:t>
            </w:r>
          </w:p>
        </w:tc>
        <w:tc>
          <w:tcPr>
            <w:tcW w:w="1235"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jc w:val="center"/>
              <w:outlineLvl w:val="9"/>
              <w:rPr>
                <w:rFonts w:hint="eastAsia" w:ascii="仿宋_GB2312" w:hAnsi="宋体" w:eastAsia="仿宋_GB2312"/>
                <w:b/>
                <w:sz w:val="21"/>
                <w:szCs w:val="21"/>
              </w:rPr>
            </w:pPr>
            <w:r>
              <w:rPr>
                <w:rFonts w:hint="eastAsia" w:ascii="仿宋_GB2312" w:hAnsi="宋体" w:eastAsia="仿宋_GB2312" w:cs="仿宋"/>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0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842"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850"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17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35"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0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842"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850"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17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35"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0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842"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850"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17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35"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0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842"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850"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17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35"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0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842"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850"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17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35"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0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842"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850"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17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35"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0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842"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850"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2174"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c>
          <w:tcPr>
            <w:tcW w:w="1235" w:type="dxa"/>
            <w:tcBorders>
              <w:top w:val="single" w:color="auto" w:sz="4" w:space="0"/>
              <w:left w:val="single" w:color="auto" w:sz="4" w:space="0"/>
              <w:bottom w:val="single" w:color="auto" w:sz="4" w:space="0"/>
              <w:right w:val="single" w:color="000000" w:sz="2" w:space="0"/>
            </w:tcBorders>
            <w:noWrap w:val="0"/>
            <w:vAlign w:val="center"/>
          </w:tcPr>
          <w:p>
            <w:pPr>
              <w:pageBreakBefore w:val="0"/>
              <w:kinsoku/>
              <w:overflowPunct/>
              <w:topLinePunct w:val="0"/>
              <w:bidi w:val="0"/>
              <w:snapToGrid w:val="0"/>
              <w:ind w:firstLine="480"/>
              <w:jc w:val="center"/>
              <w:outlineLvl w:val="9"/>
              <w:rPr>
                <w:rFonts w:hint="eastAsia" w:ascii="仿宋_GB2312" w:hAnsi="宋体" w:eastAsia="仿宋_GB2312"/>
                <w:sz w:val="24"/>
              </w:rPr>
            </w:pPr>
          </w:p>
        </w:tc>
      </w:tr>
    </w:tbl>
    <w:p>
      <w:pPr>
        <w:pageBreakBefore w:val="0"/>
        <w:kinsoku/>
        <w:overflowPunct/>
        <w:topLinePunct w:val="0"/>
        <w:bidi w:val="0"/>
        <w:snapToGrid w:val="0"/>
        <w:ind w:firstLine="560"/>
        <w:jc w:val="left"/>
        <w:outlineLvl w:val="9"/>
        <w:rPr>
          <w:rFonts w:hint="eastAsia" w:ascii="仿宋_GB2312" w:hAnsi="宋体" w:eastAsia="仿宋_GB2312"/>
        </w:rPr>
      </w:pPr>
    </w:p>
    <w:p>
      <w:pPr>
        <w:pageBreakBefore w:val="0"/>
        <w:kinsoku/>
        <w:overflowPunct/>
        <w:topLinePunct w:val="0"/>
        <w:bidi w:val="0"/>
        <w:snapToGrid w:val="0"/>
        <w:jc w:val="left"/>
        <w:outlineLvl w:val="9"/>
        <w:rPr>
          <w:rFonts w:ascii="仿宋_GB2312" w:hAnsi="宋体" w:eastAsia="仿宋_GB2312"/>
          <w:sz w:val="21"/>
          <w:szCs w:val="21"/>
        </w:rPr>
        <w:sectPr>
          <w:headerReference r:id="rId4" w:type="default"/>
          <w:footerReference r:id="rId6" w:type="default"/>
          <w:headerReference r:id="rId5" w:type="even"/>
          <w:footerReference r:id="rId7" w:type="even"/>
          <w:pgSz w:w="16838" w:h="11906" w:orient="landscape"/>
          <w:pgMar w:top="1588" w:right="2098" w:bottom="1474" w:left="1985" w:header="851" w:footer="1559" w:gutter="0"/>
          <w:pgNumType w:fmt="decimal"/>
          <w:cols w:space="425" w:num="1"/>
          <w:docGrid w:type="linesAndChars" w:linePitch="381" w:charSpace="0"/>
        </w:sectPr>
      </w:pPr>
      <w:r>
        <w:rPr>
          <w:rFonts w:hint="eastAsia" w:ascii="仿宋_GB2312" w:hAnsi="宋体" w:eastAsia="仿宋_GB2312"/>
          <w:sz w:val="21"/>
          <w:szCs w:val="21"/>
        </w:rPr>
        <w:t>说明：各责任部门将认定结果汇总到本表中，报教务与实训管理处统一录入。</w:t>
      </w: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eastAsia" w:ascii="宋体" w:hAnsi="宋体"/>
          <w:b/>
          <w:bCs/>
          <w:color w:val="000000"/>
          <w:sz w:val="36"/>
          <w:szCs w:val="36"/>
          <w:lang w:val="en-US" w:eastAsia="zh-CN"/>
        </w:rPr>
      </w:pPr>
      <w:bookmarkStart w:id="437" w:name="_Toc1964"/>
      <w:bookmarkStart w:id="438" w:name="_Toc6730"/>
      <w:bookmarkStart w:id="439" w:name="_Toc27205_WPSOffice_Level1"/>
      <w:bookmarkStart w:id="440" w:name="_Toc4328"/>
      <w:bookmarkStart w:id="441" w:name="_Toc7045"/>
      <w:r>
        <w:rPr>
          <w:rFonts w:hint="eastAsia" w:ascii="宋体" w:hAnsi="宋体"/>
          <w:b/>
          <w:bCs/>
          <w:color w:val="000000"/>
          <w:sz w:val="36"/>
          <w:szCs w:val="36"/>
          <w:lang w:val="en-US" w:eastAsia="zh-CN"/>
        </w:rPr>
        <w:t>柳州职业技术学院学生技能竞赛管理办法</w:t>
      </w:r>
      <w:bookmarkEnd w:id="437"/>
      <w:bookmarkEnd w:id="438"/>
      <w:bookmarkEnd w:id="439"/>
      <w:bookmarkEnd w:id="440"/>
      <w:bookmarkEnd w:id="441"/>
    </w:p>
    <w:p>
      <w:pPr>
        <w:pageBreakBefore w:val="0"/>
        <w:kinsoku/>
        <w:overflowPunct/>
        <w:topLinePunct w:val="0"/>
        <w:bidi w:val="0"/>
        <w:jc w:val="center"/>
        <w:outlineLvl w:val="9"/>
        <w:rPr>
          <w:rFonts w:ascii="仿宋_GB2312" w:hAnsi="Calibri" w:eastAsia="仿宋_GB2312"/>
          <w:sz w:val="32"/>
          <w:szCs w:val="32"/>
        </w:rPr>
      </w:pPr>
      <w:r>
        <w:rPr>
          <w:rFonts w:hint="eastAsia" w:ascii="仿宋_GB2312" w:hAnsi="Calibri" w:eastAsia="仿宋_GB2312"/>
          <w:sz w:val="32"/>
          <w:szCs w:val="32"/>
        </w:rPr>
        <w:t>柳职院字〔2020〕37 号</w:t>
      </w: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42" w:name="_Toc5839_WPSOffice_Level1"/>
      <w:r>
        <w:rPr>
          <w:rFonts w:hint="eastAsia" w:ascii="黑体" w:hAnsi="黑体" w:eastAsia="黑体" w:cs="宋体"/>
          <w:b/>
          <w:color w:val="000000"/>
          <w:sz w:val="32"/>
          <w:szCs w:val="32"/>
        </w:rPr>
        <w:t>第一章  总则</w:t>
      </w:r>
      <w:bookmarkEnd w:id="442"/>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第一条  </w:t>
      </w:r>
      <w:r>
        <w:rPr>
          <w:rFonts w:hint="eastAsia" w:ascii="仿宋_GB2312" w:hAnsi="宋体" w:eastAsia="仿宋_GB2312" w:cs="宋体"/>
          <w:color w:val="000000"/>
          <w:sz w:val="32"/>
          <w:szCs w:val="32"/>
        </w:rPr>
        <w:t>为了进一步培养学生的专业技能、实践能力、创新意识和团队合作精神，积极推进技能竞赛活动的开展，营造“人人参与技能竞赛，人人争做技能高手”的良好学习环境和氛围，促进学校各级各类技能大赛管理科学化和规范化，进一步提高人才培养质量，特制定本办法。</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第二条</w:t>
      </w:r>
      <w:r>
        <w:rPr>
          <w:rFonts w:hint="eastAsia" w:ascii="仿宋_GB2312" w:hAnsi="宋体" w:eastAsia="仿宋_GB2312" w:cs="宋体"/>
          <w:color w:val="000000"/>
          <w:sz w:val="32"/>
          <w:szCs w:val="32"/>
        </w:rPr>
        <w:t xml:space="preserve">  技能竞赛是指依据专门的职业技能标准，结合专业人才培养体系开展的、以解决实际问题能力、职业素养和操作技能、创新创业素质和能力为重点的、有组织的竞赛活动。本管理办法中的技能竞赛，包括校内技能竞赛和校外技能竞赛，分专业技能竞赛和通用技能竞赛两类。</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第三条  </w:t>
      </w:r>
      <w:r>
        <w:rPr>
          <w:rFonts w:hint="eastAsia" w:ascii="仿宋_GB2312" w:hAnsi="宋体" w:eastAsia="仿宋_GB2312" w:cs="宋体"/>
          <w:color w:val="000000"/>
          <w:sz w:val="32"/>
          <w:szCs w:val="32"/>
        </w:rPr>
        <w:t>校内技能竞赛是指由学校统一举办，二级学院或其他部门实施的技能竞赛；校外技能竞赛是指由教育、人力资源管理部门等政府部门，或者行业协会、企业等校外组织机构举办的技能竞赛。</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第四条  </w:t>
      </w:r>
      <w:r>
        <w:rPr>
          <w:rFonts w:hint="eastAsia" w:ascii="仿宋_GB2312" w:hAnsi="宋体" w:eastAsia="仿宋_GB2312" w:cs="宋体"/>
          <w:color w:val="000000"/>
          <w:sz w:val="32"/>
          <w:szCs w:val="32"/>
        </w:rPr>
        <w:t>专业技能竞赛一般是指与专业技术直接相关的、需要经过专门性技能训练的竞赛。创新创业类竞赛、学科竞赛（英语、数学建模）纳入专业技能竞赛管理范畴。通用技能竞赛一般指与专业无直接对应关系，从事职业活动普遍需要的技能竞赛。</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第五条  </w:t>
      </w:r>
      <w:r>
        <w:rPr>
          <w:rFonts w:hint="eastAsia" w:ascii="仿宋_GB2312" w:hAnsi="宋体" w:eastAsia="仿宋_GB2312" w:cs="宋体"/>
          <w:color w:val="000000"/>
          <w:sz w:val="32"/>
          <w:szCs w:val="32"/>
        </w:rPr>
        <w:t>校内技能竞赛原则上一年举办一次，每个专业群至少开设一项专业技能竞赛，每个学生每年至少参加一项技能竞赛。</w:t>
      </w:r>
    </w:p>
    <w:p>
      <w:pPr>
        <w:pageBreakBefore w:val="0"/>
        <w:kinsoku/>
        <w:overflowPunct/>
        <w:topLinePunct w:val="0"/>
        <w:bidi w:val="0"/>
        <w:spacing w:line="596" w:lineRule="exact"/>
        <w:ind w:firstLine="643" w:firstLineChars="200"/>
        <w:jc w:val="center"/>
        <w:outlineLvl w:val="9"/>
        <w:rPr>
          <w:rFonts w:hint="eastAsia" w:ascii="仿宋_GB2312" w:hAnsi="宋体" w:eastAsia="仿宋_GB2312" w:cs="宋体"/>
          <w:b/>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43" w:name="_Toc22188_WPSOffice_Level1"/>
      <w:r>
        <w:rPr>
          <w:rFonts w:hint="eastAsia" w:ascii="黑体" w:hAnsi="黑体" w:eastAsia="黑体" w:cs="宋体"/>
          <w:b/>
          <w:color w:val="000000"/>
          <w:sz w:val="32"/>
          <w:szCs w:val="32"/>
        </w:rPr>
        <w:t>第二章  技能竞赛的指导思想和基本原则</w:t>
      </w:r>
      <w:bookmarkEnd w:id="443"/>
    </w:p>
    <w:p>
      <w:pPr>
        <w:pageBreakBefore w:val="0"/>
        <w:kinsoku/>
        <w:overflowPunct/>
        <w:topLinePunct w:val="0"/>
        <w:bidi w:val="0"/>
        <w:spacing w:line="596" w:lineRule="exact"/>
        <w:ind w:firstLine="643"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第六条  </w:t>
      </w:r>
      <w:r>
        <w:rPr>
          <w:rFonts w:hint="eastAsia" w:ascii="仿宋_GB2312" w:hAnsi="宋体" w:eastAsia="仿宋_GB2312" w:cs="宋体"/>
          <w:color w:val="000000"/>
          <w:sz w:val="32"/>
          <w:szCs w:val="32"/>
        </w:rPr>
        <w:t>指导思想</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技能竞赛要贯彻国家教育方针，落实立德树人根本任务，遵循职业教育规律和学生身心发展规律，坚持“四项基本原则”和融入社会主义核心价值观，培养有理想信念、工匠精神、高超技艺的“素养·管理·创新”国际化复合型技术技能人才，重点考察学生的职业素养、工作规范、技能水平、可持续发展能力等，搭建学生展示个人才华、检验人才培养质量的平台，促进教学内容和考核方式改革，提高学生就业竞争力，彰显办学特色与教育教学改革成果。</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第七条  </w:t>
      </w:r>
      <w:r>
        <w:rPr>
          <w:rFonts w:hint="eastAsia" w:ascii="仿宋_GB2312" w:hAnsi="宋体" w:eastAsia="仿宋_GB2312" w:cs="宋体"/>
          <w:color w:val="000000"/>
          <w:sz w:val="32"/>
          <w:szCs w:val="32"/>
        </w:rPr>
        <w:t>基本原则</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1．校内技能竞赛举办的基本原则</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技能竞赛和教学改革相结合原则。竞赛项目一方面突出相关专业人才培养的特点与要求，另一方面引领教学改革，构建能力训练体系。竞赛项目的设计要与人才培养方案中对第二课堂的设计相对应，将技能竞赛与课程考核结合起来，与职业技能鉴定结合起来，与先进技术相结合，与创新创业结合。</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学校组织与企业参与相结合原则。技能竞赛要注重吸纳企业的参与，体现高职教育“产教融合、校企合作，工学结合”的特点。竞赛项目要在对企业进行调研的基础上进行设计、开发，提倡与企业共同开发竞赛项目；引进企业评分标准，邀请企业作为竞赛项目的裁判；充分利用企业的真实生产环境和设施设备来开展竞赛。</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专业技能与通用技能相结合原则。专业技能与通用技能是密切相关的。竞赛项目要注重展示与考察学生的综合专业技能、职业素养与团队合作精神。竞赛评价标准要注意引导学生既重视专业技能训练，又注重职业规范、职业素养的养成。对职业道德的考核实行一票否决制。</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全面参与和重点培养相结合原则。竞赛项目的设计要充分考虑学生的参与面，做到“人人有机会参加”；同时，将国家、省市级有关的竞赛项目引进学校，校内专业竞赛在赛项设置、评分标准、技术要求等方面与校外专业竞赛充分衔接，建立起层层选拔的竞赛机制，通过校内竞赛来发现人才、培养人才。</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 校外技能竞赛的参与原则</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积极参加具有影响力的、与学校的人才培养对接的、体现学校办学水平的赛事，不鼓励参加商业性的技能竞赛。</w:t>
      </w:r>
    </w:p>
    <w:p>
      <w:pPr>
        <w:pageBreakBefore w:val="0"/>
        <w:kinsoku/>
        <w:overflowPunct/>
        <w:topLinePunct w:val="0"/>
        <w:bidi w:val="0"/>
        <w:spacing w:line="596" w:lineRule="exact"/>
        <w:ind w:firstLine="643" w:firstLineChars="200"/>
        <w:jc w:val="center"/>
        <w:outlineLvl w:val="9"/>
        <w:rPr>
          <w:rFonts w:hint="eastAsia" w:ascii="仿宋_GB2312" w:hAnsi="宋体" w:eastAsia="仿宋_GB2312" w:cs="宋体"/>
          <w:b/>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44" w:name="_Toc32021_WPSOffice_Level1"/>
      <w:r>
        <w:rPr>
          <w:rFonts w:hint="eastAsia" w:ascii="黑体" w:hAnsi="黑体" w:eastAsia="黑体" w:cs="宋体"/>
          <w:b/>
          <w:color w:val="000000"/>
          <w:sz w:val="32"/>
          <w:szCs w:val="32"/>
        </w:rPr>
        <w:t>第三章  技能竞赛的组织机构及其工作职责</w:t>
      </w:r>
      <w:bookmarkEnd w:id="444"/>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第八条  </w:t>
      </w:r>
      <w:r>
        <w:rPr>
          <w:rFonts w:hint="eastAsia" w:ascii="仿宋_GB2312" w:hAnsi="宋体" w:eastAsia="仿宋_GB2312" w:cs="宋体"/>
          <w:color w:val="000000"/>
          <w:sz w:val="32"/>
          <w:szCs w:val="32"/>
        </w:rPr>
        <w:t>专业技能竞赛管理部门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主管教学工作的校领导主管专业技能竞赛，负责审批专业技能竞赛的整体规划、竞赛项目的举办或参与（含竞赛级别的认定）、竞赛项目的承办、资金使用、设备和耗材采购等。教务与实训管理处是其归口管理部门。主要职责是：</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 校内专业技能竞赛整体规划与安排；</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 xml:space="preserve">2. 转发校外各级各类专业技能竞赛信息，协调校外专业技能竞赛参赛事宜； </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 xml:space="preserve">3. 初审二级学院专业技能竞赛的整体计划、竞赛项目的举办或参与（含竞赛级别的认定）、竞赛项目的承办、竞赛资金使用、设备和耗材的采购等； </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4.组织制定学校参加校外专业技能竞赛的工作方案并组织实施；</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5.组织制定学校承办校外专业技能竞赛的工作方案并组织实施。</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6.与校外有关部门协调专业竞赛参赛、承办事宜，与学校其他部门协调技能竞赛的有关工作。</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第九条 </w:t>
      </w:r>
      <w:r>
        <w:rPr>
          <w:rFonts w:hint="eastAsia" w:ascii="仿宋_GB2312" w:hAnsi="宋体" w:eastAsia="仿宋_GB2312" w:cs="宋体"/>
          <w:color w:val="000000"/>
          <w:sz w:val="32"/>
          <w:szCs w:val="32"/>
        </w:rPr>
        <w:t xml:space="preserve"> 通用技能竞赛管理部门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主管学生工作的校领导主管通用技能竞赛，负责审批通用技能竞赛的整体规划、竞赛项目的举办或参与（含竞赛级别的认定），竞赛项目的承办、资金使用、设备和耗材采购等。</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学生工作处和团委是其归口管理部门。主要职责是：</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1.校内通用技能竞赛整体规划与安排；</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 xml:space="preserve">2.转发校外各级各类通用技能竞赛信息，协调校外通用技能竞赛参赛事宜； </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3.初审通用技能竞赛的整体计划、竞赛项目的举办或参与（含竞赛级别的认定）、校外竞赛项目的承办、资金使用、设备和耗材的采购等；</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4.与学校其他部门协调技能竞赛的有关工作；与校外有关部门协调通用技能竞赛参赛、承办事宜。</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第十条 </w:t>
      </w:r>
      <w:r>
        <w:rPr>
          <w:rFonts w:hint="eastAsia" w:ascii="仿宋_GB2312" w:hAnsi="宋体" w:eastAsia="仿宋_GB2312" w:cs="宋体"/>
          <w:color w:val="000000"/>
          <w:sz w:val="32"/>
          <w:szCs w:val="32"/>
        </w:rPr>
        <w:t xml:space="preserve"> 技能竞赛实施部门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竞赛实施部门是指具体实施校内技能竞赛的部门、承办校外技能竞赛的部门、组织参加校外技能竞赛的部门，只有二级学院和行政部门有实施技能竞赛的资格，其他学生社团、教学团队等非实体部门不能直接实施技能竞赛。</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 xml:space="preserve">竞赛实施部门负责竞赛工作的具体组织和实施，主要职责如下： </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1.制定本部门技能竞赛承办、举办和参加赛项计划；</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2.负责制订校内技能竞赛相关技术文件、参加校外技能竞赛的实施方案（含培训方案）、承办校外技能竞赛的实施方案；</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3.负责各级各类技能竞赛的宣传动员、组织报名；</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4.负责按照要求准备各级各类技能竞赛所需的场地、仪器设备等；</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5.负责安排指导教师进行校外各级各类技能竞赛的具体培训和指导工作；</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6.负责各级各类技能竞赛相关资料的收集和存档，资料主要包括竞赛方案、竞赛过程资料（文字、图片、视频等）、竞赛结果和总结等。</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第十一条  </w:t>
      </w:r>
      <w:r>
        <w:rPr>
          <w:rFonts w:hint="eastAsia" w:ascii="仿宋_GB2312" w:hAnsi="宋体" w:eastAsia="仿宋_GB2312" w:cs="宋体"/>
          <w:color w:val="000000"/>
          <w:sz w:val="32"/>
          <w:szCs w:val="32"/>
        </w:rPr>
        <w:t>技能竞赛协助部门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技能竞赛项目由相应管理部门、竞赛实施部门会同学校其他部门对竞赛有关工作进行协调，主要工作包括：</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安排相关领导专家的接待、酒店住宿、交通车辆安排等工作；</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协助竞赛实施部门和管理部门开展技能竞赛的宣传报道工作；</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技能竞赛网络环境支持、相关视频材料的采集、年度技能竞赛宣传片的制作等工作；</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协助竞赛实施部门和管理部门做好技能竞赛场地布置、材料、设备购置、医务服务、突发事件处理等工作；</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技能竞赛与职业资格和技术等级鉴定结合的相关事项。</w:t>
      </w:r>
    </w:p>
    <w:p>
      <w:pPr>
        <w:pageBreakBefore w:val="0"/>
        <w:kinsoku/>
        <w:overflowPunct/>
        <w:topLinePunct w:val="0"/>
        <w:bidi w:val="0"/>
        <w:spacing w:line="596" w:lineRule="exact"/>
        <w:ind w:firstLine="643" w:firstLineChars="200"/>
        <w:jc w:val="center"/>
        <w:outlineLvl w:val="9"/>
        <w:rPr>
          <w:rFonts w:hint="eastAsia" w:ascii="仿宋_GB2312" w:hAnsi="宋体" w:eastAsia="仿宋_GB2312" w:cs="宋体"/>
          <w:b/>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45" w:name="_Toc29835_WPSOffice_Level1"/>
      <w:r>
        <w:rPr>
          <w:rFonts w:hint="eastAsia" w:ascii="黑体" w:hAnsi="黑体" w:eastAsia="黑体" w:cs="宋体"/>
          <w:b/>
          <w:color w:val="000000"/>
          <w:sz w:val="32"/>
          <w:szCs w:val="32"/>
        </w:rPr>
        <w:t>第四章  技能竞赛项目的申报、审批和实施</w:t>
      </w:r>
      <w:bookmarkEnd w:id="445"/>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第十二条  </w:t>
      </w:r>
      <w:r>
        <w:rPr>
          <w:rFonts w:hint="eastAsia" w:ascii="仿宋_GB2312" w:hAnsi="宋体" w:eastAsia="仿宋_GB2312" w:cs="宋体"/>
          <w:color w:val="000000"/>
          <w:sz w:val="32"/>
          <w:szCs w:val="32"/>
        </w:rPr>
        <w:t>技能竞赛项目的申报</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一般而言，承办、举办、参加技能竞赛项目必须先申报，经批准后，方可实施。</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专业技能竞赛项目向教务与实训管理处申报。每年秋学期各二级学院（部门）向学校提出下一年的参加校外专业技能竞赛、举办校内专业技能竞赛申请。</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通用技能竞赛向学生工作处和团委申报。</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第十三条  </w:t>
      </w:r>
      <w:r>
        <w:rPr>
          <w:rFonts w:hint="eastAsia" w:ascii="仿宋_GB2312" w:hAnsi="宋体" w:eastAsia="仿宋_GB2312" w:cs="宋体"/>
          <w:color w:val="000000"/>
          <w:sz w:val="32"/>
          <w:szCs w:val="32"/>
        </w:rPr>
        <w:t>专业技能竞赛项目的审批</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1.校外专业技能竞赛项目</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教务与实训管理处组织召开评审会，专家根据各部门提供的赛项介绍、参赛的必要性、选手选拔与培训方案、经费预算等方面内容进行评审论证。初步确定参赛赛项后上报学校审批，审批同意后予以立项，发文公布方可实施。参赛申请表及立项评审标准每学年另行通知公布。</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予以立项的赛项属于计划内的赛项。未立项的临时增加的属计划外的赛项，需向学校提出申请，提交流程，审批同意后方可实施。</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每个校外赛项学校支持4个参赛队，超过4个参赛队的由学生自愿或者二级学院支持。</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2.校内专业技能竞赛项目</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教务与实训管理处组织召开评审会，初步确定参赛赛项后上报学校审批，审批同意后予以立项，发文公布方可实施。办赛申请表及立项评审标准每学年另行通知公布。</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专业人才培养方案中的技能竞赛应按照人才培养方案安排开设。计划外增加的校内专业技能竞赛需重新申请，学校审批后方可立项实施。</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校内专业技能竞赛项目设置一、二、三等奖，以参赛总数为基数，原则上按10%、20%、30%确定。如有特别要求的，按实际情况设置奖项。参赛队数（或人数）超过50队（人），应设有初赛、复赛和决赛，以决赛参赛人数为基数。</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第十四条</w:t>
      </w:r>
      <w:r>
        <w:rPr>
          <w:rFonts w:hint="eastAsia" w:ascii="仿宋_GB2312" w:hAnsi="宋体" w:eastAsia="仿宋_GB2312" w:cs="宋体"/>
          <w:color w:val="000000"/>
          <w:sz w:val="32"/>
          <w:szCs w:val="32"/>
        </w:rPr>
        <w:t xml:space="preserve">  通用技能竞赛项目的审批</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通用技能竞赛项目的承办部门向归口管理部门提交赛项申请，归口管理部门组织评审小组对申报的项目进行评审。报主管领导审批，经批准后才能开展。</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第十五条  </w:t>
      </w:r>
      <w:r>
        <w:rPr>
          <w:rFonts w:hint="eastAsia" w:ascii="仿宋_GB2312" w:hAnsi="宋体" w:eastAsia="仿宋_GB2312" w:cs="宋体"/>
          <w:color w:val="000000"/>
          <w:sz w:val="32"/>
          <w:szCs w:val="32"/>
        </w:rPr>
        <w:t>技能竞赛项目的实施</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校外技能竞赛在批准参加后，由相关二级学院根据竞赛要求，负责指派经验丰富、责任心强的教师担任指导教师、选拔学生或组队训练和参赛。</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校内技能竞赛由相应管理部门统筹安排竞赛进程，统一管理。竞赛实施部门制定竞赛项目工作方案，包括：本二级学院竞赛组织机构、人员职责、开设赛项信息、进度安排、经费预算等内容。竞赛实施部门进行有关的宣传、报名、组织竞赛等具体工作。</w:t>
      </w:r>
    </w:p>
    <w:p>
      <w:pPr>
        <w:pageBreakBefore w:val="0"/>
        <w:kinsoku/>
        <w:overflowPunct/>
        <w:topLinePunct w:val="0"/>
        <w:bidi w:val="0"/>
        <w:spacing w:line="596" w:lineRule="exact"/>
        <w:ind w:firstLine="643" w:firstLineChars="200"/>
        <w:jc w:val="center"/>
        <w:outlineLvl w:val="9"/>
        <w:rPr>
          <w:rFonts w:hint="eastAsia" w:ascii="仿宋_GB2312" w:hAnsi="宋体" w:eastAsia="仿宋_GB2312" w:cs="宋体"/>
          <w:b/>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46" w:name="_Toc14340_WPSOffice_Level1"/>
      <w:r>
        <w:rPr>
          <w:rFonts w:hint="eastAsia" w:ascii="黑体" w:hAnsi="黑体" w:eastAsia="黑体" w:cs="宋体"/>
          <w:b/>
          <w:color w:val="000000"/>
          <w:sz w:val="32"/>
          <w:szCs w:val="32"/>
        </w:rPr>
        <w:t>第五章  技能竞赛项目的培训</w:t>
      </w:r>
      <w:bookmarkEnd w:id="446"/>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第十六条 </w:t>
      </w:r>
      <w:r>
        <w:rPr>
          <w:rFonts w:hint="eastAsia" w:ascii="仿宋_GB2312" w:hAnsi="宋体" w:eastAsia="仿宋_GB2312" w:cs="宋体"/>
          <w:color w:val="000000"/>
          <w:sz w:val="32"/>
          <w:szCs w:val="32"/>
        </w:rPr>
        <w:t xml:space="preserve"> 培训范围和培训时间</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 校内技能竞赛，原则上不组织赛前培训。</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 校外技能竞赛，根据赛事的要求和学生的基础决定是否需要组织赛前培训，训练尽量不与学生正常上课时间冲突。若特殊情况下确实需要在寒暑假集中安排训练或培训，则实施部门事前提出申请，经审批后方可执行。</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第十七条 </w:t>
      </w:r>
      <w:r>
        <w:rPr>
          <w:rFonts w:hint="eastAsia" w:ascii="仿宋_GB2312" w:hAnsi="宋体" w:eastAsia="仿宋_GB2312" w:cs="宋体"/>
          <w:color w:val="000000"/>
          <w:sz w:val="32"/>
          <w:szCs w:val="32"/>
        </w:rPr>
        <w:t xml:space="preserve"> 培训要求</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1.需要进行赛前集中培训的，竞赛实施部门必须制订科学规范的赛前培训方案（包括组织机构、指导教师、培训内容与学时、培训地点、设备耗材、经费预算等）。</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2.竞赛实施部门需要做好有关赛前培训教师的考勤和培训日志，作为发放工作量补贴的依据。</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3.相应管理部门应做好培训的考勤检查、培训质量检查等管理工作。</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4.指导教师应根据赛事技术文件（规程或技术标准等）制定科学的培训计划，对学生进行指导，帮助学生通过培训获得良好的职业素养、专业技能、心理素质等综合素质的提高。</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5.必要时，可以聘请校外行业企业专家参与指导学生。</w:t>
      </w:r>
    </w:p>
    <w:p>
      <w:pPr>
        <w:pageBreakBefore w:val="0"/>
        <w:kinsoku/>
        <w:overflowPunct/>
        <w:topLinePunct w:val="0"/>
        <w:bidi w:val="0"/>
        <w:spacing w:line="596" w:lineRule="exact"/>
        <w:ind w:firstLine="643" w:firstLineChars="200"/>
        <w:jc w:val="center"/>
        <w:outlineLvl w:val="9"/>
        <w:rPr>
          <w:rFonts w:hint="eastAsia" w:ascii="仿宋_GB2312" w:hAnsi="宋体" w:eastAsia="仿宋_GB2312" w:cs="宋体"/>
          <w:b/>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47" w:name="_Toc29243_WPSOffice_Level1"/>
      <w:r>
        <w:rPr>
          <w:rFonts w:hint="eastAsia" w:ascii="黑体" w:hAnsi="黑体" w:eastAsia="黑体" w:cs="宋体"/>
          <w:b/>
          <w:color w:val="000000"/>
          <w:sz w:val="32"/>
          <w:szCs w:val="32"/>
        </w:rPr>
        <w:t>第六章  竞赛项目经费使用与管理</w:t>
      </w:r>
      <w:bookmarkEnd w:id="447"/>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第十八条</w:t>
      </w:r>
      <w:r>
        <w:rPr>
          <w:rFonts w:hint="eastAsia" w:ascii="仿宋_GB2312" w:hAnsi="宋体" w:eastAsia="仿宋_GB2312" w:cs="宋体"/>
          <w:color w:val="000000"/>
          <w:sz w:val="32"/>
          <w:szCs w:val="32"/>
        </w:rPr>
        <w:t xml:space="preserve">  竞赛经费管理部门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学校每年划拨的竞赛经费预算，由相应管理部门分别制定经费的使用和管理办法，报财务处审核后执行。</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第十九条</w:t>
      </w:r>
      <w:r>
        <w:rPr>
          <w:rFonts w:hint="eastAsia" w:ascii="仿宋_GB2312" w:hAnsi="宋体" w:eastAsia="仿宋_GB2312" w:cs="宋体"/>
          <w:color w:val="000000"/>
          <w:sz w:val="32"/>
          <w:szCs w:val="32"/>
        </w:rPr>
        <w:t xml:space="preserve">  关于学生收费</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学校已经划拨经费参赛的竞赛活动，不得以任何名义向学生收取未经审批的费用。</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第二十条</w:t>
      </w:r>
      <w:r>
        <w:rPr>
          <w:rFonts w:hint="eastAsia" w:ascii="仿宋_GB2312" w:hAnsi="宋体" w:eastAsia="仿宋_GB2312" w:cs="宋体"/>
          <w:color w:val="000000"/>
          <w:sz w:val="32"/>
          <w:szCs w:val="32"/>
        </w:rPr>
        <w:t xml:space="preserve">  关于社会资助经费</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社会和个人给予技能竞赛的专项资助(包括资金和实物两类)，由获得资助的部门报财务处、资产管理处办理相关手续后方可使用。</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第二十一条  </w:t>
      </w:r>
      <w:r>
        <w:rPr>
          <w:rFonts w:hint="eastAsia" w:ascii="仿宋_GB2312" w:hAnsi="宋体" w:eastAsia="仿宋_GB2312" w:cs="宋体"/>
          <w:color w:val="000000"/>
          <w:sz w:val="32"/>
          <w:szCs w:val="32"/>
        </w:rPr>
        <w:t>竞赛项目经费的使用与管理按《柳州职业技术学院学生专业技能竞赛经费管理和奖励办法》《柳州职业技术学院学生通用技能竞赛经费管理和奖励办法》有关规定执行。</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48" w:name="_Toc28454_WPSOffice_Level1"/>
      <w:r>
        <w:rPr>
          <w:rFonts w:hint="eastAsia" w:ascii="黑体" w:hAnsi="黑体" w:eastAsia="黑体" w:cs="宋体"/>
          <w:b/>
          <w:color w:val="000000"/>
          <w:sz w:val="32"/>
          <w:szCs w:val="32"/>
        </w:rPr>
        <w:t>第七章  校内技能竞赛的申诉与仲裁</w:t>
      </w:r>
      <w:bookmarkEnd w:id="448"/>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第二十二条  </w:t>
      </w:r>
      <w:r>
        <w:rPr>
          <w:rFonts w:hint="eastAsia" w:ascii="仿宋_GB2312" w:hAnsi="宋体" w:eastAsia="仿宋_GB2312" w:cs="宋体"/>
          <w:color w:val="000000"/>
          <w:sz w:val="32"/>
          <w:szCs w:val="32"/>
        </w:rPr>
        <w:t>公示要求</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竞赛项目获奖名单将公示3个工作日，任何个人和部门可以提出异议，提交技能竞赛领导小组办公室审议。</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第二十三条</w:t>
      </w:r>
      <w:r>
        <w:rPr>
          <w:rFonts w:hint="eastAsia" w:ascii="仿宋_GB2312" w:hAnsi="宋体" w:eastAsia="仿宋_GB2312" w:cs="宋体"/>
          <w:color w:val="000000"/>
          <w:sz w:val="32"/>
          <w:szCs w:val="32"/>
        </w:rPr>
        <w:t xml:space="preserve">  受理范围</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受理异议的重点是违反专项竞赛方案的行为，包括竞赛过程中出现的不符合竞赛规定的设备、工具、软件，有失公正的评判、奖励，以及工作人员的违规行为等。</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 xml:space="preserve">对于要求将复评成绩以提高获奖等级的申诉，原则上不予受理，特殊情况可先经二级学院领导小组审核后，由二级学院技能竞赛工作小组核查。 </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第二十四条</w:t>
      </w:r>
      <w:r>
        <w:rPr>
          <w:rFonts w:hint="eastAsia" w:ascii="仿宋_GB2312" w:hAnsi="宋体" w:eastAsia="仿宋_GB2312" w:cs="宋体"/>
          <w:color w:val="000000"/>
          <w:sz w:val="32"/>
          <w:szCs w:val="32"/>
        </w:rPr>
        <w:t xml:space="preserve">  申诉形式</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异议须以书面形式提出。</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个人提出的异议，须写明本人的真实姓名、工作部门（或班级）、通信地址（包括联系电话或电子邮件地址等），并有本人的亲笔签名。</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部门提出的异议，须写明联系人的姓名、通信地址（包括联系电话或电子邮件地址等），并加盖公章。</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 xml:space="preserve">学校工作小组及二级学院工作小组对提出异议的个人或部门给予保密。 </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第二十五条</w:t>
      </w:r>
      <w:r>
        <w:rPr>
          <w:rFonts w:hint="eastAsia" w:ascii="仿宋_GB2312" w:hAnsi="宋体" w:eastAsia="仿宋_GB2312" w:cs="宋体"/>
          <w:color w:val="000000"/>
          <w:sz w:val="32"/>
          <w:szCs w:val="32"/>
        </w:rPr>
        <w:t xml:space="preserve">  仲裁形式</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与受理异议有关的二级学院（部门）工作小组，有责任协助学校领导小组对异议进行调查，并提出处理意见。学校领导小组应在正式受理异议后的两个星期内向申诉人或部门以书面形式答复处理结果。</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49" w:name="_Toc2402_WPSOffice_Level1"/>
      <w:r>
        <w:rPr>
          <w:rFonts w:hint="eastAsia" w:ascii="黑体" w:hAnsi="黑体" w:eastAsia="黑体" w:cs="宋体"/>
          <w:b/>
          <w:color w:val="000000"/>
          <w:sz w:val="32"/>
          <w:szCs w:val="32"/>
        </w:rPr>
        <w:t>第八章  附则</w:t>
      </w:r>
      <w:bookmarkEnd w:id="449"/>
    </w:p>
    <w:p>
      <w:pPr>
        <w:pageBreakBefore w:val="0"/>
        <w:kinsoku/>
        <w:overflowPunct/>
        <w:topLinePunct w:val="0"/>
        <w:bidi w:val="0"/>
        <w:spacing w:line="596" w:lineRule="exact"/>
        <w:ind w:firstLine="643"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第二十六条</w:t>
      </w:r>
      <w:r>
        <w:rPr>
          <w:rFonts w:hint="eastAsia" w:ascii="仿宋_GB2312" w:hAnsi="宋体" w:eastAsia="仿宋_GB2312" w:cs="宋体"/>
          <w:color w:val="000000"/>
          <w:sz w:val="32"/>
          <w:szCs w:val="32"/>
        </w:rPr>
        <w:t xml:space="preserve">  本管理办法自发布之日起施行，《关于印发&lt;学生技能竞赛管理办法&gt;、&lt;学生专业竞赛经费管理和奖励办法&gt;的通知》（柳职院字</w:t>
      </w:r>
      <w:r>
        <w:rPr>
          <w:rFonts w:hint="eastAsia" w:ascii="仿宋_GB2312" w:hAnsi="Calibri" w:eastAsia="仿宋_GB2312"/>
          <w:sz w:val="32"/>
          <w:szCs w:val="32"/>
        </w:rPr>
        <w:t>〔2010〕</w:t>
      </w:r>
      <w:r>
        <w:rPr>
          <w:rFonts w:hint="eastAsia" w:ascii="仿宋_GB2312" w:hAnsi="宋体" w:eastAsia="仿宋_GB2312" w:cs="宋体"/>
          <w:color w:val="000000"/>
          <w:sz w:val="32"/>
          <w:szCs w:val="32"/>
        </w:rPr>
        <w:t>47号）和《关于印发&lt;学生技能竞赛管理办法、学生专业竞赛经费管理和奖励办法补充规定&gt;的通知》（柳职院字</w:t>
      </w:r>
      <w:r>
        <w:rPr>
          <w:rFonts w:hint="eastAsia" w:ascii="仿宋_GB2312" w:hAnsi="Calibri" w:eastAsia="仿宋_GB2312"/>
          <w:sz w:val="32"/>
          <w:szCs w:val="32"/>
        </w:rPr>
        <w:t>〔2011〕</w:t>
      </w:r>
      <w:r>
        <w:rPr>
          <w:rFonts w:hint="eastAsia" w:ascii="仿宋_GB2312" w:hAnsi="宋体" w:eastAsia="仿宋_GB2312" w:cs="宋体"/>
          <w:color w:val="000000"/>
          <w:sz w:val="32"/>
          <w:szCs w:val="32"/>
        </w:rPr>
        <w:t>30</w:t>
      </w:r>
      <w:r>
        <w:rPr>
          <w:rFonts w:hint="eastAsia" w:ascii="仿宋_GB2312" w:hAnsi="宋体" w:eastAsia="仿宋_GB2312" w:cs="宋体"/>
          <w:color w:val="000000"/>
          <w:kern w:val="0"/>
          <w:sz w:val="32"/>
          <w:szCs w:val="32"/>
        </w:rPr>
        <w:t>号）同时废止。此前相关规定如有与本办法规定不一致的，</w:t>
      </w:r>
      <w:r>
        <w:rPr>
          <w:rFonts w:hint="eastAsia" w:ascii="仿宋_GB2312" w:hAnsi="宋体" w:eastAsia="仿宋_GB2312" w:cs="宋体"/>
          <w:color w:val="000000"/>
          <w:sz w:val="32"/>
          <w:szCs w:val="32"/>
        </w:rPr>
        <w:t>以本办法规定为准。</w:t>
      </w:r>
    </w:p>
    <w:p>
      <w:pPr>
        <w:pageBreakBefore w:val="0"/>
        <w:kinsoku/>
        <w:overflowPunct/>
        <w:topLinePunct w:val="0"/>
        <w:bidi w:val="0"/>
        <w:spacing w:line="596" w:lineRule="exact"/>
        <w:ind w:firstLine="643"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第二十七条  </w:t>
      </w:r>
      <w:r>
        <w:rPr>
          <w:rFonts w:hint="eastAsia" w:ascii="仿宋_GB2312" w:hAnsi="宋体" w:eastAsia="仿宋_GB2312" w:cs="宋体"/>
          <w:color w:val="000000"/>
          <w:sz w:val="32"/>
          <w:szCs w:val="32"/>
        </w:rPr>
        <w:t>本办法由教务与实训管理处、学生工作处和团委负责解释。</w:t>
      </w:r>
    </w:p>
    <w:p>
      <w:pPr>
        <w:pageBreakBefore w:val="0"/>
        <w:kinsoku/>
        <w:overflowPunct/>
        <w:topLinePunct w:val="0"/>
        <w:bidi w:val="0"/>
        <w:spacing w:line="596" w:lineRule="exact"/>
        <w:jc w:val="left"/>
        <w:outlineLvl w:val="9"/>
        <w:rPr>
          <w:rFonts w:ascii="黑体" w:hAnsi="Calibri" w:eastAsia="黑体"/>
          <w:sz w:val="32"/>
          <w:szCs w:val="32"/>
        </w:rPr>
      </w:pPr>
      <w:r>
        <w:rPr>
          <w:rFonts w:ascii="仿宋_GB2312" w:hAnsi="宋体" w:eastAsia="仿宋_GB2312" w:cs="仿宋_GB2312"/>
          <w:sz w:val="32"/>
          <w:szCs w:val="32"/>
        </w:rPr>
        <w:br w:type="page"/>
      </w:r>
      <w:r>
        <w:rPr>
          <w:rFonts w:hint="eastAsia" w:ascii="黑体" w:hAnsi="Calibri" w:eastAsia="黑体"/>
          <w:sz w:val="32"/>
          <w:szCs w:val="32"/>
        </w:rPr>
        <w:t>附件2：</w:t>
      </w: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eastAsia" w:ascii="宋体" w:hAnsi="宋体"/>
          <w:b/>
          <w:bCs/>
          <w:color w:val="000000"/>
          <w:sz w:val="36"/>
          <w:szCs w:val="36"/>
          <w:lang w:val="en-US" w:eastAsia="zh-CN"/>
        </w:rPr>
      </w:pPr>
      <w:bookmarkStart w:id="450" w:name="_Toc3240_WPSOffice_Level1"/>
      <w:bookmarkStart w:id="451" w:name="_Toc17926"/>
      <w:bookmarkStart w:id="452" w:name="_Toc19280"/>
      <w:bookmarkStart w:id="453" w:name="_Toc24878"/>
      <w:bookmarkStart w:id="454" w:name="_Toc32707"/>
      <w:r>
        <w:rPr>
          <w:rFonts w:hint="eastAsia" w:ascii="宋体" w:hAnsi="宋体"/>
          <w:b/>
          <w:bCs/>
          <w:color w:val="000000"/>
          <w:sz w:val="36"/>
          <w:szCs w:val="36"/>
          <w:lang w:val="en-US" w:eastAsia="zh-CN"/>
        </w:rPr>
        <w:t>柳州职业技术学院学生专业技能竞赛经费管理和奖励办法</w:t>
      </w:r>
      <w:bookmarkEnd w:id="450"/>
      <w:bookmarkEnd w:id="451"/>
      <w:bookmarkEnd w:id="452"/>
      <w:bookmarkEnd w:id="453"/>
      <w:bookmarkEnd w:id="454"/>
    </w:p>
    <w:p>
      <w:pPr>
        <w:pageBreakBefore w:val="0"/>
        <w:kinsoku/>
        <w:overflowPunct/>
        <w:topLinePunct w:val="0"/>
        <w:bidi w:val="0"/>
        <w:spacing w:line="596" w:lineRule="exact"/>
        <w:ind w:firstLine="643" w:firstLineChars="200"/>
        <w:jc w:val="center"/>
        <w:outlineLvl w:val="9"/>
        <w:rPr>
          <w:rFonts w:hint="eastAsia" w:ascii="仿宋_GB2312" w:hAnsi="宋体" w:eastAsia="仿宋_GB2312"/>
          <w:b/>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55" w:name="_Toc15895_WPSOffice_Level1"/>
      <w:r>
        <w:rPr>
          <w:rFonts w:hint="eastAsia" w:ascii="黑体" w:hAnsi="黑体" w:eastAsia="黑体" w:cs="宋体"/>
          <w:b/>
          <w:color w:val="000000"/>
          <w:sz w:val="32"/>
          <w:szCs w:val="32"/>
        </w:rPr>
        <w:t>第一章  总则</w:t>
      </w:r>
      <w:bookmarkEnd w:id="455"/>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b/>
          <w:color w:val="000000"/>
          <w:sz w:val="32"/>
          <w:szCs w:val="32"/>
        </w:rPr>
      </w:pPr>
      <w:r>
        <w:rPr>
          <w:rFonts w:hint="eastAsia" w:ascii="仿宋_GB2312" w:hAnsi="宋体" w:eastAsia="仿宋_GB2312" w:cs="宋体"/>
          <w:b/>
          <w:color w:val="000000"/>
          <w:sz w:val="32"/>
          <w:szCs w:val="32"/>
        </w:rPr>
        <w:t>第一条  专业技能竞赛的界定</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本办法所指的专业技能竞赛一般是指与专业技术直接相关的、需要经过专门性技能训练的竞赛。创新创业类竞赛、学科竞赛（英语、数学建模）纳入专业技能竞赛管理范畴。</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b/>
          <w:color w:val="000000"/>
          <w:sz w:val="32"/>
          <w:szCs w:val="32"/>
        </w:rPr>
      </w:pPr>
      <w:r>
        <w:rPr>
          <w:rFonts w:hint="eastAsia" w:ascii="仿宋_GB2312" w:hAnsi="宋体" w:eastAsia="仿宋_GB2312" w:cs="宋体"/>
          <w:b/>
          <w:color w:val="000000"/>
          <w:sz w:val="32"/>
          <w:szCs w:val="32"/>
        </w:rPr>
        <w:t>第二条  专业技能竞赛项目的类别划分</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根据竞赛项目的主办机构、参赛范围、社会影响力、赛事难度与赛事水平等综合因素，将专业技能竞赛项目划分为A、B、C、D、E五个类别。竞赛项目类别划分标准见表1。一般说来，某一赛事的下一级选拔赛在赛事类别的基础上降低一个类别。</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sz w:val="32"/>
          <w:szCs w:val="32"/>
        </w:rPr>
        <w:t>竞赛项目的类别是划拨各类专业技能竞赛工作量与奖励经费的主要依据。</w:t>
      </w:r>
      <w:r>
        <w:rPr>
          <w:rFonts w:hint="eastAsia" w:ascii="仿宋_GB2312" w:hAnsi="宋体" w:eastAsia="仿宋_GB2312" w:cs="宋体"/>
          <w:color w:val="000000"/>
          <w:sz w:val="32"/>
          <w:szCs w:val="32"/>
        </w:rPr>
        <w:t>如赛项无法明确对应以上级别及等次划分的竞赛，由专业技能竞赛管理部门（教务与实训管理处）根据赛事实际情况组织学校相关专家审核确定。</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sz w:val="32"/>
          <w:szCs w:val="32"/>
        </w:rPr>
        <w:t>学校根据办学定位和赛事的影响力，重点支持部分典型赛事，具体见《学校重点支持专业技能竞赛典型赛事一览表》（附表）所示。根据实际工作需要，学校重点支持的典型赛事每年可以适当调整。</w:t>
      </w:r>
    </w:p>
    <w:p>
      <w:pPr>
        <w:pageBreakBefore w:val="0"/>
        <w:kinsoku/>
        <w:overflowPunct/>
        <w:topLinePunct w:val="0"/>
        <w:bidi w:val="0"/>
        <w:spacing w:line="596" w:lineRule="exact"/>
        <w:jc w:val="center"/>
        <w:outlineLvl w:val="9"/>
        <w:rPr>
          <w:rFonts w:hint="eastAsia" w:ascii="仿宋_GB2312" w:hAnsi="宋体" w:eastAsia="仿宋_GB2312"/>
          <w:sz w:val="32"/>
          <w:szCs w:val="32"/>
        </w:rPr>
      </w:pPr>
      <w:r>
        <w:rPr>
          <w:rFonts w:hint="eastAsia" w:ascii="仿宋_GB2312" w:hAnsi="宋体" w:eastAsia="仿宋_GB2312"/>
          <w:sz w:val="32"/>
          <w:szCs w:val="32"/>
        </w:rPr>
        <w:t>表1 柳州职业技术学院学生专业技能竞赛类别划分标准</w:t>
      </w:r>
    </w:p>
    <w:tbl>
      <w:tblPr>
        <w:tblStyle w:val="14"/>
        <w:tblW w:w="89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89"/>
        <w:gridCol w:w="876"/>
        <w:gridCol w:w="7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1665" w:type="dxa"/>
            <w:gridSpan w:val="2"/>
            <w:noWrap w:val="0"/>
            <w:vAlign w:val="center"/>
          </w:tcPr>
          <w:p>
            <w:pPr>
              <w:pageBreakBefore w:val="0"/>
              <w:kinsoku/>
              <w:overflowPunct/>
              <w:topLinePunct w:val="0"/>
              <w:bidi w:val="0"/>
              <w:jc w:val="center"/>
              <w:outlineLvl w:val="9"/>
              <w:rPr>
                <w:rFonts w:hint="eastAsia" w:ascii="仿宋_GB2312" w:hAnsi="宋体" w:eastAsia="仿宋_GB2312"/>
                <w:b/>
                <w:kern w:val="0"/>
                <w:sz w:val="24"/>
              </w:rPr>
            </w:pPr>
            <w:r>
              <w:rPr>
                <w:rFonts w:hint="eastAsia" w:ascii="仿宋_GB2312" w:hAnsi="宋体" w:eastAsia="仿宋_GB2312"/>
                <w:b/>
                <w:kern w:val="0"/>
                <w:sz w:val="24"/>
              </w:rPr>
              <w:t>竞赛类别</w:t>
            </w:r>
          </w:p>
        </w:tc>
        <w:tc>
          <w:tcPr>
            <w:tcW w:w="7276" w:type="dxa"/>
            <w:noWrap w:val="0"/>
            <w:vAlign w:val="center"/>
          </w:tcPr>
          <w:p>
            <w:pPr>
              <w:pageBreakBefore w:val="0"/>
              <w:kinsoku/>
              <w:overflowPunct/>
              <w:topLinePunct w:val="0"/>
              <w:bidi w:val="0"/>
              <w:jc w:val="center"/>
              <w:outlineLvl w:val="9"/>
              <w:rPr>
                <w:rFonts w:hint="eastAsia" w:ascii="仿宋_GB2312" w:hAnsi="宋体" w:eastAsia="仿宋_GB2312"/>
                <w:b/>
                <w:kern w:val="0"/>
                <w:sz w:val="24"/>
              </w:rPr>
            </w:pPr>
            <w:r>
              <w:rPr>
                <w:rFonts w:hint="eastAsia" w:ascii="仿宋_GB2312" w:hAnsi="宋体" w:eastAsia="仿宋_GB2312"/>
                <w:b/>
                <w:kern w:val="0"/>
                <w:sz w:val="24"/>
              </w:rPr>
              <w:t>竞赛项目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789" w:type="dxa"/>
            <w:vMerge w:val="restart"/>
            <w:noWrap w:val="0"/>
            <w:vAlign w:val="center"/>
          </w:tcPr>
          <w:p>
            <w:pPr>
              <w:pageBreakBefore w:val="0"/>
              <w:kinsoku/>
              <w:overflowPunct/>
              <w:topLinePunct w:val="0"/>
              <w:bidi w:val="0"/>
              <w:jc w:val="center"/>
              <w:outlineLvl w:val="9"/>
              <w:rPr>
                <w:rFonts w:hint="eastAsia" w:ascii="仿宋_GB2312" w:hAnsi="宋体" w:eastAsia="仿宋_GB2312"/>
                <w:sz w:val="24"/>
              </w:rPr>
            </w:pPr>
            <w:r>
              <w:rPr>
                <w:rFonts w:hint="eastAsia" w:ascii="仿宋_GB2312" w:hAnsi="宋体" w:eastAsia="仿宋_GB2312"/>
                <w:sz w:val="24"/>
              </w:rPr>
              <w:t>A</w:t>
            </w:r>
          </w:p>
        </w:tc>
        <w:tc>
          <w:tcPr>
            <w:tcW w:w="876" w:type="dxa"/>
            <w:noWrap w:val="0"/>
            <w:vAlign w:val="center"/>
          </w:tcPr>
          <w:p>
            <w:pPr>
              <w:pageBreakBefore w:val="0"/>
              <w:kinsoku/>
              <w:overflowPunct/>
              <w:topLinePunct w:val="0"/>
              <w:bidi w:val="0"/>
              <w:jc w:val="center"/>
              <w:outlineLvl w:val="9"/>
              <w:rPr>
                <w:rFonts w:hint="eastAsia" w:ascii="仿宋_GB2312" w:hAnsi="宋体" w:eastAsia="仿宋_GB2312"/>
                <w:sz w:val="24"/>
              </w:rPr>
            </w:pPr>
            <w:r>
              <w:rPr>
                <w:rFonts w:hint="eastAsia" w:ascii="仿宋_GB2312" w:hAnsi="宋体" w:eastAsia="仿宋_GB2312"/>
                <w:sz w:val="24"/>
              </w:rPr>
              <w:t>A1</w:t>
            </w:r>
          </w:p>
        </w:tc>
        <w:tc>
          <w:tcPr>
            <w:tcW w:w="7276" w:type="dxa"/>
            <w:noWrap w:val="0"/>
            <w:vAlign w:val="center"/>
          </w:tcPr>
          <w:p>
            <w:pPr>
              <w:pageBreakBefore w:val="0"/>
              <w:kinsoku/>
              <w:overflowPunct/>
              <w:topLinePunct w:val="0"/>
              <w:bidi w:val="0"/>
              <w:outlineLvl w:val="9"/>
              <w:rPr>
                <w:rFonts w:hint="eastAsia" w:ascii="仿宋_GB2312" w:hAnsi="宋体" w:eastAsia="仿宋_GB2312"/>
                <w:color w:val="000000"/>
                <w:sz w:val="24"/>
              </w:rPr>
            </w:pPr>
            <w:r>
              <w:rPr>
                <w:rFonts w:hint="eastAsia" w:ascii="仿宋_GB2312" w:hAnsi="宋体" w:eastAsia="仿宋_GB2312"/>
                <w:color w:val="000000"/>
                <w:sz w:val="24"/>
              </w:rPr>
              <w:t>国际组织主办的重大国际性技能大赛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789" w:type="dxa"/>
            <w:vMerge w:val="continue"/>
            <w:noWrap w:val="0"/>
            <w:vAlign w:val="center"/>
          </w:tcPr>
          <w:p>
            <w:pPr>
              <w:pageBreakBefore w:val="0"/>
              <w:kinsoku/>
              <w:overflowPunct/>
              <w:topLinePunct w:val="0"/>
              <w:bidi w:val="0"/>
              <w:jc w:val="center"/>
              <w:outlineLvl w:val="9"/>
              <w:rPr>
                <w:rFonts w:hint="eastAsia" w:ascii="仿宋_GB2312" w:hAnsi="宋体" w:eastAsia="仿宋_GB2312"/>
                <w:sz w:val="24"/>
              </w:rPr>
            </w:pPr>
          </w:p>
        </w:tc>
        <w:tc>
          <w:tcPr>
            <w:tcW w:w="876" w:type="dxa"/>
            <w:noWrap w:val="0"/>
            <w:vAlign w:val="center"/>
          </w:tcPr>
          <w:p>
            <w:pPr>
              <w:pageBreakBefore w:val="0"/>
              <w:kinsoku/>
              <w:overflowPunct/>
              <w:topLinePunct w:val="0"/>
              <w:bidi w:val="0"/>
              <w:jc w:val="center"/>
              <w:outlineLvl w:val="9"/>
              <w:rPr>
                <w:rFonts w:hint="eastAsia" w:ascii="仿宋_GB2312" w:hAnsi="宋体" w:eastAsia="仿宋_GB2312"/>
                <w:sz w:val="24"/>
              </w:rPr>
            </w:pPr>
            <w:r>
              <w:rPr>
                <w:rFonts w:hint="eastAsia" w:ascii="仿宋_GB2312" w:hAnsi="宋体" w:eastAsia="仿宋_GB2312"/>
                <w:sz w:val="24"/>
              </w:rPr>
              <w:t>A2</w:t>
            </w:r>
          </w:p>
        </w:tc>
        <w:tc>
          <w:tcPr>
            <w:tcW w:w="7276" w:type="dxa"/>
            <w:noWrap w:val="0"/>
            <w:vAlign w:val="center"/>
          </w:tcPr>
          <w:p>
            <w:pPr>
              <w:pageBreakBefore w:val="0"/>
              <w:kinsoku/>
              <w:overflowPunct/>
              <w:topLinePunct w:val="0"/>
              <w:bidi w:val="0"/>
              <w:outlineLvl w:val="9"/>
              <w:rPr>
                <w:rFonts w:hint="eastAsia" w:ascii="仿宋_GB2312" w:hAnsi="宋体" w:eastAsia="仿宋_GB2312"/>
                <w:color w:val="000000"/>
                <w:sz w:val="24"/>
              </w:rPr>
            </w:pPr>
            <w:r>
              <w:rPr>
                <w:rFonts w:hint="eastAsia" w:ascii="仿宋_GB2312" w:hAnsi="宋体" w:eastAsia="仿宋_GB2312"/>
                <w:color w:val="000000"/>
                <w:sz w:val="24"/>
              </w:rPr>
              <w:t>国际组织主办的国际区域性技能大赛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789" w:type="dxa"/>
            <w:vMerge w:val="continue"/>
            <w:noWrap w:val="0"/>
            <w:vAlign w:val="center"/>
          </w:tcPr>
          <w:p>
            <w:pPr>
              <w:pageBreakBefore w:val="0"/>
              <w:kinsoku/>
              <w:overflowPunct/>
              <w:topLinePunct w:val="0"/>
              <w:bidi w:val="0"/>
              <w:jc w:val="center"/>
              <w:outlineLvl w:val="9"/>
              <w:rPr>
                <w:rFonts w:hint="eastAsia" w:ascii="仿宋_GB2312" w:hAnsi="宋体" w:eastAsia="仿宋_GB2312"/>
                <w:sz w:val="24"/>
              </w:rPr>
            </w:pPr>
          </w:p>
        </w:tc>
        <w:tc>
          <w:tcPr>
            <w:tcW w:w="876" w:type="dxa"/>
            <w:noWrap w:val="0"/>
            <w:vAlign w:val="center"/>
          </w:tcPr>
          <w:p>
            <w:pPr>
              <w:pageBreakBefore w:val="0"/>
              <w:kinsoku/>
              <w:overflowPunct/>
              <w:topLinePunct w:val="0"/>
              <w:bidi w:val="0"/>
              <w:jc w:val="center"/>
              <w:outlineLvl w:val="9"/>
              <w:rPr>
                <w:rFonts w:hint="eastAsia" w:ascii="仿宋_GB2312" w:hAnsi="宋体" w:eastAsia="仿宋_GB2312"/>
                <w:sz w:val="24"/>
              </w:rPr>
            </w:pPr>
            <w:r>
              <w:rPr>
                <w:rFonts w:hint="eastAsia" w:ascii="仿宋_GB2312" w:hAnsi="宋体" w:eastAsia="仿宋_GB2312"/>
                <w:sz w:val="24"/>
              </w:rPr>
              <w:t>A3</w:t>
            </w:r>
          </w:p>
        </w:tc>
        <w:tc>
          <w:tcPr>
            <w:tcW w:w="7276" w:type="dxa"/>
            <w:noWrap w:val="0"/>
            <w:vAlign w:val="center"/>
          </w:tcPr>
          <w:p>
            <w:pPr>
              <w:pageBreakBefore w:val="0"/>
              <w:kinsoku/>
              <w:overflowPunct/>
              <w:topLinePunct w:val="0"/>
              <w:bidi w:val="0"/>
              <w:outlineLvl w:val="9"/>
              <w:rPr>
                <w:rFonts w:hint="eastAsia" w:ascii="仿宋_GB2312" w:hAnsi="宋体" w:eastAsia="仿宋_GB2312"/>
                <w:color w:val="000000"/>
                <w:sz w:val="24"/>
              </w:rPr>
            </w:pPr>
            <w:r>
              <w:rPr>
                <w:rFonts w:hint="eastAsia" w:ascii="仿宋_GB2312" w:hAnsi="宋体" w:eastAsia="仿宋_GB2312"/>
                <w:color w:val="000000"/>
                <w:sz w:val="24"/>
              </w:rPr>
              <w:t>教育部主办的全国职业院校技能大赛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1665" w:type="dxa"/>
            <w:gridSpan w:val="2"/>
            <w:noWrap w:val="0"/>
            <w:vAlign w:val="center"/>
          </w:tcPr>
          <w:p>
            <w:pPr>
              <w:pageBreakBefore w:val="0"/>
              <w:kinsoku/>
              <w:overflowPunct/>
              <w:topLinePunct w:val="0"/>
              <w:bidi w:val="0"/>
              <w:jc w:val="center"/>
              <w:outlineLvl w:val="9"/>
              <w:rPr>
                <w:rFonts w:hint="eastAsia" w:ascii="仿宋_GB2312" w:hAnsi="宋体" w:eastAsia="仿宋_GB2312"/>
                <w:sz w:val="24"/>
              </w:rPr>
            </w:pPr>
            <w:r>
              <w:rPr>
                <w:rFonts w:hint="eastAsia" w:ascii="仿宋_GB2312" w:hAnsi="宋体" w:eastAsia="仿宋_GB2312"/>
                <w:sz w:val="24"/>
              </w:rPr>
              <w:t>B</w:t>
            </w:r>
          </w:p>
        </w:tc>
        <w:tc>
          <w:tcPr>
            <w:tcW w:w="7276" w:type="dxa"/>
            <w:noWrap w:val="0"/>
            <w:vAlign w:val="center"/>
          </w:tcPr>
          <w:p>
            <w:pPr>
              <w:pageBreakBefore w:val="0"/>
              <w:kinsoku/>
              <w:overflowPunct/>
              <w:topLinePunct w:val="0"/>
              <w:bidi w:val="0"/>
              <w:spacing w:line="360" w:lineRule="exact"/>
              <w:outlineLvl w:val="9"/>
              <w:rPr>
                <w:rFonts w:hint="eastAsia" w:ascii="仿宋_GB2312" w:hAnsi="宋体" w:eastAsia="仿宋_GB2312"/>
                <w:color w:val="000000"/>
                <w:sz w:val="24"/>
              </w:rPr>
            </w:pPr>
            <w:r>
              <w:rPr>
                <w:rFonts w:hint="eastAsia" w:ascii="仿宋_GB2312" w:hAnsi="宋体" w:eastAsia="仿宋_GB2312"/>
                <w:color w:val="000000"/>
                <w:sz w:val="24"/>
              </w:rPr>
              <w:t>教育部所属管理司主办的大赛</w:t>
            </w:r>
          </w:p>
          <w:p>
            <w:pPr>
              <w:pageBreakBefore w:val="0"/>
              <w:kinsoku/>
              <w:overflowPunct/>
              <w:topLinePunct w:val="0"/>
              <w:bidi w:val="0"/>
              <w:spacing w:line="360" w:lineRule="exact"/>
              <w:outlineLvl w:val="9"/>
              <w:rPr>
                <w:rFonts w:hint="eastAsia" w:ascii="仿宋_GB2312" w:hAnsi="宋体" w:eastAsia="仿宋_GB2312"/>
                <w:color w:val="000000"/>
                <w:sz w:val="24"/>
              </w:rPr>
            </w:pPr>
            <w:r>
              <w:rPr>
                <w:rFonts w:hint="eastAsia" w:ascii="仿宋_GB2312" w:hAnsi="宋体" w:eastAsia="仿宋_GB2312"/>
                <w:color w:val="000000"/>
                <w:sz w:val="24"/>
              </w:rPr>
              <w:t>国家其他部委主办的全国技能大赛</w:t>
            </w:r>
          </w:p>
          <w:p>
            <w:pPr>
              <w:pageBreakBefore w:val="0"/>
              <w:kinsoku/>
              <w:overflowPunct/>
              <w:topLinePunct w:val="0"/>
              <w:bidi w:val="0"/>
              <w:spacing w:line="360" w:lineRule="exact"/>
              <w:outlineLvl w:val="9"/>
              <w:rPr>
                <w:rFonts w:hint="eastAsia" w:ascii="仿宋_GB2312" w:hAnsi="宋体" w:eastAsia="仿宋_GB2312"/>
                <w:color w:val="000000"/>
                <w:sz w:val="24"/>
              </w:rPr>
            </w:pPr>
            <w:r>
              <w:rPr>
                <w:rFonts w:hint="eastAsia" w:ascii="仿宋_GB2312" w:hAnsi="宋体" w:eastAsia="仿宋_GB2312"/>
                <w:color w:val="000000"/>
                <w:sz w:val="24"/>
              </w:rPr>
              <w:t>国家级行业或专业课程教学指导委员会、行业协会、学会主办的专业技能竞赛</w:t>
            </w:r>
          </w:p>
          <w:p>
            <w:pPr>
              <w:pageBreakBefore w:val="0"/>
              <w:kinsoku/>
              <w:overflowPunct/>
              <w:topLinePunct w:val="0"/>
              <w:bidi w:val="0"/>
              <w:spacing w:line="360" w:lineRule="exact"/>
              <w:outlineLvl w:val="9"/>
              <w:rPr>
                <w:rFonts w:hint="eastAsia" w:ascii="仿宋_GB2312" w:hAnsi="宋体" w:eastAsia="仿宋_GB2312"/>
                <w:color w:val="000000"/>
                <w:kern w:val="0"/>
                <w:sz w:val="24"/>
              </w:rPr>
            </w:pPr>
            <w:r>
              <w:rPr>
                <w:rFonts w:hint="eastAsia" w:ascii="仿宋_GB2312" w:hAnsi="宋体" w:eastAsia="仿宋_GB2312"/>
                <w:color w:val="000000"/>
                <w:sz w:val="24"/>
              </w:rPr>
              <w:t>广西教育厅主办的广西职业院校</w:t>
            </w:r>
            <w:r>
              <w:rPr>
                <w:rFonts w:hint="eastAsia" w:ascii="仿宋_GB2312" w:hAnsi="宋体" w:eastAsia="仿宋_GB2312"/>
                <w:color w:val="000000"/>
                <w:kern w:val="0"/>
                <w:sz w:val="24"/>
              </w:rPr>
              <w:t>技能大赛</w:t>
            </w:r>
          </w:p>
          <w:p>
            <w:pPr>
              <w:pageBreakBefore w:val="0"/>
              <w:kinsoku/>
              <w:overflowPunct/>
              <w:topLinePunct w:val="0"/>
              <w:bidi w:val="0"/>
              <w:spacing w:line="360" w:lineRule="exact"/>
              <w:outlineLvl w:val="9"/>
              <w:rPr>
                <w:rFonts w:hint="eastAsia" w:ascii="仿宋_GB2312" w:hAnsi="宋体" w:eastAsia="仿宋_GB2312"/>
                <w:color w:val="000000"/>
                <w:kern w:val="0"/>
                <w:sz w:val="24"/>
              </w:rPr>
            </w:pPr>
            <w:r>
              <w:rPr>
                <w:rFonts w:hint="eastAsia" w:ascii="仿宋_GB2312" w:hAnsi="宋体" w:eastAsia="仿宋_GB2312"/>
                <w:color w:val="000000"/>
                <w:sz w:val="24"/>
              </w:rPr>
              <w:t>广西教育厅主办中国“互联网+”大学生创新创业大赛选拔赛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1665" w:type="dxa"/>
            <w:gridSpan w:val="2"/>
            <w:noWrap w:val="0"/>
            <w:vAlign w:val="center"/>
          </w:tcPr>
          <w:p>
            <w:pPr>
              <w:pageBreakBefore w:val="0"/>
              <w:kinsoku/>
              <w:overflowPunct/>
              <w:topLinePunct w:val="0"/>
              <w:bidi w:val="0"/>
              <w:jc w:val="center"/>
              <w:outlineLvl w:val="9"/>
              <w:rPr>
                <w:rFonts w:hint="eastAsia" w:ascii="仿宋_GB2312" w:hAnsi="宋体" w:eastAsia="仿宋_GB2312"/>
                <w:sz w:val="24"/>
              </w:rPr>
            </w:pPr>
            <w:r>
              <w:rPr>
                <w:rFonts w:hint="eastAsia" w:ascii="仿宋_GB2312" w:hAnsi="宋体" w:eastAsia="仿宋_GB2312"/>
                <w:sz w:val="24"/>
              </w:rPr>
              <w:t>C</w:t>
            </w:r>
          </w:p>
        </w:tc>
        <w:tc>
          <w:tcPr>
            <w:tcW w:w="7276" w:type="dxa"/>
            <w:noWrap w:val="0"/>
            <w:vAlign w:val="center"/>
          </w:tcPr>
          <w:p>
            <w:pPr>
              <w:pageBreakBefore w:val="0"/>
              <w:kinsoku/>
              <w:overflowPunct/>
              <w:topLinePunct w:val="0"/>
              <w:bidi w:val="0"/>
              <w:spacing w:line="360" w:lineRule="exact"/>
              <w:outlineLvl w:val="9"/>
              <w:rPr>
                <w:rFonts w:hint="eastAsia" w:ascii="仿宋_GB2312" w:hAnsi="宋体" w:eastAsia="仿宋_GB2312"/>
                <w:color w:val="000000"/>
                <w:sz w:val="24"/>
              </w:rPr>
            </w:pPr>
            <w:r>
              <w:rPr>
                <w:rFonts w:hint="eastAsia" w:ascii="仿宋_GB2312" w:hAnsi="宋体" w:eastAsia="仿宋_GB2312"/>
                <w:color w:val="000000"/>
                <w:sz w:val="24"/>
              </w:rPr>
              <w:t>广西教育厅主办的其他大赛</w:t>
            </w:r>
          </w:p>
          <w:p>
            <w:pPr>
              <w:pageBreakBefore w:val="0"/>
              <w:kinsoku/>
              <w:overflowPunct/>
              <w:topLinePunct w:val="0"/>
              <w:bidi w:val="0"/>
              <w:spacing w:line="360" w:lineRule="exact"/>
              <w:outlineLvl w:val="9"/>
              <w:rPr>
                <w:rFonts w:hint="eastAsia" w:ascii="仿宋_GB2312" w:hAnsi="宋体" w:eastAsia="仿宋_GB2312"/>
                <w:color w:val="000000"/>
                <w:sz w:val="24"/>
              </w:rPr>
            </w:pPr>
            <w:r>
              <w:rPr>
                <w:rFonts w:hint="eastAsia" w:ascii="仿宋_GB2312" w:hAnsi="宋体" w:eastAsia="仿宋_GB2312"/>
                <w:color w:val="000000"/>
                <w:sz w:val="24"/>
              </w:rPr>
              <w:t>广西其他厅级部门主办的技能大赛</w:t>
            </w:r>
          </w:p>
          <w:p>
            <w:pPr>
              <w:pageBreakBefore w:val="0"/>
              <w:kinsoku/>
              <w:overflowPunct/>
              <w:topLinePunct w:val="0"/>
              <w:bidi w:val="0"/>
              <w:spacing w:line="360" w:lineRule="exact"/>
              <w:outlineLvl w:val="9"/>
              <w:rPr>
                <w:rFonts w:hint="eastAsia" w:ascii="仿宋_GB2312" w:hAnsi="宋体" w:eastAsia="仿宋_GB2312"/>
                <w:color w:val="000000"/>
                <w:sz w:val="24"/>
              </w:rPr>
            </w:pPr>
            <w:r>
              <w:rPr>
                <w:rFonts w:hint="eastAsia" w:ascii="仿宋_GB2312" w:hAnsi="宋体" w:eastAsia="仿宋_GB2312"/>
                <w:color w:val="000000"/>
                <w:sz w:val="24"/>
              </w:rPr>
              <w:t>国家级行业或专业课程教学指导委员会、行业协会、学会下属分会主办的专业技能竞赛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1665" w:type="dxa"/>
            <w:gridSpan w:val="2"/>
            <w:noWrap w:val="0"/>
            <w:vAlign w:val="center"/>
          </w:tcPr>
          <w:p>
            <w:pPr>
              <w:pageBreakBefore w:val="0"/>
              <w:kinsoku/>
              <w:overflowPunct/>
              <w:topLinePunct w:val="0"/>
              <w:bidi w:val="0"/>
              <w:jc w:val="center"/>
              <w:outlineLvl w:val="9"/>
              <w:rPr>
                <w:rFonts w:hint="eastAsia" w:ascii="仿宋_GB2312" w:hAnsi="宋体" w:eastAsia="仿宋_GB2312"/>
                <w:sz w:val="24"/>
              </w:rPr>
            </w:pPr>
            <w:r>
              <w:rPr>
                <w:rFonts w:hint="eastAsia" w:ascii="仿宋_GB2312" w:hAnsi="宋体" w:eastAsia="仿宋_GB2312"/>
                <w:sz w:val="24"/>
              </w:rPr>
              <w:t>D</w:t>
            </w:r>
          </w:p>
        </w:tc>
        <w:tc>
          <w:tcPr>
            <w:tcW w:w="7276" w:type="dxa"/>
            <w:noWrap w:val="0"/>
            <w:vAlign w:val="center"/>
          </w:tcPr>
          <w:p>
            <w:pPr>
              <w:pageBreakBefore w:val="0"/>
              <w:kinsoku/>
              <w:overflowPunct/>
              <w:topLinePunct w:val="0"/>
              <w:bidi w:val="0"/>
              <w:spacing w:line="360" w:lineRule="exact"/>
              <w:outlineLvl w:val="9"/>
              <w:rPr>
                <w:rFonts w:hint="eastAsia" w:ascii="仿宋_GB2312" w:hAnsi="宋体" w:eastAsia="仿宋_GB2312"/>
                <w:sz w:val="24"/>
              </w:rPr>
            </w:pPr>
            <w:r>
              <w:rPr>
                <w:rFonts w:hint="eastAsia" w:ascii="仿宋_GB2312" w:hAnsi="宋体" w:eastAsia="仿宋_GB2312"/>
                <w:sz w:val="24"/>
              </w:rPr>
              <w:t>柳州市政府各局、委主办的职业技能竞赛</w:t>
            </w:r>
          </w:p>
          <w:p>
            <w:pPr>
              <w:pageBreakBefore w:val="0"/>
              <w:kinsoku/>
              <w:overflowPunct/>
              <w:topLinePunct w:val="0"/>
              <w:bidi w:val="0"/>
              <w:spacing w:line="360" w:lineRule="exact"/>
              <w:outlineLvl w:val="9"/>
              <w:rPr>
                <w:rFonts w:hint="eastAsia" w:ascii="仿宋_GB2312" w:hAnsi="宋体" w:eastAsia="仿宋_GB2312"/>
                <w:sz w:val="24"/>
              </w:rPr>
            </w:pPr>
            <w:r>
              <w:rPr>
                <w:rFonts w:hint="eastAsia" w:ascii="仿宋_GB2312" w:hAnsi="宋体" w:eastAsia="仿宋_GB2312"/>
                <w:sz w:val="24"/>
              </w:rPr>
              <w:t>广西职业教育教学指导委员会、行业协会、学会主办的</w:t>
            </w:r>
            <w:r>
              <w:rPr>
                <w:rFonts w:hint="eastAsia" w:ascii="仿宋_GB2312" w:hAnsi="宋体" w:eastAsia="仿宋_GB2312"/>
                <w:color w:val="000000"/>
                <w:sz w:val="24"/>
              </w:rPr>
              <w:t>企业举办的技能竞赛</w:t>
            </w:r>
          </w:p>
          <w:p>
            <w:pPr>
              <w:pageBreakBefore w:val="0"/>
              <w:kinsoku/>
              <w:overflowPunct/>
              <w:topLinePunct w:val="0"/>
              <w:bidi w:val="0"/>
              <w:spacing w:line="360" w:lineRule="exact"/>
              <w:outlineLvl w:val="9"/>
              <w:rPr>
                <w:rFonts w:hint="eastAsia" w:ascii="仿宋_GB2312" w:hAnsi="宋体" w:eastAsia="仿宋_GB2312"/>
                <w:sz w:val="24"/>
              </w:rPr>
            </w:pPr>
            <w:r>
              <w:rPr>
                <w:rFonts w:hint="eastAsia" w:ascii="仿宋_GB2312" w:hAnsi="宋体" w:eastAsia="仿宋_GB2312"/>
                <w:color w:val="000000"/>
                <w:sz w:val="24"/>
              </w:rPr>
              <w:t>企业举办的技能竞赛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1665" w:type="dxa"/>
            <w:gridSpan w:val="2"/>
            <w:noWrap w:val="0"/>
            <w:vAlign w:val="center"/>
          </w:tcPr>
          <w:p>
            <w:pPr>
              <w:pageBreakBefore w:val="0"/>
              <w:kinsoku/>
              <w:overflowPunct/>
              <w:topLinePunct w:val="0"/>
              <w:bidi w:val="0"/>
              <w:jc w:val="center"/>
              <w:outlineLvl w:val="9"/>
              <w:rPr>
                <w:rFonts w:hint="eastAsia" w:ascii="仿宋_GB2312" w:hAnsi="宋体" w:eastAsia="仿宋_GB2312"/>
                <w:sz w:val="24"/>
              </w:rPr>
            </w:pPr>
            <w:r>
              <w:rPr>
                <w:rFonts w:hint="eastAsia" w:ascii="仿宋_GB2312" w:hAnsi="宋体" w:eastAsia="仿宋_GB2312"/>
                <w:sz w:val="24"/>
              </w:rPr>
              <w:t>E</w:t>
            </w:r>
          </w:p>
        </w:tc>
        <w:tc>
          <w:tcPr>
            <w:tcW w:w="7276" w:type="dxa"/>
            <w:noWrap w:val="0"/>
            <w:vAlign w:val="center"/>
          </w:tcPr>
          <w:p>
            <w:pPr>
              <w:pageBreakBefore w:val="0"/>
              <w:kinsoku/>
              <w:overflowPunct/>
              <w:topLinePunct w:val="0"/>
              <w:bidi w:val="0"/>
              <w:outlineLvl w:val="9"/>
              <w:rPr>
                <w:rFonts w:hint="eastAsia" w:ascii="仿宋_GB2312" w:hAnsi="宋体" w:eastAsia="仿宋_GB2312"/>
                <w:sz w:val="24"/>
              </w:rPr>
            </w:pPr>
            <w:r>
              <w:rPr>
                <w:rFonts w:hint="eastAsia" w:ascii="仿宋_GB2312" w:hAnsi="宋体" w:eastAsia="仿宋_GB2312"/>
                <w:sz w:val="24"/>
              </w:rPr>
              <w:t>学校主办的职业技能竞赛</w:t>
            </w:r>
          </w:p>
        </w:tc>
      </w:tr>
    </w:tbl>
    <w:p>
      <w:pPr>
        <w:pageBreakBefore w:val="0"/>
        <w:kinsoku/>
        <w:overflowPunct/>
        <w:topLinePunct w:val="0"/>
        <w:bidi w:val="0"/>
        <w:spacing w:line="596" w:lineRule="exact"/>
        <w:ind w:firstLine="643" w:firstLineChars="200"/>
        <w:outlineLvl w:val="9"/>
        <w:rPr>
          <w:rFonts w:hint="eastAsia" w:ascii="仿宋_GB2312" w:hAnsi="宋体" w:eastAsia="仿宋_GB2312" w:cs="宋体"/>
          <w:b/>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56" w:name="_Toc9336_WPSOffice_Level1"/>
      <w:r>
        <w:rPr>
          <w:rFonts w:hint="eastAsia" w:ascii="黑体" w:hAnsi="黑体" w:eastAsia="黑体" w:cs="宋体"/>
          <w:b/>
          <w:color w:val="000000"/>
          <w:sz w:val="32"/>
          <w:szCs w:val="32"/>
        </w:rPr>
        <w:t>第二章  校外专业技能竞赛的经费管理和奖励</w:t>
      </w:r>
      <w:bookmarkEnd w:id="456"/>
    </w:p>
    <w:p>
      <w:pPr>
        <w:pageBreakBefore w:val="0"/>
        <w:kinsoku/>
        <w:overflowPunct/>
        <w:topLinePunct w:val="0"/>
        <w:bidi w:val="0"/>
        <w:spacing w:line="596" w:lineRule="exact"/>
        <w:ind w:firstLine="643" w:firstLineChars="200"/>
        <w:jc w:val="left"/>
        <w:outlineLvl w:val="9"/>
        <w:rPr>
          <w:rFonts w:hint="eastAsia" w:ascii="楷体_GB2312" w:hAnsi="宋体" w:eastAsia="楷体_GB2312" w:cs="宋体"/>
          <w:b/>
          <w:color w:val="000000"/>
          <w:sz w:val="32"/>
          <w:szCs w:val="32"/>
        </w:rPr>
      </w:pPr>
      <w:r>
        <w:rPr>
          <w:rFonts w:hint="eastAsia" w:ascii="楷体_GB2312" w:hAnsi="宋体" w:eastAsia="楷体_GB2312" w:cs="宋体"/>
          <w:b/>
          <w:color w:val="000000"/>
          <w:sz w:val="32"/>
          <w:szCs w:val="32"/>
        </w:rPr>
        <w:t>（一）竞赛设备耗材、聘请校外专家、参赛等参赛费用（第一类经费）</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第三条  </w:t>
      </w:r>
      <w:r>
        <w:rPr>
          <w:rFonts w:hint="eastAsia" w:ascii="仿宋_GB2312" w:hAnsi="宋体" w:eastAsia="仿宋_GB2312" w:cs="宋体"/>
          <w:color w:val="000000"/>
          <w:sz w:val="32"/>
          <w:szCs w:val="32"/>
        </w:rPr>
        <w:t>第一类经费主要包括竞赛设备租用、采购、升级，参赛作品的制作费；赛前培训的耗材费；聘请校外专家赛前指导的劳务费、差旅费；学生训练期间的生活补助；指导教师和参赛学生外出培训和参赛的食宿交通、差旅补助；参赛的报名费、材料打印和邮寄费、保险费等。</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第四条  </w:t>
      </w:r>
      <w:r>
        <w:rPr>
          <w:rFonts w:hint="eastAsia" w:ascii="仿宋_GB2312" w:hAnsi="宋体" w:eastAsia="仿宋_GB2312" w:cs="宋体"/>
          <w:color w:val="000000"/>
          <w:sz w:val="32"/>
          <w:szCs w:val="32"/>
        </w:rPr>
        <w:t>第一类经费实行分级分类管理。</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1.竞赛设备费：用于竞赛设备的租用、采购、升级等费用纳入二级学院教学建设项目计划，由二级学院提出需求，经论证同意后，学校给予项目经费预算。</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2.竞赛耗材费：竞赛耗材费纳入二级学院的耗材经费计划，由二级学院提出需求，学校每年经费预算时进行统筹划拨。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sz w:val="32"/>
          <w:szCs w:val="32"/>
        </w:rPr>
        <w:t>3.竞赛专项经费：设置二级学院竞赛专项经费。经费用于计划内赛事的赛前参赛作品的制作；聘请校外专家赛前指导的劳务费、差旅费；学生训练期间的训练补助；指导教师和学生外出培训或参赛的食宿交通、差旅补助；参赛费（参赛的报名费、材料打印和邮寄费、保险等）等。</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sz w:val="32"/>
          <w:szCs w:val="32"/>
        </w:rPr>
        <w:t>二级学院竞赛专项经费来源：一是每年从学校技能竞赛专项经费预算中按照参赛计划下拨给二级学院；二是上一年度二级学院竞赛获奖奖励经费下拨给二级学院。</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sz w:val="32"/>
          <w:szCs w:val="32"/>
        </w:rPr>
        <w:t>4.计划外参赛费：二级学院自主申请的计划外赛事的训练及参赛费用、工作量等由二级学院经费支出。</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第五条</w:t>
      </w:r>
      <w:r>
        <w:rPr>
          <w:rFonts w:hint="eastAsia" w:ascii="仿宋_GB2312" w:hAnsi="宋体" w:eastAsia="仿宋_GB2312" w:cs="宋体"/>
          <w:color w:val="000000"/>
          <w:sz w:val="32"/>
          <w:szCs w:val="32"/>
        </w:rPr>
        <w:t xml:space="preserve">  学生训练补助标准：在寒暑假集中训练或培训的，按照每人每天30元的标准发放训练补贴。学生在非寒、暑假期间参加培训或训练的，均不发放训练补贴。已经签订就业协议的学生，在顶岗实习期间返校参加技能竞赛训练和比赛，按照每人每天50元的标准发放补贴。</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第六条 </w:t>
      </w:r>
      <w:r>
        <w:rPr>
          <w:rFonts w:hint="eastAsia" w:ascii="仿宋_GB2312" w:hAnsi="宋体" w:eastAsia="仿宋_GB2312" w:cs="宋体"/>
          <w:color w:val="000000"/>
          <w:sz w:val="32"/>
          <w:szCs w:val="32"/>
        </w:rPr>
        <w:t xml:space="preserve"> 学生参赛补助标准：学生在参赛期间的住宿、城市间交通按实际发生报销。参赛期间补助标准为：在柳州市（包含柳州市管辖的县份）举行的竞赛原则上不发放参赛补助，若因比赛时间长等客观原因影响学生正常用餐的，按每人80元/天的标准发放；参加柳州市以外的竞赛按每人120元/天的标准发放。竞赛主办方统一安排食宿的竞赛，不发放学生参赛补助。</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第七条 </w:t>
      </w:r>
      <w:r>
        <w:rPr>
          <w:rFonts w:hint="eastAsia" w:ascii="仿宋_GB2312" w:hAnsi="宋体" w:eastAsia="仿宋_GB2312" w:cs="宋体"/>
          <w:b/>
          <w:sz w:val="32"/>
          <w:szCs w:val="32"/>
        </w:rPr>
        <w:t xml:space="preserve"> </w:t>
      </w:r>
      <w:r>
        <w:rPr>
          <w:rFonts w:hint="eastAsia" w:ascii="仿宋_GB2312" w:hAnsi="宋体" w:eastAsia="仿宋_GB2312" w:cs="宋体"/>
          <w:sz w:val="32"/>
          <w:szCs w:val="32"/>
        </w:rPr>
        <w:t>聘请企业专业技术人员讲课及指导竞赛训练，参照兼职教师课酬计算工作量。聘请知名度高、级别高的校外专家讲课，参照《关于印发柳州市本级机关培训费管理办法的通知》（柳财行</w:t>
      </w:r>
      <w:r>
        <w:rPr>
          <w:rFonts w:hint="eastAsia" w:ascii="仿宋_GB2312" w:hAnsi="Calibri" w:eastAsia="仿宋_GB2312"/>
          <w:sz w:val="32"/>
          <w:szCs w:val="32"/>
        </w:rPr>
        <w:t>〔2018〕</w:t>
      </w:r>
      <w:r>
        <w:rPr>
          <w:rFonts w:hint="eastAsia" w:ascii="仿宋_GB2312" w:hAnsi="宋体" w:eastAsia="仿宋_GB2312" w:cs="宋体"/>
          <w:sz w:val="32"/>
          <w:szCs w:val="32"/>
        </w:rPr>
        <w:t>7号）的规定计算工作量。</w:t>
      </w:r>
    </w:p>
    <w:p>
      <w:pPr>
        <w:pageBreakBefore w:val="0"/>
        <w:kinsoku/>
        <w:overflowPunct/>
        <w:topLinePunct w:val="0"/>
        <w:bidi w:val="0"/>
        <w:spacing w:line="596" w:lineRule="exact"/>
        <w:ind w:firstLine="643" w:firstLineChars="200"/>
        <w:jc w:val="left"/>
        <w:outlineLvl w:val="9"/>
        <w:rPr>
          <w:rFonts w:hint="eastAsia" w:ascii="楷体_GB2312" w:hAnsi="宋体" w:eastAsia="楷体_GB2312" w:cs="宋体"/>
          <w:b/>
          <w:color w:val="000000"/>
          <w:sz w:val="32"/>
          <w:szCs w:val="32"/>
        </w:rPr>
      </w:pPr>
      <w:r>
        <w:rPr>
          <w:rFonts w:hint="eastAsia" w:ascii="楷体_GB2312" w:hAnsi="宋体" w:eastAsia="楷体_GB2312" w:cs="宋体"/>
          <w:b/>
          <w:color w:val="000000"/>
          <w:sz w:val="32"/>
          <w:szCs w:val="32"/>
        </w:rPr>
        <w:t>（二）指导教师工作量（第二类经费）</w:t>
      </w:r>
    </w:p>
    <w:p>
      <w:pPr>
        <w:pageBreakBefore w:val="0"/>
        <w:kinsoku/>
        <w:overflowPunct/>
        <w:topLinePunct w:val="0"/>
        <w:bidi w:val="0"/>
        <w:spacing w:line="596" w:lineRule="exact"/>
        <w:ind w:firstLine="643"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第八条  </w:t>
      </w:r>
      <w:r>
        <w:rPr>
          <w:rFonts w:hint="eastAsia" w:ascii="仿宋_GB2312" w:hAnsi="宋体" w:eastAsia="仿宋_GB2312" w:cs="宋体"/>
          <w:color w:val="000000"/>
          <w:sz w:val="32"/>
          <w:szCs w:val="32"/>
        </w:rPr>
        <w:t>指导教师工作量实行项目管理制，</w:t>
      </w:r>
      <w:r>
        <w:rPr>
          <w:rFonts w:hint="eastAsia" w:ascii="仿宋_GB2312" w:hAnsi="宋体" w:eastAsia="仿宋_GB2312" w:cs="宋体"/>
          <w:sz w:val="32"/>
          <w:szCs w:val="32"/>
        </w:rPr>
        <w:t>“限定总量”和“实际发生”相结合的计算方法。即一个参赛赛项指导教师工作量超过最高标准的</w:t>
      </w:r>
      <w:r>
        <w:rPr>
          <w:rFonts w:hint="eastAsia" w:ascii="仿宋_GB2312" w:hAnsi="宋体" w:eastAsia="仿宋_GB2312" w:cs="宋体"/>
          <w:color w:val="000000"/>
          <w:sz w:val="32"/>
          <w:szCs w:val="32"/>
        </w:rPr>
        <w:t>按限定总量发放，未超</w:t>
      </w:r>
      <w:r>
        <w:rPr>
          <w:rFonts w:hint="eastAsia" w:ascii="仿宋_GB2312" w:hAnsi="宋体" w:eastAsia="仿宋_GB2312" w:cs="宋体"/>
          <w:sz w:val="32"/>
          <w:szCs w:val="32"/>
        </w:rPr>
        <w:t>最高标准</w:t>
      </w:r>
      <w:r>
        <w:rPr>
          <w:rFonts w:hint="eastAsia" w:ascii="仿宋_GB2312" w:hAnsi="宋体" w:eastAsia="仿宋_GB2312" w:cs="宋体"/>
          <w:color w:val="000000"/>
          <w:sz w:val="32"/>
          <w:szCs w:val="32"/>
        </w:rPr>
        <w:t>的按实际发生发放，计算实际发生的工作量时按照副教授职称的课酬标准。不同的赛事级别对应的指导教师工作量如下表2所示：</w:t>
      </w:r>
    </w:p>
    <w:p>
      <w:pPr>
        <w:pageBreakBefore w:val="0"/>
        <w:kinsoku/>
        <w:overflowPunct/>
        <w:topLinePunct w:val="0"/>
        <w:bidi w:val="0"/>
        <w:spacing w:line="596" w:lineRule="exact"/>
        <w:jc w:val="center"/>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表2 指导教师工作量发放标准</w:t>
      </w:r>
    </w:p>
    <w:tbl>
      <w:tblPr>
        <w:tblStyle w:val="14"/>
        <w:tblW w:w="90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2"/>
        <w:gridCol w:w="2572"/>
        <w:gridCol w:w="4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5054" w:type="dxa"/>
            <w:gridSpan w:val="2"/>
            <w:noWrap w:val="0"/>
            <w:vAlign w:val="center"/>
          </w:tcPr>
          <w:p>
            <w:pPr>
              <w:pageBreakBefore w:val="0"/>
              <w:kinsoku/>
              <w:overflowPunct/>
              <w:topLinePunct w:val="0"/>
              <w:bidi w:val="0"/>
              <w:jc w:val="center"/>
              <w:outlineLvl w:val="9"/>
              <w:rPr>
                <w:rFonts w:ascii="宋体" w:hAnsi="宋体"/>
                <w:color w:val="000000"/>
                <w:kern w:val="0"/>
                <w:sz w:val="24"/>
              </w:rPr>
            </w:pPr>
            <w:r>
              <w:rPr>
                <w:rFonts w:hint="eastAsia" w:ascii="宋体" w:hAnsi="宋体"/>
                <w:color w:val="000000"/>
                <w:kern w:val="0"/>
                <w:sz w:val="24"/>
              </w:rPr>
              <w:t>竞赛类别</w:t>
            </w:r>
          </w:p>
        </w:tc>
        <w:tc>
          <w:tcPr>
            <w:tcW w:w="4005" w:type="dxa"/>
            <w:noWrap w:val="0"/>
            <w:vAlign w:val="center"/>
          </w:tcPr>
          <w:p>
            <w:pPr>
              <w:pageBreakBefore w:val="0"/>
              <w:kinsoku/>
              <w:overflowPunct/>
              <w:topLinePunct w:val="0"/>
              <w:bidi w:val="0"/>
              <w:jc w:val="center"/>
              <w:outlineLvl w:val="9"/>
              <w:rPr>
                <w:rFonts w:ascii="宋体" w:hAnsi="宋体"/>
                <w:color w:val="000000"/>
                <w:kern w:val="0"/>
                <w:sz w:val="24"/>
              </w:rPr>
            </w:pPr>
            <w:r>
              <w:rPr>
                <w:rFonts w:hint="eastAsia" w:ascii="宋体" w:hAnsi="宋体"/>
                <w:color w:val="000000"/>
                <w:kern w:val="0"/>
                <w:sz w:val="24"/>
              </w:rPr>
              <w:t>指导工作量标准（元/项）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82" w:type="dxa"/>
            <w:vMerge w:val="restart"/>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A</w:t>
            </w:r>
          </w:p>
        </w:tc>
        <w:tc>
          <w:tcPr>
            <w:tcW w:w="2572"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A1</w:t>
            </w:r>
          </w:p>
        </w:tc>
        <w:tc>
          <w:tcPr>
            <w:tcW w:w="4005"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82" w:type="dxa"/>
            <w:vMerge w:val="continue"/>
            <w:noWrap w:val="0"/>
            <w:vAlign w:val="center"/>
          </w:tcPr>
          <w:p>
            <w:pPr>
              <w:pageBreakBefore w:val="0"/>
              <w:kinsoku/>
              <w:overflowPunct/>
              <w:topLinePunct w:val="0"/>
              <w:bidi w:val="0"/>
              <w:jc w:val="center"/>
              <w:outlineLvl w:val="9"/>
              <w:rPr>
                <w:rFonts w:ascii="宋体" w:hAnsi="宋体"/>
                <w:color w:val="000000"/>
                <w:sz w:val="24"/>
              </w:rPr>
            </w:pPr>
          </w:p>
        </w:tc>
        <w:tc>
          <w:tcPr>
            <w:tcW w:w="2572"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A2</w:t>
            </w:r>
          </w:p>
        </w:tc>
        <w:tc>
          <w:tcPr>
            <w:tcW w:w="4005"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82" w:type="dxa"/>
            <w:vMerge w:val="continue"/>
            <w:noWrap w:val="0"/>
            <w:vAlign w:val="center"/>
          </w:tcPr>
          <w:p>
            <w:pPr>
              <w:pageBreakBefore w:val="0"/>
              <w:kinsoku/>
              <w:overflowPunct/>
              <w:topLinePunct w:val="0"/>
              <w:bidi w:val="0"/>
              <w:jc w:val="center"/>
              <w:outlineLvl w:val="9"/>
              <w:rPr>
                <w:rFonts w:ascii="宋体" w:hAnsi="宋体"/>
                <w:color w:val="000000"/>
                <w:sz w:val="24"/>
              </w:rPr>
            </w:pPr>
          </w:p>
        </w:tc>
        <w:tc>
          <w:tcPr>
            <w:tcW w:w="2572"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A3</w:t>
            </w:r>
          </w:p>
        </w:tc>
        <w:tc>
          <w:tcPr>
            <w:tcW w:w="4005"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5054" w:type="dxa"/>
            <w:gridSpan w:val="2"/>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B</w:t>
            </w:r>
          </w:p>
        </w:tc>
        <w:tc>
          <w:tcPr>
            <w:tcW w:w="4005"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5054" w:type="dxa"/>
            <w:gridSpan w:val="2"/>
            <w:noWrap w:val="0"/>
            <w:vAlign w:val="center"/>
          </w:tcPr>
          <w:p>
            <w:pPr>
              <w:pageBreakBefore w:val="0"/>
              <w:kinsoku/>
              <w:overflowPunct/>
              <w:topLinePunct w:val="0"/>
              <w:bidi w:val="0"/>
              <w:jc w:val="center"/>
              <w:outlineLvl w:val="9"/>
              <w:rPr>
                <w:rFonts w:ascii="宋体" w:hAnsi="宋体"/>
                <w:color w:val="000000"/>
                <w:kern w:val="0"/>
                <w:sz w:val="24"/>
              </w:rPr>
            </w:pPr>
            <w:r>
              <w:rPr>
                <w:rFonts w:hint="eastAsia" w:ascii="宋体" w:hAnsi="宋体"/>
                <w:color w:val="000000"/>
                <w:kern w:val="0"/>
                <w:sz w:val="24"/>
              </w:rPr>
              <w:t>C</w:t>
            </w:r>
          </w:p>
        </w:tc>
        <w:tc>
          <w:tcPr>
            <w:tcW w:w="4005"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5054" w:type="dxa"/>
            <w:gridSpan w:val="2"/>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D</w:t>
            </w:r>
          </w:p>
        </w:tc>
        <w:tc>
          <w:tcPr>
            <w:tcW w:w="4005"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5054" w:type="dxa"/>
            <w:gridSpan w:val="2"/>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olor w:val="000000"/>
                <w:sz w:val="24"/>
              </w:rPr>
              <w:t>E</w:t>
            </w:r>
          </w:p>
        </w:tc>
        <w:tc>
          <w:tcPr>
            <w:tcW w:w="4005" w:type="dxa"/>
            <w:noWrap w:val="0"/>
            <w:vAlign w:val="center"/>
          </w:tcPr>
          <w:p>
            <w:pPr>
              <w:pageBreakBefore w:val="0"/>
              <w:kinsoku/>
              <w:overflowPunct/>
              <w:topLinePunct w:val="0"/>
              <w:bidi w:val="0"/>
              <w:jc w:val="center"/>
              <w:outlineLvl w:val="9"/>
              <w:rPr>
                <w:rFonts w:ascii="宋体" w:hAnsi="宋体"/>
                <w:color w:val="000000"/>
                <w:sz w:val="24"/>
              </w:rPr>
            </w:pPr>
            <w:r>
              <w:rPr>
                <w:rFonts w:hint="eastAsia" w:ascii="宋体" w:hAnsi="宋体" w:cs="宋体"/>
                <w:color w:val="000000"/>
                <w:kern w:val="0"/>
                <w:szCs w:val="28"/>
              </w:rPr>
              <w:t>——</w:t>
            </w:r>
          </w:p>
        </w:tc>
      </w:tr>
    </w:tbl>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1.同一赛项在不同类别的比赛获奖，以最高级别发放指导教师工作量，不重复发放。</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2.同一作品参加不同赛事，原则上以最高级别发放指导教师工作量，不重复发放。如果需要额外指导，另行申请指导工作量。</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olor w:val="000000"/>
          <w:kern w:val="0"/>
          <w:sz w:val="32"/>
          <w:szCs w:val="32"/>
        </w:rPr>
      </w:pPr>
      <w:r>
        <w:rPr>
          <w:rFonts w:hint="eastAsia" w:ascii="仿宋_GB2312" w:hAnsi="宋体" w:eastAsia="仿宋_GB2312" w:cs="宋体"/>
          <w:color w:val="000000"/>
          <w:sz w:val="32"/>
          <w:szCs w:val="32"/>
        </w:rPr>
        <w:t>3.以团队形式组队参赛，由不同的分项目组成的赛项，按照一个赛项计算指导教师工作量。</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olor w:val="000000"/>
          <w:kern w:val="0"/>
          <w:sz w:val="32"/>
          <w:szCs w:val="32"/>
        </w:rPr>
      </w:pPr>
      <w:r>
        <w:rPr>
          <w:rFonts w:hint="eastAsia" w:ascii="仿宋_GB2312" w:hAnsi="宋体" w:eastAsia="仿宋_GB2312"/>
          <w:color w:val="000000"/>
          <w:kern w:val="0"/>
          <w:sz w:val="32"/>
          <w:szCs w:val="32"/>
        </w:rPr>
        <w:t>4.指导工作量以经过教务与实训管理处审核的竞赛实施方案（包括培训计划）及竞赛指导日志为依据发放。</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第九条  </w:t>
      </w:r>
      <w:r>
        <w:rPr>
          <w:rFonts w:hint="eastAsia" w:ascii="仿宋_GB2312" w:hAnsi="宋体" w:eastAsia="仿宋_GB2312" w:cs="宋体"/>
          <w:color w:val="000000"/>
          <w:sz w:val="32"/>
          <w:szCs w:val="32"/>
        </w:rPr>
        <w:t>学校在年度经费预算中，按照参赛计划将指导教师工作量划拨到二级学院，计划内竞赛的指导工作量从二级学院人员经费中支出。</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学校指定参加的计划外竞赛的指导工作量、计划内赛项经选拔后获得参加高级别竞赛的指导工作量，从学校人员经费中支出。</w:t>
      </w:r>
    </w:p>
    <w:p>
      <w:pPr>
        <w:pageBreakBefore w:val="0"/>
        <w:kinsoku/>
        <w:overflowPunct/>
        <w:topLinePunct w:val="0"/>
        <w:bidi w:val="0"/>
        <w:spacing w:line="596" w:lineRule="exact"/>
        <w:ind w:firstLine="643" w:firstLineChars="200"/>
        <w:jc w:val="left"/>
        <w:outlineLvl w:val="9"/>
        <w:rPr>
          <w:rFonts w:hint="eastAsia" w:ascii="楷体_GB2312" w:hAnsi="宋体" w:eastAsia="楷体_GB2312" w:cs="宋体"/>
          <w:b/>
          <w:color w:val="000000"/>
          <w:sz w:val="32"/>
          <w:szCs w:val="32"/>
        </w:rPr>
      </w:pPr>
      <w:r>
        <w:rPr>
          <w:rFonts w:hint="eastAsia" w:ascii="楷体_GB2312" w:hAnsi="宋体" w:eastAsia="楷体_GB2312" w:cs="宋体"/>
          <w:b/>
          <w:color w:val="000000"/>
          <w:sz w:val="32"/>
          <w:szCs w:val="32"/>
        </w:rPr>
        <w:t>（三）竞赛奖励经费（第三类经费）</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bCs/>
          <w:color w:val="000000"/>
          <w:sz w:val="32"/>
          <w:szCs w:val="32"/>
        </w:rPr>
        <w:t>第十条</w:t>
      </w:r>
      <w:r>
        <w:rPr>
          <w:rFonts w:hint="eastAsia" w:ascii="仿宋_GB2312" w:hAnsi="宋体" w:eastAsia="仿宋_GB2312" w:cs="宋体"/>
          <w:color w:val="000000"/>
          <w:sz w:val="32"/>
          <w:szCs w:val="32"/>
        </w:rPr>
        <w:t xml:space="preserve">  获奖的赛项奖励分两类，即人员奖励和部门奖励。</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color w:val="000000"/>
          <w:sz w:val="32"/>
          <w:szCs w:val="32"/>
        </w:rPr>
        <w:t>人员奖励是对参赛学生、指导教师、赛项实施工作团队奖励，直接作为人员经费发放。</w:t>
      </w:r>
      <w:r>
        <w:rPr>
          <w:rFonts w:hint="eastAsia" w:ascii="仿宋_GB2312" w:hAnsi="宋体" w:eastAsia="仿宋_GB2312" w:cs="宋体"/>
          <w:sz w:val="32"/>
          <w:szCs w:val="32"/>
        </w:rPr>
        <w:t>计划内、计划外赛项参赛获得的人员奖励统一由学校经费支出。</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部门奖励为对二级学院的奖励，不能作为人员经费发放，只能作为该学院下一年专业技能竞赛第一类经费的补充。</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bCs/>
          <w:color w:val="000000"/>
          <w:sz w:val="32"/>
          <w:szCs w:val="32"/>
        </w:rPr>
        <w:t>第十一条</w:t>
      </w:r>
      <w:r>
        <w:rPr>
          <w:rFonts w:hint="eastAsia" w:ascii="仿宋_GB2312" w:hAnsi="宋体" w:eastAsia="仿宋_GB2312" w:cs="宋体"/>
          <w:color w:val="000000"/>
          <w:sz w:val="32"/>
          <w:szCs w:val="32"/>
        </w:rPr>
        <w:t xml:space="preserve">  人员奖励标准如表3所示。</w:t>
      </w:r>
    </w:p>
    <w:p>
      <w:pPr>
        <w:pageBreakBefore w:val="0"/>
        <w:kinsoku/>
        <w:overflowPunct/>
        <w:topLinePunct w:val="0"/>
        <w:bidi w:val="0"/>
        <w:spacing w:line="596" w:lineRule="exact"/>
        <w:ind w:firstLine="200"/>
        <w:jc w:val="center"/>
        <w:outlineLvl w:val="9"/>
        <w:rPr>
          <w:rFonts w:hint="eastAsia" w:ascii="仿宋_GB2312" w:hAnsi="宋体" w:eastAsia="仿宋_GB2312"/>
          <w:color w:val="000000"/>
          <w:sz w:val="32"/>
          <w:szCs w:val="32"/>
        </w:rPr>
      </w:pPr>
      <w:r>
        <w:rPr>
          <w:rFonts w:hint="eastAsia" w:ascii="仿宋_GB2312" w:hAnsi="宋体" w:eastAsia="仿宋_GB2312"/>
          <w:color w:val="000000"/>
          <w:sz w:val="32"/>
          <w:szCs w:val="32"/>
        </w:rPr>
        <w:t>表3 专业技能竞赛人员奖励标准</w:t>
      </w:r>
    </w:p>
    <w:tbl>
      <w:tblPr>
        <w:tblStyle w:val="14"/>
        <w:tblW w:w="88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87"/>
        <w:gridCol w:w="1455"/>
        <w:gridCol w:w="1019"/>
        <w:gridCol w:w="1019"/>
        <w:gridCol w:w="1037"/>
        <w:gridCol w:w="1041"/>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885" w:type="dxa"/>
            <w:gridSpan w:val="8"/>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获奖等级和奖金（单位：元/项）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80" w:type="dxa"/>
            <w:gridSpan w:val="2"/>
            <w:vMerge w:val="restart"/>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竞赛类别</w:t>
            </w:r>
          </w:p>
        </w:tc>
        <w:tc>
          <w:tcPr>
            <w:tcW w:w="3493" w:type="dxa"/>
            <w:gridSpan w:val="3"/>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个人赛</w:t>
            </w:r>
          </w:p>
        </w:tc>
        <w:tc>
          <w:tcPr>
            <w:tcW w:w="3112" w:type="dxa"/>
            <w:gridSpan w:val="3"/>
            <w:noWrap w:val="0"/>
            <w:vAlign w:val="center"/>
          </w:tcPr>
          <w:p>
            <w:pPr>
              <w:pageBreakBefore w:val="0"/>
              <w:kinsoku/>
              <w:overflowPunct/>
              <w:topLinePunct w:val="0"/>
              <w:bidi w:val="0"/>
              <w:ind w:firstLine="480" w:firstLineChars="20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团体赛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80" w:type="dxa"/>
            <w:gridSpan w:val="2"/>
            <w:vMerge w:val="continue"/>
            <w:noWrap w:val="0"/>
            <w:vAlign w:val="center"/>
          </w:tcPr>
          <w:p>
            <w:pPr>
              <w:pageBreakBefore w:val="0"/>
              <w:widowControl/>
              <w:kinsoku/>
              <w:overflowPunct/>
              <w:topLinePunct w:val="0"/>
              <w:bidi w:val="0"/>
              <w:jc w:val="left"/>
              <w:outlineLvl w:val="9"/>
              <w:rPr>
                <w:rFonts w:hint="eastAsia" w:ascii="仿宋_GB2312" w:hAnsi="宋体" w:eastAsia="仿宋_GB2312" w:cs="宋体"/>
                <w:color w:val="000000"/>
                <w:kern w:val="0"/>
                <w:sz w:val="24"/>
              </w:rPr>
            </w:pPr>
          </w:p>
        </w:tc>
        <w:tc>
          <w:tcPr>
            <w:tcW w:w="1455" w:type="dxa"/>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第一名</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第二名</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第三名</w:t>
            </w:r>
          </w:p>
        </w:tc>
        <w:tc>
          <w:tcPr>
            <w:tcW w:w="1037" w:type="dxa"/>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一等奖</w:t>
            </w:r>
          </w:p>
        </w:tc>
        <w:tc>
          <w:tcPr>
            <w:tcW w:w="1041" w:type="dxa"/>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二等奖</w:t>
            </w:r>
          </w:p>
        </w:tc>
        <w:tc>
          <w:tcPr>
            <w:tcW w:w="1034" w:type="dxa"/>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3" w:type="dxa"/>
            <w:vMerge w:val="restart"/>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A</w:t>
            </w:r>
          </w:p>
        </w:tc>
        <w:tc>
          <w:tcPr>
            <w:tcW w:w="1287" w:type="dxa"/>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A1</w:t>
            </w:r>
          </w:p>
        </w:tc>
        <w:tc>
          <w:tcPr>
            <w:tcW w:w="1455"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70000</w:t>
            </w:r>
          </w:p>
        </w:tc>
        <w:tc>
          <w:tcPr>
            <w:tcW w:w="1019" w:type="dxa"/>
            <w:noWrap w:val="0"/>
            <w:vAlign w:val="top"/>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40000</w:t>
            </w:r>
          </w:p>
        </w:tc>
        <w:tc>
          <w:tcPr>
            <w:tcW w:w="1019" w:type="dxa"/>
            <w:noWrap w:val="0"/>
            <w:vAlign w:val="top"/>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30000</w:t>
            </w:r>
          </w:p>
        </w:tc>
        <w:tc>
          <w:tcPr>
            <w:tcW w:w="1037"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100000</w:t>
            </w:r>
          </w:p>
        </w:tc>
        <w:tc>
          <w:tcPr>
            <w:tcW w:w="1041"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70000</w:t>
            </w:r>
          </w:p>
        </w:tc>
        <w:tc>
          <w:tcPr>
            <w:tcW w:w="1034"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3" w:type="dxa"/>
            <w:vMerge w:val="continue"/>
            <w:noWrap w:val="0"/>
            <w:vAlign w:val="center"/>
          </w:tcPr>
          <w:p>
            <w:pPr>
              <w:pageBreakBefore w:val="0"/>
              <w:widowControl/>
              <w:kinsoku/>
              <w:overflowPunct/>
              <w:topLinePunct w:val="0"/>
              <w:bidi w:val="0"/>
              <w:jc w:val="left"/>
              <w:outlineLvl w:val="9"/>
              <w:rPr>
                <w:rFonts w:hint="eastAsia" w:ascii="仿宋_GB2312" w:hAnsi="宋体" w:eastAsia="仿宋_GB2312" w:cs="宋体"/>
                <w:color w:val="000000"/>
                <w:kern w:val="0"/>
                <w:sz w:val="24"/>
              </w:rPr>
            </w:pPr>
          </w:p>
        </w:tc>
        <w:tc>
          <w:tcPr>
            <w:tcW w:w="1287" w:type="dxa"/>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A2</w:t>
            </w:r>
          </w:p>
        </w:tc>
        <w:tc>
          <w:tcPr>
            <w:tcW w:w="1455"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50000</w:t>
            </w:r>
          </w:p>
        </w:tc>
        <w:tc>
          <w:tcPr>
            <w:tcW w:w="1019" w:type="dxa"/>
            <w:noWrap w:val="0"/>
            <w:vAlign w:val="top"/>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30000</w:t>
            </w:r>
          </w:p>
        </w:tc>
        <w:tc>
          <w:tcPr>
            <w:tcW w:w="1019" w:type="dxa"/>
            <w:noWrap w:val="0"/>
            <w:vAlign w:val="top"/>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20000</w:t>
            </w:r>
          </w:p>
        </w:tc>
        <w:tc>
          <w:tcPr>
            <w:tcW w:w="1037"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70000</w:t>
            </w:r>
          </w:p>
        </w:tc>
        <w:tc>
          <w:tcPr>
            <w:tcW w:w="1041"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50000</w:t>
            </w:r>
          </w:p>
        </w:tc>
        <w:tc>
          <w:tcPr>
            <w:tcW w:w="1034"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3" w:type="dxa"/>
            <w:vMerge w:val="continue"/>
            <w:noWrap w:val="0"/>
            <w:vAlign w:val="center"/>
          </w:tcPr>
          <w:p>
            <w:pPr>
              <w:pageBreakBefore w:val="0"/>
              <w:widowControl/>
              <w:kinsoku/>
              <w:overflowPunct/>
              <w:topLinePunct w:val="0"/>
              <w:bidi w:val="0"/>
              <w:jc w:val="left"/>
              <w:outlineLvl w:val="9"/>
              <w:rPr>
                <w:rFonts w:hint="eastAsia" w:ascii="仿宋_GB2312" w:hAnsi="宋体" w:eastAsia="仿宋_GB2312" w:cs="宋体"/>
                <w:color w:val="000000"/>
                <w:kern w:val="0"/>
                <w:sz w:val="24"/>
              </w:rPr>
            </w:pPr>
          </w:p>
        </w:tc>
        <w:tc>
          <w:tcPr>
            <w:tcW w:w="1287" w:type="dxa"/>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A3</w:t>
            </w:r>
          </w:p>
        </w:tc>
        <w:tc>
          <w:tcPr>
            <w:tcW w:w="1455"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30000</w:t>
            </w:r>
          </w:p>
        </w:tc>
        <w:tc>
          <w:tcPr>
            <w:tcW w:w="1019" w:type="dxa"/>
            <w:noWrap w:val="0"/>
            <w:vAlign w:val="top"/>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9000</w:t>
            </w:r>
          </w:p>
        </w:tc>
        <w:tc>
          <w:tcPr>
            <w:tcW w:w="1019" w:type="dxa"/>
            <w:noWrap w:val="0"/>
            <w:vAlign w:val="top"/>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6500</w:t>
            </w:r>
          </w:p>
        </w:tc>
        <w:tc>
          <w:tcPr>
            <w:tcW w:w="1037"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50000</w:t>
            </w:r>
          </w:p>
        </w:tc>
        <w:tc>
          <w:tcPr>
            <w:tcW w:w="1041"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13000</w:t>
            </w:r>
          </w:p>
        </w:tc>
        <w:tc>
          <w:tcPr>
            <w:tcW w:w="1034"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80" w:type="dxa"/>
            <w:gridSpan w:val="2"/>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B</w:t>
            </w:r>
          </w:p>
        </w:tc>
        <w:tc>
          <w:tcPr>
            <w:tcW w:w="1455"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5000</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3500</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2500</w:t>
            </w:r>
          </w:p>
        </w:tc>
        <w:tc>
          <w:tcPr>
            <w:tcW w:w="1037"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7500</w:t>
            </w:r>
          </w:p>
        </w:tc>
        <w:tc>
          <w:tcPr>
            <w:tcW w:w="1041"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5000</w:t>
            </w:r>
          </w:p>
        </w:tc>
        <w:tc>
          <w:tcPr>
            <w:tcW w:w="1034"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80" w:type="dxa"/>
            <w:gridSpan w:val="2"/>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C</w:t>
            </w:r>
          </w:p>
        </w:tc>
        <w:tc>
          <w:tcPr>
            <w:tcW w:w="1455"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2500</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1000</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500</w:t>
            </w:r>
          </w:p>
        </w:tc>
        <w:tc>
          <w:tcPr>
            <w:tcW w:w="1037"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4000</w:t>
            </w:r>
          </w:p>
        </w:tc>
        <w:tc>
          <w:tcPr>
            <w:tcW w:w="1041"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1500</w:t>
            </w:r>
          </w:p>
        </w:tc>
        <w:tc>
          <w:tcPr>
            <w:tcW w:w="1034"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80" w:type="dxa"/>
            <w:gridSpan w:val="2"/>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D</w:t>
            </w:r>
          </w:p>
        </w:tc>
        <w:tc>
          <w:tcPr>
            <w:tcW w:w="1455"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600</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300</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150</w:t>
            </w:r>
          </w:p>
        </w:tc>
        <w:tc>
          <w:tcPr>
            <w:tcW w:w="1037"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900</w:t>
            </w:r>
          </w:p>
        </w:tc>
        <w:tc>
          <w:tcPr>
            <w:tcW w:w="1041"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400</w:t>
            </w:r>
          </w:p>
        </w:tc>
        <w:tc>
          <w:tcPr>
            <w:tcW w:w="1034"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80" w:type="dxa"/>
            <w:gridSpan w:val="2"/>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E</w:t>
            </w:r>
          </w:p>
        </w:tc>
        <w:tc>
          <w:tcPr>
            <w:tcW w:w="1455"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w:t>
            </w:r>
          </w:p>
        </w:tc>
        <w:tc>
          <w:tcPr>
            <w:tcW w:w="1019"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w:t>
            </w:r>
          </w:p>
        </w:tc>
        <w:tc>
          <w:tcPr>
            <w:tcW w:w="1037"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w:t>
            </w:r>
          </w:p>
        </w:tc>
        <w:tc>
          <w:tcPr>
            <w:tcW w:w="1041" w:type="dxa"/>
            <w:noWrap/>
            <w:vAlign w:val="center"/>
          </w:tcPr>
          <w:p>
            <w:pPr>
              <w:pageBreakBefore w:val="0"/>
              <w:widowControl/>
              <w:kinsoku/>
              <w:overflowPunct/>
              <w:topLinePunct w:val="0"/>
              <w:bidi w:val="0"/>
              <w:jc w:val="left"/>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　——</w:t>
            </w:r>
          </w:p>
        </w:tc>
        <w:tc>
          <w:tcPr>
            <w:tcW w:w="1034" w:type="dxa"/>
            <w:noWrap w:val="0"/>
            <w:vAlign w:val="center"/>
          </w:tcPr>
          <w:p>
            <w:pPr>
              <w:pageBreakBefore w:val="0"/>
              <w:widowControl/>
              <w:kinsoku/>
              <w:overflowPunct/>
              <w:topLinePunct w:val="0"/>
              <w:bidi w:val="0"/>
              <w:jc w:val="center"/>
              <w:outlineLvl w:val="9"/>
              <w:rPr>
                <w:rFonts w:hint="eastAsia" w:ascii="仿宋_GB2312" w:hAnsi="宋体" w:eastAsia="仿宋_GB2312" w:cs="宋体"/>
                <w:bCs/>
                <w:color w:val="000000"/>
                <w:kern w:val="0"/>
                <w:sz w:val="24"/>
              </w:rPr>
            </w:pPr>
            <w:r>
              <w:rPr>
                <w:rFonts w:hint="eastAsia" w:ascii="仿宋_GB2312" w:hAnsi="宋体" w:eastAsia="仿宋_GB2312" w:cs="宋体"/>
                <w:bCs/>
                <w:color w:val="000000"/>
                <w:kern w:val="0"/>
                <w:sz w:val="24"/>
              </w:rPr>
              <w:t>——</w:t>
            </w:r>
          </w:p>
        </w:tc>
      </w:tr>
    </w:tbl>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1.同一赛项在不同类别的比赛中获得不同等级的奖励，按最高级别奖励。</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2.同一年度同一作品参加不同赛项获得多项奖励时，按最高级别奖励。</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3.竞赛项目同时设团体奖和个人奖时，按最高级别奖励。</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4.如果竞赛中获得上表以外的等级，则由教务与实训管理处根据赛事实际情况组织相关人员审核确定奖励发放办法。</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5.参赛学生（团队）的奖励金额不低于标准的40%，指导教师奖励金额不高于标准的50%，实施工作团队奖励金额不高于标准的10%。</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第十二条  </w:t>
      </w:r>
      <w:r>
        <w:rPr>
          <w:rFonts w:hint="eastAsia" w:ascii="仿宋_GB2312" w:hAnsi="宋体" w:eastAsia="仿宋_GB2312" w:cs="宋体"/>
          <w:color w:val="000000"/>
          <w:sz w:val="32"/>
          <w:szCs w:val="32"/>
        </w:rPr>
        <w:t>获奖赛项依据获奖证书或文件、竞赛工作方案提交奖励及工作量发放申请流程，办理审批发放手续。</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第十三条  </w:t>
      </w:r>
      <w:r>
        <w:rPr>
          <w:rFonts w:hint="eastAsia" w:ascii="仿宋_GB2312" w:hAnsi="宋体" w:eastAsia="仿宋_GB2312" w:cs="宋体"/>
          <w:color w:val="000000"/>
          <w:sz w:val="32"/>
          <w:szCs w:val="32"/>
        </w:rPr>
        <w:t>各类竞赛中，若主办方设有奖金，由管理部门确定分配方案。</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第十四条  </w:t>
      </w:r>
      <w:r>
        <w:rPr>
          <w:rFonts w:hint="eastAsia" w:ascii="仿宋_GB2312" w:hAnsi="宋体" w:eastAsia="仿宋_GB2312" w:cs="宋体"/>
          <w:color w:val="000000"/>
          <w:sz w:val="32"/>
          <w:szCs w:val="32"/>
        </w:rPr>
        <w:t>部门奖励计算及划拨方式为：</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每年根据预算确定部门奖励总额，部门奖励=奖金基数*部门</w:t>
      </w:r>
      <w:r>
        <w:rPr>
          <w:rFonts w:hint="eastAsia" w:ascii="仿宋_GB2312" w:hAnsi="宋体" w:eastAsia="仿宋_GB2312"/>
          <w:color w:val="000000"/>
          <w:sz w:val="32"/>
          <w:szCs w:val="32"/>
        </w:rPr>
        <w:t>奖励总积分。其中，</w:t>
      </w:r>
      <w:r>
        <w:rPr>
          <w:rFonts w:hint="eastAsia" w:ascii="仿宋_GB2312" w:hAnsi="宋体" w:eastAsia="仿宋_GB2312" w:cs="宋体"/>
          <w:color w:val="000000"/>
          <w:sz w:val="32"/>
          <w:szCs w:val="32"/>
        </w:rPr>
        <w:t>奖金基数（元/分）=奖金总额（元）/全校总奖励积分（分）。</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olor w:val="000000"/>
          <w:sz w:val="32"/>
          <w:szCs w:val="32"/>
        </w:rPr>
        <w:t>部门奖励积分标准</w:t>
      </w:r>
      <w:r>
        <w:rPr>
          <w:rFonts w:hint="eastAsia" w:ascii="仿宋_GB2312" w:hAnsi="宋体" w:eastAsia="仿宋_GB2312" w:cs="宋体"/>
          <w:color w:val="000000"/>
          <w:sz w:val="32"/>
          <w:szCs w:val="32"/>
        </w:rPr>
        <w:t>如表4所示。</w:t>
      </w:r>
    </w:p>
    <w:p>
      <w:pPr>
        <w:pageBreakBefore w:val="0"/>
        <w:kinsoku/>
        <w:overflowPunct/>
        <w:topLinePunct w:val="0"/>
        <w:bidi w:val="0"/>
        <w:spacing w:line="596" w:lineRule="exact"/>
        <w:ind w:firstLine="640" w:firstLineChars="200"/>
        <w:jc w:val="center"/>
        <w:outlineLvl w:val="9"/>
        <w:rPr>
          <w:rFonts w:hint="eastAsia" w:ascii="仿宋_GB2312" w:hAnsi="宋体" w:eastAsia="仿宋_GB2312"/>
          <w:color w:val="000000"/>
          <w:sz w:val="32"/>
          <w:szCs w:val="32"/>
        </w:rPr>
      </w:pPr>
      <w:r>
        <w:rPr>
          <w:rFonts w:hint="eastAsia" w:ascii="仿宋_GB2312" w:hAnsi="宋体" w:eastAsia="仿宋_GB2312"/>
          <w:color w:val="000000"/>
          <w:sz w:val="32"/>
          <w:szCs w:val="32"/>
        </w:rPr>
        <w:t>表4  专业技能竞赛部门奖励积分标准（单位：分）</w:t>
      </w:r>
    </w:p>
    <w:tbl>
      <w:tblPr>
        <w:tblStyle w:val="14"/>
        <w:tblW w:w="9061" w:type="dxa"/>
        <w:jc w:val="center"/>
        <w:tblInd w:w="0" w:type="dxa"/>
        <w:tblLayout w:type="fixed"/>
        <w:tblCellMar>
          <w:top w:w="0" w:type="dxa"/>
          <w:left w:w="108" w:type="dxa"/>
          <w:bottom w:w="0" w:type="dxa"/>
          <w:right w:w="108" w:type="dxa"/>
        </w:tblCellMar>
      </w:tblPr>
      <w:tblGrid>
        <w:gridCol w:w="1714"/>
        <w:gridCol w:w="1761"/>
        <w:gridCol w:w="1961"/>
        <w:gridCol w:w="1812"/>
        <w:gridCol w:w="1813"/>
      </w:tblGrid>
      <w:tr>
        <w:tblPrEx>
          <w:tblLayout w:type="fixed"/>
          <w:tblCellMar>
            <w:top w:w="0" w:type="dxa"/>
            <w:left w:w="108" w:type="dxa"/>
            <w:bottom w:w="0" w:type="dxa"/>
            <w:right w:w="108" w:type="dxa"/>
          </w:tblCellMar>
        </w:tblPrEx>
        <w:trPr>
          <w:trHeight w:val="918" w:hRule="atLeast"/>
          <w:jc w:val="center"/>
        </w:trPr>
        <w:tc>
          <w:tcPr>
            <w:tcW w:w="3475" w:type="dxa"/>
            <w:gridSpan w:val="2"/>
            <w:tcBorders>
              <w:top w:val="single" w:color="auto" w:sz="8" w:space="0"/>
              <w:left w:val="single" w:color="auto" w:sz="8" w:space="0"/>
              <w:bottom w:val="single" w:color="auto" w:sz="8" w:space="0"/>
              <w:right w:val="single" w:color="000000"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竞赛类别</w:t>
            </w:r>
          </w:p>
        </w:tc>
        <w:tc>
          <w:tcPr>
            <w:tcW w:w="1961" w:type="dxa"/>
            <w:tcBorders>
              <w:top w:val="single" w:color="auto" w:sz="8" w:space="0"/>
              <w:left w:val="nil"/>
              <w:bottom w:val="single" w:color="auto" w:sz="8" w:space="0"/>
              <w:right w:val="single" w:color="auto" w:sz="8" w:space="0"/>
            </w:tcBorders>
            <w:noWrap w:val="0"/>
            <w:vAlign w:val="center"/>
          </w:tcPr>
          <w:p>
            <w:pPr>
              <w:pageBreakBefore w:val="0"/>
              <w:widowControl/>
              <w:kinsoku/>
              <w:overflowPunct/>
              <w:topLinePunct w:val="0"/>
              <w:bidi w:val="0"/>
              <w:spacing w:line="360" w:lineRule="exact"/>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个人第一或团体一等</w:t>
            </w:r>
          </w:p>
        </w:tc>
        <w:tc>
          <w:tcPr>
            <w:tcW w:w="1812" w:type="dxa"/>
            <w:tcBorders>
              <w:top w:val="single" w:color="auto" w:sz="8" w:space="0"/>
              <w:left w:val="nil"/>
              <w:bottom w:val="single" w:color="auto" w:sz="8" w:space="0"/>
              <w:right w:val="single" w:color="auto" w:sz="8" w:space="0"/>
            </w:tcBorders>
            <w:noWrap w:val="0"/>
            <w:vAlign w:val="center"/>
          </w:tcPr>
          <w:p>
            <w:pPr>
              <w:pageBreakBefore w:val="0"/>
              <w:widowControl/>
              <w:kinsoku/>
              <w:overflowPunct/>
              <w:topLinePunct w:val="0"/>
              <w:bidi w:val="0"/>
              <w:spacing w:line="360" w:lineRule="exact"/>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个人第二或团体二等奖</w:t>
            </w:r>
          </w:p>
        </w:tc>
        <w:tc>
          <w:tcPr>
            <w:tcW w:w="1813" w:type="dxa"/>
            <w:tcBorders>
              <w:top w:val="single" w:color="auto" w:sz="8" w:space="0"/>
              <w:left w:val="nil"/>
              <w:bottom w:val="single" w:color="auto" w:sz="8" w:space="0"/>
              <w:right w:val="single" w:color="auto" w:sz="8" w:space="0"/>
            </w:tcBorders>
            <w:noWrap w:val="0"/>
            <w:vAlign w:val="center"/>
          </w:tcPr>
          <w:p>
            <w:pPr>
              <w:pageBreakBefore w:val="0"/>
              <w:widowControl/>
              <w:kinsoku/>
              <w:overflowPunct/>
              <w:topLinePunct w:val="0"/>
              <w:bidi w:val="0"/>
              <w:spacing w:line="360" w:lineRule="exact"/>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个人第三或团体三等奖</w:t>
            </w:r>
          </w:p>
        </w:tc>
      </w:tr>
      <w:tr>
        <w:tblPrEx>
          <w:tblLayout w:type="fixed"/>
          <w:tblCellMar>
            <w:top w:w="0" w:type="dxa"/>
            <w:left w:w="108" w:type="dxa"/>
            <w:bottom w:w="0" w:type="dxa"/>
            <w:right w:w="108" w:type="dxa"/>
          </w:tblCellMar>
        </w:tblPrEx>
        <w:trPr>
          <w:trHeight w:val="567" w:hRule="atLeast"/>
          <w:jc w:val="center"/>
        </w:trPr>
        <w:tc>
          <w:tcPr>
            <w:tcW w:w="1714" w:type="dxa"/>
            <w:vMerge w:val="restart"/>
            <w:tcBorders>
              <w:top w:val="nil"/>
              <w:left w:val="single" w:color="auto" w:sz="8" w:space="0"/>
              <w:bottom w:val="single" w:color="000000"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A</w:t>
            </w:r>
          </w:p>
        </w:tc>
        <w:tc>
          <w:tcPr>
            <w:tcW w:w="1761"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A1</w:t>
            </w:r>
          </w:p>
        </w:tc>
        <w:tc>
          <w:tcPr>
            <w:tcW w:w="1961"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20</w:t>
            </w:r>
          </w:p>
        </w:tc>
        <w:tc>
          <w:tcPr>
            <w:tcW w:w="1812"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18</w:t>
            </w:r>
          </w:p>
        </w:tc>
        <w:tc>
          <w:tcPr>
            <w:tcW w:w="1813"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15</w:t>
            </w:r>
          </w:p>
        </w:tc>
      </w:tr>
      <w:tr>
        <w:tblPrEx>
          <w:tblLayout w:type="fixed"/>
          <w:tblCellMar>
            <w:top w:w="0" w:type="dxa"/>
            <w:left w:w="108" w:type="dxa"/>
            <w:bottom w:w="0" w:type="dxa"/>
            <w:right w:w="108" w:type="dxa"/>
          </w:tblCellMar>
        </w:tblPrEx>
        <w:trPr>
          <w:trHeight w:val="567" w:hRule="atLeast"/>
          <w:jc w:val="center"/>
        </w:trPr>
        <w:tc>
          <w:tcPr>
            <w:tcW w:w="1714" w:type="dxa"/>
            <w:vMerge w:val="continue"/>
            <w:tcBorders>
              <w:top w:val="nil"/>
              <w:left w:val="single" w:color="auto" w:sz="8" w:space="0"/>
              <w:bottom w:val="single" w:color="000000" w:sz="8" w:space="0"/>
              <w:right w:val="single" w:color="auto" w:sz="8" w:space="0"/>
            </w:tcBorders>
            <w:noWrap w:val="0"/>
            <w:vAlign w:val="center"/>
          </w:tcPr>
          <w:p>
            <w:pPr>
              <w:pageBreakBefore w:val="0"/>
              <w:widowControl/>
              <w:kinsoku/>
              <w:overflowPunct/>
              <w:topLinePunct w:val="0"/>
              <w:bidi w:val="0"/>
              <w:jc w:val="left"/>
              <w:outlineLvl w:val="9"/>
              <w:rPr>
                <w:rFonts w:hint="eastAsia" w:ascii="仿宋_GB2312" w:hAnsi="宋体" w:eastAsia="仿宋_GB2312" w:cs="宋体"/>
                <w:color w:val="000000"/>
                <w:kern w:val="0"/>
                <w:sz w:val="24"/>
              </w:rPr>
            </w:pPr>
          </w:p>
        </w:tc>
        <w:tc>
          <w:tcPr>
            <w:tcW w:w="1761"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A2</w:t>
            </w:r>
          </w:p>
        </w:tc>
        <w:tc>
          <w:tcPr>
            <w:tcW w:w="1961"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15</w:t>
            </w:r>
          </w:p>
        </w:tc>
        <w:tc>
          <w:tcPr>
            <w:tcW w:w="1812"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12</w:t>
            </w:r>
          </w:p>
        </w:tc>
        <w:tc>
          <w:tcPr>
            <w:tcW w:w="1813"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10</w:t>
            </w:r>
          </w:p>
        </w:tc>
      </w:tr>
      <w:tr>
        <w:tblPrEx>
          <w:tblLayout w:type="fixed"/>
          <w:tblCellMar>
            <w:top w:w="0" w:type="dxa"/>
            <w:left w:w="108" w:type="dxa"/>
            <w:bottom w:w="0" w:type="dxa"/>
            <w:right w:w="108" w:type="dxa"/>
          </w:tblCellMar>
        </w:tblPrEx>
        <w:trPr>
          <w:trHeight w:val="567" w:hRule="atLeast"/>
          <w:jc w:val="center"/>
        </w:trPr>
        <w:tc>
          <w:tcPr>
            <w:tcW w:w="1714" w:type="dxa"/>
            <w:vMerge w:val="continue"/>
            <w:tcBorders>
              <w:top w:val="nil"/>
              <w:left w:val="single" w:color="auto" w:sz="8" w:space="0"/>
              <w:bottom w:val="single" w:color="000000" w:sz="8" w:space="0"/>
              <w:right w:val="single" w:color="auto" w:sz="8" w:space="0"/>
            </w:tcBorders>
            <w:noWrap w:val="0"/>
            <w:vAlign w:val="center"/>
          </w:tcPr>
          <w:p>
            <w:pPr>
              <w:pageBreakBefore w:val="0"/>
              <w:widowControl/>
              <w:kinsoku/>
              <w:overflowPunct/>
              <w:topLinePunct w:val="0"/>
              <w:bidi w:val="0"/>
              <w:jc w:val="left"/>
              <w:outlineLvl w:val="9"/>
              <w:rPr>
                <w:rFonts w:hint="eastAsia" w:ascii="仿宋_GB2312" w:hAnsi="宋体" w:eastAsia="仿宋_GB2312" w:cs="宋体"/>
                <w:color w:val="000000"/>
                <w:kern w:val="0"/>
                <w:sz w:val="24"/>
              </w:rPr>
            </w:pPr>
          </w:p>
        </w:tc>
        <w:tc>
          <w:tcPr>
            <w:tcW w:w="1761"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A3</w:t>
            </w:r>
          </w:p>
        </w:tc>
        <w:tc>
          <w:tcPr>
            <w:tcW w:w="1961"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10</w:t>
            </w:r>
          </w:p>
        </w:tc>
        <w:tc>
          <w:tcPr>
            <w:tcW w:w="1812"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8</w:t>
            </w:r>
          </w:p>
        </w:tc>
        <w:tc>
          <w:tcPr>
            <w:tcW w:w="1813"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7</w:t>
            </w:r>
          </w:p>
        </w:tc>
      </w:tr>
      <w:tr>
        <w:tblPrEx>
          <w:tblLayout w:type="fixed"/>
          <w:tblCellMar>
            <w:top w:w="0" w:type="dxa"/>
            <w:left w:w="108" w:type="dxa"/>
            <w:bottom w:w="0" w:type="dxa"/>
            <w:right w:w="108" w:type="dxa"/>
          </w:tblCellMar>
        </w:tblPrEx>
        <w:trPr>
          <w:trHeight w:val="567" w:hRule="atLeast"/>
          <w:jc w:val="center"/>
        </w:trPr>
        <w:tc>
          <w:tcPr>
            <w:tcW w:w="3475" w:type="dxa"/>
            <w:gridSpan w:val="2"/>
            <w:tcBorders>
              <w:top w:val="single" w:color="auto" w:sz="8" w:space="0"/>
              <w:left w:val="single" w:color="auto" w:sz="8" w:space="0"/>
              <w:bottom w:val="single" w:color="auto" w:sz="8" w:space="0"/>
              <w:right w:val="single" w:color="000000"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B</w:t>
            </w:r>
          </w:p>
        </w:tc>
        <w:tc>
          <w:tcPr>
            <w:tcW w:w="1961"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7</w:t>
            </w:r>
          </w:p>
        </w:tc>
        <w:tc>
          <w:tcPr>
            <w:tcW w:w="1812"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5</w:t>
            </w:r>
          </w:p>
        </w:tc>
        <w:tc>
          <w:tcPr>
            <w:tcW w:w="1813"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4</w:t>
            </w:r>
          </w:p>
        </w:tc>
      </w:tr>
      <w:tr>
        <w:tblPrEx>
          <w:tblLayout w:type="fixed"/>
          <w:tblCellMar>
            <w:top w:w="0" w:type="dxa"/>
            <w:left w:w="108" w:type="dxa"/>
            <w:bottom w:w="0" w:type="dxa"/>
            <w:right w:w="108" w:type="dxa"/>
          </w:tblCellMar>
        </w:tblPrEx>
        <w:trPr>
          <w:trHeight w:val="567" w:hRule="atLeast"/>
          <w:jc w:val="center"/>
        </w:trPr>
        <w:tc>
          <w:tcPr>
            <w:tcW w:w="3475" w:type="dxa"/>
            <w:gridSpan w:val="2"/>
            <w:tcBorders>
              <w:top w:val="single" w:color="auto" w:sz="8" w:space="0"/>
              <w:left w:val="single" w:color="auto" w:sz="8" w:space="0"/>
              <w:bottom w:val="single" w:color="auto" w:sz="8" w:space="0"/>
              <w:right w:val="single" w:color="000000"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C</w:t>
            </w:r>
          </w:p>
        </w:tc>
        <w:tc>
          <w:tcPr>
            <w:tcW w:w="1961"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4</w:t>
            </w:r>
          </w:p>
        </w:tc>
        <w:tc>
          <w:tcPr>
            <w:tcW w:w="1812"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2</w:t>
            </w:r>
          </w:p>
        </w:tc>
        <w:tc>
          <w:tcPr>
            <w:tcW w:w="1813" w:type="dxa"/>
            <w:tcBorders>
              <w:top w:val="nil"/>
              <w:left w:val="nil"/>
              <w:bottom w:val="single" w:color="auto" w:sz="8" w:space="0"/>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1</w:t>
            </w:r>
          </w:p>
        </w:tc>
      </w:tr>
      <w:tr>
        <w:tblPrEx>
          <w:tblLayout w:type="fixed"/>
          <w:tblCellMar>
            <w:top w:w="0" w:type="dxa"/>
            <w:left w:w="108" w:type="dxa"/>
            <w:bottom w:w="0" w:type="dxa"/>
            <w:right w:w="108" w:type="dxa"/>
          </w:tblCellMar>
        </w:tblPrEx>
        <w:trPr>
          <w:trHeight w:val="567" w:hRule="atLeast"/>
          <w:jc w:val="center"/>
        </w:trPr>
        <w:tc>
          <w:tcPr>
            <w:tcW w:w="3475" w:type="dxa"/>
            <w:gridSpan w:val="2"/>
            <w:tcBorders>
              <w:top w:val="single" w:color="auto" w:sz="8" w:space="0"/>
              <w:left w:val="single" w:color="auto" w:sz="8" w:space="0"/>
              <w:bottom w:val="nil"/>
              <w:right w:val="single" w:color="000000"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D</w:t>
            </w:r>
          </w:p>
        </w:tc>
        <w:tc>
          <w:tcPr>
            <w:tcW w:w="1961" w:type="dxa"/>
            <w:tcBorders>
              <w:top w:val="nil"/>
              <w:left w:val="nil"/>
              <w:bottom w:val="nil"/>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w:t>
            </w:r>
          </w:p>
        </w:tc>
        <w:tc>
          <w:tcPr>
            <w:tcW w:w="1812" w:type="dxa"/>
            <w:tcBorders>
              <w:top w:val="nil"/>
              <w:left w:val="nil"/>
              <w:bottom w:val="nil"/>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w:t>
            </w:r>
          </w:p>
        </w:tc>
        <w:tc>
          <w:tcPr>
            <w:tcW w:w="1813" w:type="dxa"/>
            <w:tcBorders>
              <w:top w:val="nil"/>
              <w:left w:val="nil"/>
              <w:bottom w:val="nil"/>
              <w:right w:val="single" w:color="auto" w:sz="8" w:space="0"/>
            </w:tcBorders>
            <w:noWrap w:val="0"/>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w:t>
            </w:r>
          </w:p>
        </w:tc>
      </w:tr>
      <w:tr>
        <w:tblPrEx>
          <w:tblLayout w:type="fixed"/>
          <w:tblCellMar>
            <w:top w:w="0" w:type="dxa"/>
            <w:left w:w="108" w:type="dxa"/>
            <w:bottom w:w="0" w:type="dxa"/>
            <w:right w:w="108" w:type="dxa"/>
          </w:tblCellMar>
        </w:tblPrEx>
        <w:trPr>
          <w:trHeight w:val="567" w:hRule="atLeast"/>
          <w:jc w:val="center"/>
        </w:trPr>
        <w:tc>
          <w:tcPr>
            <w:tcW w:w="3475" w:type="dxa"/>
            <w:gridSpan w:val="2"/>
            <w:tcBorders>
              <w:top w:val="single" w:color="auto" w:sz="4" w:space="0"/>
              <w:left w:val="single" w:color="auto" w:sz="4" w:space="0"/>
              <w:bottom w:val="single" w:color="auto" w:sz="4" w:space="0"/>
              <w:right w:val="single" w:color="auto" w:sz="4" w:space="0"/>
            </w:tcBorders>
            <w:noWrap/>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E</w:t>
            </w:r>
          </w:p>
        </w:tc>
        <w:tc>
          <w:tcPr>
            <w:tcW w:w="196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w:t>
            </w:r>
          </w:p>
        </w:tc>
        <w:tc>
          <w:tcPr>
            <w:tcW w:w="1812"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w:t>
            </w:r>
          </w:p>
        </w:tc>
        <w:tc>
          <w:tcPr>
            <w:tcW w:w="1813"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jc w:val="center"/>
              <w:outlineLvl w:val="9"/>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w:t>
            </w:r>
          </w:p>
        </w:tc>
      </w:tr>
    </w:tbl>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FF0000"/>
          <w:sz w:val="32"/>
          <w:szCs w:val="32"/>
        </w:rPr>
      </w:pPr>
      <w:r>
        <w:rPr>
          <w:rFonts w:hint="eastAsia" w:ascii="仿宋_GB2312" w:hAnsi="宋体" w:eastAsia="仿宋_GB2312" w:cs="宋体"/>
          <w:color w:val="000000"/>
          <w:sz w:val="32"/>
          <w:szCs w:val="32"/>
        </w:rPr>
        <w:t>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1.同一赛项在不同级别的比赛获奖的以最高级别发放部门奖励，不重复发放。</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2.部门奖励每年核算一次，列入下一年的经费预算中，下拨二级学院作为该学院的专业技能竞赛第一类经费使用。</w:t>
      </w:r>
    </w:p>
    <w:p>
      <w:pPr>
        <w:pageBreakBefore w:val="0"/>
        <w:kinsoku/>
        <w:overflowPunct/>
        <w:topLinePunct w:val="0"/>
        <w:bidi w:val="0"/>
        <w:spacing w:line="596" w:lineRule="exact"/>
        <w:ind w:firstLine="640"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3.对于跨二级学院组合的参赛赛项，奖励资金的分配方法为：第一指导教师所在二级学院30%，第二指导教师所在二级学院15%，第三至第五指导教师所在的二级学院分别为8%，5%，2%（累计15%），队长所在二级学院20%，第二至第五选手所在的二级学院分别为10%，6%，4%（累计20%）。</w:t>
      </w:r>
    </w:p>
    <w:p>
      <w:pPr>
        <w:pageBreakBefore w:val="0"/>
        <w:kinsoku/>
        <w:overflowPunct/>
        <w:topLinePunct w:val="0"/>
        <w:bidi w:val="0"/>
        <w:spacing w:line="596" w:lineRule="exact"/>
        <w:ind w:firstLine="643" w:firstLineChars="200"/>
        <w:jc w:val="left"/>
        <w:outlineLvl w:val="9"/>
        <w:rPr>
          <w:rFonts w:hint="eastAsia" w:ascii="楷体_GB2312" w:hAnsi="宋体" w:eastAsia="楷体_GB2312" w:cs="宋体"/>
          <w:b/>
          <w:color w:val="000000"/>
          <w:sz w:val="32"/>
          <w:szCs w:val="32"/>
        </w:rPr>
      </w:pPr>
      <w:r>
        <w:rPr>
          <w:rFonts w:hint="eastAsia" w:ascii="楷体_GB2312" w:hAnsi="宋体" w:eastAsia="楷体_GB2312" w:cs="宋体"/>
          <w:b/>
          <w:color w:val="000000"/>
          <w:sz w:val="32"/>
          <w:szCs w:val="32"/>
        </w:rPr>
        <w:t>（四）其他方面的奖励</w:t>
      </w:r>
    </w:p>
    <w:p>
      <w:pPr>
        <w:pageBreakBefore w:val="0"/>
        <w:kinsoku/>
        <w:overflowPunct/>
        <w:topLinePunct w:val="0"/>
        <w:bidi w:val="0"/>
        <w:spacing w:line="596" w:lineRule="exact"/>
        <w:ind w:firstLine="643"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第十五条  </w:t>
      </w:r>
      <w:r>
        <w:rPr>
          <w:rFonts w:hint="eastAsia" w:ascii="仿宋_GB2312" w:hAnsi="宋体" w:eastAsia="仿宋_GB2312" w:cs="宋体"/>
          <w:color w:val="000000"/>
          <w:sz w:val="32"/>
          <w:szCs w:val="32"/>
        </w:rPr>
        <w:t>对参赛学生的奖励</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1.学生参加竞赛获得奖励，参照《柳州职业技术学院学生参加竞赛课程成绩认定或加分奖励管理办法》执行。</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cs="宋体"/>
          <w:sz w:val="32"/>
          <w:szCs w:val="32"/>
        </w:rPr>
        <w:t>2.对于获得A类竞赛二等奖以上奖励的同学，可以参加由学校资助的海外文化交流活动的选拔。</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3. 对学生的活动分、学分奖励</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（1）第二课堂活动分</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积极参与各级各类专业技能竞赛的学生均可获得第二课堂活动分，具体标准参照《柳州职业技术学院学生第二课堂素质教育活动及学分管理办法》执行。</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（2）奖励学分</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对于在各类专业竞赛项目中获奖的学生（团体），可获得相应的竞赛奖励学分，奖励学分可以替代相关选修课程学分。每名学生在籍期间，竞赛学分奖励累计不超过5分。免修免考及加分奖励的课程，不能再申请学分奖励。</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每学期末，由学生持获奖证书或文件向所在二级学院申请（也可以由指导教师统一申请或各二级学院统一核计），由二级学院初步审核后，交教务与实训管理处审核，确认无误后计入学分。奖励学分的标准如表5所示。</w:t>
      </w:r>
    </w:p>
    <w:p>
      <w:pPr>
        <w:pageBreakBefore w:val="0"/>
        <w:kinsoku/>
        <w:overflowPunct/>
        <w:topLinePunct w:val="0"/>
        <w:bidi w:val="0"/>
        <w:spacing w:line="596" w:lineRule="exact"/>
        <w:ind w:firstLine="640" w:firstLineChars="200"/>
        <w:jc w:val="center"/>
        <w:outlineLvl w:val="9"/>
        <w:rPr>
          <w:rFonts w:hint="eastAsia" w:ascii="仿宋_GB2312" w:hAnsi="宋体" w:eastAsia="仿宋_GB2312"/>
          <w:color w:val="000000"/>
          <w:sz w:val="32"/>
          <w:szCs w:val="32"/>
        </w:rPr>
      </w:pPr>
      <w:r>
        <w:rPr>
          <w:rFonts w:hint="eastAsia" w:ascii="仿宋_GB2312" w:hAnsi="宋体" w:eastAsia="仿宋_GB2312"/>
          <w:color w:val="000000"/>
          <w:sz w:val="32"/>
          <w:szCs w:val="32"/>
        </w:rPr>
        <w:t>表5 专业竞赛级别及类别对应的学分奖励标准</w:t>
      </w:r>
    </w:p>
    <w:tbl>
      <w:tblPr>
        <w:tblStyle w:val="14"/>
        <w:tblW w:w="88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1882"/>
        <w:gridCol w:w="1842"/>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108" w:type="dxa"/>
            <w:vMerge w:val="restart"/>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项目类别和等次</w:t>
            </w:r>
          </w:p>
        </w:tc>
        <w:tc>
          <w:tcPr>
            <w:tcW w:w="5741" w:type="dxa"/>
            <w:gridSpan w:val="3"/>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竞赛学分奖励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108" w:type="dxa"/>
            <w:vMerge w:val="continue"/>
            <w:noWrap w:val="0"/>
            <w:vAlign w:val="center"/>
          </w:tcPr>
          <w:p>
            <w:pPr>
              <w:pageBreakBefore w:val="0"/>
              <w:kinsoku/>
              <w:overflowPunct/>
              <w:topLinePunct w:val="0"/>
              <w:bidi w:val="0"/>
              <w:ind w:firstLine="480" w:firstLineChars="200"/>
              <w:jc w:val="center"/>
              <w:outlineLvl w:val="9"/>
              <w:rPr>
                <w:rFonts w:hint="eastAsia" w:ascii="仿宋_GB2312" w:hAnsi="宋体" w:eastAsia="仿宋_GB2312" w:cs="宋体"/>
                <w:color w:val="000000"/>
                <w:sz w:val="24"/>
              </w:rPr>
            </w:pPr>
          </w:p>
        </w:tc>
        <w:tc>
          <w:tcPr>
            <w:tcW w:w="1882"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第一名/一等奖</w:t>
            </w:r>
          </w:p>
        </w:tc>
        <w:tc>
          <w:tcPr>
            <w:tcW w:w="1842"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第二名/二等奖</w:t>
            </w:r>
          </w:p>
        </w:tc>
        <w:tc>
          <w:tcPr>
            <w:tcW w:w="2017"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第三名/三等奖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108"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A（A1、A2、A3）</w:t>
            </w:r>
          </w:p>
        </w:tc>
        <w:tc>
          <w:tcPr>
            <w:tcW w:w="1882"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5</w:t>
            </w:r>
          </w:p>
        </w:tc>
        <w:tc>
          <w:tcPr>
            <w:tcW w:w="1842"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4</w:t>
            </w:r>
          </w:p>
        </w:tc>
        <w:tc>
          <w:tcPr>
            <w:tcW w:w="2017"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108"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B</w:t>
            </w:r>
          </w:p>
        </w:tc>
        <w:tc>
          <w:tcPr>
            <w:tcW w:w="1882"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3</w:t>
            </w:r>
          </w:p>
        </w:tc>
        <w:tc>
          <w:tcPr>
            <w:tcW w:w="1842"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2</w:t>
            </w:r>
          </w:p>
        </w:tc>
        <w:tc>
          <w:tcPr>
            <w:tcW w:w="2017"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108"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C</w:t>
            </w:r>
          </w:p>
        </w:tc>
        <w:tc>
          <w:tcPr>
            <w:tcW w:w="1882"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2</w:t>
            </w:r>
          </w:p>
        </w:tc>
        <w:tc>
          <w:tcPr>
            <w:tcW w:w="3859" w:type="dxa"/>
            <w:gridSpan w:val="2"/>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108"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D</w:t>
            </w:r>
          </w:p>
        </w:tc>
        <w:tc>
          <w:tcPr>
            <w:tcW w:w="1882" w:type="dxa"/>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1</w:t>
            </w:r>
          </w:p>
        </w:tc>
        <w:tc>
          <w:tcPr>
            <w:tcW w:w="3859" w:type="dxa"/>
            <w:gridSpan w:val="2"/>
            <w:noWrap w:val="0"/>
            <w:vAlign w:val="center"/>
          </w:tcPr>
          <w:p>
            <w:pPr>
              <w:pageBreakBefore w:val="0"/>
              <w:kinsoku/>
              <w:overflowPunct/>
              <w:topLinePunct w:val="0"/>
              <w:bidi w:val="0"/>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849" w:type="dxa"/>
            <w:gridSpan w:val="4"/>
            <w:noWrap w:val="0"/>
            <w:vAlign w:val="center"/>
          </w:tcPr>
          <w:p>
            <w:pPr>
              <w:pageBreakBefore w:val="0"/>
              <w:kinsoku/>
              <w:overflowPunct/>
              <w:topLinePunct w:val="0"/>
              <w:bidi w:val="0"/>
              <w:ind w:firstLine="480" w:firstLineChars="200"/>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备注：替代的选修课程</w:t>
            </w:r>
            <w:r>
              <w:rPr>
                <w:rFonts w:hint="eastAsia" w:ascii="仿宋_GB2312" w:hAnsi="宋体" w:eastAsia="仿宋_GB2312" w:cs="宋体"/>
                <w:sz w:val="24"/>
              </w:rPr>
              <w:t>期评</w:t>
            </w:r>
            <w:r>
              <w:rPr>
                <w:rFonts w:hint="eastAsia" w:ascii="仿宋_GB2312" w:hAnsi="宋体" w:eastAsia="仿宋_GB2312" w:cs="宋体"/>
                <w:color w:val="000000"/>
                <w:sz w:val="24"/>
              </w:rPr>
              <w:t>成绩按90分记录。</w:t>
            </w:r>
          </w:p>
        </w:tc>
      </w:tr>
    </w:tbl>
    <w:p>
      <w:pPr>
        <w:pageBreakBefore w:val="0"/>
        <w:kinsoku/>
        <w:overflowPunct/>
        <w:topLinePunct w:val="0"/>
        <w:bidi w:val="0"/>
        <w:spacing w:line="596" w:lineRule="exact"/>
        <w:ind w:firstLine="643"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b/>
          <w:bCs/>
          <w:color w:val="000000"/>
          <w:sz w:val="32"/>
          <w:szCs w:val="32"/>
        </w:rPr>
        <w:t>第十六条</w:t>
      </w:r>
      <w:r>
        <w:rPr>
          <w:rFonts w:hint="eastAsia" w:ascii="仿宋_GB2312" w:hAnsi="宋体" w:eastAsia="仿宋_GB2312" w:cs="宋体"/>
          <w:color w:val="000000"/>
          <w:sz w:val="32"/>
          <w:szCs w:val="32"/>
        </w:rPr>
        <w:t xml:space="preserve">  对指导教师的奖励</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1. 对指导教师的荣誉表彰。在A类竞赛项目中获奖或B类中获得一等奖的指导教师，学校按学年度授予“柳州职业技术学院优秀竞赛指导教师”荣誉称号。</w:t>
      </w:r>
    </w:p>
    <w:p>
      <w:pPr>
        <w:pageBreakBefore w:val="0"/>
        <w:kinsoku/>
        <w:overflowPunct/>
        <w:topLinePunct w:val="0"/>
        <w:bidi w:val="0"/>
        <w:spacing w:line="596" w:lineRule="exact"/>
        <w:ind w:firstLine="640"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2. 在校外各类竞赛项目中获奖的指导教师，学校在各级各类评优、评比等方面给予优先照顾。</w:t>
      </w:r>
    </w:p>
    <w:p>
      <w:pPr>
        <w:pageBreakBefore w:val="0"/>
        <w:kinsoku/>
        <w:overflowPunct/>
        <w:topLinePunct w:val="0"/>
        <w:bidi w:val="0"/>
        <w:spacing w:line="596" w:lineRule="exact"/>
        <w:ind w:firstLine="643" w:firstLineChars="200"/>
        <w:jc w:val="center"/>
        <w:outlineLvl w:val="9"/>
        <w:rPr>
          <w:rFonts w:hint="eastAsia" w:ascii="仿宋_GB2312" w:hAnsi="宋体" w:eastAsia="仿宋_GB2312" w:cs="宋体"/>
          <w:b/>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57" w:name="_Toc15351_WPSOffice_Level1"/>
      <w:r>
        <w:rPr>
          <w:rFonts w:hint="eastAsia" w:ascii="黑体" w:hAnsi="黑体" w:eastAsia="黑体" w:cs="宋体"/>
          <w:b/>
          <w:color w:val="000000"/>
          <w:sz w:val="32"/>
          <w:szCs w:val="32"/>
        </w:rPr>
        <w:t>第三章  校内专业技能竞赛的经费管理</w:t>
      </w:r>
      <w:bookmarkEnd w:id="457"/>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第十七条  </w:t>
      </w:r>
      <w:r>
        <w:rPr>
          <w:rFonts w:hint="eastAsia" w:ascii="仿宋_GB2312" w:hAnsi="宋体" w:eastAsia="仿宋_GB2312" w:cs="宋体"/>
          <w:color w:val="000000"/>
          <w:sz w:val="32"/>
          <w:szCs w:val="32"/>
        </w:rPr>
        <w:t>校内专业技能竞赛经费按照1500元/项下拨二级学院，由二级学院统筹管理、使用，主要用于赛项开发、出题、裁判、赛项组织等方面的工作量。如单项校内专业技能竞赛开支较大，可以单独申请，根据实际需要做经费预算。</w:t>
      </w:r>
    </w:p>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bCs/>
          <w:color w:val="000000"/>
          <w:sz w:val="32"/>
          <w:szCs w:val="32"/>
        </w:rPr>
        <w:t>第十八条</w:t>
      </w:r>
      <w:r>
        <w:rPr>
          <w:rFonts w:hint="eastAsia" w:ascii="仿宋_GB2312" w:hAnsi="宋体" w:eastAsia="仿宋_GB2312" w:cs="宋体"/>
          <w:color w:val="000000"/>
          <w:sz w:val="32"/>
          <w:szCs w:val="32"/>
        </w:rPr>
        <w:t xml:space="preserve">  校内专业技能竞赛裁判的工作量标准如表6所示。</w:t>
      </w:r>
    </w:p>
    <w:p>
      <w:pPr>
        <w:pageBreakBefore w:val="0"/>
        <w:kinsoku/>
        <w:overflowPunct/>
        <w:topLinePunct w:val="0"/>
        <w:bidi w:val="0"/>
        <w:spacing w:line="596" w:lineRule="exact"/>
        <w:jc w:val="center"/>
        <w:outlineLvl w:val="9"/>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表6  校内专业技能竞赛裁判工作量标准</w:t>
      </w:r>
    </w:p>
    <w:tbl>
      <w:tblPr>
        <w:tblStyle w:val="14"/>
        <w:tblW w:w="89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95"/>
        <w:gridCol w:w="4371"/>
        <w:gridCol w:w="2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1595" w:type="dxa"/>
            <w:noWrap w:val="0"/>
            <w:vAlign w:val="center"/>
          </w:tcPr>
          <w:p>
            <w:pPr>
              <w:pageBreakBefore w:val="0"/>
              <w:kinsoku/>
              <w:overflowPunct/>
              <w:topLinePunct w:val="0"/>
              <w:bidi w:val="0"/>
              <w:spacing w:line="360" w:lineRule="exact"/>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人员类型</w:t>
            </w:r>
          </w:p>
        </w:tc>
        <w:tc>
          <w:tcPr>
            <w:tcW w:w="4371" w:type="dxa"/>
            <w:noWrap w:val="0"/>
            <w:vAlign w:val="center"/>
          </w:tcPr>
          <w:p>
            <w:pPr>
              <w:pageBreakBefore w:val="0"/>
              <w:kinsoku/>
              <w:overflowPunct/>
              <w:topLinePunct w:val="0"/>
              <w:bidi w:val="0"/>
              <w:spacing w:line="360" w:lineRule="exact"/>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裁判工作量标准</w:t>
            </w:r>
          </w:p>
        </w:tc>
        <w:tc>
          <w:tcPr>
            <w:tcW w:w="2959" w:type="dxa"/>
            <w:noWrap w:val="0"/>
            <w:vAlign w:val="center"/>
          </w:tcPr>
          <w:p>
            <w:pPr>
              <w:pageBreakBefore w:val="0"/>
              <w:kinsoku/>
              <w:overflowPunct/>
              <w:topLinePunct w:val="0"/>
              <w:bidi w:val="0"/>
              <w:spacing w:line="360" w:lineRule="exact"/>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1595" w:type="dxa"/>
            <w:noWrap w:val="0"/>
            <w:vAlign w:val="center"/>
          </w:tcPr>
          <w:p>
            <w:pPr>
              <w:pageBreakBefore w:val="0"/>
              <w:kinsoku/>
              <w:overflowPunct/>
              <w:topLinePunct w:val="0"/>
              <w:bidi w:val="0"/>
              <w:spacing w:line="360" w:lineRule="exact"/>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校内专家</w:t>
            </w:r>
          </w:p>
        </w:tc>
        <w:tc>
          <w:tcPr>
            <w:tcW w:w="4371" w:type="dxa"/>
            <w:noWrap w:val="0"/>
            <w:vAlign w:val="center"/>
          </w:tcPr>
          <w:p>
            <w:pPr>
              <w:pageBreakBefore w:val="0"/>
              <w:kinsoku/>
              <w:overflowPunct/>
              <w:topLinePunct w:val="0"/>
              <w:bidi w:val="0"/>
              <w:spacing w:line="360" w:lineRule="exact"/>
              <w:jc w:val="left"/>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3小时以内 200元/场，每超过一小时增加60元</w:t>
            </w:r>
          </w:p>
        </w:tc>
        <w:tc>
          <w:tcPr>
            <w:tcW w:w="2959" w:type="dxa"/>
            <w:noWrap w:val="0"/>
            <w:vAlign w:val="center"/>
          </w:tcPr>
          <w:p>
            <w:pPr>
              <w:pageBreakBefore w:val="0"/>
              <w:kinsoku/>
              <w:overflowPunct/>
              <w:topLinePunct w:val="0"/>
              <w:bidi w:val="0"/>
              <w:spacing w:line="360" w:lineRule="exact"/>
              <w:jc w:val="left"/>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参考副教授的课酬标准核算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1595" w:type="dxa"/>
            <w:noWrap w:val="0"/>
            <w:vAlign w:val="center"/>
          </w:tcPr>
          <w:p>
            <w:pPr>
              <w:pageBreakBefore w:val="0"/>
              <w:kinsoku/>
              <w:overflowPunct/>
              <w:topLinePunct w:val="0"/>
              <w:bidi w:val="0"/>
              <w:spacing w:line="360" w:lineRule="exact"/>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柳州市内的校外专家</w:t>
            </w:r>
          </w:p>
        </w:tc>
        <w:tc>
          <w:tcPr>
            <w:tcW w:w="4371" w:type="dxa"/>
            <w:noWrap w:val="0"/>
            <w:vAlign w:val="center"/>
          </w:tcPr>
          <w:p>
            <w:pPr>
              <w:pageBreakBefore w:val="0"/>
              <w:kinsoku/>
              <w:overflowPunct/>
              <w:topLinePunct w:val="0"/>
              <w:bidi w:val="0"/>
              <w:spacing w:line="360" w:lineRule="exact"/>
              <w:jc w:val="left"/>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3小时以内300元/场，每超过一小时增加100元</w:t>
            </w:r>
          </w:p>
        </w:tc>
        <w:tc>
          <w:tcPr>
            <w:tcW w:w="2959" w:type="dxa"/>
            <w:vMerge w:val="restart"/>
            <w:noWrap w:val="0"/>
            <w:vAlign w:val="center"/>
          </w:tcPr>
          <w:p>
            <w:pPr>
              <w:pageBreakBefore w:val="0"/>
              <w:kinsoku/>
              <w:overflowPunct/>
              <w:topLinePunct w:val="0"/>
              <w:bidi w:val="0"/>
              <w:spacing w:line="360" w:lineRule="exact"/>
              <w:jc w:val="left"/>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 xml:space="preserve">参照广西财政厅文件《关于规范评审劳务费管理工作有关问题的通知》（桂财综[2017]28号）的标准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jc w:val="center"/>
        </w:trPr>
        <w:tc>
          <w:tcPr>
            <w:tcW w:w="1595" w:type="dxa"/>
            <w:noWrap w:val="0"/>
            <w:vAlign w:val="center"/>
          </w:tcPr>
          <w:p>
            <w:pPr>
              <w:pageBreakBefore w:val="0"/>
              <w:kinsoku/>
              <w:overflowPunct/>
              <w:topLinePunct w:val="0"/>
              <w:bidi w:val="0"/>
              <w:spacing w:line="360" w:lineRule="exact"/>
              <w:jc w:val="center"/>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柳州市外的校外专家</w:t>
            </w:r>
          </w:p>
        </w:tc>
        <w:tc>
          <w:tcPr>
            <w:tcW w:w="4371" w:type="dxa"/>
            <w:noWrap w:val="0"/>
            <w:vAlign w:val="center"/>
          </w:tcPr>
          <w:p>
            <w:pPr>
              <w:pageBreakBefore w:val="0"/>
              <w:kinsoku/>
              <w:overflowPunct/>
              <w:topLinePunct w:val="0"/>
              <w:bidi w:val="0"/>
              <w:spacing w:line="360" w:lineRule="exact"/>
              <w:jc w:val="left"/>
              <w:outlineLvl w:val="9"/>
              <w:rPr>
                <w:rFonts w:hint="eastAsia" w:ascii="仿宋_GB2312" w:hAnsi="宋体" w:eastAsia="仿宋_GB2312" w:cs="宋体"/>
                <w:color w:val="000000"/>
                <w:sz w:val="24"/>
              </w:rPr>
            </w:pPr>
            <w:r>
              <w:rPr>
                <w:rFonts w:hint="eastAsia" w:ascii="仿宋_GB2312" w:hAnsi="宋体" w:eastAsia="仿宋_GB2312" w:cs="宋体"/>
                <w:color w:val="000000"/>
                <w:sz w:val="24"/>
              </w:rPr>
              <w:t>3小时以内500元/场，每超过一小时增加100元，裁判的差旅、交通、食宿等费用按照实报实销的原则由学校承担。</w:t>
            </w:r>
          </w:p>
        </w:tc>
        <w:tc>
          <w:tcPr>
            <w:tcW w:w="2959" w:type="dxa"/>
            <w:vMerge w:val="continue"/>
            <w:noWrap w:val="0"/>
            <w:vAlign w:val="center"/>
          </w:tcPr>
          <w:p>
            <w:pPr>
              <w:pageBreakBefore w:val="0"/>
              <w:kinsoku/>
              <w:overflowPunct/>
              <w:topLinePunct w:val="0"/>
              <w:bidi w:val="0"/>
              <w:spacing w:line="360" w:lineRule="exact"/>
              <w:jc w:val="left"/>
              <w:outlineLvl w:val="9"/>
              <w:rPr>
                <w:rFonts w:hint="eastAsia" w:ascii="仿宋_GB2312" w:hAnsi="宋体" w:eastAsia="仿宋_GB2312" w:cs="宋体"/>
                <w:color w:val="000000"/>
                <w:sz w:val="24"/>
              </w:rPr>
            </w:pPr>
          </w:p>
        </w:tc>
      </w:tr>
    </w:tbl>
    <w:p>
      <w:pPr>
        <w:pageBreakBefore w:val="0"/>
        <w:kinsoku/>
        <w:overflowPunct/>
        <w:topLinePunct w:val="0"/>
        <w:bidi w:val="0"/>
        <w:spacing w:line="596" w:lineRule="exact"/>
        <w:ind w:firstLine="643" w:firstLineChars="200"/>
        <w:jc w:val="left"/>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第十九条  </w:t>
      </w:r>
      <w:r>
        <w:rPr>
          <w:rFonts w:hint="eastAsia" w:ascii="仿宋_GB2312" w:hAnsi="宋体" w:eastAsia="仿宋_GB2312" w:cs="宋体"/>
          <w:color w:val="000000"/>
          <w:sz w:val="32"/>
          <w:szCs w:val="32"/>
        </w:rPr>
        <w:t>校内专业技能竞赛不专门采购新设备，不产生差旅费和参赛费，学生训练在相关课程内完成，不额外组织学生培训，不产生指导教师培训工作量和学生补贴等费用。</w:t>
      </w:r>
    </w:p>
    <w:p>
      <w:pPr>
        <w:pageBreakBefore w:val="0"/>
        <w:kinsoku/>
        <w:overflowPunct/>
        <w:topLinePunct w:val="0"/>
        <w:bidi w:val="0"/>
        <w:spacing w:line="596" w:lineRule="exact"/>
        <w:ind w:firstLine="643" w:firstLineChars="200"/>
        <w:jc w:val="center"/>
        <w:outlineLvl w:val="9"/>
        <w:rPr>
          <w:rFonts w:hint="eastAsia" w:ascii="仿宋_GB2312" w:hAnsi="宋体" w:eastAsia="仿宋_GB2312" w:cs="宋体"/>
          <w:b/>
          <w:color w:val="000000"/>
          <w:sz w:val="32"/>
          <w:szCs w:val="32"/>
        </w:rPr>
      </w:pPr>
    </w:p>
    <w:p>
      <w:pPr>
        <w:pageBreakBefore w:val="0"/>
        <w:kinsoku/>
        <w:overflowPunct/>
        <w:topLinePunct w:val="0"/>
        <w:bidi w:val="0"/>
        <w:spacing w:line="596" w:lineRule="exact"/>
        <w:jc w:val="center"/>
        <w:outlineLvl w:val="9"/>
        <w:rPr>
          <w:rFonts w:hint="eastAsia" w:ascii="黑体" w:hAnsi="黑体" w:eastAsia="黑体" w:cs="宋体"/>
          <w:b/>
          <w:color w:val="000000"/>
          <w:sz w:val="32"/>
          <w:szCs w:val="32"/>
        </w:rPr>
      </w:pPr>
      <w:bookmarkStart w:id="458" w:name="_Toc9601_WPSOffice_Level1"/>
      <w:r>
        <w:rPr>
          <w:rFonts w:hint="eastAsia" w:ascii="黑体" w:hAnsi="黑体" w:eastAsia="黑体" w:cs="宋体"/>
          <w:b/>
          <w:color w:val="000000"/>
          <w:sz w:val="32"/>
          <w:szCs w:val="32"/>
        </w:rPr>
        <w:t>第四章  附则</w:t>
      </w:r>
      <w:bookmarkEnd w:id="458"/>
    </w:p>
    <w:p>
      <w:pPr>
        <w:pageBreakBefore w:val="0"/>
        <w:kinsoku/>
        <w:overflowPunct/>
        <w:topLinePunct w:val="0"/>
        <w:bidi w:val="0"/>
        <w:spacing w:line="596" w:lineRule="exact"/>
        <w:ind w:firstLine="643" w:firstLineChars="200"/>
        <w:outlineLvl w:val="9"/>
        <w:rPr>
          <w:rFonts w:hint="eastAsia" w:ascii="仿宋_GB2312" w:hAnsi="宋体" w:eastAsia="仿宋_GB2312" w:cs="宋体"/>
          <w:color w:val="000000"/>
          <w:sz w:val="32"/>
          <w:szCs w:val="32"/>
        </w:rPr>
      </w:pPr>
      <w:r>
        <w:rPr>
          <w:rFonts w:hint="eastAsia" w:ascii="仿宋_GB2312" w:hAnsi="宋体" w:eastAsia="仿宋_GB2312" w:cs="宋体"/>
          <w:b/>
          <w:color w:val="000000"/>
          <w:sz w:val="32"/>
          <w:szCs w:val="32"/>
        </w:rPr>
        <w:t xml:space="preserve">第二十条 </w:t>
      </w:r>
      <w:r>
        <w:rPr>
          <w:rFonts w:hint="eastAsia" w:ascii="仿宋_GB2312" w:hAnsi="宋体" w:eastAsia="仿宋_GB2312" w:cs="宋体"/>
          <w:color w:val="000000"/>
          <w:sz w:val="32"/>
          <w:szCs w:val="32"/>
        </w:rPr>
        <w:t xml:space="preserve"> 各项专业技能竞赛的工作量经费、奖励经费发放到个人，不得随意挪用、扣留。</w:t>
      </w:r>
    </w:p>
    <w:p>
      <w:pPr>
        <w:pageBreakBefore w:val="0"/>
        <w:kinsoku/>
        <w:overflowPunct/>
        <w:topLinePunct w:val="0"/>
        <w:bidi w:val="0"/>
        <w:spacing w:line="596" w:lineRule="exact"/>
        <w:ind w:firstLine="643" w:firstLineChars="200"/>
        <w:contextualSpacing/>
        <w:outlineLvl w:val="9"/>
        <w:rPr>
          <w:rFonts w:hint="eastAsia" w:ascii="仿宋_GB2312" w:hAnsi="宋体" w:eastAsia="仿宋_GB2312" w:cs="宋体"/>
          <w:color w:val="000000"/>
          <w:kern w:val="0"/>
          <w:sz w:val="32"/>
          <w:szCs w:val="32"/>
        </w:rPr>
      </w:pPr>
      <w:r>
        <w:rPr>
          <w:rFonts w:hint="eastAsia" w:ascii="仿宋_GB2312" w:hAnsi="宋体" w:eastAsia="仿宋_GB2312" w:cs="宋体"/>
          <w:b/>
          <w:color w:val="000000"/>
          <w:sz w:val="32"/>
          <w:szCs w:val="32"/>
        </w:rPr>
        <w:t>第二十一条</w:t>
      </w:r>
      <w:r>
        <w:rPr>
          <w:rFonts w:hint="eastAsia" w:ascii="仿宋_GB2312" w:hAnsi="宋体" w:eastAsia="仿宋_GB2312" w:cs="宋体"/>
          <w:color w:val="000000"/>
          <w:sz w:val="32"/>
          <w:szCs w:val="32"/>
        </w:rPr>
        <w:t xml:space="preserve">  本管理办法自发布之日起施行，</w:t>
      </w:r>
      <w:r>
        <w:rPr>
          <w:rFonts w:hint="eastAsia" w:ascii="仿宋_GB2312" w:hAnsi="宋体" w:eastAsia="仿宋_GB2312" w:cs="宋体"/>
          <w:color w:val="000000"/>
          <w:kern w:val="0"/>
          <w:sz w:val="32"/>
          <w:szCs w:val="32"/>
        </w:rPr>
        <w:t>此前相关规定如有与本办法规定不一致的，以本办法规定为准；本办法规定如与上级管理部门规定不一致之处，以上级管理部门规定为准；本办法发文后参加比赛的项目执行本办法；本办法由教务与实训管理处、财务处负责解释。</w:t>
      </w:r>
    </w:p>
    <w:p>
      <w:pPr>
        <w:pageBreakBefore w:val="0"/>
        <w:kinsoku/>
        <w:overflowPunct/>
        <w:topLinePunct w:val="0"/>
        <w:bidi w:val="0"/>
        <w:spacing w:line="596" w:lineRule="exact"/>
        <w:jc w:val="left"/>
        <w:outlineLvl w:val="9"/>
        <w:rPr>
          <w:rFonts w:hint="eastAsia" w:ascii="黑体" w:hAnsi="Calibri" w:eastAsia="黑体"/>
          <w:sz w:val="32"/>
          <w:szCs w:val="32"/>
        </w:rPr>
      </w:pPr>
      <w:r>
        <w:rPr>
          <w:rFonts w:ascii="仿宋_GB2312" w:hAnsi="宋体" w:eastAsia="仿宋_GB2312" w:cs="宋体"/>
          <w:color w:val="000000"/>
          <w:kern w:val="0"/>
          <w:sz w:val="32"/>
          <w:szCs w:val="32"/>
        </w:rPr>
        <w:br w:type="page"/>
      </w:r>
      <w:r>
        <w:rPr>
          <w:rFonts w:hint="eastAsia" w:ascii="黑体" w:hAnsi="Calibri" w:eastAsia="黑体"/>
          <w:sz w:val="32"/>
          <w:szCs w:val="32"/>
        </w:rPr>
        <w:t>附表：</w:t>
      </w:r>
    </w:p>
    <w:p>
      <w:pPr>
        <w:pageBreakBefore w:val="0"/>
        <w:kinsoku/>
        <w:overflowPunct/>
        <w:topLinePunct w:val="0"/>
        <w:bidi w:val="0"/>
        <w:spacing w:line="596" w:lineRule="exact"/>
        <w:jc w:val="center"/>
        <w:outlineLvl w:val="9"/>
        <w:rPr>
          <w:rFonts w:hint="eastAsia" w:ascii="Calibri" w:hAnsi="Calibri"/>
          <w:b/>
          <w:sz w:val="36"/>
          <w:szCs w:val="36"/>
        </w:rPr>
      </w:pPr>
      <w:bookmarkStart w:id="459" w:name="_Toc26881_WPSOffice_Level1"/>
      <w:r>
        <w:rPr>
          <w:rFonts w:hint="eastAsia" w:ascii="Calibri" w:hAnsi="Calibri"/>
          <w:b/>
          <w:sz w:val="36"/>
          <w:szCs w:val="36"/>
        </w:rPr>
        <w:t>学校重点支持专业技能竞赛典型赛事一览表</w:t>
      </w:r>
      <w:bookmarkEnd w:id="459"/>
    </w:p>
    <w:tbl>
      <w:tblPr>
        <w:tblStyle w:val="14"/>
        <w:tblW w:w="92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650"/>
        <w:gridCol w:w="3637"/>
        <w:gridCol w:w="4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11" w:type="dxa"/>
            <w:gridSpan w:val="2"/>
            <w:noWrap w:val="0"/>
            <w:vAlign w:val="center"/>
          </w:tcPr>
          <w:p>
            <w:pPr>
              <w:pageBreakBefore w:val="0"/>
              <w:kinsoku/>
              <w:overflowPunct/>
              <w:topLinePunct w:val="0"/>
              <w:bidi w:val="0"/>
              <w:jc w:val="center"/>
              <w:outlineLvl w:val="9"/>
              <w:rPr>
                <w:rFonts w:hint="eastAsia" w:ascii="仿宋_GB2312" w:hAnsi="宋体" w:eastAsia="仿宋_GB2312"/>
                <w:b/>
                <w:color w:val="000000"/>
                <w:kern w:val="0"/>
                <w:sz w:val="21"/>
              </w:rPr>
            </w:pPr>
            <w:r>
              <w:rPr>
                <w:rFonts w:hint="eastAsia" w:ascii="仿宋_GB2312" w:hAnsi="宋体" w:eastAsia="仿宋_GB2312"/>
                <w:b/>
                <w:color w:val="000000"/>
                <w:kern w:val="0"/>
                <w:sz w:val="21"/>
              </w:rPr>
              <w:t>竞赛类别</w:t>
            </w:r>
          </w:p>
        </w:tc>
        <w:tc>
          <w:tcPr>
            <w:tcW w:w="3637" w:type="dxa"/>
            <w:noWrap w:val="0"/>
            <w:vAlign w:val="center"/>
          </w:tcPr>
          <w:p>
            <w:pPr>
              <w:pageBreakBefore w:val="0"/>
              <w:kinsoku/>
              <w:overflowPunct/>
              <w:topLinePunct w:val="0"/>
              <w:bidi w:val="0"/>
              <w:jc w:val="center"/>
              <w:outlineLvl w:val="9"/>
              <w:rPr>
                <w:rFonts w:hint="eastAsia" w:ascii="仿宋_GB2312" w:hAnsi="宋体" w:eastAsia="仿宋_GB2312"/>
                <w:b/>
                <w:color w:val="000000"/>
                <w:kern w:val="0"/>
                <w:sz w:val="21"/>
              </w:rPr>
            </w:pPr>
            <w:r>
              <w:rPr>
                <w:rFonts w:hint="eastAsia" w:ascii="仿宋_GB2312" w:hAnsi="宋体" w:eastAsia="仿宋_GB2312"/>
                <w:b/>
                <w:color w:val="000000"/>
                <w:kern w:val="0"/>
                <w:sz w:val="21"/>
              </w:rPr>
              <w:t>竞赛项目</w:t>
            </w:r>
          </w:p>
        </w:tc>
        <w:tc>
          <w:tcPr>
            <w:tcW w:w="4470" w:type="dxa"/>
            <w:noWrap w:val="0"/>
            <w:vAlign w:val="center"/>
          </w:tcPr>
          <w:p>
            <w:pPr>
              <w:pageBreakBefore w:val="0"/>
              <w:kinsoku/>
              <w:overflowPunct/>
              <w:topLinePunct w:val="0"/>
              <w:bidi w:val="0"/>
              <w:jc w:val="center"/>
              <w:outlineLvl w:val="9"/>
              <w:rPr>
                <w:rFonts w:hint="eastAsia" w:ascii="仿宋_GB2312" w:hAnsi="宋体" w:eastAsia="仿宋_GB2312"/>
                <w:b/>
                <w:color w:val="000000"/>
                <w:kern w:val="0"/>
                <w:sz w:val="21"/>
              </w:rPr>
            </w:pPr>
            <w:r>
              <w:rPr>
                <w:rFonts w:hint="eastAsia" w:ascii="仿宋_GB2312" w:hAnsi="宋体" w:eastAsia="仿宋_GB2312"/>
                <w:b/>
                <w:color w:val="000000"/>
                <w:kern w:val="0"/>
                <w:sz w:val="21"/>
              </w:rPr>
              <w:t>重点支持典型赛事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61" w:type="dxa"/>
            <w:vMerge w:val="restart"/>
            <w:noWrap w:val="0"/>
            <w:vAlign w:val="center"/>
          </w:tcPr>
          <w:p>
            <w:pPr>
              <w:pageBreakBefore w:val="0"/>
              <w:kinsoku/>
              <w:overflowPunct/>
              <w:topLinePunct w:val="0"/>
              <w:bidi w:val="0"/>
              <w:spacing w:line="360" w:lineRule="exact"/>
              <w:jc w:val="center"/>
              <w:outlineLvl w:val="9"/>
              <w:rPr>
                <w:rFonts w:hint="eastAsia" w:ascii="仿宋_GB2312" w:hAnsi="宋体" w:eastAsia="仿宋_GB2312"/>
                <w:color w:val="000000"/>
                <w:sz w:val="21"/>
              </w:rPr>
            </w:pPr>
            <w:r>
              <w:rPr>
                <w:rFonts w:hint="eastAsia" w:ascii="仿宋_GB2312" w:hAnsi="宋体" w:eastAsia="仿宋_GB2312"/>
                <w:color w:val="000000"/>
                <w:sz w:val="21"/>
              </w:rPr>
              <w:t>A</w:t>
            </w:r>
          </w:p>
        </w:tc>
        <w:tc>
          <w:tcPr>
            <w:tcW w:w="650" w:type="dxa"/>
            <w:noWrap w:val="0"/>
            <w:vAlign w:val="center"/>
          </w:tcPr>
          <w:p>
            <w:pPr>
              <w:pageBreakBefore w:val="0"/>
              <w:kinsoku/>
              <w:overflowPunct/>
              <w:topLinePunct w:val="0"/>
              <w:bidi w:val="0"/>
              <w:jc w:val="center"/>
              <w:outlineLvl w:val="9"/>
              <w:rPr>
                <w:rFonts w:hint="eastAsia" w:ascii="仿宋_GB2312" w:hAnsi="宋体" w:eastAsia="仿宋_GB2312"/>
                <w:color w:val="000000"/>
                <w:sz w:val="21"/>
              </w:rPr>
            </w:pPr>
            <w:r>
              <w:rPr>
                <w:rFonts w:hint="eastAsia" w:ascii="仿宋_GB2312" w:hAnsi="宋体" w:eastAsia="仿宋_GB2312"/>
                <w:color w:val="000000"/>
                <w:sz w:val="21"/>
              </w:rPr>
              <w:t>A1</w:t>
            </w:r>
          </w:p>
        </w:tc>
        <w:tc>
          <w:tcPr>
            <w:tcW w:w="3637" w:type="dxa"/>
            <w:noWrap w:val="0"/>
            <w:vAlign w:val="center"/>
          </w:tcPr>
          <w:p>
            <w:pPr>
              <w:pageBreakBefore w:val="0"/>
              <w:kinsoku/>
              <w:overflowPunct/>
              <w:topLinePunct w:val="0"/>
              <w:bidi w:val="0"/>
              <w:jc w:val="left"/>
              <w:outlineLvl w:val="9"/>
              <w:rPr>
                <w:rFonts w:hint="eastAsia" w:ascii="仿宋_GB2312" w:hAnsi="宋体" w:eastAsia="仿宋_GB2312"/>
                <w:color w:val="000000"/>
                <w:sz w:val="21"/>
              </w:rPr>
            </w:pPr>
            <w:r>
              <w:rPr>
                <w:rFonts w:hint="eastAsia" w:ascii="仿宋_GB2312" w:hAnsi="宋体" w:eastAsia="仿宋_GB2312"/>
                <w:color w:val="000000"/>
                <w:sz w:val="21"/>
              </w:rPr>
              <w:t>国际组织主办的重大国际技能大赛</w:t>
            </w:r>
          </w:p>
        </w:tc>
        <w:tc>
          <w:tcPr>
            <w:tcW w:w="4470" w:type="dxa"/>
            <w:noWrap w:val="0"/>
            <w:vAlign w:val="center"/>
          </w:tcPr>
          <w:p>
            <w:pPr>
              <w:pageBreakBefore w:val="0"/>
              <w:kinsoku/>
              <w:overflowPunct/>
              <w:topLinePunct w:val="0"/>
              <w:bidi w:val="0"/>
              <w:jc w:val="left"/>
              <w:outlineLvl w:val="9"/>
              <w:rPr>
                <w:rFonts w:hint="eastAsia" w:ascii="仿宋_GB2312" w:hAnsi="宋体" w:eastAsia="仿宋_GB2312"/>
                <w:color w:val="000000"/>
                <w:sz w:val="21"/>
              </w:rPr>
            </w:pPr>
            <w:r>
              <w:rPr>
                <w:rFonts w:hint="eastAsia" w:ascii="仿宋_GB2312" w:hAnsi="宋体" w:eastAsia="仿宋_GB2312"/>
                <w:color w:val="000000"/>
                <w:sz w:val="21"/>
              </w:rPr>
              <w:t>世界技能组织主办的世界技能大赛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61" w:type="dxa"/>
            <w:vMerge w:val="continue"/>
            <w:noWrap w:val="0"/>
            <w:vAlign w:val="center"/>
          </w:tcPr>
          <w:p>
            <w:pPr>
              <w:pageBreakBefore w:val="0"/>
              <w:kinsoku/>
              <w:overflowPunct/>
              <w:topLinePunct w:val="0"/>
              <w:bidi w:val="0"/>
              <w:spacing w:line="360" w:lineRule="exact"/>
              <w:jc w:val="center"/>
              <w:outlineLvl w:val="9"/>
              <w:rPr>
                <w:rFonts w:hint="eastAsia" w:ascii="仿宋_GB2312" w:hAnsi="宋体" w:eastAsia="仿宋_GB2312"/>
                <w:color w:val="000000"/>
                <w:sz w:val="21"/>
              </w:rPr>
            </w:pPr>
          </w:p>
        </w:tc>
        <w:tc>
          <w:tcPr>
            <w:tcW w:w="650" w:type="dxa"/>
            <w:noWrap w:val="0"/>
            <w:vAlign w:val="center"/>
          </w:tcPr>
          <w:p>
            <w:pPr>
              <w:pageBreakBefore w:val="0"/>
              <w:kinsoku/>
              <w:overflowPunct/>
              <w:topLinePunct w:val="0"/>
              <w:bidi w:val="0"/>
              <w:spacing w:line="360" w:lineRule="exact"/>
              <w:jc w:val="center"/>
              <w:outlineLvl w:val="9"/>
              <w:rPr>
                <w:rFonts w:hint="eastAsia" w:ascii="仿宋_GB2312" w:hAnsi="宋体" w:eastAsia="仿宋_GB2312"/>
                <w:color w:val="000000"/>
                <w:sz w:val="21"/>
              </w:rPr>
            </w:pPr>
            <w:r>
              <w:rPr>
                <w:rFonts w:hint="eastAsia" w:ascii="仿宋_GB2312" w:hAnsi="宋体" w:eastAsia="仿宋_GB2312"/>
                <w:color w:val="000000"/>
                <w:sz w:val="21"/>
              </w:rPr>
              <w:t>A2</w:t>
            </w:r>
          </w:p>
        </w:tc>
        <w:tc>
          <w:tcPr>
            <w:tcW w:w="3637"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国际组织主办的国际区域技能大赛</w:t>
            </w:r>
          </w:p>
        </w:tc>
        <w:tc>
          <w:tcPr>
            <w:tcW w:w="4470"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金砖国家工商大会主办的金砖国家技能发展与创新大赛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61" w:type="dxa"/>
            <w:vMerge w:val="continue"/>
            <w:noWrap w:val="0"/>
            <w:vAlign w:val="center"/>
          </w:tcPr>
          <w:p>
            <w:pPr>
              <w:pageBreakBefore w:val="0"/>
              <w:kinsoku/>
              <w:overflowPunct/>
              <w:topLinePunct w:val="0"/>
              <w:bidi w:val="0"/>
              <w:spacing w:line="360" w:lineRule="exact"/>
              <w:jc w:val="center"/>
              <w:outlineLvl w:val="9"/>
              <w:rPr>
                <w:rFonts w:hint="eastAsia" w:ascii="仿宋_GB2312" w:hAnsi="宋体" w:eastAsia="仿宋_GB2312"/>
                <w:color w:val="000000"/>
                <w:sz w:val="21"/>
              </w:rPr>
            </w:pPr>
          </w:p>
        </w:tc>
        <w:tc>
          <w:tcPr>
            <w:tcW w:w="650" w:type="dxa"/>
            <w:noWrap w:val="0"/>
            <w:vAlign w:val="center"/>
          </w:tcPr>
          <w:p>
            <w:pPr>
              <w:pageBreakBefore w:val="0"/>
              <w:kinsoku/>
              <w:overflowPunct/>
              <w:topLinePunct w:val="0"/>
              <w:bidi w:val="0"/>
              <w:spacing w:line="360" w:lineRule="exact"/>
              <w:jc w:val="center"/>
              <w:outlineLvl w:val="9"/>
              <w:rPr>
                <w:rFonts w:hint="eastAsia" w:ascii="仿宋_GB2312" w:hAnsi="宋体" w:eastAsia="仿宋_GB2312"/>
                <w:color w:val="000000"/>
                <w:sz w:val="21"/>
              </w:rPr>
            </w:pPr>
            <w:r>
              <w:rPr>
                <w:rFonts w:hint="eastAsia" w:ascii="仿宋_GB2312" w:hAnsi="宋体" w:eastAsia="仿宋_GB2312"/>
                <w:color w:val="000000"/>
                <w:sz w:val="21"/>
              </w:rPr>
              <w:t>A3</w:t>
            </w:r>
          </w:p>
        </w:tc>
        <w:tc>
          <w:tcPr>
            <w:tcW w:w="3637"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教育部主办的全国职业院校技能大赛</w:t>
            </w:r>
          </w:p>
        </w:tc>
        <w:tc>
          <w:tcPr>
            <w:tcW w:w="4470"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教育部主办的全国职业院校技能大赛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教育部主办的中国“互联网+”大学生创新创业大赛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11" w:type="dxa"/>
            <w:gridSpan w:val="2"/>
            <w:noWrap w:val="0"/>
            <w:vAlign w:val="center"/>
          </w:tcPr>
          <w:p>
            <w:pPr>
              <w:pageBreakBefore w:val="0"/>
              <w:kinsoku/>
              <w:overflowPunct/>
              <w:topLinePunct w:val="0"/>
              <w:bidi w:val="0"/>
              <w:spacing w:line="360" w:lineRule="exact"/>
              <w:jc w:val="center"/>
              <w:outlineLvl w:val="9"/>
              <w:rPr>
                <w:rFonts w:hint="eastAsia" w:ascii="仿宋_GB2312" w:hAnsi="宋体" w:eastAsia="仿宋_GB2312"/>
                <w:color w:val="000000"/>
                <w:sz w:val="21"/>
              </w:rPr>
            </w:pPr>
            <w:r>
              <w:rPr>
                <w:rFonts w:hint="eastAsia" w:ascii="仿宋_GB2312" w:hAnsi="宋体" w:eastAsia="仿宋_GB2312"/>
                <w:color w:val="000000"/>
                <w:sz w:val="21"/>
              </w:rPr>
              <w:t>B</w:t>
            </w:r>
          </w:p>
        </w:tc>
        <w:tc>
          <w:tcPr>
            <w:tcW w:w="3637"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教育部所属管理司主办的大赛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国家其他部委主办的全国技能大赛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国家级行业或专业课程教学指导委员会、行业协会、学会主办的专业技能竞赛</w:t>
            </w:r>
          </w:p>
          <w:p>
            <w:pPr>
              <w:pageBreakBefore w:val="0"/>
              <w:kinsoku/>
              <w:overflowPunct/>
              <w:topLinePunct w:val="0"/>
              <w:bidi w:val="0"/>
              <w:spacing w:line="320" w:lineRule="exact"/>
              <w:outlineLvl w:val="9"/>
              <w:rPr>
                <w:rFonts w:hint="eastAsia" w:ascii="仿宋_GB2312" w:hAnsi="宋体" w:eastAsia="仿宋_GB2312"/>
                <w:color w:val="000000"/>
                <w:kern w:val="0"/>
                <w:sz w:val="21"/>
              </w:rPr>
            </w:pPr>
            <w:r>
              <w:rPr>
                <w:rFonts w:hint="eastAsia" w:ascii="仿宋_GB2312" w:hAnsi="宋体" w:eastAsia="仿宋_GB2312"/>
                <w:color w:val="000000"/>
                <w:sz w:val="21"/>
              </w:rPr>
              <w:t>广西教育厅主办的广西职业院校</w:t>
            </w:r>
            <w:r>
              <w:rPr>
                <w:rFonts w:hint="eastAsia" w:ascii="仿宋_GB2312" w:hAnsi="宋体" w:eastAsia="仿宋_GB2312"/>
                <w:color w:val="000000"/>
                <w:kern w:val="0"/>
                <w:sz w:val="21"/>
              </w:rPr>
              <w:t>技能大赛</w:t>
            </w:r>
          </w:p>
          <w:p>
            <w:pPr>
              <w:pageBreakBefore w:val="0"/>
              <w:kinsoku/>
              <w:overflowPunct/>
              <w:topLinePunct w:val="0"/>
              <w:bidi w:val="0"/>
              <w:spacing w:line="320" w:lineRule="exact"/>
              <w:outlineLvl w:val="9"/>
              <w:rPr>
                <w:rFonts w:hint="eastAsia" w:ascii="仿宋_GB2312" w:hAnsi="宋体" w:eastAsia="仿宋_GB2312"/>
                <w:color w:val="000000"/>
                <w:kern w:val="0"/>
                <w:sz w:val="21"/>
              </w:rPr>
            </w:pPr>
            <w:r>
              <w:rPr>
                <w:rFonts w:hint="eastAsia" w:ascii="仿宋_GB2312" w:hAnsi="宋体" w:eastAsia="仿宋_GB2312"/>
                <w:color w:val="000000"/>
                <w:sz w:val="21"/>
              </w:rPr>
              <w:t>广西教育厅主办的中国“互联网+”大学生创新创业大赛选拔赛</w:t>
            </w:r>
          </w:p>
        </w:tc>
        <w:tc>
          <w:tcPr>
            <w:tcW w:w="4470"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教育部高等教育司及工业和信息化部人事司主办的全国大学生电子设计竞赛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教育部高等教育司主办的全国大学生广告艺术大赛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教育部高等教育司及中国工业与应用数学学会主办的全国大学生数学建模竞赛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教育部高等学校机械学科教学指导委员会主办的全国大学生机械创新设计大赛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团中央等主办的“挑战杯”全国大学生创业计划竞赛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人力资源和社会保障部等主办的全国数控技能大赛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人力资源和社会保障部主办的中国技能大赛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广西教育厅主办的广西职业院校技能大赛、“互联网+”大学生创新创业大赛选拔赛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11" w:type="dxa"/>
            <w:gridSpan w:val="2"/>
            <w:noWrap w:val="0"/>
            <w:vAlign w:val="center"/>
          </w:tcPr>
          <w:p>
            <w:pPr>
              <w:pageBreakBefore w:val="0"/>
              <w:kinsoku/>
              <w:overflowPunct/>
              <w:topLinePunct w:val="0"/>
              <w:bidi w:val="0"/>
              <w:spacing w:line="360" w:lineRule="exact"/>
              <w:jc w:val="center"/>
              <w:outlineLvl w:val="9"/>
              <w:rPr>
                <w:rFonts w:hint="eastAsia" w:ascii="仿宋_GB2312" w:hAnsi="宋体" w:eastAsia="仿宋_GB2312"/>
                <w:color w:val="000000"/>
                <w:sz w:val="21"/>
              </w:rPr>
            </w:pPr>
            <w:r>
              <w:rPr>
                <w:rFonts w:hint="eastAsia" w:ascii="仿宋_GB2312" w:hAnsi="宋体" w:eastAsia="仿宋_GB2312"/>
                <w:color w:val="000000"/>
                <w:sz w:val="21"/>
              </w:rPr>
              <w:t>C</w:t>
            </w:r>
          </w:p>
        </w:tc>
        <w:tc>
          <w:tcPr>
            <w:tcW w:w="3637"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广西教育厅主办的其他大赛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广西其他厅级部门主办的技能大赛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国家级行业或专业课程教学指导委员会、行业协会、学会下属分会主办的专业技能竞赛</w:t>
            </w:r>
          </w:p>
        </w:tc>
        <w:tc>
          <w:tcPr>
            <w:tcW w:w="4470"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广西高校计算机应用（网页设计）大赛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广西高校大学生创新设计与制作大赛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广西网络安全技术大赛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广西高校化学化工类学术创新成果竞赛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广西科技厅主办的广西创业大赛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11" w:type="dxa"/>
            <w:gridSpan w:val="2"/>
            <w:noWrap w:val="0"/>
            <w:vAlign w:val="center"/>
          </w:tcPr>
          <w:p>
            <w:pPr>
              <w:pageBreakBefore w:val="0"/>
              <w:kinsoku/>
              <w:overflowPunct/>
              <w:topLinePunct w:val="0"/>
              <w:bidi w:val="0"/>
              <w:spacing w:line="360" w:lineRule="exact"/>
              <w:jc w:val="center"/>
              <w:outlineLvl w:val="9"/>
              <w:rPr>
                <w:rFonts w:hint="eastAsia" w:ascii="仿宋_GB2312" w:hAnsi="宋体" w:eastAsia="仿宋_GB2312"/>
                <w:color w:val="000000"/>
                <w:sz w:val="21"/>
              </w:rPr>
            </w:pPr>
            <w:r>
              <w:rPr>
                <w:rFonts w:hint="eastAsia" w:ascii="仿宋_GB2312" w:hAnsi="宋体" w:eastAsia="仿宋_GB2312"/>
                <w:color w:val="000000"/>
                <w:sz w:val="21"/>
              </w:rPr>
              <w:t>D</w:t>
            </w:r>
          </w:p>
        </w:tc>
        <w:tc>
          <w:tcPr>
            <w:tcW w:w="3637"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柳州市政府各局、委主办的职业技能竞赛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广西职业教育教学指导委员会、行业协会、学会主办的竞赛</w:t>
            </w:r>
          </w:p>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企业举办的技能竞赛</w:t>
            </w:r>
          </w:p>
        </w:tc>
        <w:tc>
          <w:tcPr>
            <w:tcW w:w="4470" w:type="dxa"/>
            <w:noWrap w:val="0"/>
            <w:vAlign w:val="center"/>
          </w:tcPr>
          <w:p>
            <w:pPr>
              <w:pageBreakBefore w:val="0"/>
              <w:kinsoku/>
              <w:overflowPunct/>
              <w:topLinePunct w:val="0"/>
              <w:bidi w:val="0"/>
              <w:spacing w:line="320" w:lineRule="exact"/>
              <w:outlineLvl w:val="9"/>
              <w:rPr>
                <w:rFonts w:hint="eastAsia" w:ascii="仿宋_GB2312" w:hAnsi="宋体" w:eastAsia="仿宋_GB2312"/>
                <w:color w:val="000000"/>
                <w:sz w:val="21"/>
              </w:rPr>
            </w:pPr>
            <w:r>
              <w:rPr>
                <w:rFonts w:hint="eastAsia" w:ascii="仿宋_GB2312" w:hAnsi="宋体" w:eastAsia="仿宋_GB2312"/>
                <w:color w:val="000000"/>
                <w:sz w:val="21"/>
              </w:rPr>
              <w:t>柳州市教育局主办的职业院校技能大赛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11" w:type="dxa"/>
            <w:gridSpan w:val="2"/>
            <w:noWrap w:val="0"/>
            <w:vAlign w:val="center"/>
          </w:tcPr>
          <w:p>
            <w:pPr>
              <w:pageBreakBefore w:val="0"/>
              <w:kinsoku/>
              <w:overflowPunct/>
              <w:topLinePunct w:val="0"/>
              <w:bidi w:val="0"/>
              <w:spacing w:line="360" w:lineRule="exact"/>
              <w:jc w:val="center"/>
              <w:outlineLvl w:val="9"/>
              <w:rPr>
                <w:rFonts w:hint="eastAsia" w:ascii="仿宋_GB2312" w:hAnsi="宋体" w:eastAsia="仿宋_GB2312"/>
                <w:color w:val="000000"/>
                <w:sz w:val="21"/>
              </w:rPr>
            </w:pPr>
            <w:r>
              <w:rPr>
                <w:rFonts w:hint="eastAsia" w:ascii="仿宋_GB2312" w:hAnsi="宋体" w:eastAsia="仿宋_GB2312"/>
                <w:color w:val="000000"/>
                <w:sz w:val="21"/>
              </w:rPr>
              <w:t>E</w:t>
            </w:r>
          </w:p>
        </w:tc>
        <w:tc>
          <w:tcPr>
            <w:tcW w:w="3637" w:type="dxa"/>
            <w:noWrap w:val="0"/>
            <w:vAlign w:val="center"/>
          </w:tcPr>
          <w:p>
            <w:pPr>
              <w:pageBreakBefore w:val="0"/>
              <w:kinsoku/>
              <w:overflowPunct/>
              <w:topLinePunct w:val="0"/>
              <w:bidi w:val="0"/>
              <w:outlineLvl w:val="9"/>
              <w:rPr>
                <w:rFonts w:hint="eastAsia" w:ascii="仿宋_GB2312" w:hAnsi="宋体" w:eastAsia="仿宋_GB2312"/>
                <w:color w:val="000000"/>
                <w:sz w:val="21"/>
              </w:rPr>
            </w:pPr>
            <w:r>
              <w:rPr>
                <w:rFonts w:hint="eastAsia" w:ascii="仿宋_GB2312" w:hAnsi="宋体" w:eastAsia="仿宋_GB2312"/>
                <w:color w:val="000000"/>
                <w:sz w:val="21"/>
              </w:rPr>
              <w:t>学校主办的职业技能竞赛</w:t>
            </w:r>
          </w:p>
        </w:tc>
        <w:tc>
          <w:tcPr>
            <w:tcW w:w="4470" w:type="dxa"/>
            <w:noWrap w:val="0"/>
            <w:vAlign w:val="center"/>
          </w:tcPr>
          <w:p>
            <w:pPr>
              <w:pageBreakBefore w:val="0"/>
              <w:kinsoku/>
              <w:overflowPunct/>
              <w:topLinePunct w:val="0"/>
              <w:bidi w:val="0"/>
              <w:outlineLvl w:val="9"/>
              <w:rPr>
                <w:rFonts w:hint="eastAsia" w:ascii="仿宋_GB2312" w:hAnsi="宋体" w:eastAsia="仿宋_GB2312"/>
                <w:color w:val="000000"/>
                <w:sz w:val="21"/>
              </w:rPr>
            </w:pPr>
            <w:r>
              <w:rPr>
                <w:rFonts w:hint="eastAsia" w:ascii="仿宋_GB2312" w:hAnsi="宋体" w:eastAsia="仿宋_GB2312"/>
                <w:color w:val="000000"/>
                <w:sz w:val="21"/>
              </w:rPr>
              <w:t>柳职院主办的各项技能大赛</w:t>
            </w:r>
          </w:p>
        </w:tc>
      </w:tr>
    </w:tbl>
    <w:p>
      <w:pPr>
        <w:pageBreakBefore w:val="0"/>
        <w:kinsoku/>
        <w:overflowPunct/>
        <w:topLinePunct w:val="0"/>
        <w:bidi w:val="0"/>
        <w:outlineLvl w:val="9"/>
        <w:sectPr>
          <w:pgSz w:w="11906" w:h="16838"/>
          <w:pgMar w:top="1440" w:right="1800" w:bottom="1440" w:left="1800" w:header="851" w:footer="992" w:gutter="0"/>
          <w:pgNumType w:fmt="decimal"/>
          <w:cols w:space="425" w:num="1"/>
          <w:docGrid w:type="lines" w:linePitch="312" w:charSpace="0"/>
        </w:sectPr>
      </w:pP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eastAsia" w:ascii="宋体" w:hAnsi="宋体"/>
          <w:b/>
          <w:bCs/>
          <w:color w:val="000000"/>
          <w:sz w:val="36"/>
          <w:szCs w:val="36"/>
          <w:lang w:val="en-US" w:eastAsia="zh-CN"/>
        </w:rPr>
      </w:pPr>
      <w:bookmarkStart w:id="460" w:name="_Toc5767"/>
      <w:bookmarkStart w:id="461" w:name="_Toc534379509"/>
      <w:bookmarkStart w:id="462" w:name="_Toc11674_WPSOffice_Level1"/>
      <w:bookmarkStart w:id="463" w:name="_Toc17147"/>
      <w:bookmarkStart w:id="464" w:name="_Toc30517"/>
      <w:bookmarkStart w:id="465" w:name="_Toc11404"/>
      <w:r>
        <w:rPr>
          <w:rFonts w:hint="eastAsia" w:ascii="宋体" w:hAnsi="宋体"/>
          <w:b/>
          <w:bCs/>
          <w:color w:val="000000"/>
          <w:sz w:val="36"/>
          <w:szCs w:val="36"/>
          <w:lang w:val="en-US" w:eastAsia="zh-CN"/>
        </w:rPr>
        <w:t>柳州职业技术学院学生评优规定及奖励办法</w:t>
      </w:r>
      <w:bookmarkEnd w:id="460"/>
      <w:bookmarkEnd w:id="461"/>
      <w:bookmarkEnd w:id="462"/>
      <w:bookmarkEnd w:id="463"/>
      <w:bookmarkEnd w:id="464"/>
      <w:bookmarkEnd w:id="465"/>
    </w:p>
    <w:p>
      <w:pPr>
        <w:pStyle w:val="10"/>
        <w:pageBreakBefore w:val="0"/>
        <w:kinsoku/>
        <w:overflowPunct/>
        <w:topLinePunct w:val="0"/>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（柳职院学字〔2018〕48号）</w:t>
      </w:r>
    </w:p>
    <w:p>
      <w:pPr>
        <w:pageBreakBefore w:val="0"/>
        <w:kinsoku/>
        <w:overflowPunct/>
        <w:topLinePunct w:val="0"/>
        <w:bidi w:val="0"/>
        <w:spacing w:line="360" w:lineRule="auto"/>
        <w:outlineLvl w:val="9"/>
        <w:rPr>
          <w:rFonts w:ascii="宋体" w:hAnsi="宋体"/>
          <w:szCs w:val="21"/>
        </w:rPr>
      </w:pPr>
    </w:p>
    <w:p>
      <w:pPr>
        <w:pageBreakBefore w:val="0"/>
        <w:kinsoku/>
        <w:overflowPunct/>
        <w:topLinePunct w:val="0"/>
        <w:bidi w:val="0"/>
        <w:spacing w:line="580" w:lineRule="exact"/>
        <w:ind w:firstLine="643" w:firstLineChars="200"/>
        <w:jc w:val="center"/>
        <w:outlineLvl w:val="9"/>
        <w:rPr>
          <w:rFonts w:ascii="黑体" w:hAnsi="黑体" w:eastAsia="黑体"/>
          <w:b/>
          <w:sz w:val="32"/>
          <w:szCs w:val="32"/>
        </w:rPr>
      </w:pPr>
      <w:bookmarkStart w:id="466" w:name="_Toc17460_WPSOffice_Level1"/>
      <w:bookmarkStart w:id="467" w:name="_Toc334956198"/>
      <w:bookmarkStart w:id="468" w:name="_Toc334955974"/>
      <w:bookmarkStart w:id="469" w:name="_Toc397710711"/>
      <w:bookmarkStart w:id="470" w:name="_Toc334957612"/>
      <w:bookmarkStart w:id="471" w:name="_Toc334956103"/>
      <w:bookmarkStart w:id="472" w:name="_Toc301056805"/>
      <w:bookmarkStart w:id="473" w:name="_Toc334956293"/>
      <w:bookmarkStart w:id="474" w:name="_Toc301061803"/>
      <w:r>
        <w:rPr>
          <w:rFonts w:hint="eastAsia" w:ascii="黑体" w:hAnsi="黑体" w:eastAsia="黑体"/>
          <w:b/>
          <w:sz w:val="32"/>
          <w:szCs w:val="32"/>
        </w:rPr>
        <w:t>第一章 总  则</w:t>
      </w:r>
      <w:bookmarkEnd w:id="466"/>
    </w:p>
    <w:p>
      <w:pPr>
        <w:pageBreakBefore w:val="0"/>
        <w:kinsoku/>
        <w:overflowPunct/>
        <w:topLinePunct w:val="0"/>
        <w:bidi w:val="0"/>
        <w:spacing w:line="580"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第一条</w:t>
      </w:r>
      <w:r>
        <w:rPr>
          <w:rFonts w:hint="eastAsia" w:ascii="仿宋_GB2312" w:hAnsi="宋体" w:eastAsia="仿宋_GB2312"/>
          <w:sz w:val="32"/>
          <w:szCs w:val="32"/>
        </w:rPr>
        <w:t xml:space="preserve">  </w:t>
      </w:r>
      <w:r>
        <w:rPr>
          <w:rFonts w:hint="eastAsia" w:ascii="仿宋_GB2312" w:hAnsi="宋体" w:eastAsia="仿宋_GB2312"/>
          <w:bCs/>
          <w:sz w:val="32"/>
          <w:szCs w:val="32"/>
        </w:rPr>
        <w:t>为全面贯彻国家的教育方针，激励我校学生发奋学习，培养德、智、体、美全面发展的社会主义合格建设者和和可靠接班人，特制定本办法。</w:t>
      </w:r>
    </w:p>
    <w:p>
      <w:pPr>
        <w:pageBreakBefore w:val="0"/>
        <w:kinsoku/>
        <w:overflowPunct/>
        <w:topLinePunct w:val="0"/>
        <w:bidi w:val="0"/>
        <w:spacing w:line="580" w:lineRule="exact"/>
        <w:ind w:firstLine="643" w:firstLineChars="200"/>
        <w:outlineLvl w:val="9"/>
        <w:rPr>
          <w:rFonts w:ascii="仿宋_GB2312" w:hAnsi="宋体" w:eastAsia="仿宋_GB2312"/>
          <w:b/>
          <w:bCs/>
          <w:sz w:val="32"/>
          <w:szCs w:val="32"/>
        </w:rPr>
      </w:pPr>
      <w:r>
        <w:rPr>
          <w:rFonts w:hint="eastAsia" w:ascii="仿宋_GB2312" w:hAnsi="宋体" w:eastAsia="仿宋_GB2312"/>
          <w:b/>
          <w:sz w:val="32"/>
          <w:szCs w:val="32"/>
        </w:rPr>
        <w:t>第二条</w:t>
      </w:r>
      <w:r>
        <w:rPr>
          <w:rFonts w:hint="eastAsia" w:ascii="仿宋_GB2312" w:hAnsi="宋体" w:eastAsia="仿宋_GB2312"/>
          <w:sz w:val="32"/>
          <w:szCs w:val="32"/>
        </w:rPr>
        <w:t xml:space="preserve">  </w:t>
      </w:r>
      <w:r>
        <w:rPr>
          <w:rFonts w:hint="eastAsia" w:ascii="仿宋_GB2312" w:hAnsi="宋体" w:eastAsia="仿宋_GB2312"/>
          <w:bCs/>
          <w:sz w:val="32"/>
          <w:szCs w:val="32"/>
        </w:rPr>
        <w:t>本办法中的个人奖励或集体奖励对象为全日制在校学生或学生班集体及学生相关组织。</w:t>
      </w:r>
    </w:p>
    <w:p>
      <w:pPr>
        <w:pStyle w:val="18"/>
        <w:pageBreakBefore w:val="0"/>
        <w:widowControl w:val="0"/>
        <w:kinsoku/>
        <w:overflowPunct/>
        <w:topLinePunct w:val="0"/>
        <w:bidi w:val="0"/>
        <w:spacing w:before="0" w:beforeAutospacing="0" w:after="0" w:afterAutospacing="0" w:line="580" w:lineRule="exact"/>
        <w:ind w:left="0" w:firstLine="643" w:firstLineChars="200"/>
        <w:outlineLvl w:val="9"/>
        <w:rPr>
          <w:rFonts w:ascii="仿宋_GB2312" w:eastAsia="仿宋_GB2312" w:cs="Times New Roman"/>
          <w:sz w:val="32"/>
          <w:szCs w:val="32"/>
        </w:rPr>
      </w:pPr>
      <w:r>
        <w:rPr>
          <w:rFonts w:hint="eastAsia" w:ascii="仿宋_GB2312" w:eastAsia="仿宋_GB2312" w:cs="Times New Roman"/>
          <w:b/>
          <w:kern w:val="2"/>
          <w:sz w:val="32"/>
          <w:szCs w:val="32"/>
        </w:rPr>
        <w:t>第三条</w:t>
      </w:r>
      <w:r>
        <w:rPr>
          <w:rFonts w:hint="eastAsia" w:ascii="仿宋_GB2312" w:eastAsia="仿宋_GB2312" w:cs="Times New Roman"/>
          <w:sz w:val="32"/>
          <w:szCs w:val="32"/>
        </w:rPr>
        <w:t xml:space="preserve">  学生奖励应贯彻精神奖励与物质奖励相结合、以精神奖励为主的原则；评奖应体现“公平、公正、公开”的精神，坚持标准，宁缺毋滥。</w:t>
      </w:r>
    </w:p>
    <w:p>
      <w:pPr>
        <w:pStyle w:val="18"/>
        <w:pageBreakBefore w:val="0"/>
        <w:widowControl w:val="0"/>
        <w:kinsoku/>
        <w:overflowPunct/>
        <w:topLinePunct w:val="0"/>
        <w:bidi w:val="0"/>
        <w:spacing w:before="0" w:beforeAutospacing="0" w:after="0" w:afterAutospacing="0" w:line="580" w:lineRule="exact"/>
        <w:ind w:left="0" w:firstLine="640" w:firstLineChars="200"/>
        <w:outlineLvl w:val="9"/>
        <w:rPr>
          <w:rFonts w:ascii="仿宋_GB2312" w:eastAsia="仿宋_GB2312" w:cs="Times New Roman"/>
          <w:sz w:val="32"/>
          <w:szCs w:val="32"/>
        </w:rPr>
      </w:pPr>
    </w:p>
    <w:p>
      <w:pPr>
        <w:pageBreakBefore w:val="0"/>
        <w:kinsoku/>
        <w:overflowPunct/>
        <w:topLinePunct w:val="0"/>
        <w:bidi w:val="0"/>
        <w:spacing w:line="580" w:lineRule="exact"/>
        <w:ind w:firstLine="643" w:firstLineChars="200"/>
        <w:jc w:val="center"/>
        <w:outlineLvl w:val="9"/>
        <w:rPr>
          <w:rFonts w:ascii="黑体" w:hAnsi="黑体" w:eastAsia="黑体"/>
          <w:b/>
          <w:sz w:val="32"/>
          <w:szCs w:val="32"/>
        </w:rPr>
      </w:pPr>
      <w:bookmarkStart w:id="475" w:name="_Toc24102_WPSOffice_Level1"/>
      <w:r>
        <w:rPr>
          <w:rFonts w:hint="eastAsia" w:ascii="黑体" w:hAnsi="黑体" w:eastAsia="黑体"/>
          <w:b/>
          <w:sz w:val="32"/>
          <w:szCs w:val="32"/>
        </w:rPr>
        <w:t>第二章  荣誉称号及奖学金的设置</w:t>
      </w:r>
      <w:bookmarkEnd w:id="475"/>
    </w:p>
    <w:p>
      <w:pPr>
        <w:pStyle w:val="18"/>
        <w:pageBreakBefore w:val="0"/>
        <w:widowControl w:val="0"/>
        <w:kinsoku/>
        <w:overflowPunct/>
        <w:topLinePunct w:val="0"/>
        <w:bidi w:val="0"/>
        <w:spacing w:before="0" w:beforeAutospacing="0" w:after="0" w:afterAutospacing="0" w:line="580" w:lineRule="exact"/>
        <w:ind w:left="0" w:firstLine="643" w:firstLineChars="200"/>
        <w:outlineLvl w:val="9"/>
        <w:rPr>
          <w:rFonts w:ascii="仿宋_GB2312" w:eastAsia="仿宋_GB2312" w:cs="Times New Roman"/>
          <w:sz w:val="32"/>
          <w:szCs w:val="32"/>
        </w:rPr>
      </w:pPr>
      <w:r>
        <w:rPr>
          <w:rFonts w:hint="eastAsia" w:ascii="仿宋_GB2312" w:eastAsia="仿宋_GB2312" w:cs="Times New Roman"/>
          <w:b/>
          <w:kern w:val="2"/>
          <w:sz w:val="32"/>
          <w:szCs w:val="32"/>
        </w:rPr>
        <w:t>第四条</w:t>
      </w:r>
      <w:r>
        <w:rPr>
          <w:rFonts w:hint="eastAsia" w:ascii="仿宋_GB2312" w:eastAsia="仿宋_GB2312" w:cs="Times New Roman"/>
          <w:sz w:val="32"/>
          <w:szCs w:val="32"/>
        </w:rPr>
        <w:t xml:space="preserve">  柳州职业技术学院学生集体荣誉称号包括：先进班集体和先进团支部、优秀学生会、十佳社团、优秀社团。</w:t>
      </w:r>
    </w:p>
    <w:p>
      <w:pPr>
        <w:pStyle w:val="18"/>
        <w:pageBreakBefore w:val="0"/>
        <w:widowControl w:val="0"/>
        <w:kinsoku/>
        <w:overflowPunct/>
        <w:topLinePunct w:val="0"/>
        <w:bidi w:val="0"/>
        <w:spacing w:before="0" w:beforeAutospacing="0" w:after="0" w:afterAutospacing="0" w:line="580" w:lineRule="exact"/>
        <w:ind w:left="0" w:firstLine="643" w:firstLineChars="200"/>
        <w:outlineLvl w:val="9"/>
        <w:rPr>
          <w:rFonts w:ascii="仿宋_GB2312" w:eastAsia="仿宋_GB2312" w:cs="Times New Roman"/>
          <w:sz w:val="32"/>
          <w:szCs w:val="32"/>
        </w:rPr>
      </w:pPr>
      <w:r>
        <w:rPr>
          <w:rFonts w:hint="eastAsia" w:ascii="仿宋_GB2312" w:eastAsia="仿宋_GB2312" w:cs="Times New Roman"/>
          <w:b/>
          <w:kern w:val="2"/>
          <w:sz w:val="32"/>
          <w:szCs w:val="32"/>
        </w:rPr>
        <w:t>第五条</w:t>
      </w:r>
      <w:r>
        <w:rPr>
          <w:rFonts w:hint="eastAsia" w:ascii="仿宋_GB2312" w:eastAsia="仿宋_GB2312" w:cs="Times New Roman"/>
          <w:sz w:val="32"/>
          <w:szCs w:val="32"/>
        </w:rPr>
        <w:t xml:space="preserve">  柳州职业技术学院优秀学生个人荣誉称号包括：三好学生、优秀学生干部、优秀团干部、优秀团员、优秀毕业生、优秀社团干部、</w:t>
      </w:r>
      <w:r>
        <w:rPr>
          <w:rFonts w:hint="eastAsia" w:ascii="仿宋_GB2312" w:eastAsia="仿宋_GB2312" w:cs="Times New Roman"/>
          <w:bCs/>
          <w:sz w:val="32"/>
          <w:szCs w:val="32"/>
        </w:rPr>
        <w:t>共青团优秀宣传员、优秀志愿者、优秀学生管理干部</w:t>
      </w:r>
      <w:r>
        <w:rPr>
          <w:rFonts w:hint="eastAsia" w:ascii="仿宋_GB2312" w:eastAsia="仿宋_GB2312" w:cs="Times New Roman"/>
          <w:sz w:val="32"/>
          <w:szCs w:val="32"/>
        </w:rPr>
        <w:t>。</w:t>
      </w:r>
    </w:p>
    <w:p>
      <w:pPr>
        <w:pStyle w:val="18"/>
        <w:pageBreakBefore w:val="0"/>
        <w:widowControl w:val="0"/>
        <w:kinsoku/>
        <w:overflowPunct/>
        <w:topLinePunct w:val="0"/>
        <w:bidi w:val="0"/>
        <w:spacing w:before="0" w:beforeAutospacing="0" w:after="0" w:afterAutospacing="0" w:line="580" w:lineRule="exact"/>
        <w:ind w:left="0" w:firstLine="643" w:firstLineChars="200"/>
        <w:outlineLvl w:val="9"/>
        <w:rPr>
          <w:rFonts w:ascii="仿宋_GB2312" w:eastAsia="仿宋_GB2312" w:cs="Times New Roman"/>
          <w:sz w:val="32"/>
          <w:szCs w:val="32"/>
        </w:rPr>
      </w:pPr>
      <w:r>
        <w:rPr>
          <w:rFonts w:hint="eastAsia" w:ascii="仿宋_GB2312" w:eastAsia="仿宋_GB2312" w:cs="Times New Roman"/>
          <w:b/>
          <w:kern w:val="2"/>
          <w:sz w:val="32"/>
          <w:szCs w:val="32"/>
        </w:rPr>
        <w:t>第六条</w:t>
      </w:r>
      <w:r>
        <w:rPr>
          <w:rFonts w:hint="eastAsia" w:ascii="仿宋_GB2312" w:eastAsia="仿宋_GB2312" w:cs="Times New Roman"/>
          <w:sz w:val="32"/>
          <w:szCs w:val="32"/>
        </w:rPr>
        <w:t xml:space="preserve">  柳州职业技术学院为奖励在校期间德、智、体、美全面发展并取得优异成绩的优秀学生设立优秀学业奖学金。</w:t>
      </w:r>
    </w:p>
    <w:p>
      <w:pPr>
        <w:pStyle w:val="18"/>
        <w:pageBreakBefore w:val="0"/>
        <w:widowControl w:val="0"/>
        <w:kinsoku/>
        <w:overflowPunct/>
        <w:topLinePunct w:val="0"/>
        <w:bidi w:val="0"/>
        <w:spacing w:before="0" w:beforeAutospacing="0" w:after="0" w:afterAutospacing="0" w:line="580" w:lineRule="exact"/>
        <w:ind w:left="0" w:firstLine="160" w:firstLineChars="50"/>
        <w:outlineLvl w:val="9"/>
        <w:rPr>
          <w:rFonts w:ascii="仿宋_GB2312" w:eastAsia="仿宋_GB2312" w:cs="Times New Roman"/>
          <w:sz w:val="32"/>
          <w:szCs w:val="32"/>
        </w:rPr>
      </w:pPr>
    </w:p>
    <w:p>
      <w:pPr>
        <w:pageBreakBefore w:val="0"/>
        <w:kinsoku/>
        <w:overflowPunct/>
        <w:topLinePunct w:val="0"/>
        <w:bidi w:val="0"/>
        <w:spacing w:line="580" w:lineRule="exact"/>
        <w:ind w:firstLine="643" w:firstLineChars="200"/>
        <w:jc w:val="center"/>
        <w:outlineLvl w:val="9"/>
        <w:rPr>
          <w:rFonts w:ascii="黑体" w:hAnsi="黑体" w:eastAsia="黑体"/>
          <w:b/>
          <w:sz w:val="32"/>
          <w:szCs w:val="32"/>
        </w:rPr>
      </w:pPr>
      <w:bookmarkStart w:id="476" w:name="_Toc5702_WPSOffice_Level1"/>
      <w:r>
        <w:rPr>
          <w:rFonts w:hint="eastAsia" w:ascii="黑体" w:hAnsi="黑体" w:eastAsia="黑体"/>
          <w:b/>
          <w:sz w:val="32"/>
          <w:szCs w:val="32"/>
        </w:rPr>
        <w:t>第三章 荣誉称号评选条件</w:t>
      </w:r>
      <w:bookmarkEnd w:id="476"/>
    </w:p>
    <w:p>
      <w:pPr>
        <w:pStyle w:val="18"/>
        <w:pageBreakBefore w:val="0"/>
        <w:widowControl w:val="0"/>
        <w:kinsoku/>
        <w:overflowPunct/>
        <w:topLinePunct w:val="0"/>
        <w:bidi w:val="0"/>
        <w:spacing w:before="0" w:beforeAutospacing="0" w:after="0" w:afterAutospacing="0" w:line="580" w:lineRule="exact"/>
        <w:ind w:left="0" w:firstLine="643" w:firstLineChars="200"/>
        <w:outlineLvl w:val="9"/>
        <w:rPr>
          <w:rFonts w:ascii="仿宋_GB2312" w:eastAsia="仿宋_GB2312" w:cs="Times New Roman"/>
          <w:sz w:val="32"/>
          <w:szCs w:val="32"/>
        </w:rPr>
      </w:pPr>
      <w:r>
        <w:rPr>
          <w:rFonts w:hint="eastAsia" w:ascii="仿宋_GB2312" w:eastAsia="仿宋_GB2312" w:cs="Times New Roman"/>
          <w:b/>
          <w:kern w:val="2"/>
          <w:sz w:val="32"/>
          <w:szCs w:val="32"/>
        </w:rPr>
        <w:t>第七条</w:t>
      </w:r>
      <w:r>
        <w:rPr>
          <w:rFonts w:hint="eastAsia" w:ascii="仿宋_GB2312" w:eastAsia="仿宋_GB2312" w:cs="Times New Roman"/>
          <w:sz w:val="32"/>
          <w:szCs w:val="32"/>
        </w:rPr>
        <w:tab/>
      </w:r>
      <w:r>
        <w:rPr>
          <w:rFonts w:hint="eastAsia" w:ascii="仿宋_GB2312" w:eastAsia="仿宋_GB2312" w:cs="Times New Roman"/>
          <w:sz w:val="32"/>
          <w:szCs w:val="32"/>
        </w:rPr>
        <w:t xml:space="preserve"> 学生无论享受何种荣誉称号和奖学金，必须具备以下条件：</w:t>
      </w:r>
    </w:p>
    <w:p>
      <w:pPr>
        <w:pStyle w:val="18"/>
        <w:pageBreakBefore w:val="0"/>
        <w:widowControl w:val="0"/>
        <w:kinsoku/>
        <w:overflowPunct/>
        <w:topLinePunct w:val="0"/>
        <w:bidi w:val="0"/>
        <w:spacing w:before="0" w:beforeAutospacing="0" w:after="0" w:afterAutospacing="0" w:line="580" w:lineRule="exact"/>
        <w:ind w:left="0" w:firstLine="640" w:firstLineChars="200"/>
        <w:outlineLvl w:val="9"/>
        <w:rPr>
          <w:rFonts w:ascii="仿宋_GB2312" w:eastAsia="仿宋_GB2312" w:cs="Times New Roman"/>
          <w:sz w:val="32"/>
          <w:szCs w:val="32"/>
        </w:rPr>
      </w:pPr>
      <w:r>
        <w:rPr>
          <w:rFonts w:hint="eastAsia" w:ascii="仿宋_GB2312" w:eastAsia="仿宋_GB2312" w:cs="Times New Roman"/>
          <w:sz w:val="32"/>
          <w:szCs w:val="32"/>
        </w:rPr>
        <w:t>（一）热爱祖国，热爱社会主义，遵纪守法。凡受警告、严重警告、记过、留校察看处分者，在处分未解除期间不得参加评奖。</w:t>
      </w:r>
    </w:p>
    <w:p>
      <w:pPr>
        <w:pStyle w:val="18"/>
        <w:pageBreakBefore w:val="0"/>
        <w:widowControl w:val="0"/>
        <w:kinsoku/>
        <w:overflowPunct/>
        <w:topLinePunct w:val="0"/>
        <w:bidi w:val="0"/>
        <w:spacing w:before="0" w:beforeAutospacing="0" w:after="0" w:afterAutospacing="0" w:line="580" w:lineRule="exact"/>
        <w:ind w:left="0" w:firstLine="640" w:firstLineChars="200"/>
        <w:outlineLvl w:val="9"/>
        <w:rPr>
          <w:rFonts w:ascii="仿宋_GB2312" w:eastAsia="仿宋_GB2312" w:cs="Times New Roman"/>
          <w:sz w:val="32"/>
          <w:szCs w:val="32"/>
        </w:rPr>
      </w:pPr>
      <w:r>
        <w:rPr>
          <w:rFonts w:hint="eastAsia" w:ascii="仿宋_GB2312" w:eastAsia="仿宋_GB2312" w:cs="Times New Roman"/>
          <w:sz w:val="32"/>
          <w:szCs w:val="32"/>
        </w:rPr>
        <w:t>（二）专业思想牢固，有钻研和创新精神，学习勤奋，成绩良好。</w:t>
      </w:r>
    </w:p>
    <w:p>
      <w:pPr>
        <w:pStyle w:val="18"/>
        <w:pageBreakBefore w:val="0"/>
        <w:widowControl w:val="0"/>
        <w:kinsoku/>
        <w:overflowPunct/>
        <w:topLinePunct w:val="0"/>
        <w:bidi w:val="0"/>
        <w:spacing w:before="0" w:beforeAutospacing="0" w:after="0" w:afterAutospacing="0" w:line="580" w:lineRule="exact"/>
        <w:ind w:left="0" w:firstLine="640" w:firstLineChars="200"/>
        <w:outlineLvl w:val="9"/>
        <w:rPr>
          <w:rFonts w:ascii="仿宋_GB2312" w:eastAsia="仿宋_GB2312" w:cs="Times New Roman"/>
          <w:sz w:val="32"/>
          <w:szCs w:val="32"/>
        </w:rPr>
      </w:pPr>
      <w:r>
        <w:rPr>
          <w:rFonts w:hint="eastAsia" w:ascii="仿宋_GB2312" w:eastAsia="仿宋_GB2312" w:cs="Times New Roman"/>
          <w:sz w:val="32"/>
          <w:szCs w:val="32"/>
        </w:rPr>
        <w:t>（三）关心集体、尊敬师长、团结同学，积极参加班级、二级学院、学校的集体活动和社会活动，并且表现出色。</w:t>
      </w:r>
    </w:p>
    <w:p>
      <w:pPr>
        <w:pStyle w:val="18"/>
        <w:pageBreakBefore w:val="0"/>
        <w:widowControl w:val="0"/>
        <w:kinsoku/>
        <w:overflowPunct/>
        <w:topLinePunct w:val="0"/>
        <w:bidi w:val="0"/>
        <w:spacing w:before="0" w:beforeAutospacing="0" w:after="0" w:afterAutospacing="0" w:line="580" w:lineRule="exact"/>
        <w:ind w:left="0" w:firstLine="643" w:firstLineChars="200"/>
        <w:outlineLvl w:val="9"/>
        <w:rPr>
          <w:rFonts w:ascii="仿宋_GB2312" w:eastAsia="仿宋_GB2312" w:cs="Times New Roman"/>
          <w:sz w:val="32"/>
          <w:szCs w:val="32"/>
        </w:rPr>
      </w:pPr>
      <w:r>
        <w:rPr>
          <w:rFonts w:hint="eastAsia" w:ascii="仿宋_GB2312" w:eastAsia="仿宋_GB2312" w:cs="Times New Roman"/>
          <w:b/>
          <w:kern w:val="2"/>
          <w:sz w:val="32"/>
          <w:szCs w:val="32"/>
        </w:rPr>
        <w:t>第八条</w:t>
      </w:r>
      <w:r>
        <w:rPr>
          <w:rFonts w:hint="eastAsia" w:ascii="仿宋_GB2312" w:eastAsia="仿宋_GB2312" w:cs="Times New Roman"/>
          <w:sz w:val="32"/>
          <w:szCs w:val="32"/>
        </w:rPr>
        <w:t xml:space="preserve">  柳州职业技术学院先进班集体、先进团支部、优秀学生会、十佳社团、优秀社团的评选条件分别为：</w:t>
      </w:r>
    </w:p>
    <w:p>
      <w:pPr>
        <w:pageBreakBefore w:val="0"/>
        <w:kinsoku/>
        <w:overflowPunct/>
        <w:topLinePunct w:val="0"/>
        <w:bidi w:val="0"/>
        <w:spacing w:line="580"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（一）先进班集体：</w:t>
      </w:r>
      <w:r>
        <w:rPr>
          <w:rFonts w:hint="eastAsia" w:ascii="仿宋_GB2312" w:hAnsi="宋体" w:eastAsia="仿宋_GB2312"/>
          <w:sz w:val="32"/>
          <w:szCs w:val="32"/>
        </w:rPr>
        <w:t>全体同学拥护中国共产党领导，努力学习马克思主义思想、毛泽东思想、邓小平理论，深入学习</w:t>
      </w:r>
      <w:r>
        <w:rPr>
          <w:rFonts w:hint="eastAsia" w:ascii="仿宋_GB2312" w:hAnsi="Arial" w:eastAsia="仿宋_GB2312" w:cs="Arial"/>
          <w:sz w:val="32"/>
          <w:szCs w:val="32"/>
        </w:rPr>
        <w:t>习近平</w:t>
      </w:r>
      <w:r>
        <w:rPr>
          <w:rFonts w:hint="eastAsia" w:ascii="仿宋_GB2312" w:hAnsi="Arial" w:eastAsia="仿宋_GB2312" w:cs="Arial"/>
          <w:sz w:val="32"/>
          <w:szCs w:val="32"/>
          <w:shd w:val="clear" w:color="auto" w:fill="FFFFFF"/>
        </w:rPr>
        <w:t>新时代中国特色社会主义</w:t>
      </w:r>
      <w:r>
        <w:rPr>
          <w:rFonts w:hint="eastAsia" w:ascii="仿宋_GB2312" w:hAnsi="Arial" w:eastAsia="仿宋_GB2312" w:cs="Arial"/>
          <w:sz w:val="32"/>
          <w:szCs w:val="32"/>
        </w:rPr>
        <w:t>思想</w:t>
      </w:r>
      <w:r>
        <w:rPr>
          <w:rFonts w:hint="eastAsia" w:ascii="仿宋_GB2312" w:hAnsi="宋体" w:eastAsia="仿宋_GB2312"/>
          <w:sz w:val="32"/>
          <w:szCs w:val="32"/>
        </w:rPr>
        <w:t>，维护安定团结的政治局面。班委建设完善，团结协作，在班级中充分发挥作用。全班在“自我管理，自我教育，自我服务”的活动中表现突出。遵守学</w:t>
      </w:r>
      <w:r>
        <w:rPr>
          <w:rFonts w:hint="eastAsia" w:ascii="仿宋_GB2312" w:hAnsi="宋体" w:eastAsia="仿宋_GB2312"/>
          <w:bCs/>
          <w:sz w:val="32"/>
          <w:szCs w:val="32"/>
        </w:rPr>
        <w:t>校</w:t>
      </w:r>
      <w:r>
        <w:rPr>
          <w:rFonts w:hint="eastAsia" w:ascii="仿宋_GB2312" w:hAnsi="宋体" w:eastAsia="仿宋_GB2312"/>
          <w:sz w:val="32"/>
          <w:szCs w:val="32"/>
        </w:rPr>
        <w:t>规章制度，到课率、自习率、出操率达90%以上，尊师爱友，有良好的学风、班风，无学生出过安全责任事故。有良好的学习风气，全班同学学习勤奋，期末各考试、考查学科平均及格率达90%以上。积极参加社会主义精神文明建设，开展第二课堂活动，并取得较好成绩。精神风貌良好，同学之间关系融洽。全班同学积极参加校、二级学院两级安排的劳动，出色完成任务。积极做好学校环境卫生，在开展“安全文明宿舍”活动中取得较好的成绩。被评为学</w:t>
      </w:r>
      <w:r>
        <w:rPr>
          <w:rFonts w:hint="eastAsia" w:ascii="仿宋_GB2312" w:hAnsi="宋体" w:eastAsia="仿宋_GB2312"/>
          <w:bCs/>
          <w:sz w:val="32"/>
          <w:szCs w:val="32"/>
        </w:rPr>
        <w:t>校</w:t>
      </w:r>
      <w:r>
        <w:rPr>
          <w:rFonts w:hint="eastAsia" w:ascii="仿宋_GB2312" w:hAnsi="宋体" w:eastAsia="仿宋_GB2312"/>
          <w:sz w:val="32"/>
          <w:szCs w:val="32"/>
        </w:rPr>
        <w:t>先进班集体，才能获得被推选为市级先进班集体资格及自治区先进班集体资格。</w:t>
      </w:r>
    </w:p>
    <w:p>
      <w:pPr>
        <w:pageBreakBefore w:val="0"/>
        <w:kinsoku/>
        <w:overflowPunct/>
        <w:topLinePunct w:val="0"/>
        <w:bidi w:val="0"/>
        <w:spacing w:line="580"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（二）先进团支部：</w:t>
      </w:r>
      <w:r>
        <w:rPr>
          <w:rFonts w:hint="eastAsia" w:ascii="仿宋_GB2312" w:hAnsi="宋体" w:eastAsia="仿宋_GB2312"/>
          <w:sz w:val="32"/>
          <w:szCs w:val="32"/>
        </w:rPr>
        <w:t>团支部班子配备齐全，工作有活力，团结向上，在团员学生中威信较高，有工作计划。团支部的各项规章制度健全，组织生活严格规范，有示范引领作用。团支部既能维护团员学生的正当利益，又能引导团员学生遵纪守法。加强团员学生思想教育，提高团员政治素质，经常开展各种文化、科学、实践教育活动。认真完成上级团组织布置的各项工作，踊跃参加学</w:t>
      </w:r>
      <w:r>
        <w:rPr>
          <w:rFonts w:hint="eastAsia" w:ascii="仿宋_GB2312" w:hAnsi="宋体" w:eastAsia="仿宋_GB2312"/>
          <w:bCs/>
          <w:sz w:val="32"/>
          <w:szCs w:val="32"/>
        </w:rPr>
        <w:t>校</w:t>
      </w:r>
      <w:r>
        <w:rPr>
          <w:rFonts w:hint="eastAsia" w:ascii="仿宋_GB2312" w:hAnsi="宋体" w:eastAsia="仿宋_GB2312"/>
          <w:sz w:val="32"/>
          <w:szCs w:val="32"/>
        </w:rPr>
        <w:t>团组织开展的各种竞赛活动，成绩显著。一学年无受处分学生，无团员出过安全责任事故。积极开展科技学术活动（包括组织参加相关科技报告会、学术讲座等）和第二课堂活动。到课率、自习率、出操率达90%以上。</w:t>
      </w:r>
    </w:p>
    <w:p>
      <w:pPr>
        <w:pageBreakBefore w:val="0"/>
        <w:kinsoku/>
        <w:overflowPunct/>
        <w:topLinePunct w:val="0"/>
        <w:bidi w:val="0"/>
        <w:spacing w:line="580"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（三）优秀学生会：</w:t>
      </w:r>
      <w:r>
        <w:rPr>
          <w:rFonts w:hint="eastAsia" w:ascii="仿宋_GB2312" w:hAnsi="宋体" w:eastAsia="仿宋_GB2312"/>
          <w:sz w:val="32"/>
          <w:szCs w:val="32"/>
        </w:rPr>
        <w:t>各级学生会由同级团委按学</w:t>
      </w:r>
      <w:r>
        <w:rPr>
          <w:rFonts w:hint="eastAsia" w:ascii="仿宋_GB2312" w:hAnsi="宋体" w:eastAsia="仿宋_GB2312"/>
          <w:bCs/>
          <w:sz w:val="32"/>
          <w:szCs w:val="32"/>
        </w:rPr>
        <w:t>校</w:t>
      </w:r>
      <w:r>
        <w:rPr>
          <w:rFonts w:hint="eastAsia" w:ascii="仿宋_GB2312" w:hAnsi="宋体" w:eastAsia="仿宋_GB2312"/>
          <w:sz w:val="32"/>
          <w:szCs w:val="32"/>
        </w:rPr>
        <w:t>五四评优活动中相应评选条件组织申报，校团委组织评选。</w:t>
      </w:r>
    </w:p>
    <w:p>
      <w:pPr>
        <w:pageBreakBefore w:val="0"/>
        <w:kinsoku/>
        <w:overflowPunct/>
        <w:topLinePunct w:val="0"/>
        <w:bidi w:val="0"/>
        <w:spacing w:line="580"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（四）十佳社团、优秀社团：</w:t>
      </w:r>
      <w:r>
        <w:rPr>
          <w:rFonts w:hint="eastAsia" w:ascii="仿宋_GB2312" w:hAnsi="宋体" w:eastAsia="仿宋_GB2312"/>
          <w:sz w:val="32"/>
          <w:szCs w:val="32"/>
        </w:rPr>
        <w:t>在学校管辖的学生社团范围中进行，由校团委指导校社团工作部组织社团进行评选，参评社团应遵守学校社团管理规定，无任何违反规章制度现象，面向两个校区统一在每年四月至五月间进行学年度社团工作评选评优，按照评分细则进行排名，前10名社团为“十佳社团”，第11-20名为优秀社团。评比结果都需报校团委审批、公示无异议后方可进行表彰。</w:t>
      </w:r>
    </w:p>
    <w:p>
      <w:pPr>
        <w:pageBreakBefore w:val="0"/>
        <w:kinsoku/>
        <w:overflowPunct/>
        <w:topLinePunct w:val="0"/>
        <w:bidi w:val="0"/>
        <w:spacing w:line="580" w:lineRule="exact"/>
        <w:ind w:firstLine="482" w:firstLineChars="150"/>
        <w:outlineLvl w:val="9"/>
        <w:rPr>
          <w:rFonts w:ascii="仿宋_GB2312" w:hAnsi="宋体" w:eastAsia="仿宋_GB2312"/>
          <w:sz w:val="32"/>
          <w:szCs w:val="32"/>
        </w:rPr>
      </w:pPr>
      <w:r>
        <w:rPr>
          <w:rFonts w:hint="eastAsia" w:ascii="仿宋_GB2312" w:hAnsi="宋体" w:eastAsia="仿宋_GB2312"/>
          <w:b/>
          <w:sz w:val="32"/>
          <w:szCs w:val="32"/>
        </w:rPr>
        <w:t>（五）优秀学生管理干部：</w:t>
      </w:r>
      <w:r>
        <w:rPr>
          <w:rFonts w:hint="eastAsia" w:ascii="仿宋_GB2312" w:hAnsi="宋体" w:eastAsia="仿宋_GB2312"/>
          <w:sz w:val="32"/>
          <w:szCs w:val="32"/>
        </w:rPr>
        <w:t>在学生管理的学生自主委员会或工作站（易班学生工作站、勤工助学管理队、大学生自主管理委员会、综合服务中心、学生督导员等）范围内开展评选，由学生工作部（处）指导各类学生自主委员会或工作站进行评选，参照学校优秀学生干部评选条件。</w:t>
      </w:r>
    </w:p>
    <w:p>
      <w:pPr>
        <w:pStyle w:val="18"/>
        <w:pageBreakBefore w:val="0"/>
        <w:widowControl w:val="0"/>
        <w:kinsoku/>
        <w:overflowPunct/>
        <w:topLinePunct w:val="0"/>
        <w:bidi w:val="0"/>
        <w:spacing w:before="0" w:beforeAutospacing="0" w:after="0" w:afterAutospacing="0" w:line="580" w:lineRule="exact"/>
        <w:ind w:left="0" w:firstLine="321" w:firstLineChars="100"/>
        <w:outlineLvl w:val="9"/>
        <w:rPr>
          <w:rFonts w:ascii="仿宋_GB2312" w:eastAsia="仿宋_GB2312" w:cs="Times New Roman"/>
          <w:sz w:val="32"/>
          <w:szCs w:val="32"/>
        </w:rPr>
      </w:pPr>
      <w:r>
        <w:rPr>
          <w:rFonts w:hint="eastAsia" w:ascii="仿宋_GB2312" w:eastAsia="仿宋_GB2312" w:cs="Times New Roman"/>
          <w:b/>
          <w:kern w:val="2"/>
          <w:sz w:val="32"/>
          <w:szCs w:val="32"/>
        </w:rPr>
        <w:t>第九条</w:t>
      </w:r>
      <w:r>
        <w:rPr>
          <w:rFonts w:hint="eastAsia" w:ascii="仿宋_GB2312" w:eastAsia="仿宋_GB2312" w:cs="Times New Roman"/>
          <w:sz w:val="32"/>
          <w:szCs w:val="32"/>
        </w:rPr>
        <w:t xml:space="preserve"> </w:t>
      </w:r>
      <w:r>
        <w:rPr>
          <w:rFonts w:hint="eastAsia" w:ascii="仿宋_GB2312" w:eastAsia="仿宋_GB2312" w:cs="Times New Roman"/>
          <w:b/>
          <w:sz w:val="32"/>
          <w:szCs w:val="32"/>
        </w:rPr>
        <w:t xml:space="preserve"> </w:t>
      </w:r>
      <w:r>
        <w:rPr>
          <w:rFonts w:hint="eastAsia" w:ascii="仿宋_GB2312" w:eastAsia="仿宋_GB2312" w:cs="Times New Roman"/>
          <w:sz w:val="32"/>
          <w:szCs w:val="32"/>
        </w:rPr>
        <w:t>柳州职业技术学院优秀学生的评选条件</w:t>
      </w:r>
    </w:p>
    <w:p>
      <w:pPr>
        <w:pStyle w:val="18"/>
        <w:pageBreakBefore w:val="0"/>
        <w:widowControl w:val="0"/>
        <w:kinsoku/>
        <w:overflowPunct/>
        <w:topLinePunct w:val="0"/>
        <w:bidi w:val="0"/>
        <w:spacing w:before="0" w:beforeAutospacing="0" w:after="0" w:afterAutospacing="0" w:line="580" w:lineRule="exact"/>
        <w:ind w:left="0" w:firstLine="640" w:firstLineChars="200"/>
        <w:outlineLvl w:val="9"/>
        <w:rPr>
          <w:rFonts w:ascii="仿宋_GB2312" w:eastAsia="仿宋_GB2312" w:cs="Times New Roman"/>
          <w:sz w:val="32"/>
          <w:szCs w:val="32"/>
        </w:rPr>
      </w:pPr>
      <w:r>
        <w:rPr>
          <w:rFonts w:hint="eastAsia" w:ascii="仿宋_GB2312" w:eastAsia="仿宋_GB2312" w:cs="Times New Roman"/>
          <w:sz w:val="32"/>
          <w:szCs w:val="32"/>
        </w:rPr>
        <w:t>学生综合素质考评的结果是学生个人评优评先及享受奖学金的重要依据。</w:t>
      </w:r>
    </w:p>
    <w:p>
      <w:pPr>
        <w:pStyle w:val="18"/>
        <w:pageBreakBefore w:val="0"/>
        <w:widowControl w:val="0"/>
        <w:kinsoku/>
        <w:overflowPunct/>
        <w:topLinePunct w:val="0"/>
        <w:bidi w:val="0"/>
        <w:spacing w:before="0" w:beforeAutospacing="0" w:after="0" w:afterAutospacing="0" w:line="580" w:lineRule="exact"/>
        <w:ind w:left="0" w:firstLine="640" w:firstLineChars="200"/>
        <w:outlineLvl w:val="9"/>
        <w:rPr>
          <w:rFonts w:ascii="仿宋_GB2312" w:eastAsia="仿宋_GB2312" w:cs="Times New Roman"/>
          <w:sz w:val="32"/>
          <w:szCs w:val="32"/>
        </w:rPr>
      </w:pPr>
      <w:r>
        <w:rPr>
          <w:rFonts w:hint="eastAsia" w:ascii="仿宋_GB2312" w:eastAsia="仿宋_GB2312" w:cs="Times New Roman"/>
          <w:sz w:val="32"/>
          <w:szCs w:val="32"/>
        </w:rPr>
        <w:t>学生学年综合素质考评以学生每学年各科学习成绩总评与学年度学生诚信积分（综合测评积分）为依据，计算公式为：综合素质考评成绩=学年各科考核成绩平均分×55%+学年诚信积分（综合测评积分数）/10×35%（每学年有600分基本诚信积分）+第二课堂活动积分×100/60×10%（每学年满分60分）。具体见《柳州职业技术学院综合素质考评办法》。</w:t>
      </w:r>
    </w:p>
    <w:p>
      <w:pPr>
        <w:pStyle w:val="18"/>
        <w:pageBreakBefore w:val="0"/>
        <w:widowControl w:val="0"/>
        <w:kinsoku/>
        <w:overflowPunct/>
        <w:topLinePunct w:val="0"/>
        <w:bidi w:val="0"/>
        <w:spacing w:before="0" w:beforeAutospacing="0" w:after="0" w:afterAutospacing="0" w:line="580" w:lineRule="exact"/>
        <w:ind w:left="0" w:firstLine="643" w:firstLineChars="200"/>
        <w:outlineLvl w:val="9"/>
        <w:rPr>
          <w:rFonts w:ascii="仿宋_GB2312" w:eastAsia="仿宋_GB2312" w:cs="Times New Roman"/>
          <w:sz w:val="32"/>
          <w:szCs w:val="32"/>
        </w:rPr>
      </w:pPr>
      <w:r>
        <w:rPr>
          <w:rFonts w:hint="eastAsia" w:ascii="仿宋_GB2312" w:eastAsia="仿宋_GB2312" w:cs="Times New Roman"/>
          <w:b/>
          <w:sz w:val="32"/>
          <w:szCs w:val="32"/>
        </w:rPr>
        <w:t>（一）三好学生：</w:t>
      </w:r>
      <w:r>
        <w:rPr>
          <w:rFonts w:hint="eastAsia" w:ascii="仿宋_GB2312" w:eastAsia="仿宋_GB2312" w:cs="Times New Roman"/>
          <w:sz w:val="32"/>
          <w:szCs w:val="32"/>
        </w:rPr>
        <w:t>德、智、体、美、劳全面发展，注重环保，勤俭节约。</w:t>
      </w:r>
      <w:r>
        <w:rPr>
          <w:rFonts w:hint="eastAsia" w:ascii="仿宋_GB2312" w:eastAsia="仿宋_GB2312" w:cs="Times New Roman"/>
          <w:bCs/>
          <w:sz w:val="32"/>
          <w:szCs w:val="32"/>
        </w:rPr>
        <w:t>一学年来各科考试成绩平均为80分以上，且无补考科目，考查科目和职业技能考核良好以上。</w:t>
      </w:r>
      <w:r>
        <w:rPr>
          <w:rFonts w:hint="eastAsia" w:ascii="仿宋_GB2312" w:eastAsia="仿宋_GB2312" w:cs="Times New Roman"/>
          <w:sz w:val="32"/>
          <w:szCs w:val="32"/>
        </w:rPr>
        <w:t>学生学年综合素质考评成绩在班级排前20%。</w:t>
      </w:r>
    </w:p>
    <w:p>
      <w:pPr>
        <w:pStyle w:val="18"/>
        <w:pageBreakBefore w:val="0"/>
        <w:widowControl w:val="0"/>
        <w:kinsoku/>
        <w:overflowPunct/>
        <w:topLinePunct w:val="0"/>
        <w:bidi w:val="0"/>
        <w:spacing w:before="0" w:beforeAutospacing="0" w:after="0" w:afterAutospacing="0" w:line="580" w:lineRule="exact"/>
        <w:ind w:left="0" w:firstLine="643" w:firstLineChars="200"/>
        <w:outlineLvl w:val="9"/>
        <w:rPr>
          <w:rFonts w:ascii="仿宋_GB2312" w:eastAsia="仿宋_GB2312" w:cs="Times New Roman"/>
          <w:sz w:val="32"/>
          <w:szCs w:val="32"/>
        </w:rPr>
      </w:pPr>
      <w:r>
        <w:rPr>
          <w:rFonts w:hint="eastAsia" w:ascii="仿宋_GB2312" w:eastAsia="仿宋_GB2312" w:cs="Times New Roman"/>
          <w:b/>
          <w:sz w:val="32"/>
          <w:szCs w:val="32"/>
        </w:rPr>
        <w:t>（二）优秀学生干部（含优秀团干部、优秀学生管理干部）：</w:t>
      </w:r>
      <w:r>
        <w:rPr>
          <w:rFonts w:hint="eastAsia" w:ascii="仿宋_GB2312" w:eastAsia="仿宋_GB2312" w:cs="Times New Roman"/>
          <w:sz w:val="32"/>
          <w:szCs w:val="32"/>
        </w:rPr>
        <w:t>团结同学，关心集体，吃苦在前，以身作则，处处都能起到模范带头作用，社会实践工作取得较大成绩，在学生中有较高威信。</w:t>
      </w:r>
      <w:r>
        <w:rPr>
          <w:rFonts w:hint="eastAsia" w:ascii="仿宋_GB2312" w:eastAsia="仿宋_GB2312" w:cs="Times New Roman"/>
          <w:bCs/>
          <w:sz w:val="32"/>
          <w:szCs w:val="32"/>
        </w:rPr>
        <w:t>一学年来各科考试成绩平均为75分以上，且无补考科目，考查科目和职业技能考核良好以上，综合素质考评成绩排名班级前30%。</w:t>
      </w:r>
    </w:p>
    <w:p>
      <w:pPr>
        <w:pStyle w:val="18"/>
        <w:pageBreakBefore w:val="0"/>
        <w:widowControl w:val="0"/>
        <w:kinsoku/>
        <w:overflowPunct/>
        <w:topLinePunct w:val="0"/>
        <w:bidi w:val="0"/>
        <w:spacing w:before="0" w:beforeAutospacing="0" w:after="0" w:afterAutospacing="0" w:line="580" w:lineRule="exact"/>
        <w:ind w:left="0" w:firstLine="643" w:firstLineChars="200"/>
        <w:outlineLvl w:val="9"/>
        <w:rPr>
          <w:rFonts w:ascii="仿宋_GB2312" w:eastAsia="仿宋_GB2312" w:cs="Times New Roman"/>
          <w:sz w:val="32"/>
          <w:szCs w:val="32"/>
        </w:rPr>
      </w:pPr>
      <w:r>
        <w:rPr>
          <w:rFonts w:hint="eastAsia" w:ascii="仿宋_GB2312" w:eastAsia="仿宋_GB2312" w:cs="Times New Roman"/>
          <w:b/>
          <w:sz w:val="32"/>
          <w:szCs w:val="32"/>
        </w:rPr>
        <w:t>（三）优秀团员：</w:t>
      </w:r>
      <w:r>
        <w:rPr>
          <w:rFonts w:hint="eastAsia" w:ascii="仿宋_GB2312" w:eastAsia="仿宋_GB2312" w:cs="Times New Roman"/>
          <w:sz w:val="32"/>
          <w:szCs w:val="32"/>
        </w:rPr>
        <w:t>努力完成学校团组织交给的各项任务，在学习、生活中处处能起到先锋模范带头作用，</w:t>
      </w:r>
      <w:r>
        <w:rPr>
          <w:rFonts w:hint="eastAsia" w:ascii="仿宋_GB2312" w:eastAsia="仿宋_GB2312" w:cs="Times New Roman"/>
          <w:bCs/>
          <w:sz w:val="32"/>
          <w:szCs w:val="32"/>
        </w:rPr>
        <w:t>一学年来各科考试成绩平均为75分以上，且无补考科目，考查科目和职业技能考核良好以上。</w:t>
      </w:r>
    </w:p>
    <w:p>
      <w:pPr>
        <w:pageBreakBefore w:val="0"/>
        <w:kinsoku/>
        <w:overflowPunct/>
        <w:topLinePunct w:val="0"/>
        <w:bidi w:val="0"/>
        <w:spacing w:line="580" w:lineRule="exact"/>
        <w:ind w:firstLine="482" w:firstLineChars="150"/>
        <w:outlineLvl w:val="9"/>
        <w:rPr>
          <w:rFonts w:ascii="仿宋_GB2312" w:hAnsi="宋体" w:eastAsia="仿宋_GB2312"/>
          <w:sz w:val="32"/>
          <w:szCs w:val="32"/>
        </w:rPr>
      </w:pPr>
      <w:r>
        <w:rPr>
          <w:rFonts w:hint="eastAsia" w:ascii="仿宋_GB2312" w:hAnsi="宋体" w:eastAsia="仿宋_GB2312"/>
          <w:b/>
          <w:sz w:val="32"/>
          <w:szCs w:val="32"/>
        </w:rPr>
        <w:t>（四）优秀社团干部：</w:t>
      </w:r>
      <w:r>
        <w:rPr>
          <w:rFonts w:hint="eastAsia" w:ascii="仿宋_GB2312" w:hAnsi="宋体" w:eastAsia="仿宋_GB2312"/>
          <w:sz w:val="32"/>
          <w:szCs w:val="32"/>
        </w:rPr>
        <w:t>加强政治理论学习，政治立场坚定，带头维护安定团结的政治局面，思想作风正派。热爱学生社团，积极参与学生社团工作，能积极完成党、团组织交给的各项任务。组织开展的社团活动有一定的影响力。所在社团被评为“十佳社团”或“优秀社团”者，优先考虑评比。一学年来各科考试成绩平均分为75分以上，且无补考科目，考查科目和职业技能考核良好以上。遵守国家法令和学</w:t>
      </w:r>
      <w:r>
        <w:rPr>
          <w:rFonts w:hint="eastAsia" w:ascii="仿宋_GB2312" w:hAnsi="宋体" w:eastAsia="仿宋_GB2312"/>
          <w:bCs/>
          <w:sz w:val="32"/>
          <w:szCs w:val="32"/>
        </w:rPr>
        <w:t>校</w:t>
      </w:r>
      <w:r>
        <w:rPr>
          <w:rFonts w:hint="eastAsia" w:ascii="仿宋_GB2312" w:hAnsi="宋体" w:eastAsia="仿宋_GB2312"/>
          <w:sz w:val="32"/>
          <w:szCs w:val="32"/>
        </w:rPr>
        <w:t>的各项规章制度，爱护公物，一学年来未受任何处分，未出过安全责任事故。</w:t>
      </w:r>
    </w:p>
    <w:p>
      <w:pPr>
        <w:pageBreakBefore w:val="0"/>
        <w:kinsoku/>
        <w:overflowPunct/>
        <w:topLinePunct w:val="0"/>
        <w:bidi w:val="0"/>
        <w:spacing w:line="580" w:lineRule="exact"/>
        <w:ind w:firstLine="482" w:firstLineChars="150"/>
        <w:outlineLvl w:val="9"/>
        <w:rPr>
          <w:rFonts w:ascii="仿宋_GB2312" w:hAnsi="宋体" w:eastAsia="仿宋_GB2312"/>
          <w:bCs/>
          <w:sz w:val="32"/>
          <w:szCs w:val="32"/>
        </w:rPr>
      </w:pPr>
      <w:r>
        <w:rPr>
          <w:rFonts w:hint="eastAsia" w:ascii="仿宋_GB2312" w:hAnsi="宋体" w:eastAsia="仿宋_GB2312"/>
          <w:b/>
          <w:bCs/>
          <w:sz w:val="32"/>
          <w:szCs w:val="32"/>
        </w:rPr>
        <w:t>（五）</w:t>
      </w:r>
      <w:r>
        <w:rPr>
          <w:rFonts w:hint="eastAsia" w:ascii="仿宋_GB2312" w:hAnsi="宋体" w:eastAsia="仿宋_GB2312"/>
          <w:b/>
          <w:sz w:val="32"/>
          <w:szCs w:val="32"/>
        </w:rPr>
        <w:t>优秀毕业生：</w:t>
      </w:r>
      <w:r>
        <w:rPr>
          <w:rFonts w:hint="eastAsia" w:ascii="仿宋_GB2312" w:hAnsi="宋体" w:eastAsia="仿宋_GB2312"/>
          <w:sz w:val="32"/>
          <w:szCs w:val="32"/>
        </w:rPr>
        <w:t>德、智、体、美、劳全面发展，专业思想牢固，在校期间未受纪律处分，并获得</w:t>
      </w:r>
      <w:r>
        <w:rPr>
          <w:rFonts w:hint="eastAsia" w:ascii="仿宋_GB2312" w:hAnsi="宋体" w:eastAsia="仿宋_GB2312"/>
          <w:bCs/>
          <w:sz w:val="32"/>
          <w:szCs w:val="32"/>
        </w:rPr>
        <w:t>二次</w:t>
      </w:r>
      <w:r>
        <w:rPr>
          <w:rFonts w:hint="eastAsia" w:ascii="仿宋_GB2312" w:hAnsi="宋体" w:eastAsia="仿宋_GB2312"/>
          <w:sz w:val="32"/>
          <w:szCs w:val="32"/>
        </w:rPr>
        <w:t>校</w:t>
      </w:r>
      <w:r>
        <w:rPr>
          <w:rFonts w:hint="eastAsia" w:ascii="仿宋_GB2312" w:hAnsi="宋体" w:eastAsia="仿宋_GB2312"/>
          <w:bCs/>
          <w:sz w:val="32"/>
          <w:szCs w:val="32"/>
        </w:rPr>
        <w:t>级以上三好学生或优秀学生干部或优秀团干部或优秀团员等称号。学习成绩优良；必修课成绩（安全教育课程、形势与政策必须合格，但不计入）平均分75分以上；毕业论文（设计）或毕业实习或职业技能培训成绩良好以上。</w:t>
      </w:r>
    </w:p>
    <w:p>
      <w:pPr>
        <w:pageBreakBefore w:val="0"/>
        <w:kinsoku/>
        <w:overflowPunct/>
        <w:topLinePunct w:val="0"/>
        <w:bidi w:val="0"/>
        <w:spacing w:line="580" w:lineRule="exact"/>
        <w:ind w:firstLine="482" w:firstLineChars="150"/>
        <w:outlineLvl w:val="9"/>
        <w:rPr>
          <w:rFonts w:ascii="仿宋_GB2312" w:hAnsi="宋体" w:eastAsia="仿宋_GB2312"/>
          <w:sz w:val="32"/>
          <w:szCs w:val="32"/>
        </w:rPr>
      </w:pPr>
      <w:r>
        <w:rPr>
          <w:rFonts w:hint="eastAsia" w:ascii="仿宋_GB2312" w:hAnsi="宋体" w:eastAsia="仿宋_GB2312"/>
          <w:b/>
          <w:bCs/>
          <w:sz w:val="32"/>
          <w:szCs w:val="32"/>
        </w:rPr>
        <w:t>（六）共青团优秀宣传员：</w:t>
      </w:r>
      <w:r>
        <w:rPr>
          <w:rFonts w:hint="eastAsia" w:ascii="仿宋_GB2312" w:hAnsi="宋体" w:eastAsia="仿宋_GB2312"/>
          <w:sz w:val="32"/>
          <w:szCs w:val="32"/>
        </w:rPr>
        <w:t>坚持正确的舆论导向，坚持团结稳定、正面宣传为主的方针，围绕共青团工作进行宣传报道；热爱宣传工作，具有较高的写作水平，为学</w:t>
      </w:r>
      <w:r>
        <w:rPr>
          <w:rFonts w:hint="eastAsia" w:ascii="仿宋_GB2312" w:hAnsi="宋体" w:eastAsia="仿宋_GB2312"/>
          <w:bCs/>
          <w:sz w:val="32"/>
          <w:szCs w:val="32"/>
        </w:rPr>
        <w:t>校</w:t>
      </w:r>
      <w:r>
        <w:rPr>
          <w:rFonts w:hint="eastAsia" w:ascii="仿宋_GB2312" w:hAnsi="宋体" w:eastAsia="仿宋_GB2312"/>
          <w:sz w:val="32"/>
          <w:szCs w:val="32"/>
        </w:rPr>
        <w:t>共青团网站提供数量较多、质量较高的报道。</w:t>
      </w:r>
    </w:p>
    <w:p>
      <w:pPr>
        <w:pageBreakBefore w:val="0"/>
        <w:kinsoku/>
        <w:overflowPunct/>
        <w:topLinePunct w:val="0"/>
        <w:bidi w:val="0"/>
        <w:spacing w:line="580" w:lineRule="exact"/>
        <w:ind w:firstLine="643" w:firstLineChars="200"/>
        <w:outlineLvl w:val="9"/>
        <w:rPr>
          <w:rFonts w:ascii="仿宋_GB2312" w:hAnsi="宋体" w:eastAsia="仿宋_GB2312"/>
          <w:sz w:val="32"/>
          <w:szCs w:val="32"/>
        </w:rPr>
      </w:pPr>
      <w:r>
        <w:rPr>
          <w:rFonts w:hint="eastAsia" w:ascii="仿宋_GB2312" w:hAnsi="宋体" w:eastAsia="仿宋_GB2312"/>
          <w:b/>
          <w:bCs/>
          <w:sz w:val="32"/>
          <w:szCs w:val="32"/>
        </w:rPr>
        <w:t>（七）优秀志愿者：</w:t>
      </w:r>
      <w:r>
        <w:rPr>
          <w:rFonts w:hint="eastAsia" w:ascii="仿宋_GB2312" w:hAnsi="宋体" w:eastAsia="仿宋_GB2312"/>
          <w:bCs/>
          <w:sz w:val="32"/>
          <w:szCs w:val="32"/>
        </w:rPr>
        <w:t>我</w:t>
      </w:r>
      <w:r>
        <w:rPr>
          <w:rFonts w:hint="eastAsia" w:ascii="仿宋_GB2312" w:hAnsi="宋体" w:eastAsia="仿宋_GB2312"/>
          <w:sz w:val="32"/>
          <w:szCs w:val="32"/>
        </w:rPr>
        <w:t>校</w:t>
      </w:r>
      <w:r>
        <w:rPr>
          <w:rFonts w:hint="eastAsia" w:ascii="仿宋_GB2312" w:hAnsi="宋体" w:eastAsia="仿宋_GB2312"/>
          <w:bCs/>
          <w:sz w:val="32"/>
          <w:szCs w:val="32"/>
        </w:rPr>
        <w:t>已注册的青年志愿者，全年</w:t>
      </w:r>
      <w:r>
        <w:rPr>
          <w:rFonts w:hint="eastAsia" w:ascii="仿宋_GB2312" w:hAnsi="宋体" w:eastAsia="仿宋_GB2312"/>
          <w:sz w:val="32"/>
          <w:szCs w:val="32"/>
        </w:rPr>
        <w:t>志愿服务时间在50小时以上，积极主动组织、参与志愿服务活动，宣传青年志愿服务精神，有较强的社会责任感，热心社会公益事业，积极参与学雷锋志愿服务、社会实践、爱心奉献等活动，在志愿服务中表现突出并且起到模范带头的作用，无任何违反规章制度现象。按每班1名志愿者的比例进行评选。</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80" w:lineRule="exact"/>
        <w:ind w:firstLine="643" w:firstLineChars="200"/>
        <w:jc w:val="center"/>
        <w:outlineLvl w:val="9"/>
        <w:rPr>
          <w:rFonts w:ascii="黑体" w:hAnsi="黑体" w:eastAsia="黑体"/>
          <w:b/>
          <w:sz w:val="32"/>
          <w:szCs w:val="32"/>
        </w:rPr>
      </w:pPr>
      <w:bookmarkStart w:id="477" w:name="_Toc15988_WPSOffice_Level1"/>
      <w:r>
        <w:rPr>
          <w:rFonts w:hint="eastAsia" w:ascii="黑体" w:hAnsi="黑体" w:eastAsia="黑体"/>
          <w:b/>
          <w:sz w:val="32"/>
          <w:szCs w:val="32"/>
        </w:rPr>
        <w:t>第四章 奖学金的评选条件</w:t>
      </w:r>
      <w:bookmarkEnd w:id="477"/>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sz w:val="32"/>
          <w:szCs w:val="32"/>
        </w:rPr>
        <w:t>第十条</w:t>
      </w:r>
      <w:r>
        <w:rPr>
          <w:rFonts w:hint="eastAsia" w:ascii="仿宋_GB2312" w:hAnsi="宋体" w:eastAsia="仿宋_GB2312"/>
          <w:sz w:val="32"/>
          <w:szCs w:val="32"/>
        </w:rPr>
        <w:t xml:space="preserve">  柳州职业技术学院优秀学业奖学金</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优秀学业奖学金分为三个等级，获奖面不超过学生总人数的8%，一、二、三等奖学金占学生总人数的比例分别为1%、3%、4%。</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1. 优秀学业奖学金名次的要求</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cs="宋体"/>
          <w:bCs/>
          <w:sz w:val="32"/>
          <w:szCs w:val="32"/>
        </w:rPr>
        <w:t>①</w:t>
      </w:r>
      <w:r>
        <w:rPr>
          <w:rFonts w:hint="eastAsia" w:ascii="仿宋_GB2312" w:hAnsi="宋体" w:eastAsia="仿宋_GB2312"/>
          <w:bCs/>
          <w:sz w:val="32"/>
          <w:szCs w:val="32"/>
        </w:rPr>
        <w:t>一等奖学金：学业成绩班级排名前2%；</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cs="宋体"/>
          <w:bCs/>
          <w:sz w:val="32"/>
          <w:szCs w:val="32"/>
        </w:rPr>
        <w:t>②</w:t>
      </w:r>
      <w:r>
        <w:rPr>
          <w:rFonts w:hint="eastAsia" w:ascii="仿宋_GB2312" w:hAnsi="宋体" w:eastAsia="仿宋_GB2312"/>
          <w:bCs/>
          <w:sz w:val="32"/>
          <w:szCs w:val="32"/>
        </w:rPr>
        <w:t>二等奖学金：学业成绩班级排名前5%；</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cs="宋体"/>
          <w:bCs/>
          <w:sz w:val="32"/>
          <w:szCs w:val="32"/>
        </w:rPr>
        <w:t>③</w:t>
      </w:r>
      <w:r>
        <w:rPr>
          <w:rFonts w:hint="eastAsia" w:ascii="仿宋_GB2312" w:hAnsi="宋体" w:eastAsia="仿宋_GB2312"/>
          <w:bCs/>
          <w:sz w:val="32"/>
          <w:szCs w:val="32"/>
        </w:rPr>
        <w:t>三等奖学金：学业成绩班级排名前8%</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2.参评者学业成绩在班级排名达到上述要求外，必须同时符合下列条件，方可获得奖学金：</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cs="宋体"/>
          <w:bCs/>
          <w:sz w:val="32"/>
          <w:szCs w:val="32"/>
        </w:rPr>
        <w:t>①</w:t>
      </w:r>
      <w:r>
        <w:rPr>
          <w:rFonts w:hint="eastAsia" w:ascii="仿宋_GB2312" w:hAnsi="宋体" w:eastAsia="仿宋_GB2312"/>
          <w:bCs/>
          <w:sz w:val="32"/>
          <w:szCs w:val="32"/>
        </w:rPr>
        <w:t>考试科目平均成绩不低于80分，且无不及格科目；</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cs="宋体"/>
          <w:bCs/>
          <w:sz w:val="32"/>
          <w:szCs w:val="32"/>
        </w:rPr>
        <w:t>②</w:t>
      </w:r>
      <w:r>
        <w:rPr>
          <w:rFonts w:hint="eastAsia" w:ascii="仿宋_GB2312" w:hAnsi="宋体" w:eastAsia="仿宋_GB2312"/>
          <w:bCs/>
          <w:sz w:val="32"/>
          <w:szCs w:val="32"/>
        </w:rPr>
        <w:t>考查课（选修课）“中等”以上；（形势与政策、安全教育课程“及格”）</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cs="宋体"/>
          <w:bCs/>
          <w:sz w:val="32"/>
          <w:szCs w:val="32"/>
        </w:rPr>
        <w:t>③</w:t>
      </w:r>
      <w:r>
        <w:rPr>
          <w:rFonts w:hint="eastAsia" w:ascii="仿宋_GB2312" w:hAnsi="宋体" w:eastAsia="仿宋_GB2312"/>
          <w:bCs/>
          <w:sz w:val="32"/>
          <w:szCs w:val="32"/>
        </w:rPr>
        <w:t>未受到学校通报批评、纪律处分。</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p>
    <w:p>
      <w:pPr>
        <w:pageBreakBefore w:val="0"/>
        <w:kinsoku/>
        <w:overflowPunct/>
        <w:topLinePunct w:val="0"/>
        <w:bidi w:val="0"/>
        <w:spacing w:line="580" w:lineRule="exact"/>
        <w:ind w:firstLine="643" w:firstLineChars="200"/>
        <w:jc w:val="center"/>
        <w:outlineLvl w:val="9"/>
        <w:rPr>
          <w:rFonts w:ascii="黑体" w:hAnsi="黑体" w:eastAsia="黑体"/>
          <w:b/>
          <w:sz w:val="32"/>
          <w:szCs w:val="32"/>
        </w:rPr>
      </w:pPr>
      <w:bookmarkStart w:id="478" w:name="_Toc27886_WPSOffice_Level1"/>
      <w:r>
        <w:rPr>
          <w:rFonts w:hint="eastAsia" w:ascii="黑体" w:hAnsi="黑体" w:eastAsia="黑体"/>
          <w:b/>
          <w:sz w:val="32"/>
          <w:szCs w:val="32"/>
        </w:rPr>
        <w:t>第五章 奖励标准</w:t>
      </w:r>
      <w:bookmarkEnd w:id="478"/>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sz w:val="32"/>
          <w:szCs w:val="32"/>
        </w:rPr>
        <w:t>第十一条</w:t>
      </w:r>
      <w:r>
        <w:rPr>
          <w:rFonts w:hint="eastAsia" w:ascii="仿宋_GB2312" w:hAnsi="宋体" w:eastAsia="仿宋_GB2312"/>
          <w:bCs/>
          <w:sz w:val="32"/>
          <w:szCs w:val="32"/>
        </w:rPr>
        <w:t xml:space="preserve">  校级奖励</w:t>
      </w:r>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bCs/>
          <w:sz w:val="32"/>
          <w:szCs w:val="32"/>
        </w:rPr>
        <w:t>（一）学校先进班级：</w:t>
      </w:r>
      <w:r>
        <w:rPr>
          <w:rFonts w:hint="eastAsia" w:ascii="仿宋_GB2312" w:hAnsi="宋体" w:eastAsia="仿宋_GB2312"/>
          <w:bCs/>
          <w:sz w:val="32"/>
          <w:szCs w:val="32"/>
        </w:rPr>
        <w:t>奖金400元，荣誉证书一份；</w:t>
      </w:r>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bCs/>
          <w:sz w:val="32"/>
          <w:szCs w:val="32"/>
        </w:rPr>
        <w:t>（二）学业奖学金：</w:t>
      </w:r>
      <w:r>
        <w:rPr>
          <w:rFonts w:hint="eastAsia" w:ascii="仿宋_GB2312" w:hAnsi="宋体" w:eastAsia="仿宋_GB2312"/>
          <w:bCs/>
          <w:sz w:val="32"/>
          <w:szCs w:val="32"/>
        </w:rPr>
        <w:t xml:space="preserve">一等奖为每人500元、二等奖为每人300元、三等奖为每人200元，均获荣誉证书一份； </w:t>
      </w:r>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bCs/>
          <w:sz w:val="32"/>
          <w:szCs w:val="32"/>
        </w:rPr>
        <w:t>（三）学校三好学生、优秀学生干部、优秀团员、优秀团干、优秀社团干部、优秀毕业生、优秀学生管理干部、</w:t>
      </w:r>
      <w:r>
        <w:rPr>
          <w:rFonts w:hint="eastAsia" w:ascii="仿宋_GB2312" w:hAnsi="宋体" w:eastAsia="仿宋_GB2312"/>
          <w:b/>
          <w:sz w:val="32"/>
          <w:szCs w:val="32"/>
        </w:rPr>
        <w:t>共青团优秀宣传员、优秀志愿者</w:t>
      </w:r>
      <w:r>
        <w:rPr>
          <w:rFonts w:hint="eastAsia" w:ascii="仿宋_GB2312" w:hAnsi="宋体" w:eastAsia="仿宋_GB2312"/>
          <w:b/>
          <w:bCs/>
          <w:sz w:val="32"/>
          <w:szCs w:val="32"/>
        </w:rPr>
        <w:t>：</w:t>
      </w:r>
      <w:r>
        <w:rPr>
          <w:rFonts w:hint="eastAsia" w:ascii="仿宋_GB2312" w:hAnsi="宋体" w:eastAsia="仿宋_GB2312"/>
          <w:bCs/>
          <w:sz w:val="32"/>
          <w:szCs w:val="32"/>
        </w:rPr>
        <w:t>每人荣誉证书一份，</w:t>
      </w:r>
      <w:r>
        <w:rPr>
          <w:rFonts w:hint="eastAsia" w:ascii="仿宋_GB2312" w:eastAsia="仿宋_GB2312"/>
          <w:sz w:val="32"/>
          <w:szCs w:val="32"/>
        </w:rPr>
        <w:t>由学校灵活安排获奖学生参加出国访学、企业走访、红色之旅、主题夏令营、观看优秀文艺节目展演、发放纪念品等具有教育意义的活动。</w:t>
      </w:r>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bCs/>
          <w:sz w:val="32"/>
          <w:szCs w:val="32"/>
        </w:rPr>
        <w:t>（四）学校先进团支部：</w:t>
      </w:r>
      <w:r>
        <w:rPr>
          <w:rFonts w:hint="eastAsia" w:ascii="仿宋_GB2312" w:hAnsi="宋体" w:eastAsia="仿宋_GB2312"/>
          <w:bCs/>
          <w:sz w:val="32"/>
          <w:szCs w:val="32"/>
        </w:rPr>
        <w:t>奖金200元、荣誉证书一份。</w:t>
      </w:r>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bCs/>
          <w:sz w:val="32"/>
          <w:szCs w:val="32"/>
        </w:rPr>
        <w:t>（五）优秀学生会：</w:t>
      </w:r>
      <w:r>
        <w:rPr>
          <w:rFonts w:hint="eastAsia" w:ascii="仿宋_GB2312" w:hAnsi="宋体" w:eastAsia="仿宋_GB2312"/>
          <w:bCs/>
          <w:sz w:val="32"/>
          <w:szCs w:val="32"/>
        </w:rPr>
        <w:t xml:space="preserve">奖金200元、荣誉证书一份；       </w:t>
      </w:r>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bCs/>
          <w:sz w:val="32"/>
          <w:szCs w:val="32"/>
        </w:rPr>
        <w:t>（六）学校十佳社团：</w:t>
      </w:r>
      <w:r>
        <w:rPr>
          <w:rFonts w:hint="eastAsia" w:ascii="仿宋_GB2312" w:hAnsi="宋体" w:eastAsia="仿宋_GB2312"/>
          <w:bCs/>
          <w:sz w:val="32"/>
          <w:szCs w:val="32"/>
        </w:rPr>
        <w:t>奖金400元、荣誉证书一份；</w:t>
      </w:r>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bCs/>
          <w:sz w:val="32"/>
          <w:szCs w:val="32"/>
        </w:rPr>
        <w:t>（七）优秀社团：</w:t>
      </w:r>
      <w:r>
        <w:rPr>
          <w:rFonts w:hint="eastAsia" w:ascii="仿宋_GB2312" w:hAnsi="宋体" w:eastAsia="仿宋_GB2312"/>
          <w:bCs/>
          <w:sz w:val="32"/>
          <w:szCs w:val="32"/>
        </w:rPr>
        <w:t>奖金200元，荣誉证书一份。</w:t>
      </w:r>
    </w:p>
    <w:p>
      <w:pPr>
        <w:pageBreakBefore w:val="0"/>
        <w:kinsoku/>
        <w:overflowPunct/>
        <w:topLinePunct w:val="0"/>
        <w:bidi w:val="0"/>
        <w:spacing w:line="580" w:lineRule="exact"/>
        <w:ind w:firstLine="643" w:firstLineChars="200"/>
        <w:jc w:val="left"/>
        <w:outlineLvl w:val="9"/>
        <w:rPr>
          <w:rFonts w:ascii="仿宋_GB2312" w:hAnsi="宋体" w:eastAsia="仿宋_GB2312"/>
          <w:b/>
          <w:bCs/>
          <w:sz w:val="32"/>
          <w:szCs w:val="32"/>
        </w:rPr>
      </w:pPr>
      <w:r>
        <w:rPr>
          <w:rFonts w:hint="eastAsia" w:ascii="仿宋_GB2312" w:hAnsi="宋体" w:eastAsia="仿宋_GB2312"/>
          <w:b/>
          <w:bCs/>
          <w:sz w:val="32"/>
          <w:szCs w:val="32"/>
        </w:rPr>
        <w:t xml:space="preserve">第十二条  </w:t>
      </w:r>
      <w:r>
        <w:rPr>
          <w:rFonts w:hint="eastAsia" w:ascii="仿宋_GB2312" w:hAnsi="宋体" w:eastAsia="仿宋_GB2312"/>
          <w:bCs/>
          <w:sz w:val="32"/>
          <w:szCs w:val="32"/>
        </w:rPr>
        <w:t>科研奖励</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1.有较强技术创新与技术发明能力，申请职务技术发明专利材料经学校科技管理部门审核通过申报，由学校支付专利申请费用；发明专利获得授权后，奖励发明人2000元。技术创新成果获得市厅级奖励，按一等奖3000元、二等奖2000元、三等奖1000元奖励发明人。技术创新成果获得省部级以上奖励，按一等奖6000元、二等奖4000元、三等奖3000元奖励发明人。</w:t>
      </w:r>
    </w:p>
    <w:p>
      <w:pPr>
        <w:pageBreakBefore w:val="0"/>
        <w:kinsoku/>
        <w:overflowPunct/>
        <w:topLinePunct w:val="0"/>
        <w:bidi w:val="0"/>
        <w:spacing w:line="580" w:lineRule="exact"/>
        <w:ind w:firstLine="643" w:firstLineChars="200"/>
        <w:outlineLvl w:val="9"/>
        <w:rPr>
          <w:rFonts w:ascii="仿宋_GB2312" w:hAnsi="宋体" w:eastAsia="仿宋_GB2312"/>
          <w:b/>
          <w:bCs/>
          <w:sz w:val="32"/>
          <w:szCs w:val="32"/>
        </w:rPr>
      </w:pPr>
      <w:r>
        <w:rPr>
          <w:rFonts w:hint="eastAsia" w:ascii="仿宋_GB2312" w:hAnsi="宋体" w:eastAsia="仿宋_GB2312"/>
          <w:b/>
          <w:bCs/>
          <w:sz w:val="32"/>
          <w:szCs w:val="32"/>
        </w:rPr>
        <w:t>第十三条  院级奖励</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eastAsia="仿宋_GB2312"/>
          <w:sz w:val="32"/>
          <w:szCs w:val="32"/>
        </w:rPr>
        <w:t>各二级学院可参照校级各奖项评选比例自主评选院级奖项。</w:t>
      </w:r>
    </w:p>
    <w:p>
      <w:pPr>
        <w:pageBreakBefore w:val="0"/>
        <w:kinsoku/>
        <w:overflowPunct/>
        <w:topLinePunct w:val="0"/>
        <w:bidi w:val="0"/>
        <w:spacing w:line="580" w:lineRule="exact"/>
        <w:outlineLvl w:val="9"/>
        <w:rPr>
          <w:rFonts w:ascii="仿宋_GB2312" w:hAnsi="宋体" w:eastAsia="仿宋_GB2312"/>
          <w:bCs/>
          <w:sz w:val="32"/>
          <w:szCs w:val="32"/>
        </w:rPr>
      </w:pPr>
    </w:p>
    <w:p>
      <w:pPr>
        <w:pageBreakBefore w:val="0"/>
        <w:kinsoku/>
        <w:overflowPunct/>
        <w:topLinePunct w:val="0"/>
        <w:bidi w:val="0"/>
        <w:spacing w:line="580" w:lineRule="exact"/>
        <w:ind w:firstLine="643" w:firstLineChars="200"/>
        <w:jc w:val="center"/>
        <w:outlineLvl w:val="9"/>
        <w:rPr>
          <w:rFonts w:ascii="黑体" w:hAnsi="黑体" w:eastAsia="黑体"/>
          <w:b/>
          <w:sz w:val="32"/>
          <w:szCs w:val="32"/>
        </w:rPr>
      </w:pPr>
      <w:bookmarkStart w:id="479" w:name="_Toc25185_WPSOffice_Level1"/>
      <w:r>
        <w:rPr>
          <w:rFonts w:hint="eastAsia" w:ascii="黑体" w:hAnsi="黑体" w:eastAsia="黑体"/>
          <w:b/>
          <w:sz w:val="32"/>
          <w:szCs w:val="32"/>
        </w:rPr>
        <w:t>第六章  评选办法</w:t>
      </w:r>
      <w:bookmarkEnd w:id="479"/>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sz w:val="32"/>
          <w:szCs w:val="32"/>
        </w:rPr>
        <w:t>第十四条</w:t>
      </w:r>
      <w:r>
        <w:rPr>
          <w:rFonts w:hint="eastAsia" w:ascii="仿宋_GB2312" w:hAnsi="宋体" w:eastAsia="仿宋_GB2312" w:cs="宋体"/>
          <w:bCs/>
          <w:sz w:val="32"/>
          <w:szCs w:val="32"/>
        </w:rPr>
        <w:t xml:space="preserve">  评选时间、评选比例及评选程序</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（一）三好学生、优秀学生干部、先进班集体、优秀毕业生、优秀学业奖学金由学生工作处组织评选；优秀团员、优秀团干、</w:t>
      </w:r>
      <w:r>
        <w:rPr>
          <w:rFonts w:hint="eastAsia" w:ascii="仿宋_GB2312" w:hAnsi="宋体" w:eastAsia="仿宋_GB2312"/>
          <w:sz w:val="32"/>
          <w:szCs w:val="32"/>
        </w:rPr>
        <w:t>共青团优秀宣传员、优秀志愿者、</w:t>
      </w:r>
      <w:r>
        <w:rPr>
          <w:rFonts w:hint="eastAsia" w:ascii="仿宋_GB2312" w:hAnsi="宋体" w:eastAsia="仿宋_GB2312"/>
          <w:bCs/>
          <w:sz w:val="32"/>
          <w:szCs w:val="32"/>
        </w:rPr>
        <w:t>优秀社团干部、先进团支部、优秀学生会、十佳社团、优秀社团由</w:t>
      </w:r>
      <w:r>
        <w:rPr>
          <w:rFonts w:hint="eastAsia" w:ascii="仿宋_GB2312" w:hAnsi="宋体" w:eastAsia="仿宋_GB2312"/>
          <w:sz w:val="32"/>
          <w:szCs w:val="32"/>
        </w:rPr>
        <w:t>校</w:t>
      </w:r>
      <w:r>
        <w:rPr>
          <w:rFonts w:hint="eastAsia" w:ascii="仿宋_GB2312" w:hAnsi="宋体" w:eastAsia="仿宋_GB2312"/>
          <w:bCs/>
          <w:sz w:val="32"/>
          <w:szCs w:val="32"/>
        </w:rPr>
        <w:t>团委组织评选。</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（二）三好学生、优秀学生干部、先进班集体、优秀团员、优秀团干、优秀社团干部、</w:t>
      </w:r>
      <w:r>
        <w:rPr>
          <w:rFonts w:hint="eastAsia" w:ascii="仿宋_GB2312" w:hAnsi="宋体" w:eastAsia="仿宋_GB2312"/>
          <w:sz w:val="32"/>
          <w:szCs w:val="32"/>
        </w:rPr>
        <w:t>共青团工作优秀宣传员、优秀志愿者、</w:t>
      </w:r>
      <w:r>
        <w:rPr>
          <w:rFonts w:hint="eastAsia" w:ascii="仿宋_GB2312" w:hAnsi="宋体" w:eastAsia="仿宋_GB2312"/>
          <w:bCs/>
          <w:sz w:val="32"/>
          <w:szCs w:val="32"/>
        </w:rPr>
        <w:t>优秀学生会、十佳社团、优秀社团、先进团支部、优秀学业奖学金、优秀毕业生、优秀学生管理干部每学年评选一次，非毕业班每年评选在九月份进行，毕业班在三月份进行；优秀团员、优秀团干、优秀社团干部、</w:t>
      </w:r>
      <w:r>
        <w:rPr>
          <w:rFonts w:hint="eastAsia" w:ascii="仿宋_GB2312" w:hAnsi="宋体" w:eastAsia="仿宋_GB2312"/>
          <w:sz w:val="32"/>
          <w:szCs w:val="32"/>
        </w:rPr>
        <w:t>共青团优秀宣传员、优秀志愿者、</w:t>
      </w:r>
      <w:r>
        <w:rPr>
          <w:rFonts w:hint="eastAsia" w:ascii="仿宋_GB2312" w:hAnsi="宋体" w:eastAsia="仿宋_GB2312"/>
          <w:bCs/>
          <w:sz w:val="32"/>
          <w:szCs w:val="32"/>
        </w:rPr>
        <w:t xml:space="preserve">优秀学生会、十佳社团、优秀社团、先进团支部、先进分团委每年四月至五月份进行评选。 </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（三）评选比例：</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1.三好学生评选原则上不超过学生数的6%；</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2.优秀学生干部评选按教学班级总数的2倍评选；</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 xml:space="preserve">3.优秀团员评选原则上不超过团员数的6%；     </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 xml:space="preserve">4.优秀团干评选按团支部数的2倍评选；          </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5.优秀社团干部评选按全</w:t>
      </w:r>
      <w:r>
        <w:rPr>
          <w:rFonts w:hint="eastAsia" w:ascii="仿宋_GB2312" w:hAnsi="宋体" w:eastAsia="仿宋_GB2312"/>
          <w:sz w:val="32"/>
          <w:szCs w:val="32"/>
        </w:rPr>
        <w:t>校</w:t>
      </w:r>
      <w:r>
        <w:rPr>
          <w:rFonts w:hint="eastAsia" w:ascii="仿宋_GB2312" w:hAnsi="宋体" w:eastAsia="仿宋_GB2312"/>
          <w:bCs/>
          <w:sz w:val="32"/>
          <w:szCs w:val="32"/>
        </w:rPr>
        <w:t xml:space="preserve">社团数的2倍评选；   </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6.优秀学生管理干部评选按条件申报审核；</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 xml:space="preserve">7.共青团工作优秀宣传员评选按基层宣传小组数的2倍评选；   </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8.</w:t>
      </w:r>
      <w:r>
        <w:rPr>
          <w:rFonts w:hint="eastAsia" w:ascii="仿宋_GB2312" w:hAnsi="宋体" w:eastAsia="仿宋_GB2312"/>
          <w:sz w:val="32"/>
          <w:szCs w:val="32"/>
        </w:rPr>
        <w:t xml:space="preserve">优秀志愿者评比名额一般不超过二级学院志愿者注册总人数的3%；   </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9.优秀毕业生原则上</w:t>
      </w:r>
      <w:r>
        <w:rPr>
          <w:rFonts w:hint="eastAsia" w:ascii="仿宋_GB2312" w:hAnsi="宋体" w:eastAsia="仿宋_GB2312"/>
          <w:sz w:val="32"/>
          <w:szCs w:val="32"/>
        </w:rPr>
        <w:t>不超过毕业生总数的5%；</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10.区级、市级评比视下达的名额而定；</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11.优秀学业奖学金评选比例原则上不超过学生数的8%。</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（四）评选比例以二级学院为单位统一掌握。</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（五）在</w:t>
      </w:r>
      <w:r>
        <w:rPr>
          <w:rFonts w:hint="eastAsia" w:ascii="仿宋_GB2312" w:hAnsi="宋体" w:eastAsia="仿宋_GB2312"/>
          <w:sz w:val="32"/>
          <w:szCs w:val="32"/>
        </w:rPr>
        <w:t>校级团委、学生组织、社团</w:t>
      </w:r>
      <w:r>
        <w:rPr>
          <w:rFonts w:hint="eastAsia" w:ascii="仿宋_GB2312" w:hAnsi="宋体" w:eastAsia="仿宋_GB2312"/>
          <w:bCs/>
          <w:sz w:val="32"/>
          <w:szCs w:val="32"/>
        </w:rPr>
        <w:t>任学生干部的学生由</w:t>
      </w:r>
      <w:r>
        <w:rPr>
          <w:rFonts w:hint="eastAsia" w:ascii="仿宋_GB2312" w:hAnsi="宋体" w:eastAsia="仿宋_GB2312"/>
          <w:sz w:val="32"/>
          <w:szCs w:val="32"/>
        </w:rPr>
        <w:t>校</w:t>
      </w:r>
      <w:r>
        <w:rPr>
          <w:rFonts w:hint="eastAsia" w:ascii="仿宋_GB2312" w:hAnsi="宋体" w:eastAsia="仿宋_GB2312"/>
          <w:bCs/>
          <w:sz w:val="32"/>
          <w:szCs w:val="32"/>
        </w:rPr>
        <w:t>团委组织呈报，在院级团委、学生组织任学生干部的学生由二级学院团委组织呈报。</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（六）评选程序：</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学生评优是一项严肃认真的工作，各二级学院、班级、社团应当积极慎重地做好评选工作。</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1.二级学院、辅导员（班主任）或学生专干在评选之前应组织学生学习评选条件，明确评选目的，在此基础上进行提名、评选，并组织班委和团支部集体讨论，将推荐名单报二级学院审核。</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2.二级学院确定名单后填写呈报表，并签署意见后连同经教务处审核并盖章后的学生本年度成绩单报学</w:t>
      </w:r>
      <w:r>
        <w:rPr>
          <w:rFonts w:hint="eastAsia" w:ascii="仿宋_GB2312" w:hAnsi="宋体" w:eastAsia="仿宋_GB2312"/>
          <w:sz w:val="32"/>
          <w:szCs w:val="32"/>
        </w:rPr>
        <w:t>校</w:t>
      </w:r>
      <w:r>
        <w:rPr>
          <w:rFonts w:hint="eastAsia" w:ascii="仿宋_GB2312" w:hAnsi="宋体" w:eastAsia="仿宋_GB2312"/>
          <w:bCs/>
          <w:sz w:val="32"/>
          <w:szCs w:val="32"/>
        </w:rPr>
        <w:t>学生工作部（处）或团委组织评审。</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3.优秀学业奖学金评定，由各二级学院组织辅导员（班主任）或学生专干依条件进行评选，并将名单报学生工作部（处）评审。</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4.先进班集体、先进团支部、先进分团委、优秀学生会等先进集体的评选，在认真总结的基础上，按照评比条件和名额，填写书面材料，由二级学院评选小组集体讨论，确定推荐对象，并填写先进集体呈报表，提出原始材料、数据报学校学生工作部（处）或</w:t>
      </w:r>
      <w:r>
        <w:rPr>
          <w:rFonts w:hint="eastAsia" w:ascii="仿宋_GB2312" w:hAnsi="宋体" w:eastAsia="仿宋_GB2312"/>
          <w:sz w:val="32"/>
          <w:szCs w:val="32"/>
        </w:rPr>
        <w:t>校</w:t>
      </w:r>
      <w:r>
        <w:rPr>
          <w:rFonts w:hint="eastAsia" w:ascii="仿宋_GB2312" w:hAnsi="宋体" w:eastAsia="仿宋_GB2312"/>
          <w:bCs/>
          <w:sz w:val="32"/>
          <w:szCs w:val="32"/>
        </w:rPr>
        <w:t>团委评审。</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5.优秀社团干部由校社团工作部组织社团进行评选，确定名单后填写呈报表，并签署意见后连同经教务处审核并盖章后的学生本年度成绩单报</w:t>
      </w:r>
      <w:r>
        <w:rPr>
          <w:rFonts w:hint="eastAsia" w:ascii="仿宋_GB2312" w:hAnsi="宋体" w:eastAsia="仿宋_GB2312"/>
          <w:sz w:val="32"/>
          <w:szCs w:val="32"/>
        </w:rPr>
        <w:t>校</w:t>
      </w:r>
      <w:r>
        <w:rPr>
          <w:rFonts w:hint="eastAsia" w:ascii="仿宋_GB2312" w:hAnsi="宋体" w:eastAsia="仿宋_GB2312"/>
          <w:bCs/>
          <w:sz w:val="32"/>
          <w:szCs w:val="32"/>
        </w:rPr>
        <w:t>团委组织评审。</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bCs/>
          <w:sz w:val="32"/>
          <w:szCs w:val="32"/>
        </w:rPr>
        <w:t>6.</w:t>
      </w:r>
      <w:r>
        <w:rPr>
          <w:rFonts w:hint="eastAsia" w:ascii="仿宋_GB2312" w:hAnsi="宋体" w:eastAsia="仿宋_GB2312"/>
          <w:sz w:val="32"/>
          <w:szCs w:val="32"/>
        </w:rPr>
        <w:t xml:space="preserve"> 校</w:t>
      </w:r>
      <w:r>
        <w:rPr>
          <w:rFonts w:hint="eastAsia" w:ascii="仿宋_GB2312" w:hAnsi="宋体" w:eastAsia="仿宋_GB2312"/>
          <w:bCs/>
          <w:sz w:val="32"/>
          <w:szCs w:val="32"/>
        </w:rPr>
        <w:t>十佳社团的评选：由</w:t>
      </w:r>
      <w:r>
        <w:rPr>
          <w:rFonts w:hint="eastAsia" w:ascii="仿宋_GB2312" w:hAnsi="宋体" w:eastAsia="仿宋_GB2312"/>
          <w:sz w:val="32"/>
          <w:szCs w:val="32"/>
        </w:rPr>
        <w:t>校</w:t>
      </w:r>
      <w:r>
        <w:rPr>
          <w:rFonts w:hint="eastAsia" w:ascii="仿宋_GB2312" w:hAnsi="宋体" w:eastAsia="仿宋_GB2312"/>
          <w:bCs/>
          <w:sz w:val="32"/>
          <w:szCs w:val="32"/>
        </w:rPr>
        <w:t>团委指导校社团工作部组织社团进行评选，于每年四至五月</w:t>
      </w:r>
      <w:r>
        <w:rPr>
          <w:rFonts w:hint="eastAsia" w:ascii="仿宋_GB2312" w:hAnsi="宋体" w:eastAsia="仿宋_GB2312"/>
          <w:sz w:val="32"/>
          <w:szCs w:val="32"/>
        </w:rPr>
        <w:t>进行学年度社团工作评选评优，选出前10名社团为十佳社团评比结果报校团委评审、公示。</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bCs/>
          <w:sz w:val="32"/>
          <w:szCs w:val="32"/>
        </w:rPr>
        <w:t>7.</w:t>
      </w:r>
      <w:r>
        <w:rPr>
          <w:rFonts w:hint="eastAsia" w:ascii="仿宋_GB2312" w:hAnsi="宋体" w:eastAsia="仿宋_GB2312"/>
          <w:sz w:val="32"/>
          <w:szCs w:val="32"/>
        </w:rPr>
        <w:t xml:space="preserve"> 校优秀社团的评选：在学校管辖的学生社团范围中进行，</w:t>
      </w:r>
      <w:r>
        <w:rPr>
          <w:rFonts w:hint="eastAsia" w:ascii="仿宋_GB2312" w:hAnsi="宋体" w:eastAsia="仿宋_GB2312"/>
          <w:bCs/>
          <w:sz w:val="32"/>
          <w:szCs w:val="32"/>
        </w:rPr>
        <w:t>于每年四至五月</w:t>
      </w:r>
      <w:r>
        <w:rPr>
          <w:rFonts w:hint="eastAsia" w:ascii="仿宋_GB2312" w:hAnsi="宋体" w:eastAsia="仿宋_GB2312"/>
          <w:sz w:val="32"/>
          <w:szCs w:val="32"/>
        </w:rPr>
        <w:t>进行十佳社团评选时同步进行，</w:t>
      </w:r>
      <w:r>
        <w:rPr>
          <w:rFonts w:hint="eastAsia" w:ascii="仿宋_GB2312" w:hAnsi="宋体" w:eastAsia="仿宋_GB2312"/>
          <w:bCs/>
          <w:sz w:val="32"/>
          <w:szCs w:val="32"/>
        </w:rPr>
        <w:t>由校社团工作部组织社团进行评选，</w:t>
      </w:r>
      <w:r>
        <w:rPr>
          <w:rFonts w:hint="eastAsia" w:ascii="仿宋_GB2312" w:hAnsi="宋体" w:eastAsia="仿宋_GB2312"/>
          <w:sz w:val="32"/>
          <w:szCs w:val="32"/>
        </w:rPr>
        <w:t>按照十佳社团评比细则总分排名评选，除“十佳社团”外前10名为优秀社团，评比结果报校团委评审、公示。</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9.</w:t>
      </w:r>
      <w:r>
        <w:rPr>
          <w:rFonts w:hint="eastAsia" w:ascii="仿宋_GB2312" w:hAnsi="宋体" w:eastAsia="仿宋_GB2312"/>
          <w:sz w:val="32"/>
          <w:szCs w:val="32"/>
        </w:rPr>
        <w:t xml:space="preserve"> 校共青团工作优秀宣传员、优秀志愿者的评选：</w:t>
      </w:r>
      <w:r>
        <w:rPr>
          <w:rFonts w:hint="eastAsia" w:ascii="仿宋_GB2312" w:hAnsi="宋体" w:eastAsia="仿宋_GB2312"/>
          <w:bCs/>
          <w:sz w:val="32"/>
          <w:szCs w:val="32"/>
        </w:rPr>
        <w:t>在认真总结的基础上，按照评比条件和名额，写出书面材料，由二级学院评选小组集体讨论，确定推荐对象，并填写个人呈报表，提出原始材料、数据报校团委组织评审。</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10.评审结果由校学生工作部（处）或校团委报学校审批。</w:t>
      </w:r>
    </w:p>
    <w:p>
      <w:pPr>
        <w:pageBreakBefore w:val="0"/>
        <w:kinsoku/>
        <w:overflowPunct/>
        <w:topLinePunct w:val="0"/>
        <w:bidi w:val="0"/>
        <w:spacing w:line="580" w:lineRule="exact"/>
        <w:ind w:firstLine="640" w:firstLineChars="200"/>
        <w:outlineLvl w:val="9"/>
        <w:rPr>
          <w:rFonts w:ascii="仿宋_GB2312" w:hAnsi="宋体" w:eastAsia="仿宋_GB2312"/>
          <w:bCs/>
          <w:sz w:val="32"/>
          <w:szCs w:val="32"/>
        </w:rPr>
      </w:pPr>
    </w:p>
    <w:p>
      <w:pPr>
        <w:pageBreakBefore w:val="0"/>
        <w:kinsoku/>
        <w:overflowPunct/>
        <w:topLinePunct w:val="0"/>
        <w:bidi w:val="0"/>
        <w:spacing w:line="580" w:lineRule="exact"/>
        <w:ind w:firstLine="643" w:firstLineChars="200"/>
        <w:jc w:val="center"/>
        <w:outlineLvl w:val="9"/>
        <w:rPr>
          <w:rFonts w:ascii="黑体" w:hAnsi="黑体" w:eastAsia="黑体"/>
          <w:b/>
          <w:sz w:val="32"/>
          <w:szCs w:val="32"/>
        </w:rPr>
      </w:pPr>
      <w:bookmarkStart w:id="480" w:name="_Toc23955_WPSOffice_Level1"/>
      <w:r>
        <w:rPr>
          <w:rFonts w:hint="eastAsia" w:ascii="黑体" w:hAnsi="黑体" w:eastAsia="黑体"/>
          <w:b/>
          <w:sz w:val="32"/>
          <w:szCs w:val="32"/>
        </w:rPr>
        <w:t>第七章  附  则</w:t>
      </w:r>
      <w:bookmarkEnd w:id="480"/>
    </w:p>
    <w:p>
      <w:pPr>
        <w:pageBreakBefore w:val="0"/>
        <w:kinsoku/>
        <w:overflowPunct/>
        <w:topLinePunct w:val="0"/>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sz w:val="32"/>
          <w:szCs w:val="32"/>
        </w:rPr>
        <w:t>第十五条</w:t>
      </w:r>
      <w:r>
        <w:rPr>
          <w:rFonts w:hint="eastAsia" w:ascii="仿宋_GB2312" w:hAnsi="宋体" w:eastAsia="仿宋_GB2312"/>
          <w:bCs/>
          <w:sz w:val="32"/>
          <w:szCs w:val="32"/>
        </w:rPr>
        <w:t xml:space="preserve">  本办法自2018年9月1日起在全校学生范围内施行。  </w:t>
      </w:r>
    </w:p>
    <w:p>
      <w:pPr>
        <w:pageBreakBefore w:val="0"/>
        <w:kinsoku/>
        <w:overflowPunct/>
        <w:topLinePunct w:val="0"/>
        <w:bidi w:val="0"/>
        <w:outlineLvl w:val="9"/>
        <w:rPr>
          <w:rFonts w:hint="eastAsia" w:ascii="仿宋_GB2312" w:hAnsi="宋体" w:eastAsia="仿宋_GB2312"/>
          <w:bCs/>
          <w:sz w:val="32"/>
          <w:szCs w:val="32"/>
        </w:rPr>
      </w:pPr>
      <w:r>
        <w:rPr>
          <w:rFonts w:hint="eastAsia" w:ascii="仿宋_GB2312" w:hAnsi="宋体" w:eastAsia="仿宋_GB2312"/>
          <w:b/>
          <w:sz w:val="32"/>
          <w:szCs w:val="32"/>
        </w:rPr>
        <w:t>第十六条</w:t>
      </w:r>
      <w:r>
        <w:rPr>
          <w:rFonts w:hint="eastAsia" w:ascii="仿宋_GB2312" w:hAnsi="宋体" w:eastAsia="仿宋_GB2312"/>
          <w:bCs/>
          <w:sz w:val="32"/>
          <w:szCs w:val="32"/>
        </w:rPr>
        <w:t xml:space="preserve">  本办法由校学生工作部（处）负责解释。</w:t>
      </w:r>
      <w:bookmarkEnd w:id="467"/>
      <w:bookmarkEnd w:id="468"/>
      <w:bookmarkEnd w:id="469"/>
      <w:bookmarkEnd w:id="470"/>
      <w:bookmarkEnd w:id="471"/>
      <w:bookmarkEnd w:id="472"/>
      <w:bookmarkEnd w:id="473"/>
      <w:bookmarkEnd w:id="474"/>
    </w:p>
    <w:p>
      <w:pPr>
        <w:pStyle w:val="3"/>
        <w:outlineLvl w:val="9"/>
      </w:pP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eastAsia" w:ascii="宋体" w:hAnsi="宋体"/>
          <w:b/>
          <w:bCs/>
          <w:color w:val="000000"/>
          <w:sz w:val="36"/>
          <w:szCs w:val="36"/>
          <w:lang w:val="en-US" w:eastAsia="zh-CN"/>
        </w:rPr>
      </w:pPr>
      <w:bookmarkStart w:id="481" w:name="_Toc534379510"/>
      <w:bookmarkStart w:id="482" w:name="_Toc5175"/>
      <w:bookmarkStart w:id="483" w:name="_Toc12391"/>
      <w:bookmarkStart w:id="484" w:name="_Toc20110"/>
      <w:bookmarkStart w:id="485" w:name="_Toc32461_WPSOffice_Level1"/>
      <w:bookmarkStart w:id="486" w:name="_Toc3254"/>
      <w:r>
        <w:rPr>
          <w:rFonts w:hint="eastAsia" w:ascii="宋体" w:hAnsi="宋体"/>
          <w:b/>
          <w:bCs/>
          <w:color w:val="000000"/>
          <w:sz w:val="36"/>
          <w:szCs w:val="36"/>
          <w:lang w:val="en-US" w:eastAsia="zh-CN"/>
        </w:rPr>
        <w:t>柳州职业技术学院家庭经济困难</w:t>
      </w:r>
      <w:bookmarkEnd w:id="481"/>
      <w:bookmarkStart w:id="487" w:name="_Toc534379511"/>
      <w:r>
        <w:rPr>
          <w:rFonts w:hint="eastAsia" w:ascii="宋体" w:hAnsi="宋体"/>
          <w:b/>
          <w:bCs/>
          <w:color w:val="000000"/>
          <w:sz w:val="36"/>
          <w:szCs w:val="36"/>
          <w:lang w:val="en-US" w:eastAsia="zh-CN"/>
        </w:rPr>
        <w:t>心理问题学生经济援助实施办法</w:t>
      </w:r>
      <w:bookmarkEnd w:id="482"/>
      <w:bookmarkEnd w:id="483"/>
      <w:bookmarkEnd w:id="484"/>
      <w:bookmarkEnd w:id="485"/>
      <w:bookmarkEnd w:id="486"/>
      <w:bookmarkEnd w:id="487"/>
    </w:p>
    <w:p>
      <w:pPr>
        <w:pStyle w:val="10"/>
        <w:pageBreakBefore w:val="0"/>
        <w:kinsoku/>
        <w:overflowPunct/>
        <w:topLinePunct w:val="0"/>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（柳职院学字〔2018〕53号）</w:t>
      </w:r>
    </w:p>
    <w:p>
      <w:pPr>
        <w:pageBreakBefore w:val="0"/>
        <w:kinsoku/>
        <w:overflowPunct/>
        <w:topLinePunct w:val="0"/>
        <w:bidi w:val="0"/>
        <w:spacing w:line="550" w:lineRule="exact"/>
        <w:jc w:val="center"/>
        <w:outlineLvl w:val="9"/>
        <w:rPr>
          <w:b/>
          <w:color w:val="000000"/>
          <w:sz w:val="36"/>
          <w:szCs w:val="36"/>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488" w:name="_Toc12896_WPSOffice_Level1"/>
      <w:r>
        <w:rPr>
          <w:rFonts w:hint="eastAsia" w:ascii="黑体" w:hAnsi="仿宋_GB2312" w:eastAsia="黑体" w:cs="仿宋_GB2312"/>
          <w:b/>
          <w:kern w:val="0"/>
          <w:sz w:val="32"/>
          <w:szCs w:val="32"/>
        </w:rPr>
        <w:t>第一章  总  则</w:t>
      </w:r>
      <w:bookmarkEnd w:id="488"/>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第一条 </w:t>
      </w:r>
      <w:r>
        <w:rPr>
          <w:rFonts w:hint="eastAsia" w:ascii="仿宋_GB2312" w:hAnsi="仿宋_GB2312" w:eastAsia="仿宋_GB2312" w:cs="仿宋_GB2312"/>
          <w:kern w:val="0"/>
          <w:sz w:val="32"/>
          <w:szCs w:val="32"/>
        </w:rPr>
        <w:t xml:space="preserve"> 为贯彻落实国家有关家庭经济困难学生资助政策，完善我校家庭经济困难心理问题学生的经济援助体系，帮助和鼓励该类学生克服困难、积极治疗、完成学业，结合我校实际，特制定本办法。</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第二条 </w:t>
      </w:r>
      <w:r>
        <w:rPr>
          <w:rFonts w:hint="eastAsia" w:ascii="仿宋_GB2312" w:hAnsi="仿宋_GB2312" w:eastAsia="仿宋_GB2312" w:cs="仿宋_GB2312"/>
          <w:kern w:val="0"/>
          <w:sz w:val="32"/>
          <w:szCs w:val="32"/>
        </w:rPr>
        <w:t xml:space="preserve"> 家庭经济困难心理问题学生经济援助主要用于学生在校期间出现严重心理问题需要治疗，但因家庭经济困难无法支付相关药费的情况。</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第三条 </w:t>
      </w:r>
      <w:r>
        <w:rPr>
          <w:rFonts w:hint="eastAsia" w:ascii="仿宋_GB2312" w:hAnsi="仿宋_GB2312" w:eastAsia="仿宋_GB2312" w:cs="仿宋_GB2312"/>
          <w:kern w:val="0"/>
          <w:sz w:val="32"/>
          <w:szCs w:val="32"/>
        </w:rPr>
        <w:t xml:space="preserve"> 家庭经济困难心理问题学生经济援助经费从我校教育事业收入总额中提取的助困资助经费支出。</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489" w:name="_Toc8920_WPSOffice_Level1"/>
      <w:r>
        <w:rPr>
          <w:rFonts w:hint="eastAsia" w:ascii="黑体" w:hAnsi="仿宋_GB2312" w:eastAsia="黑体" w:cs="仿宋_GB2312"/>
          <w:b/>
          <w:kern w:val="0"/>
          <w:sz w:val="32"/>
          <w:szCs w:val="32"/>
        </w:rPr>
        <w:t>第二章  组织机构</w:t>
      </w:r>
      <w:bookmarkEnd w:id="489"/>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第四条</w:t>
      </w:r>
      <w:r>
        <w:rPr>
          <w:rFonts w:hint="eastAsia" w:ascii="仿宋_GB2312" w:hAnsi="仿宋_GB2312" w:eastAsia="仿宋_GB2312" w:cs="仿宋_GB2312"/>
          <w:kern w:val="0"/>
          <w:sz w:val="32"/>
          <w:szCs w:val="32"/>
        </w:rPr>
        <w:t xml:space="preserve">  学校大学生心理健康教育与咨询中心，负责学校家庭经济困难心理问题学生经济援助实施办法的制定、修改以及最终评议审核。</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第五条</w:t>
      </w:r>
      <w:r>
        <w:rPr>
          <w:rFonts w:hint="eastAsia" w:ascii="仿宋_GB2312" w:hAnsi="仿宋_GB2312" w:eastAsia="仿宋_GB2312" w:cs="仿宋_GB2312"/>
          <w:kern w:val="0"/>
          <w:sz w:val="32"/>
          <w:szCs w:val="32"/>
        </w:rPr>
        <w:t xml:space="preserve">  学生资助管理中心具体负责家庭经济困难心理问题学生经济援助经费的发放工作。</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第六条</w:t>
      </w:r>
      <w:r>
        <w:rPr>
          <w:rFonts w:hint="eastAsia" w:ascii="仿宋_GB2312" w:hAnsi="仿宋_GB2312" w:eastAsia="仿宋_GB2312" w:cs="仿宋_GB2312"/>
          <w:kern w:val="0"/>
          <w:sz w:val="32"/>
          <w:szCs w:val="32"/>
        </w:rPr>
        <w:t xml:space="preserve">  二级学院以党总支书记（副书记）为组长、心理工作站站长、学生辅导员等担任成员的经济援助工作评审小组，负责本学院家庭经济困难心理问题学生经济援助的具体申报和初审工作。</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490" w:name="_Toc32011_WPSOffice_Level1"/>
      <w:r>
        <w:rPr>
          <w:rFonts w:hint="eastAsia" w:ascii="黑体" w:hAnsi="仿宋_GB2312" w:eastAsia="黑体" w:cs="仿宋_GB2312"/>
          <w:b/>
          <w:kern w:val="0"/>
          <w:sz w:val="32"/>
          <w:szCs w:val="32"/>
        </w:rPr>
        <w:t>第三章  家庭经济困难心理问题学生经济援助对象与条件</w:t>
      </w:r>
      <w:bookmarkEnd w:id="490"/>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第七条</w:t>
      </w:r>
      <w:r>
        <w:rPr>
          <w:rFonts w:hint="eastAsia" w:ascii="仿宋_GB2312" w:hAnsi="仿宋_GB2312" w:eastAsia="仿宋_GB2312" w:cs="仿宋_GB2312"/>
          <w:kern w:val="0"/>
          <w:sz w:val="32"/>
          <w:szCs w:val="32"/>
        </w:rPr>
        <w:t xml:space="preserve">  家庭经济困难心理问题学生经济援助对象（符合下列条件之一）:</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（一）当年被我校认定为家庭经济困难的在校生；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（二）家庭因重大自然灾害或变故等突发原因，造成家庭经济困难而难以维持心理问题治疗的学生；</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第八条</w:t>
      </w:r>
      <w:r>
        <w:rPr>
          <w:rFonts w:hint="eastAsia" w:ascii="仿宋_GB2312" w:hAnsi="仿宋_GB2312" w:eastAsia="仿宋_GB2312" w:cs="仿宋_GB2312"/>
          <w:kern w:val="0"/>
          <w:sz w:val="32"/>
          <w:szCs w:val="32"/>
        </w:rPr>
        <w:t xml:space="preserve">  申请家庭经济困难心理问题学生经济援助的基本条件：</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（一）热爱祖国，拥护中国共产党领导，遵纪守法，无违法违纪行为；</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（二）无不良嗜好，如抽烟、酗酒、赌博等, 无不良消费行为，无不良校园网贷等。</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第九条</w:t>
      </w:r>
      <w:r>
        <w:rPr>
          <w:rFonts w:hint="eastAsia" w:ascii="仿宋_GB2312" w:hAnsi="仿宋_GB2312" w:eastAsia="仿宋_GB2312" w:cs="仿宋_GB2312"/>
          <w:kern w:val="0"/>
          <w:sz w:val="32"/>
          <w:szCs w:val="32"/>
        </w:rPr>
        <w:t xml:space="preserve">  凡具有下列情况之一者，取消经济援助资格：</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1．违反国家法律者；</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2．生活铺张浪费、有高档消费行为、不良网贷等情况者；</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3．在申请经济援助过程中提供虚假材料者。</w:t>
      </w:r>
    </w:p>
    <w:p>
      <w:pPr>
        <w:pageBreakBefore w:val="0"/>
        <w:kinsoku/>
        <w:overflowPunct/>
        <w:topLinePunct w:val="0"/>
        <w:bidi w:val="0"/>
        <w:spacing w:line="550" w:lineRule="exact"/>
        <w:jc w:val="center"/>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491" w:name="_Toc17424_WPSOffice_Level1"/>
      <w:r>
        <w:rPr>
          <w:rFonts w:hint="eastAsia" w:ascii="黑体" w:hAnsi="仿宋_GB2312" w:eastAsia="黑体" w:cs="仿宋_GB2312"/>
          <w:b/>
          <w:kern w:val="0"/>
          <w:sz w:val="32"/>
          <w:szCs w:val="32"/>
        </w:rPr>
        <w:t>第四章  家庭经济困难心理问题学生经济援助额度</w:t>
      </w:r>
      <w:bookmarkEnd w:id="491"/>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第十条</w:t>
      </w:r>
      <w:r>
        <w:rPr>
          <w:rFonts w:hint="eastAsia" w:ascii="仿宋_GB2312" w:hAnsi="仿宋_GB2312" w:eastAsia="仿宋_GB2312" w:cs="仿宋_GB2312"/>
          <w:kern w:val="0"/>
          <w:sz w:val="32"/>
          <w:szCs w:val="32"/>
        </w:rPr>
        <w:t xml:space="preserve">  参考我校“学生特殊困难补助”2000元的额度，家庭经济困难心理问题学生经济援助额度定为每人每年2000元，在校三年最高可申请6000元。</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第十一条</w:t>
      </w:r>
      <w:r>
        <w:rPr>
          <w:rFonts w:hint="eastAsia" w:ascii="仿宋_GB2312" w:hAnsi="仿宋_GB2312" w:eastAsia="仿宋_GB2312" w:cs="仿宋_GB2312"/>
          <w:kern w:val="0"/>
          <w:sz w:val="32"/>
          <w:szCs w:val="32"/>
        </w:rPr>
        <w:t xml:space="preserve">  家庭经济困难心理问题学生经济援助采取“实报实销”的方式，该费用仅用于家庭经济困难心理问题学生在校就读期间治疗心理疾病的基础药费的报销。</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第十二条 </w:t>
      </w:r>
      <w:r>
        <w:rPr>
          <w:rFonts w:hint="eastAsia" w:ascii="仿宋_GB2312" w:hAnsi="仿宋_GB2312" w:eastAsia="仿宋_GB2312" w:cs="仿宋_GB2312"/>
          <w:kern w:val="0"/>
          <w:sz w:val="32"/>
          <w:szCs w:val="32"/>
        </w:rPr>
        <w:t xml:space="preserve"> 医保可报销的药物不在本经济援助范围内。以柳州市人力资源和社会保障局在“柳州市人力资源和社会保障网”公布的“医疗保险药品目录”为准，不在“医疗保险药品目录”之内的心理治疗的必要药品，方可向学校申请经济援助。</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spacing w:val="-6"/>
          <w:kern w:val="0"/>
          <w:sz w:val="32"/>
          <w:szCs w:val="32"/>
        </w:rPr>
      </w:pPr>
      <w:bookmarkStart w:id="492" w:name="_Toc9432_WPSOffice_Level1"/>
      <w:r>
        <w:rPr>
          <w:rFonts w:hint="eastAsia" w:ascii="黑体" w:hAnsi="仿宋_GB2312" w:eastAsia="黑体" w:cs="仿宋_GB2312"/>
          <w:b/>
          <w:spacing w:val="-6"/>
          <w:kern w:val="0"/>
          <w:sz w:val="32"/>
          <w:szCs w:val="32"/>
        </w:rPr>
        <w:t>第五章  家庭经济困难心理问题学生经济援助申请的时间与程序</w:t>
      </w:r>
      <w:bookmarkEnd w:id="492"/>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第十三条</w:t>
      </w:r>
      <w:r>
        <w:rPr>
          <w:rFonts w:hint="eastAsia" w:ascii="仿宋_GB2312" w:hAnsi="仿宋_GB2312" w:eastAsia="仿宋_GB2312" w:cs="仿宋_GB2312"/>
          <w:kern w:val="0"/>
          <w:sz w:val="32"/>
          <w:szCs w:val="32"/>
        </w:rPr>
        <w:t xml:space="preserve">  根据需要申请家庭经济困难心理问题学生经济援助的学生实际情况，由各二级学院审核该学生的家庭贫困证明材料，再上报学生工作处，由学生工作处心理中心和资助中心共同完成审核、报批等工作。</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第十四条</w:t>
      </w:r>
      <w:r>
        <w:rPr>
          <w:rFonts w:hint="eastAsia" w:ascii="仿宋_GB2312" w:hAnsi="仿宋_GB2312" w:eastAsia="仿宋_GB2312" w:cs="仿宋_GB2312"/>
          <w:kern w:val="0"/>
          <w:sz w:val="32"/>
          <w:szCs w:val="32"/>
        </w:rPr>
        <w:t xml:space="preserve">  药费报销程序</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（一）学生本人填写《柳州职业技术学院家庭经济困难心理问题学生经济援助申请表》，并向辅导员提交治疗心理疾病基础药费的正规发票。需跨年度申请经济援助的学生可每年申请一次。</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（二）二级学院初审</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辅导员审核后报二级学院书记（副书记）审核。</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2.二级学院审核通过后，报学生工作处审核。</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（三）学校审核</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大学生心理健康教育与咨询中心和学生资助管理中心最终审核，确定报销金额。</w:t>
      </w:r>
    </w:p>
    <w:p>
      <w:pPr>
        <w:pageBreakBefore w:val="0"/>
        <w:kinsoku/>
        <w:overflowPunct/>
        <w:topLinePunct w:val="0"/>
        <w:bidi w:val="0"/>
        <w:spacing w:line="550" w:lineRule="exact"/>
        <w:jc w:val="center"/>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493" w:name="_Toc31980_WPSOffice_Level1"/>
      <w:r>
        <w:rPr>
          <w:rFonts w:hint="eastAsia" w:ascii="黑体" w:hAnsi="仿宋_GB2312" w:eastAsia="黑体" w:cs="仿宋_GB2312"/>
          <w:b/>
          <w:kern w:val="0"/>
          <w:sz w:val="32"/>
          <w:szCs w:val="32"/>
        </w:rPr>
        <w:t>第六章  家庭经济困难心理问题学生经济援助金的发放</w:t>
      </w:r>
      <w:bookmarkEnd w:id="493"/>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第十五条</w:t>
      </w:r>
      <w:r>
        <w:rPr>
          <w:rFonts w:hint="eastAsia" w:ascii="仿宋_GB2312" w:hAnsi="仿宋_GB2312" w:eastAsia="仿宋_GB2312" w:cs="仿宋_GB2312"/>
          <w:kern w:val="0"/>
          <w:sz w:val="32"/>
          <w:szCs w:val="32"/>
        </w:rPr>
        <w:t xml:space="preserve">  学生资助管理中心及时将药物报销的援助经费发放至学生银行卡。</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494" w:name="_Toc29079_WPSOffice_Level1"/>
      <w:r>
        <w:rPr>
          <w:rFonts w:hint="eastAsia" w:ascii="黑体" w:hAnsi="仿宋_GB2312" w:eastAsia="黑体" w:cs="仿宋_GB2312"/>
          <w:b/>
          <w:kern w:val="0"/>
          <w:sz w:val="32"/>
          <w:szCs w:val="32"/>
        </w:rPr>
        <w:t>第七章  附则</w:t>
      </w:r>
      <w:bookmarkEnd w:id="494"/>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第十六条</w:t>
      </w:r>
      <w:r>
        <w:rPr>
          <w:rFonts w:hint="eastAsia" w:ascii="仿宋_GB2312" w:hAnsi="仿宋_GB2312" w:eastAsia="仿宋_GB2312" w:cs="仿宋_GB2312"/>
          <w:kern w:val="0"/>
          <w:sz w:val="32"/>
          <w:szCs w:val="32"/>
        </w:rPr>
        <w:t xml:space="preserve">  本办法自公布之日起施行。</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第十七条  </w:t>
      </w:r>
      <w:r>
        <w:rPr>
          <w:rFonts w:hint="eastAsia" w:ascii="仿宋_GB2312" w:hAnsi="仿宋_GB2312" w:eastAsia="仿宋_GB2312" w:cs="仿宋_GB2312"/>
          <w:kern w:val="0"/>
          <w:sz w:val="32"/>
          <w:szCs w:val="32"/>
        </w:rPr>
        <w:t>本办法由校学生工作部（处）负责解释。</w:t>
      </w:r>
    </w:p>
    <w:p>
      <w:pPr>
        <w:pageBreakBefore w:val="0"/>
        <w:kinsoku/>
        <w:overflowPunct/>
        <w:topLinePunct w:val="0"/>
        <w:bidi w:val="0"/>
        <w:outlineLvl w:val="9"/>
      </w:pPr>
      <w:r>
        <w:rPr>
          <w:rFonts w:ascii="仿宋_GB2312" w:hAnsi="仿宋_GB2312" w:eastAsia="仿宋_GB2312" w:cs="仿宋_GB2312"/>
          <w:kern w:val="0"/>
          <w:sz w:val="32"/>
          <w:szCs w:val="32"/>
          <w:lang w:bidi="ar"/>
        </w:rPr>
        <w:br w:type="page"/>
      </w: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eastAsia" w:ascii="宋体" w:hAnsi="宋体"/>
          <w:b/>
          <w:bCs/>
          <w:color w:val="000000"/>
          <w:sz w:val="36"/>
          <w:szCs w:val="36"/>
          <w:lang w:val="en-US" w:eastAsia="zh-CN"/>
        </w:rPr>
      </w:pPr>
      <w:bookmarkStart w:id="495" w:name="_Toc534379514"/>
      <w:bookmarkStart w:id="496" w:name="_Toc28623"/>
      <w:bookmarkStart w:id="497" w:name="_Toc20714"/>
      <w:bookmarkStart w:id="498" w:name="_Toc1939"/>
      <w:bookmarkStart w:id="499" w:name="_Toc11897"/>
      <w:bookmarkStart w:id="500" w:name="_Toc6223_WPSOffice_Level1"/>
      <w:r>
        <w:rPr>
          <w:rFonts w:hint="eastAsia" w:ascii="宋体" w:hAnsi="宋体"/>
          <w:b/>
          <w:bCs/>
          <w:color w:val="000000"/>
          <w:sz w:val="36"/>
          <w:szCs w:val="36"/>
          <w:lang w:val="en-US" w:eastAsia="zh-CN"/>
        </w:rPr>
        <w:t>柳州职业技术学院</w:t>
      </w:r>
      <w:bookmarkEnd w:id="495"/>
      <w:bookmarkStart w:id="501" w:name="_Toc534379515"/>
      <w:r>
        <w:rPr>
          <w:rFonts w:hint="eastAsia" w:ascii="宋体" w:hAnsi="宋体"/>
          <w:b/>
          <w:bCs/>
          <w:color w:val="000000"/>
          <w:sz w:val="36"/>
          <w:szCs w:val="36"/>
          <w:lang w:val="en-US" w:eastAsia="zh-CN"/>
        </w:rPr>
        <w:t>学生第二课堂活动管理办法</w:t>
      </w:r>
      <w:bookmarkEnd w:id="496"/>
      <w:bookmarkEnd w:id="497"/>
      <w:bookmarkEnd w:id="498"/>
      <w:bookmarkEnd w:id="499"/>
      <w:bookmarkEnd w:id="500"/>
      <w:bookmarkEnd w:id="501"/>
    </w:p>
    <w:p>
      <w:pPr>
        <w:pStyle w:val="10"/>
        <w:pageBreakBefore w:val="0"/>
        <w:kinsoku/>
        <w:overflowPunct/>
        <w:topLinePunct w:val="0"/>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（柳职院学字〔2018〕82号）</w:t>
      </w:r>
    </w:p>
    <w:p>
      <w:pPr>
        <w:pageBreakBefore w:val="0"/>
        <w:kinsoku/>
        <w:overflowPunct/>
        <w:topLinePunct w:val="0"/>
        <w:bidi w:val="0"/>
        <w:spacing w:line="360" w:lineRule="auto"/>
        <w:ind w:firstLine="482" w:firstLineChars="200"/>
        <w:jc w:val="center"/>
        <w:outlineLvl w:val="9"/>
        <w:rPr>
          <w:rFonts w:ascii="宋体" w:hAnsi="宋体" w:cs="华文宋体"/>
          <w:b/>
          <w:bCs/>
          <w:sz w:val="24"/>
        </w:rPr>
      </w:pP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为贯彻落实《中共中央、国务院关于深化教育改革全面推进素质教育的决定》，加强我校素质教育工作的管理，提高学生综合素质，根据学校实际情况，特制订本办法。</w:t>
      </w:r>
    </w:p>
    <w:p>
      <w:pPr>
        <w:pageBreakBefore w:val="0"/>
        <w:kinsoku/>
        <w:overflowPunct/>
        <w:topLinePunct w:val="0"/>
        <w:bidi w:val="0"/>
        <w:spacing w:line="550" w:lineRule="exact"/>
        <w:ind w:firstLine="643" w:firstLineChars="200"/>
        <w:outlineLvl w:val="9"/>
        <w:rPr>
          <w:rFonts w:ascii="黑体" w:hAnsi="黑体" w:eastAsia="黑体" w:cs="仿宋_GB2312"/>
          <w:b/>
          <w:kern w:val="0"/>
          <w:sz w:val="32"/>
          <w:szCs w:val="32"/>
        </w:rPr>
      </w:pPr>
      <w:bookmarkStart w:id="502" w:name="_Toc25520_WPSOffice_Level1"/>
      <w:r>
        <w:rPr>
          <w:rFonts w:hint="eastAsia" w:ascii="黑体" w:hAnsi="黑体" w:eastAsia="黑体" w:cs="仿宋_GB2312"/>
          <w:b/>
          <w:kern w:val="0"/>
          <w:sz w:val="32"/>
          <w:szCs w:val="32"/>
        </w:rPr>
        <w:t>一、指导思想</w:t>
      </w:r>
      <w:bookmarkEnd w:id="502"/>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以立德树人为指导，坚持以学生为本，贯彻“以服务为宗旨，以就业为导向，走产学研结合的发展道路”的职业教育方针，着眼于丰富校园文化生活，提升学生综合素质，满足学生的全面成长和职业生涯的可持续发展的需要，满足企业和社会对人才培养的要求。</w:t>
      </w:r>
    </w:p>
    <w:p>
      <w:pPr>
        <w:pageBreakBefore w:val="0"/>
        <w:kinsoku/>
        <w:overflowPunct/>
        <w:topLinePunct w:val="0"/>
        <w:bidi w:val="0"/>
        <w:spacing w:line="550" w:lineRule="exact"/>
        <w:ind w:firstLine="643" w:firstLineChars="200"/>
        <w:outlineLvl w:val="9"/>
        <w:rPr>
          <w:rFonts w:ascii="黑体" w:hAnsi="黑体" w:eastAsia="黑体" w:cs="仿宋_GB2312"/>
          <w:b/>
          <w:kern w:val="0"/>
          <w:sz w:val="32"/>
          <w:szCs w:val="32"/>
        </w:rPr>
      </w:pPr>
      <w:bookmarkStart w:id="503" w:name="_Toc6626_WPSOffice_Level1"/>
      <w:r>
        <w:rPr>
          <w:rFonts w:hint="eastAsia" w:ascii="黑体" w:hAnsi="黑体" w:eastAsia="黑体" w:cs="仿宋_GB2312"/>
          <w:b/>
          <w:kern w:val="0"/>
          <w:sz w:val="32"/>
          <w:szCs w:val="32"/>
        </w:rPr>
        <w:t>二、第二课堂活动的内容</w:t>
      </w:r>
      <w:bookmarkEnd w:id="503"/>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第二课堂活动是指：由学生工作部（处）、校团委、马克思主义学院、通识教育学院、各二级学院及学生会和各种学生团体有计划有组织的实施具有素质教育性质的活动课（项目），以及各级各类竞赛活动（即除第一课堂以外的所有课外活动）。主要包括非专业和专业两大类别共15项：（不包括第一课堂的课外学时教学活动，不包括选修课。）</w:t>
      </w:r>
    </w:p>
    <w:p>
      <w:pPr>
        <w:pageBreakBefore w:val="0"/>
        <w:kinsoku/>
        <w:overflowPunct/>
        <w:topLinePunct w:val="0"/>
        <w:bidi w:val="0"/>
        <w:spacing w:line="550" w:lineRule="exact"/>
        <w:ind w:firstLine="643" w:firstLineChars="200"/>
        <w:outlineLvl w:val="9"/>
        <w:rPr>
          <w:rFonts w:ascii="楷体_GB2312" w:hAnsi="仿宋_GB2312" w:eastAsia="楷体_GB2312" w:cs="仿宋_GB2312"/>
          <w:b/>
          <w:kern w:val="0"/>
          <w:sz w:val="32"/>
          <w:szCs w:val="32"/>
        </w:rPr>
      </w:pPr>
      <w:r>
        <w:rPr>
          <w:rFonts w:hint="eastAsia" w:ascii="楷体_GB2312" w:hAnsi="仿宋_GB2312" w:eastAsia="楷体_GB2312" w:cs="仿宋_GB2312"/>
          <w:b/>
          <w:kern w:val="0"/>
          <w:sz w:val="32"/>
          <w:szCs w:val="32"/>
        </w:rPr>
        <w:t>（一）非专业类</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1.思想政治教育与职业道德训练活动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2.就业指导类活动 </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3.心理健康教育活动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4.身体素质训练活动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5.语言文字运用能力训练活动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6.外语运用能力训练活动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7.数字运用能力训练活动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8.素质大讲堂开展的讲座、论坛</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9.社会实践与志愿服务活动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10.通用技能竞赛</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11.其他</w:t>
      </w:r>
    </w:p>
    <w:p>
      <w:pPr>
        <w:pageBreakBefore w:val="0"/>
        <w:kinsoku/>
        <w:overflowPunct/>
        <w:topLinePunct w:val="0"/>
        <w:bidi w:val="0"/>
        <w:spacing w:line="550" w:lineRule="exact"/>
        <w:ind w:firstLine="643" w:firstLineChars="200"/>
        <w:outlineLvl w:val="9"/>
        <w:rPr>
          <w:rFonts w:ascii="楷体_GB2312" w:hAnsi="仿宋_GB2312" w:eastAsia="楷体_GB2312" w:cs="仿宋_GB2312"/>
          <w:b/>
          <w:kern w:val="0"/>
          <w:sz w:val="32"/>
          <w:szCs w:val="32"/>
        </w:rPr>
      </w:pPr>
      <w:r>
        <w:rPr>
          <w:rFonts w:hint="eastAsia" w:ascii="楷体_GB2312" w:hAnsi="仿宋_GB2312" w:eastAsia="楷体_GB2312" w:cs="仿宋_GB2312"/>
          <w:b/>
          <w:kern w:val="0"/>
          <w:sz w:val="32"/>
          <w:szCs w:val="32"/>
        </w:rPr>
        <w:t>（二）专业类</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1.各类创新创业教育活动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2.各专业特色文化活动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3.专业技能竞赛</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4.其他</w:t>
      </w:r>
    </w:p>
    <w:p>
      <w:pPr>
        <w:pageBreakBefore w:val="0"/>
        <w:kinsoku/>
        <w:overflowPunct/>
        <w:topLinePunct w:val="0"/>
        <w:bidi w:val="0"/>
        <w:spacing w:line="550" w:lineRule="exact"/>
        <w:ind w:firstLine="643" w:firstLineChars="200"/>
        <w:outlineLvl w:val="9"/>
        <w:rPr>
          <w:rFonts w:ascii="黑体" w:hAnsi="黑体" w:eastAsia="黑体" w:cs="仿宋_GB2312"/>
          <w:b/>
          <w:kern w:val="0"/>
          <w:sz w:val="32"/>
          <w:szCs w:val="32"/>
        </w:rPr>
      </w:pPr>
      <w:bookmarkStart w:id="504" w:name="_Toc27005_WPSOffice_Level1"/>
      <w:r>
        <w:rPr>
          <w:rFonts w:hint="eastAsia" w:ascii="黑体" w:hAnsi="黑体" w:eastAsia="黑体" w:cs="仿宋_GB2312"/>
          <w:b/>
          <w:kern w:val="0"/>
          <w:sz w:val="32"/>
          <w:szCs w:val="32"/>
        </w:rPr>
        <w:t>三、第二课堂活动的成绩管理</w:t>
      </w:r>
      <w:bookmarkEnd w:id="504"/>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（一）学生第二课堂活动成绩主要作为对学生进行综合素质评定和评优、评先的重要依据，学生工作处和各二级学院必须将活动分成绩纳入学生综合素质评定和评优、评先指标。</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第二课堂活动分的管理通过学校第二课堂管理系统，采取实时登记活动分、分学期和学年统计活动分、二个学年累计活动分的方式进行管理。学生在学籍期间，大一、大二每学年需各累计60分以上活动分。学生在学籍期间累计活动分应达到120分以上。</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第二课堂活动分由活动组织者、活动指导老师或授课教师负责录入。每学年活动分累计≥60分（超过60分按60分计算），按百分制100分计入综合素质考评分，占综合素质考评分10%。每学年活动分累计&lt;60分，按实际活动分×100/60计入综合素质考评分，占综合素质考评分10%。</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学生在学籍期间累计活动分需达到120分，第二课堂活动成绩即记为合格（原则上要求其中包含4分创新创业活动分）。各二级学院每学年上报一次统计数据到学生工作部备案。学生在学籍期间累计活动分未达到120分者将影响其毕业证发放。</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（五）第二课堂活动分的认定标准</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学生每次参与各种素质教育活动的活动分认定按表1或表2进行。</w:t>
      </w:r>
    </w:p>
    <w:p>
      <w:pPr>
        <w:pageBreakBefore w:val="0"/>
        <w:kinsoku/>
        <w:overflowPunct/>
        <w:topLinePunct w:val="0"/>
        <w:bidi w:val="0"/>
        <w:spacing w:line="550" w:lineRule="exact"/>
        <w:ind w:firstLine="640" w:firstLineChars="200"/>
        <w:jc w:val="center"/>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表1：小、中型活动分认定标准</w:t>
      </w:r>
    </w:p>
    <w:tbl>
      <w:tblPr>
        <w:tblStyle w:val="14"/>
        <w:tblW w:w="87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90"/>
        <w:gridCol w:w="1256"/>
        <w:gridCol w:w="1109"/>
        <w:gridCol w:w="1065"/>
        <w:gridCol w:w="1134"/>
        <w:gridCol w:w="1134"/>
        <w:gridCol w:w="1134"/>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2046" w:type="dxa"/>
            <w:gridSpan w:val="2"/>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参与活动时间</w:t>
            </w:r>
          </w:p>
        </w:tc>
        <w:tc>
          <w:tcPr>
            <w:tcW w:w="1109" w:type="dxa"/>
            <w:noWrap w:val="0"/>
            <w:vAlign w:val="top"/>
          </w:tcPr>
          <w:p>
            <w:pPr>
              <w:pageBreakBefore w:val="0"/>
              <w:kinsoku/>
              <w:overflowPunct/>
              <w:topLinePunct w:val="0"/>
              <w:bidi w:val="0"/>
              <w:spacing w:line="340" w:lineRule="exact"/>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参与时间≤1小时</w:t>
            </w:r>
          </w:p>
        </w:tc>
        <w:tc>
          <w:tcPr>
            <w:tcW w:w="1065" w:type="dxa"/>
            <w:noWrap w:val="0"/>
            <w:vAlign w:val="top"/>
          </w:tcPr>
          <w:p>
            <w:pPr>
              <w:pageBreakBefore w:val="0"/>
              <w:kinsoku/>
              <w:overflowPunct/>
              <w:topLinePunct w:val="0"/>
              <w:bidi w:val="0"/>
              <w:spacing w:line="340" w:lineRule="exact"/>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1小时＜参与时间≤2小时</w:t>
            </w:r>
          </w:p>
        </w:tc>
        <w:tc>
          <w:tcPr>
            <w:tcW w:w="1134" w:type="dxa"/>
            <w:noWrap w:val="0"/>
            <w:vAlign w:val="top"/>
          </w:tcPr>
          <w:p>
            <w:pPr>
              <w:pageBreakBefore w:val="0"/>
              <w:kinsoku/>
              <w:overflowPunct/>
              <w:topLinePunct w:val="0"/>
              <w:bidi w:val="0"/>
              <w:spacing w:line="340" w:lineRule="exact"/>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2小时＜参与时间≤4小时</w:t>
            </w:r>
          </w:p>
        </w:tc>
        <w:tc>
          <w:tcPr>
            <w:tcW w:w="1134" w:type="dxa"/>
            <w:noWrap w:val="0"/>
            <w:vAlign w:val="top"/>
          </w:tcPr>
          <w:p>
            <w:pPr>
              <w:pageBreakBefore w:val="0"/>
              <w:kinsoku/>
              <w:overflowPunct/>
              <w:topLinePunct w:val="0"/>
              <w:bidi w:val="0"/>
              <w:spacing w:line="340" w:lineRule="exact"/>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4小时＜参与时间≤6小时</w:t>
            </w:r>
          </w:p>
        </w:tc>
        <w:tc>
          <w:tcPr>
            <w:tcW w:w="1134" w:type="dxa"/>
            <w:noWrap w:val="0"/>
            <w:vAlign w:val="top"/>
          </w:tcPr>
          <w:p>
            <w:pPr>
              <w:pageBreakBefore w:val="0"/>
              <w:kinsoku/>
              <w:overflowPunct/>
              <w:topLinePunct w:val="0"/>
              <w:bidi w:val="0"/>
              <w:spacing w:line="340" w:lineRule="exact"/>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6小时＜参与时间≤8小时</w:t>
            </w:r>
          </w:p>
        </w:tc>
        <w:tc>
          <w:tcPr>
            <w:tcW w:w="1112" w:type="dxa"/>
            <w:noWrap w:val="0"/>
            <w:vAlign w:val="top"/>
          </w:tcPr>
          <w:p>
            <w:pPr>
              <w:pageBreakBefore w:val="0"/>
              <w:kinsoku/>
              <w:overflowPunct/>
              <w:topLinePunct w:val="0"/>
              <w:bidi w:val="0"/>
              <w:spacing w:line="340" w:lineRule="exact"/>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参与时间＞8小时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790" w:type="dxa"/>
            <w:vMerge w:val="restart"/>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级别</w:t>
            </w:r>
          </w:p>
        </w:tc>
        <w:tc>
          <w:tcPr>
            <w:tcW w:w="1256"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班级</w:t>
            </w:r>
          </w:p>
        </w:tc>
        <w:tc>
          <w:tcPr>
            <w:tcW w:w="1109"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w:t>
            </w:r>
          </w:p>
        </w:tc>
        <w:tc>
          <w:tcPr>
            <w:tcW w:w="1065"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2</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4</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6</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7</w:t>
            </w:r>
          </w:p>
        </w:tc>
        <w:tc>
          <w:tcPr>
            <w:tcW w:w="1112"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790" w:type="dxa"/>
            <w:vMerge w:val="continue"/>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p>
        </w:tc>
        <w:tc>
          <w:tcPr>
            <w:tcW w:w="1256"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院级</w:t>
            </w:r>
          </w:p>
        </w:tc>
        <w:tc>
          <w:tcPr>
            <w:tcW w:w="1109"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2</w:t>
            </w:r>
          </w:p>
        </w:tc>
        <w:tc>
          <w:tcPr>
            <w:tcW w:w="1065"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3</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5</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7</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8</w:t>
            </w:r>
          </w:p>
        </w:tc>
        <w:tc>
          <w:tcPr>
            <w:tcW w:w="1112"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790" w:type="dxa"/>
            <w:vMerge w:val="continue"/>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p>
        </w:tc>
        <w:tc>
          <w:tcPr>
            <w:tcW w:w="1256"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校级</w:t>
            </w:r>
          </w:p>
        </w:tc>
        <w:tc>
          <w:tcPr>
            <w:tcW w:w="1109"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4</w:t>
            </w:r>
          </w:p>
        </w:tc>
        <w:tc>
          <w:tcPr>
            <w:tcW w:w="1065"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5</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7</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9</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10</w:t>
            </w:r>
          </w:p>
        </w:tc>
        <w:tc>
          <w:tcPr>
            <w:tcW w:w="1112"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790" w:type="dxa"/>
            <w:vMerge w:val="continue"/>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p>
        </w:tc>
        <w:tc>
          <w:tcPr>
            <w:tcW w:w="1256"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市级</w:t>
            </w:r>
          </w:p>
        </w:tc>
        <w:tc>
          <w:tcPr>
            <w:tcW w:w="1109"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5</w:t>
            </w:r>
          </w:p>
        </w:tc>
        <w:tc>
          <w:tcPr>
            <w:tcW w:w="1065"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6</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8</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10</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11</w:t>
            </w:r>
          </w:p>
        </w:tc>
        <w:tc>
          <w:tcPr>
            <w:tcW w:w="1112"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790" w:type="dxa"/>
            <w:vMerge w:val="continue"/>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p>
        </w:tc>
        <w:tc>
          <w:tcPr>
            <w:tcW w:w="1256"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区级</w:t>
            </w:r>
          </w:p>
        </w:tc>
        <w:tc>
          <w:tcPr>
            <w:tcW w:w="1109"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7</w:t>
            </w:r>
          </w:p>
        </w:tc>
        <w:tc>
          <w:tcPr>
            <w:tcW w:w="1065"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8</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10</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12</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13</w:t>
            </w:r>
          </w:p>
        </w:tc>
        <w:tc>
          <w:tcPr>
            <w:tcW w:w="1112"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790" w:type="dxa"/>
            <w:vMerge w:val="continue"/>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p>
        </w:tc>
        <w:tc>
          <w:tcPr>
            <w:tcW w:w="1256"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1"/>
                <w:szCs w:val="21"/>
              </w:rPr>
            </w:pPr>
            <w:r>
              <w:rPr>
                <w:rFonts w:hint="eastAsia" w:ascii="仿宋_GB2312" w:hAnsi="宋体" w:eastAsia="仿宋_GB2312" w:cs="华文宋体"/>
                <w:bCs/>
                <w:sz w:val="21"/>
                <w:szCs w:val="21"/>
              </w:rPr>
              <w:t>国家级</w:t>
            </w:r>
          </w:p>
        </w:tc>
        <w:tc>
          <w:tcPr>
            <w:tcW w:w="1109"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9</w:t>
            </w:r>
          </w:p>
        </w:tc>
        <w:tc>
          <w:tcPr>
            <w:tcW w:w="1065"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10</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12</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14</w:t>
            </w:r>
          </w:p>
        </w:tc>
        <w:tc>
          <w:tcPr>
            <w:tcW w:w="1134"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15</w:t>
            </w:r>
          </w:p>
        </w:tc>
        <w:tc>
          <w:tcPr>
            <w:tcW w:w="1112" w:type="dxa"/>
            <w:noWrap w:val="0"/>
            <w:vAlign w:val="center"/>
          </w:tcPr>
          <w:p>
            <w:pPr>
              <w:pageBreakBefore w:val="0"/>
              <w:kinsoku/>
              <w:overflowPunct/>
              <w:topLinePunct w:val="0"/>
              <w:bidi w:val="0"/>
              <w:jc w:val="center"/>
              <w:outlineLvl w:val="9"/>
              <w:rPr>
                <w:rFonts w:ascii="仿宋_GB2312" w:hAnsi="宋体" w:eastAsia="仿宋_GB2312" w:cs="宋体"/>
                <w:color w:val="000000"/>
                <w:sz w:val="21"/>
                <w:szCs w:val="21"/>
              </w:rPr>
            </w:pPr>
            <w:r>
              <w:rPr>
                <w:rFonts w:hint="eastAsia" w:ascii="仿宋_GB2312" w:hAnsi="宋体" w:eastAsia="仿宋_GB2312"/>
                <w:color w:val="000000"/>
                <w:sz w:val="21"/>
                <w:szCs w:val="21"/>
              </w:rPr>
              <w:t>16</w:t>
            </w:r>
          </w:p>
        </w:tc>
      </w:tr>
    </w:tbl>
    <w:p>
      <w:pPr>
        <w:pageBreakBefore w:val="0"/>
        <w:kinsoku/>
        <w:overflowPunct/>
        <w:topLinePunct w:val="0"/>
        <w:bidi w:val="0"/>
        <w:spacing w:line="550" w:lineRule="exact"/>
        <w:ind w:firstLine="640" w:firstLineChars="200"/>
        <w:jc w:val="center"/>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表2：大型活动分认定标准</w:t>
      </w:r>
    </w:p>
    <w:tbl>
      <w:tblPr>
        <w:tblStyle w:val="14"/>
        <w:tblW w:w="8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277"/>
        <w:gridCol w:w="1192"/>
        <w:gridCol w:w="1671"/>
        <w:gridCol w:w="4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2469" w:type="dxa"/>
            <w:gridSpan w:val="2"/>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参加活动时间</w:t>
            </w:r>
          </w:p>
        </w:tc>
        <w:tc>
          <w:tcPr>
            <w:tcW w:w="1671"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活动计分</w:t>
            </w:r>
          </w:p>
        </w:tc>
        <w:tc>
          <w:tcPr>
            <w:tcW w:w="4612"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1277" w:type="dxa"/>
            <w:vMerge w:val="restart"/>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活动类型</w:t>
            </w:r>
          </w:p>
        </w:tc>
        <w:tc>
          <w:tcPr>
            <w:tcW w:w="1192"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非专业</w:t>
            </w:r>
          </w:p>
        </w:tc>
        <w:tc>
          <w:tcPr>
            <w:tcW w:w="1671"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20</w:t>
            </w:r>
          </w:p>
        </w:tc>
        <w:tc>
          <w:tcPr>
            <w:tcW w:w="4612" w:type="dxa"/>
            <w:noWrap w:val="0"/>
            <w:vAlign w:val="center"/>
          </w:tcPr>
          <w:p>
            <w:pPr>
              <w:pageBreakBefore w:val="0"/>
              <w:kinsoku/>
              <w:overflowPunct/>
              <w:topLinePunct w:val="0"/>
              <w:bidi w:val="0"/>
              <w:spacing w:line="340" w:lineRule="exact"/>
              <w:jc w:val="left"/>
              <w:outlineLvl w:val="9"/>
              <w:rPr>
                <w:rFonts w:ascii="仿宋_GB2312" w:hAnsi="宋体" w:eastAsia="仿宋_GB2312" w:cs="华文宋体"/>
                <w:bCs/>
                <w:sz w:val="24"/>
              </w:rPr>
            </w:pPr>
            <w:r>
              <w:rPr>
                <w:rFonts w:hint="eastAsia" w:ascii="仿宋_GB2312" w:hAnsi="宋体" w:eastAsia="仿宋_GB2312" w:cs="华文宋体"/>
                <w:bCs/>
                <w:sz w:val="24"/>
              </w:rPr>
              <w:t>大型学生团体活动（例如团体操、晚会训练等）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1277" w:type="dxa"/>
            <w:vMerge w:val="continue"/>
            <w:noWrap w:val="0"/>
            <w:vAlign w:val="top"/>
          </w:tcPr>
          <w:p>
            <w:pPr>
              <w:pageBreakBefore w:val="0"/>
              <w:kinsoku/>
              <w:overflowPunct/>
              <w:topLinePunct w:val="0"/>
              <w:bidi w:val="0"/>
              <w:spacing w:line="360" w:lineRule="auto"/>
              <w:outlineLvl w:val="9"/>
              <w:rPr>
                <w:rFonts w:ascii="仿宋_GB2312" w:hAnsi="宋体" w:eastAsia="仿宋_GB2312" w:cs="华文宋体"/>
                <w:bCs/>
                <w:sz w:val="24"/>
              </w:rPr>
            </w:pPr>
          </w:p>
        </w:tc>
        <w:tc>
          <w:tcPr>
            <w:tcW w:w="1192"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专业</w:t>
            </w:r>
          </w:p>
        </w:tc>
        <w:tc>
          <w:tcPr>
            <w:tcW w:w="1671" w:type="dxa"/>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25</w:t>
            </w:r>
          </w:p>
        </w:tc>
        <w:tc>
          <w:tcPr>
            <w:tcW w:w="4612" w:type="dxa"/>
            <w:noWrap w:val="0"/>
            <w:vAlign w:val="center"/>
          </w:tcPr>
          <w:p>
            <w:pPr>
              <w:pageBreakBefore w:val="0"/>
              <w:kinsoku/>
              <w:overflowPunct/>
              <w:topLinePunct w:val="0"/>
              <w:bidi w:val="0"/>
              <w:spacing w:line="360" w:lineRule="auto"/>
              <w:jc w:val="left"/>
              <w:outlineLvl w:val="9"/>
              <w:rPr>
                <w:rFonts w:ascii="仿宋_GB2312" w:hAnsi="宋体" w:eastAsia="仿宋_GB2312" w:cs="华文宋体"/>
                <w:bCs/>
                <w:sz w:val="24"/>
              </w:rPr>
            </w:pPr>
            <w:r>
              <w:rPr>
                <w:rFonts w:hint="eastAsia" w:ascii="仿宋_GB2312" w:hAnsi="宋体" w:eastAsia="仿宋_GB2312" w:cs="华文宋体"/>
                <w:bCs/>
                <w:sz w:val="24"/>
              </w:rPr>
              <w:t>专业技能训练等</w:t>
            </w:r>
          </w:p>
        </w:tc>
      </w:tr>
    </w:tbl>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 学生每次参加各级各类竞赛的活动分认定按表3、表4进行。</w:t>
      </w:r>
    </w:p>
    <w:p>
      <w:pPr>
        <w:pageBreakBefore w:val="0"/>
        <w:kinsoku/>
        <w:overflowPunct/>
        <w:topLinePunct w:val="0"/>
        <w:bidi w:val="0"/>
        <w:spacing w:line="550" w:lineRule="exact"/>
        <w:ind w:firstLine="640" w:firstLineChars="200"/>
        <w:jc w:val="center"/>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表3：专业技能赛活动分认定标准</w:t>
      </w:r>
    </w:p>
    <w:tbl>
      <w:tblPr>
        <w:tblStyle w:val="14"/>
        <w:tblW w:w="91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519"/>
        <w:gridCol w:w="5527"/>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151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
                <w:bCs/>
                <w:sz w:val="24"/>
              </w:rPr>
            </w:pPr>
            <w:r>
              <w:rPr>
                <w:rFonts w:hint="eastAsia" w:ascii="仿宋_GB2312" w:hAnsi="宋体" w:eastAsia="仿宋_GB2312" w:cs="华文宋体"/>
                <w:b/>
                <w:bCs/>
                <w:sz w:val="24"/>
              </w:rPr>
              <w:t>竞赛项目</w:t>
            </w:r>
          </w:p>
          <w:p>
            <w:pPr>
              <w:pageBreakBefore w:val="0"/>
              <w:kinsoku/>
              <w:overflowPunct/>
              <w:topLinePunct w:val="0"/>
              <w:bidi w:val="0"/>
              <w:spacing w:line="340" w:lineRule="exact"/>
              <w:jc w:val="center"/>
              <w:outlineLvl w:val="9"/>
              <w:rPr>
                <w:rFonts w:ascii="仿宋_GB2312" w:hAnsi="宋体" w:eastAsia="仿宋_GB2312" w:cs="华文宋体"/>
                <w:b/>
                <w:bCs/>
                <w:sz w:val="24"/>
              </w:rPr>
            </w:pPr>
            <w:r>
              <w:rPr>
                <w:rFonts w:hint="eastAsia" w:ascii="仿宋_GB2312" w:hAnsi="宋体" w:eastAsia="仿宋_GB2312" w:cs="华文宋体"/>
                <w:b/>
                <w:bCs/>
                <w:sz w:val="24"/>
              </w:rPr>
              <w:t>类别</w:t>
            </w:r>
          </w:p>
        </w:tc>
        <w:tc>
          <w:tcPr>
            <w:tcW w:w="552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
                <w:bCs/>
                <w:sz w:val="24"/>
              </w:rPr>
            </w:pPr>
            <w:r>
              <w:rPr>
                <w:rFonts w:hint="eastAsia" w:ascii="仿宋_GB2312" w:hAnsi="宋体" w:eastAsia="仿宋_GB2312" w:cs="华文宋体"/>
                <w:b/>
                <w:bCs/>
                <w:sz w:val="24"/>
              </w:rPr>
              <w:t>竞赛项目</w:t>
            </w:r>
          </w:p>
        </w:tc>
        <w:tc>
          <w:tcPr>
            <w:tcW w:w="211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
                <w:bCs/>
                <w:sz w:val="24"/>
              </w:rPr>
            </w:pPr>
            <w:r>
              <w:rPr>
                <w:rFonts w:hint="eastAsia" w:ascii="仿宋_GB2312" w:hAnsi="宋体" w:eastAsia="仿宋_GB2312" w:cs="华文宋体"/>
                <w:b/>
                <w:bCs/>
                <w:sz w:val="24"/>
              </w:rPr>
              <w:t>参加竞赛活动分</w:t>
            </w:r>
          </w:p>
          <w:p>
            <w:pPr>
              <w:pageBreakBefore w:val="0"/>
              <w:kinsoku/>
              <w:overflowPunct/>
              <w:topLinePunct w:val="0"/>
              <w:bidi w:val="0"/>
              <w:spacing w:line="340" w:lineRule="exact"/>
              <w:jc w:val="center"/>
              <w:outlineLvl w:val="9"/>
              <w:rPr>
                <w:rFonts w:ascii="仿宋_GB2312" w:hAnsi="宋体" w:eastAsia="仿宋_GB2312" w:cs="华文宋体"/>
                <w:b/>
                <w:bCs/>
                <w:sz w:val="24"/>
              </w:rPr>
            </w:pPr>
            <w:r>
              <w:rPr>
                <w:rFonts w:hint="eastAsia" w:ascii="仿宋_GB2312" w:hAnsi="宋体" w:eastAsia="仿宋_GB2312" w:cs="华文宋体"/>
                <w:b/>
                <w:bCs/>
                <w:sz w:val="24"/>
              </w:rPr>
              <w:t>（每次）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151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A类</w:t>
            </w:r>
          </w:p>
        </w:tc>
        <w:tc>
          <w:tcPr>
            <w:tcW w:w="552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教育部主办的全国职业院校技能大赛（高职组）</w:t>
            </w:r>
          </w:p>
        </w:tc>
        <w:tc>
          <w:tcPr>
            <w:tcW w:w="211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151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B类</w:t>
            </w:r>
          </w:p>
        </w:tc>
        <w:tc>
          <w:tcPr>
            <w:tcW w:w="552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教育部主办的国家“质量工程”资助竞赛项目</w:t>
            </w:r>
          </w:p>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广西教育厅主办的广西高职院校技能大赛</w:t>
            </w:r>
          </w:p>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国家级行业协会主办的专业技能竞赛</w:t>
            </w:r>
          </w:p>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全国专业教学指导委员会主办的专业技能竞赛</w:t>
            </w:r>
          </w:p>
        </w:tc>
        <w:tc>
          <w:tcPr>
            <w:tcW w:w="211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151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C类</w:t>
            </w:r>
          </w:p>
        </w:tc>
        <w:tc>
          <w:tcPr>
            <w:tcW w:w="552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国家级行业协会下属分会主办的专业技能竞赛</w:t>
            </w:r>
          </w:p>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全国专业教学指导委员会下属分会主办的专业技能竞赛</w:t>
            </w:r>
          </w:p>
        </w:tc>
        <w:tc>
          <w:tcPr>
            <w:tcW w:w="211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151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D类</w:t>
            </w:r>
          </w:p>
        </w:tc>
        <w:tc>
          <w:tcPr>
            <w:tcW w:w="552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柳州市举办的专业技能竞赛</w:t>
            </w:r>
          </w:p>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企业主办的技能竞赛</w:t>
            </w:r>
          </w:p>
        </w:tc>
        <w:tc>
          <w:tcPr>
            <w:tcW w:w="211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151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E类</w:t>
            </w:r>
          </w:p>
        </w:tc>
        <w:tc>
          <w:tcPr>
            <w:tcW w:w="552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outlineLvl w:val="9"/>
              <w:rPr>
                <w:rFonts w:ascii="仿宋_GB2312" w:hAnsi="宋体" w:eastAsia="仿宋_GB2312" w:cs="华文宋体"/>
                <w:bCs/>
                <w:sz w:val="24"/>
              </w:rPr>
            </w:pPr>
            <w:r>
              <w:rPr>
                <w:rFonts w:hint="eastAsia" w:ascii="仿宋_GB2312" w:hAnsi="宋体" w:eastAsia="仿宋_GB2312" w:cs="华文宋体"/>
                <w:bCs/>
                <w:sz w:val="24"/>
              </w:rPr>
              <w:t>学校主办的职业技能竞赛</w:t>
            </w:r>
          </w:p>
        </w:tc>
        <w:tc>
          <w:tcPr>
            <w:tcW w:w="211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40" w:lineRule="exact"/>
              <w:jc w:val="center"/>
              <w:outlineLvl w:val="9"/>
              <w:rPr>
                <w:rFonts w:ascii="仿宋_GB2312" w:hAnsi="宋体" w:eastAsia="仿宋_GB2312" w:cs="华文宋体"/>
                <w:bCs/>
                <w:sz w:val="24"/>
              </w:rPr>
            </w:pPr>
            <w:r>
              <w:rPr>
                <w:rFonts w:hint="eastAsia" w:ascii="仿宋_GB2312" w:hAnsi="宋体" w:eastAsia="仿宋_GB2312" w:cs="华文宋体"/>
                <w:bCs/>
                <w:sz w:val="24"/>
              </w:rPr>
              <w:t>8</w:t>
            </w:r>
          </w:p>
        </w:tc>
      </w:tr>
    </w:tbl>
    <w:p>
      <w:pPr>
        <w:pageBreakBefore w:val="0"/>
        <w:kinsoku/>
        <w:overflowPunct/>
        <w:topLinePunct w:val="0"/>
        <w:bidi w:val="0"/>
        <w:spacing w:line="550" w:lineRule="exact"/>
        <w:ind w:firstLine="640" w:firstLineChars="200"/>
        <w:jc w:val="center"/>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表4：通用技能竞赛活动分认定标准</w:t>
      </w:r>
    </w:p>
    <w:tbl>
      <w:tblPr>
        <w:tblStyle w:val="14"/>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2"/>
        <w:gridCol w:w="5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
                <w:bCs/>
                <w:sz w:val="24"/>
              </w:rPr>
            </w:pPr>
            <w:r>
              <w:rPr>
                <w:rFonts w:hint="eastAsia" w:ascii="仿宋_GB2312" w:hAnsi="宋体" w:eastAsia="仿宋_GB2312" w:cs="华文宋体"/>
                <w:b/>
                <w:bCs/>
                <w:sz w:val="24"/>
              </w:rPr>
              <w:t>竞赛项目类别</w:t>
            </w:r>
          </w:p>
        </w:tc>
        <w:tc>
          <w:tcPr>
            <w:tcW w:w="55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
                <w:bCs/>
                <w:sz w:val="24"/>
              </w:rPr>
            </w:pPr>
            <w:r>
              <w:rPr>
                <w:rFonts w:hint="eastAsia" w:ascii="仿宋_GB2312" w:hAnsi="宋体" w:eastAsia="仿宋_GB2312" w:cs="华文宋体"/>
                <w:b/>
                <w:bCs/>
                <w:sz w:val="24"/>
              </w:rPr>
              <w:t>参加竞赛活动分（每次）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国家级</w:t>
            </w:r>
          </w:p>
        </w:tc>
        <w:tc>
          <w:tcPr>
            <w:tcW w:w="55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区级</w:t>
            </w:r>
          </w:p>
        </w:tc>
        <w:tc>
          <w:tcPr>
            <w:tcW w:w="55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市级</w:t>
            </w:r>
          </w:p>
        </w:tc>
        <w:tc>
          <w:tcPr>
            <w:tcW w:w="55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校级</w:t>
            </w:r>
          </w:p>
        </w:tc>
        <w:tc>
          <w:tcPr>
            <w:tcW w:w="55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5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院级</w:t>
            </w:r>
          </w:p>
        </w:tc>
        <w:tc>
          <w:tcPr>
            <w:tcW w:w="55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outlineLvl w:val="9"/>
              <w:rPr>
                <w:rFonts w:ascii="仿宋_GB2312" w:hAnsi="宋体" w:eastAsia="仿宋_GB2312" w:cs="华文宋体"/>
                <w:bCs/>
                <w:sz w:val="24"/>
              </w:rPr>
            </w:pPr>
            <w:r>
              <w:rPr>
                <w:rFonts w:hint="eastAsia" w:ascii="仿宋_GB2312" w:hAnsi="宋体" w:eastAsia="仿宋_GB2312" w:cs="华文宋体"/>
                <w:bCs/>
                <w:sz w:val="24"/>
              </w:rPr>
              <w:t>8</w:t>
            </w:r>
          </w:p>
        </w:tc>
      </w:tr>
    </w:tbl>
    <w:p>
      <w:pPr>
        <w:pageBreakBefore w:val="0"/>
        <w:kinsoku/>
        <w:overflowPunct/>
        <w:topLinePunct w:val="0"/>
        <w:bidi w:val="0"/>
        <w:spacing w:line="360" w:lineRule="auto"/>
        <w:ind w:firstLine="480" w:firstLineChars="200"/>
        <w:outlineLvl w:val="9"/>
        <w:rPr>
          <w:rFonts w:ascii="仿宋_GB2312" w:hAnsi="宋体" w:eastAsia="仿宋_GB2312" w:cs="华文宋体"/>
          <w:bCs/>
          <w:sz w:val="24"/>
        </w:rPr>
      </w:pPr>
      <w:r>
        <w:rPr>
          <w:rFonts w:hint="eastAsia" w:ascii="仿宋_GB2312" w:hAnsi="宋体" w:eastAsia="仿宋_GB2312" w:cs="华文宋体"/>
          <w:bCs/>
          <w:sz w:val="24"/>
        </w:rPr>
        <w:t>备注：</w:t>
      </w:r>
    </w:p>
    <w:p>
      <w:pPr>
        <w:pageBreakBefore w:val="0"/>
        <w:kinsoku/>
        <w:overflowPunct/>
        <w:topLinePunct w:val="0"/>
        <w:bidi w:val="0"/>
        <w:spacing w:line="360" w:lineRule="auto"/>
        <w:ind w:left="480"/>
        <w:outlineLvl w:val="9"/>
        <w:rPr>
          <w:rFonts w:ascii="仿宋_GB2312" w:hAnsi="宋体" w:eastAsia="仿宋_GB2312" w:cs="华文宋体"/>
          <w:bCs/>
          <w:sz w:val="24"/>
        </w:rPr>
      </w:pPr>
      <w:r>
        <w:rPr>
          <w:rFonts w:hint="eastAsia" w:ascii="仿宋_GB2312" w:hAnsi="宋体" w:eastAsia="仿宋_GB2312" w:cs="华文宋体"/>
          <w:bCs/>
          <w:sz w:val="24"/>
        </w:rPr>
        <w:t>①竞赛经选拔晋级时只按最高项记活动分。竞赛项目的类别如无法明确对应以上类别，由学生工作处、教务与实训管理处根据赛事实际情况组织相关人员审核确定。</w:t>
      </w:r>
    </w:p>
    <w:p>
      <w:pPr>
        <w:pageBreakBefore w:val="0"/>
        <w:kinsoku/>
        <w:overflowPunct/>
        <w:topLinePunct w:val="0"/>
        <w:bidi w:val="0"/>
        <w:spacing w:line="360" w:lineRule="auto"/>
        <w:ind w:firstLine="480" w:firstLineChars="200"/>
        <w:outlineLvl w:val="9"/>
        <w:rPr>
          <w:rFonts w:ascii="仿宋_GB2312" w:hAnsi="宋体" w:eastAsia="仿宋_GB2312" w:cs="华文宋体"/>
          <w:bCs/>
          <w:sz w:val="24"/>
        </w:rPr>
      </w:pPr>
      <w:r>
        <w:rPr>
          <w:rFonts w:hint="eastAsia" w:ascii="仿宋_GB2312" w:hAnsi="宋体" w:eastAsia="仿宋_GB2312" w:cs="华文宋体"/>
          <w:bCs/>
          <w:sz w:val="24"/>
        </w:rPr>
        <w:t>②活动分于活动结束后一周内录入，一次活动一录入。</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 素质教育活动主要指，</w:t>
      </w:r>
      <w:r>
        <w:rPr>
          <w:rFonts w:ascii="仿宋_GB2312" w:hAnsi="仿宋_GB2312" w:eastAsia="仿宋_GB2312" w:cs="仿宋_GB2312"/>
          <w:kern w:val="0"/>
          <w:sz w:val="32"/>
          <w:szCs w:val="32"/>
        </w:rPr>
        <w:t>为实现国家教育方针规定的目标，着眼于受教育者群体和社会长远发展的要求，以面向全体学生、全面提高学生的基本素质为根本目的，以注重开发受教育者的潜能、促进受教育者德、智、体诸方面生动活泼地发展为基本特征的</w:t>
      </w:r>
      <w:r>
        <w:rPr>
          <w:rFonts w:hint="eastAsia" w:ascii="仿宋_GB2312" w:hAnsi="仿宋_GB2312" w:eastAsia="仿宋_GB2312" w:cs="仿宋_GB2312"/>
          <w:kern w:val="0"/>
          <w:sz w:val="32"/>
          <w:szCs w:val="32"/>
        </w:rPr>
        <w:t>教育活动。</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各类竞赛主要指，国、区、市、校、二级学院举办通用技能竞赛、专业技能赛等。</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素质教育活动得分者是包括组织活动的学生、参加活动的学生。竞赛得分者主要是参赛学生。</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r>
        <w:rPr>
          <w:rFonts w:ascii="仿宋_GB2312" w:hAnsi="仿宋_GB2312" w:eastAsia="仿宋_GB2312" w:cs="仿宋_GB2312"/>
          <w:kern w:val="0"/>
          <w:sz w:val="32"/>
          <w:szCs w:val="32"/>
        </w:rPr>
        <w:t>.学生在</w:t>
      </w:r>
      <w:r>
        <w:rPr>
          <w:rFonts w:hint="eastAsia" w:ascii="仿宋_GB2312" w:hAnsi="仿宋_GB2312" w:eastAsia="仿宋_GB2312" w:cs="仿宋_GB2312"/>
          <w:kern w:val="0"/>
          <w:sz w:val="32"/>
          <w:szCs w:val="32"/>
        </w:rPr>
        <w:t>职业素养实习</w:t>
      </w:r>
      <w:r>
        <w:rPr>
          <w:rFonts w:ascii="仿宋_GB2312" w:hAnsi="仿宋_GB2312" w:eastAsia="仿宋_GB2312" w:cs="仿宋_GB2312"/>
          <w:kern w:val="0"/>
          <w:sz w:val="32"/>
          <w:szCs w:val="32"/>
        </w:rPr>
        <w:t>期间</w:t>
      </w:r>
      <w:r>
        <w:rPr>
          <w:rFonts w:hint="eastAsia" w:ascii="仿宋_GB2312" w:hAnsi="仿宋_GB2312" w:eastAsia="仿宋_GB2312" w:cs="仿宋_GB2312"/>
          <w:kern w:val="0"/>
          <w:sz w:val="32"/>
          <w:szCs w:val="32"/>
        </w:rPr>
        <w:t>（参看《高职专业（大专）人才培养方案》）</w:t>
      </w:r>
      <w:r>
        <w:rPr>
          <w:rFonts w:ascii="仿宋_GB2312" w:hAnsi="仿宋_GB2312" w:eastAsia="仿宋_GB2312" w:cs="仿宋_GB2312"/>
          <w:kern w:val="0"/>
          <w:sz w:val="32"/>
          <w:szCs w:val="32"/>
        </w:rPr>
        <w:t>，积极参加实习单位组织的活动，能把所学到的知识和技能用到实习实践中，表现良好，得到实习单位的认可，</w:t>
      </w:r>
      <w:r>
        <w:rPr>
          <w:rFonts w:hint="eastAsia" w:ascii="仿宋_GB2312" w:hAnsi="仿宋_GB2312" w:eastAsia="仿宋_GB2312" w:cs="仿宋_GB2312"/>
          <w:kern w:val="0"/>
          <w:sz w:val="32"/>
          <w:szCs w:val="32"/>
        </w:rPr>
        <w:t>可申请活动分免修认定。免修活动分计算标准2分/周，按照具体实习周数计算</w:t>
      </w:r>
      <w:r>
        <w:rPr>
          <w:rFonts w:ascii="仿宋_GB2312" w:hAnsi="仿宋_GB2312" w:eastAsia="仿宋_GB2312" w:cs="仿宋_GB2312"/>
          <w:kern w:val="0"/>
          <w:sz w:val="32"/>
          <w:szCs w:val="32"/>
        </w:rPr>
        <w:t>。</w:t>
      </w:r>
      <w:r>
        <w:rPr>
          <w:rFonts w:hint="eastAsia" w:ascii="仿宋_GB2312" w:hAnsi="仿宋_GB2312" w:eastAsia="仿宋_GB2312" w:cs="仿宋_GB2312"/>
          <w:kern w:val="0"/>
          <w:sz w:val="32"/>
          <w:szCs w:val="32"/>
        </w:rPr>
        <w:t>由学生所在二级学院进行分数认定。</w:t>
      </w:r>
    </w:p>
    <w:p>
      <w:pPr>
        <w:pageBreakBefore w:val="0"/>
        <w:kinsoku/>
        <w:overflowPunct/>
        <w:topLinePunct w:val="0"/>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w:t>
      </w:r>
      <w:r>
        <w:rPr>
          <w:rFonts w:ascii="仿宋_GB2312" w:hAnsi="仿宋_GB2312" w:eastAsia="仿宋_GB2312" w:cs="仿宋_GB2312"/>
          <w:kern w:val="0"/>
          <w:sz w:val="32"/>
          <w:szCs w:val="32"/>
        </w:rPr>
        <w:t>.因</w:t>
      </w:r>
      <w:r>
        <w:rPr>
          <w:rFonts w:hint="eastAsia" w:ascii="仿宋_GB2312" w:hAnsi="仿宋_GB2312" w:eastAsia="仿宋_GB2312" w:cs="仿宋_GB2312"/>
          <w:kern w:val="0"/>
          <w:sz w:val="32"/>
          <w:szCs w:val="32"/>
        </w:rPr>
        <w:t>第二课堂</w:t>
      </w:r>
      <w:r>
        <w:rPr>
          <w:rFonts w:ascii="仿宋_GB2312" w:hAnsi="仿宋_GB2312" w:eastAsia="仿宋_GB2312" w:cs="仿宋_GB2312"/>
          <w:kern w:val="0"/>
          <w:sz w:val="32"/>
          <w:szCs w:val="32"/>
        </w:rPr>
        <w:t>活动</w:t>
      </w:r>
      <w:r>
        <w:rPr>
          <w:rFonts w:hint="eastAsia" w:ascii="仿宋_GB2312" w:hAnsi="仿宋_GB2312" w:eastAsia="仿宋_GB2312" w:cs="仿宋_GB2312"/>
          <w:kern w:val="0"/>
          <w:sz w:val="32"/>
          <w:szCs w:val="32"/>
        </w:rPr>
        <w:t>分成绩</w:t>
      </w:r>
      <w:r>
        <w:rPr>
          <w:rFonts w:ascii="仿宋_GB2312" w:hAnsi="仿宋_GB2312" w:eastAsia="仿宋_GB2312" w:cs="仿宋_GB2312"/>
          <w:kern w:val="0"/>
          <w:sz w:val="32"/>
          <w:szCs w:val="32"/>
        </w:rPr>
        <w:t>不合格</w:t>
      </w:r>
      <w:r>
        <w:rPr>
          <w:rFonts w:hint="eastAsia" w:ascii="仿宋_GB2312" w:hAnsi="仿宋_GB2312" w:eastAsia="仿宋_GB2312" w:cs="仿宋_GB2312"/>
          <w:kern w:val="0"/>
          <w:sz w:val="32"/>
          <w:szCs w:val="32"/>
        </w:rPr>
        <w:t>而未能按时毕业</w:t>
      </w:r>
      <w:r>
        <w:rPr>
          <w:rFonts w:ascii="仿宋_GB2312" w:hAnsi="仿宋_GB2312" w:eastAsia="仿宋_GB2312" w:cs="仿宋_GB2312"/>
          <w:kern w:val="0"/>
          <w:sz w:val="32"/>
          <w:szCs w:val="32"/>
        </w:rPr>
        <w:t>的学生，离校三个月后</w:t>
      </w:r>
      <w:r>
        <w:rPr>
          <w:rFonts w:hint="eastAsia" w:ascii="仿宋_GB2312" w:hAnsi="仿宋_GB2312" w:eastAsia="仿宋_GB2312" w:cs="仿宋_GB2312"/>
          <w:kern w:val="0"/>
          <w:sz w:val="32"/>
          <w:szCs w:val="32"/>
        </w:rPr>
        <w:t>至学籍年限内</w:t>
      </w:r>
      <w:r>
        <w:rPr>
          <w:rFonts w:ascii="仿宋_GB2312" w:hAnsi="仿宋_GB2312" w:eastAsia="仿宋_GB2312" w:cs="仿宋_GB2312"/>
          <w:kern w:val="0"/>
          <w:sz w:val="32"/>
          <w:szCs w:val="32"/>
        </w:rPr>
        <w:t>，本人申请、所在单位出具其在工作单位中德、能、勤、技、廉等方面的书面鉴定意见，</w:t>
      </w:r>
      <w:r>
        <w:rPr>
          <w:rFonts w:hint="eastAsia" w:ascii="仿宋_GB2312" w:hAnsi="仿宋_GB2312" w:eastAsia="仿宋_GB2312" w:cs="仿宋_GB2312"/>
          <w:kern w:val="0"/>
          <w:sz w:val="32"/>
          <w:szCs w:val="32"/>
        </w:rPr>
        <w:t>填写《柳州职业技术学院第二课堂活动分补录申请表》，由二级学院审核，学生工作部（处）批准，方可录入。补录后活动分达到120分以上，由二级学院审核，学生工作部（处）教务与实训管理处</w:t>
      </w:r>
      <w:r>
        <w:rPr>
          <w:rFonts w:ascii="仿宋_GB2312" w:hAnsi="仿宋_GB2312" w:eastAsia="仿宋_GB2312" w:cs="仿宋_GB2312"/>
          <w:kern w:val="0"/>
          <w:sz w:val="32"/>
          <w:szCs w:val="32"/>
        </w:rPr>
        <w:t>审查、</w:t>
      </w:r>
      <w:r>
        <w:rPr>
          <w:rFonts w:hint="eastAsia" w:ascii="仿宋_GB2312" w:hAnsi="仿宋_GB2312" w:eastAsia="仿宋_GB2312" w:cs="仿宋_GB2312"/>
          <w:kern w:val="0"/>
          <w:sz w:val="32"/>
          <w:szCs w:val="32"/>
        </w:rPr>
        <w:t>校</w:t>
      </w:r>
      <w:r>
        <w:rPr>
          <w:rFonts w:ascii="仿宋_GB2312" w:hAnsi="仿宋_GB2312" w:eastAsia="仿宋_GB2312" w:cs="仿宋_GB2312"/>
          <w:kern w:val="0"/>
          <w:sz w:val="32"/>
          <w:szCs w:val="32"/>
        </w:rPr>
        <w:t>领导批准，可</w:t>
      </w:r>
      <w:r>
        <w:rPr>
          <w:rFonts w:hint="eastAsia" w:ascii="仿宋_GB2312" w:hAnsi="仿宋_GB2312" w:eastAsia="仿宋_GB2312" w:cs="仿宋_GB2312"/>
          <w:kern w:val="0"/>
          <w:sz w:val="32"/>
          <w:szCs w:val="32"/>
        </w:rPr>
        <w:t>办理</w:t>
      </w:r>
      <w:r>
        <w:rPr>
          <w:rFonts w:ascii="仿宋_GB2312" w:hAnsi="仿宋_GB2312" w:eastAsia="仿宋_GB2312" w:cs="仿宋_GB2312"/>
          <w:kern w:val="0"/>
          <w:sz w:val="32"/>
          <w:szCs w:val="32"/>
        </w:rPr>
        <w:t>毕业证书</w:t>
      </w:r>
      <w:r>
        <w:rPr>
          <w:rFonts w:hint="eastAsia" w:ascii="仿宋_GB2312" w:hAnsi="仿宋_GB2312" w:eastAsia="仿宋_GB2312" w:cs="仿宋_GB2312"/>
          <w:kern w:val="0"/>
          <w:sz w:val="32"/>
          <w:szCs w:val="32"/>
        </w:rPr>
        <w:t>，</w:t>
      </w:r>
      <w:r>
        <w:rPr>
          <w:rFonts w:ascii="仿宋_GB2312" w:hAnsi="仿宋_GB2312" w:eastAsia="仿宋_GB2312" w:cs="仿宋_GB2312"/>
          <w:kern w:val="0"/>
          <w:sz w:val="32"/>
          <w:szCs w:val="32"/>
        </w:rPr>
        <w:t>毕业时间按发证日期填写。</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b/>
          <w:color w:val="000000"/>
          <w:sz w:val="36"/>
          <w:szCs w:val="36"/>
        </w:rPr>
      </w:pPr>
      <w:r>
        <w:rPr>
          <w:rFonts w:ascii="仿宋_GB2312" w:hAnsi="仿宋_GB2312" w:eastAsia="仿宋_GB2312" w:cs="仿宋_GB2312"/>
          <w:kern w:val="0"/>
          <w:sz w:val="32"/>
          <w:szCs w:val="32"/>
          <w:lang w:bidi="ar"/>
        </w:rPr>
        <w:br w:type="page"/>
      </w:r>
      <w:bookmarkStart w:id="505" w:name="_Toc2087"/>
      <w:bookmarkStart w:id="506" w:name="_Toc70"/>
      <w:bookmarkStart w:id="507" w:name="_Toc20929"/>
      <w:bookmarkStart w:id="508" w:name="_Toc29326"/>
      <w:bookmarkStart w:id="509" w:name="_Toc6172"/>
      <w:bookmarkStart w:id="510" w:name="_Toc12936_WPSOffice_Level1"/>
      <w:bookmarkStart w:id="511" w:name="_Toc15594"/>
      <w:r>
        <w:rPr>
          <w:rFonts w:hint="eastAsia"/>
          <w:b/>
          <w:color w:val="000000"/>
          <w:sz w:val="36"/>
          <w:szCs w:val="36"/>
        </w:rPr>
        <w:t>柳州职业技术学院加强和改进领导干部</w:t>
      </w:r>
      <w:bookmarkEnd w:id="505"/>
      <w:bookmarkStart w:id="512" w:name="_Toc2728"/>
      <w:r>
        <w:rPr>
          <w:rFonts w:hint="eastAsia"/>
          <w:b/>
          <w:color w:val="000000"/>
          <w:sz w:val="36"/>
          <w:szCs w:val="36"/>
        </w:rPr>
        <w:t>深入基层联系学生工作的实施办法</w:t>
      </w:r>
      <w:bookmarkEnd w:id="506"/>
      <w:bookmarkEnd w:id="507"/>
      <w:bookmarkEnd w:id="508"/>
      <w:bookmarkEnd w:id="509"/>
      <w:bookmarkEnd w:id="510"/>
      <w:bookmarkEnd w:id="511"/>
      <w:bookmarkEnd w:id="512"/>
    </w:p>
    <w:p>
      <w:pPr>
        <w:pageBreakBefore w:val="0"/>
        <w:kinsoku/>
        <w:overflowPunct/>
        <w:topLinePunct w:val="0"/>
        <w:bidi w:val="0"/>
        <w:jc w:val="center"/>
        <w:outlineLvl w:val="9"/>
        <w:rPr>
          <w:rFonts w:hint="eastAsia" w:eastAsia="宋体"/>
          <w:b w:val="0"/>
          <w:bCs/>
          <w:color w:val="000000"/>
          <w:sz w:val="36"/>
          <w:szCs w:val="36"/>
          <w:lang w:eastAsia="zh-CN"/>
        </w:rPr>
      </w:pPr>
      <w:r>
        <w:rPr>
          <w:rFonts w:hint="eastAsia"/>
          <w:b w:val="0"/>
          <w:bCs/>
          <w:color w:val="000000"/>
          <w:sz w:val="36"/>
          <w:szCs w:val="36"/>
          <w:lang w:eastAsia="zh-CN"/>
        </w:rPr>
        <w:t>（</w:t>
      </w:r>
      <w:r>
        <w:rPr>
          <w:rFonts w:hint="eastAsia" w:ascii="仿宋_GB2312" w:eastAsia="仿宋_GB2312"/>
          <w:b w:val="0"/>
          <w:bCs/>
          <w:sz w:val="32"/>
          <w:szCs w:val="32"/>
        </w:rPr>
        <w:t>柳职院党字〔2019〕17号</w:t>
      </w:r>
      <w:r>
        <w:rPr>
          <w:rFonts w:hint="eastAsia"/>
          <w:b w:val="0"/>
          <w:bCs/>
          <w:color w:val="000000"/>
          <w:sz w:val="36"/>
          <w:szCs w:val="36"/>
          <w:lang w:eastAsia="zh-CN"/>
        </w:rPr>
        <w:t>）</w:t>
      </w:r>
    </w:p>
    <w:p>
      <w:pPr>
        <w:pageBreakBefore w:val="0"/>
        <w:kinsoku/>
        <w:overflowPunct/>
        <w:topLinePunct w:val="0"/>
        <w:bidi w:val="0"/>
        <w:spacing w:line="580" w:lineRule="exact"/>
        <w:ind w:firstLine="640" w:firstLineChars="200"/>
        <w:outlineLvl w:val="9"/>
        <w:rPr>
          <w:rFonts w:hint="eastAsia" w:ascii="仿宋_GB2312" w:hAnsi="仿宋" w:eastAsia="仿宋_GB2312"/>
          <w:sz w:val="32"/>
          <w:szCs w:val="32"/>
        </w:rPr>
      </w:pPr>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为贯彻落实《中共教育部党组关于加强和改进高校领导干部深入基层联系学生工作的通知》（教党函〔2019〕34号）和《自治区党委教育工委转发中共教育部党组关于加强和改进高校领导干部深入基层联系学生工作的通知》精神，深入推进领导干部深入基层调查研究，密切联系学生，提升大学生思想政治工作水平，现就加强和改进我校领导干部深入基层联系学生工作，制定本办法。</w:t>
      </w:r>
    </w:p>
    <w:p>
      <w:pPr>
        <w:pageBreakBefore w:val="0"/>
        <w:kinsoku/>
        <w:overflowPunct/>
        <w:topLinePunct w:val="0"/>
        <w:bidi w:val="0"/>
        <w:spacing w:line="580" w:lineRule="exact"/>
        <w:ind w:firstLine="643" w:firstLineChars="200"/>
        <w:outlineLvl w:val="9"/>
        <w:rPr>
          <w:rFonts w:ascii="黑体" w:hAnsi="黑体" w:eastAsia="黑体"/>
          <w:b/>
          <w:sz w:val="32"/>
          <w:szCs w:val="32"/>
        </w:rPr>
      </w:pPr>
      <w:bookmarkStart w:id="513" w:name="_Toc17536_WPSOffice_Level1"/>
      <w:r>
        <w:rPr>
          <w:rFonts w:hint="eastAsia" w:ascii="黑体" w:hAnsi="黑体" w:eastAsia="黑体"/>
          <w:b/>
          <w:sz w:val="32"/>
          <w:szCs w:val="32"/>
        </w:rPr>
        <w:t>一、目的意义</w:t>
      </w:r>
      <w:bookmarkEnd w:id="513"/>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开展领导干部深入基层联系学生工作，关系立德树人根本任务的贯彻落实，关系学校的政治安全和意识形态安全，关系学校的长远全局发展，更关系学生的素质培养和育人质量。</w:t>
      </w:r>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落实领导干部深入基层联系学生工作是学校落实立德树人这一根本任务的重要抓手，是增强我校思想政治工作亲和力和针对性，加强干部队伍作风建设的重要举措，也是学校建设中国特色高水平高职院校的迫切需要。</w:t>
      </w:r>
    </w:p>
    <w:p>
      <w:pPr>
        <w:pageBreakBefore w:val="0"/>
        <w:kinsoku/>
        <w:overflowPunct/>
        <w:topLinePunct w:val="0"/>
        <w:bidi w:val="0"/>
        <w:spacing w:line="580" w:lineRule="exact"/>
        <w:ind w:firstLine="643" w:firstLineChars="200"/>
        <w:outlineLvl w:val="9"/>
        <w:rPr>
          <w:rFonts w:ascii="黑体" w:hAnsi="黑体" w:eastAsia="黑体"/>
          <w:b/>
          <w:sz w:val="32"/>
          <w:szCs w:val="32"/>
        </w:rPr>
      </w:pPr>
      <w:bookmarkStart w:id="514" w:name="_Toc18752_WPSOffice_Level1"/>
      <w:r>
        <w:rPr>
          <w:rFonts w:hint="eastAsia" w:ascii="黑体" w:hAnsi="黑体" w:eastAsia="黑体"/>
          <w:b/>
          <w:sz w:val="32"/>
          <w:szCs w:val="32"/>
        </w:rPr>
        <w:t>二、领导干部范围</w:t>
      </w:r>
      <w:bookmarkEnd w:id="514"/>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学校领导班子成员，学校中层干部。</w:t>
      </w:r>
    </w:p>
    <w:p>
      <w:pPr>
        <w:pageBreakBefore w:val="0"/>
        <w:kinsoku/>
        <w:overflowPunct/>
        <w:topLinePunct w:val="0"/>
        <w:bidi w:val="0"/>
        <w:spacing w:line="580" w:lineRule="exact"/>
        <w:ind w:firstLine="643" w:firstLineChars="200"/>
        <w:outlineLvl w:val="9"/>
        <w:rPr>
          <w:rFonts w:ascii="黑体" w:hAnsi="黑体" w:eastAsia="黑体"/>
          <w:b/>
          <w:sz w:val="32"/>
          <w:szCs w:val="32"/>
        </w:rPr>
      </w:pPr>
      <w:bookmarkStart w:id="515" w:name="_Toc17717_WPSOffice_Level1"/>
      <w:r>
        <w:rPr>
          <w:rFonts w:hint="eastAsia" w:ascii="黑体" w:hAnsi="黑体" w:eastAsia="黑体"/>
          <w:b/>
          <w:sz w:val="32"/>
          <w:szCs w:val="32"/>
        </w:rPr>
        <w:t>三、联系工作主要内容</w:t>
      </w:r>
      <w:bookmarkEnd w:id="515"/>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学校各级领导要主动进课堂、进班级、进宿舍、进食堂、进社团、进讲座、进网络，深入一线联系学生，要做到和学生常态化联系交流，解决学生思想、心理、生活、就业等实际问题，切实把思想政治工作做到学生的心坎上。</w:t>
      </w:r>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学校领导班子每名成员每学期至少给学生主讲</w:t>
      </w:r>
      <w:r>
        <w:rPr>
          <w:rFonts w:ascii="仿宋_GB2312" w:hAnsi="仿宋" w:eastAsia="仿宋_GB2312"/>
          <w:sz w:val="32"/>
          <w:szCs w:val="32"/>
        </w:rPr>
        <w:t>1</w:t>
      </w:r>
      <w:r>
        <w:rPr>
          <w:rFonts w:hint="eastAsia" w:ascii="仿宋_GB2312" w:hAnsi="仿宋" w:eastAsia="仿宋_GB2312"/>
          <w:sz w:val="32"/>
          <w:szCs w:val="32"/>
        </w:rPr>
        <w:t>堂思想政治理论课或形势政策课，每周至少“面对面”接触学生</w:t>
      </w:r>
      <w:r>
        <w:rPr>
          <w:rFonts w:ascii="仿宋_GB2312" w:hAnsi="仿宋" w:eastAsia="仿宋_GB2312"/>
          <w:sz w:val="32"/>
          <w:szCs w:val="32"/>
        </w:rPr>
        <w:t>1</w:t>
      </w:r>
      <w:r>
        <w:rPr>
          <w:rFonts w:hint="eastAsia" w:ascii="仿宋_GB2312" w:hAnsi="仿宋" w:eastAsia="仿宋_GB2312"/>
          <w:sz w:val="32"/>
          <w:szCs w:val="32"/>
        </w:rPr>
        <w:t>次。领导班子每名成员每人联系</w:t>
      </w:r>
      <w:r>
        <w:rPr>
          <w:rFonts w:ascii="仿宋_GB2312" w:hAnsi="仿宋" w:eastAsia="仿宋_GB2312"/>
          <w:sz w:val="32"/>
          <w:szCs w:val="32"/>
        </w:rPr>
        <w:t>1</w:t>
      </w:r>
      <w:r>
        <w:rPr>
          <w:rFonts w:hint="eastAsia" w:ascii="仿宋_GB2312" w:hAnsi="仿宋" w:eastAsia="仿宋_GB2312"/>
          <w:sz w:val="32"/>
          <w:szCs w:val="32"/>
        </w:rPr>
        <w:t>个学生班级或</w:t>
      </w:r>
      <w:r>
        <w:rPr>
          <w:rFonts w:ascii="仿宋_GB2312" w:hAnsi="仿宋" w:eastAsia="仿宋_GB2312"/>
          <w:sz w:val="32"/>
          <w:szCs w:val="32"/>
        </w:rPr>
        <w:t>1</w:t>
      </w:r>
      <w:r>
        <w:rPr>
          <w:rFonts w:hint="eastAsia" w:ascii="仿宋_GB2312" w:hAnsi="仿宋" w:eastAsia="仿宋_GB2312"/>
          <w:sz w:val="32"/>
          <w:szCs w:val="32"/>
        </w:rPr>
        <w:t>个学生宿舍或</w:t>
      </w:r>
      <w:r>
        <w:rPr>
          <w:rFonts w:ascii="仿宋_GB2312" w:hAnsi="仿宋" w:eastAsia="仿宋_GB2312"/>
          <w:sz w:val="32"/>
          <w:szCs w:val="32"/>
        </w:rPr>
        <w:t>1</w:t>
      </w:r>
      <w:r>
        <w:rPr>
          <w:rFonts w:hint="eastAsia" w:ascii="仿宋_GB2312" w:hAnsi="仿宋" w:eastAsia="仿宋_GB2312"/>
          <w:sz w:val="32"/>
          <w:szCs w:val="32"/>
        </w:rPr>
        <w:t>个学生社团等。学校中层以上干部每人联系</w:t>
      </w:r>
      <w:r>
        <w:rPr>
          <w:rFonts w:ascii="仿宋_GB2312" w:hAnsi="仿宋" w:eastAsia="仿宋_GB2312"/>
          <w:sz w:val="32"/>
          <w:szCs w:val="32"/>
        </w:rPr>
        <w:t>1</w:t>
      </w:r>
      <w:r>
        <w:rPr>
          <w:rFonts w:hint="eastAsia" w:ascii="仿宋_GB2312" w:hAnsi="仿宋" w:eastAsia="仿宋_GB2312"/>
          <w:sz w:val="32"/>
          <w:szCs w:val="32"/>
        </w:rPr>
        <w:t>个学生班级或</w:t>
      </w:r>
      <w:r>
        <w:rPr>
          <w:rFonts w:ascii="仿宋_GB2312" w:hAnsi="仿宋" w:eastAsia="仿宋_GB2312"/>
          <w:sz w:val="32"/>
          <w:szCs w:val="32"/>
        </w:rPr>
        <w:t>1</w:t>
      </w:r>
      <w:r>
        <w:rPr>
          <w:rFonts w:hint="eastAsia" w:ascii="仿宋_GB2312" w:hAnsi="仿宋" w:eastAsia="仿宋_GB2312"/>
          <w:sz w:val="32"/>
          <w:szCs w:val="32"/>
        </w:rPr>
        <w:t>个学生宿舍或</w:t>
      </w:r>
      <w:r>
        <w:rPr>
          <w:rFonts w:ascii="仿宋_GB2312" w:hAnsi="仿宋" w:eastAsia="仿宋_GB2312"/>
          <w:sz w:val="32"/>
          <w:szCs w:val="32"/>
        </w:rPr>
        <w:t>1</w:t>
      </w:r>
      <w:r>
        <w:rPr>
          <w:rFonts w:hint="eastAsia" w:ascii="仿宋_GB2312" w:hAnsi="仿宋" w:eastAsia="仿宋_GB2312"/>
          <w:sz w:val="32"/>
          <w:szCs w:val="32"/>
        </w:rPr>
        <w:t>个学生社团。</w:t>
      </w:r>
    </w:p>
    <w:p>
      <w:pPr>
        <w:pageBreakBefore w:val="0"/>
        <w:kinsoku/>
        <w:overflowPunct/>
        <w:topLinePunct w:val="0"/>
        <w:bidi w:val="0"/>
        <w:spacing w:line="580" w:lineRule="exact"/>
        <w:ind w:firstLine="643" w:firstLineChars="200"/>
        <w:outlineLvl w:val="9"/>
        <w:rPr>
          <w:rFonts w:ascii="仿宋_GB2312" w:hAnsi="仿宋" w:eastAsia="仿宋_GB2312"/>
          <w:sz w:val="32"/>
          <w:szCs w:val="32"/>
        </w:rPr>
      </w:pPr>
      <w:r>
        <w:rPr>
          <w:rFonts w:hint="eastAsia" w:ascii="仿宋_GB2312" w:hAnsi="仿宋" w:eastAsia="仿宋_GB2312"/>
          <w:b/>
          <w:sz w:val="32"/>
          <w:szCs w:val="32"/>
        </w:rPr>
        <w:t>（一）讲一堂思想政治理论课或形势政策课（进课堂）。</w:t>
      </w:r>
      <w:r>
        <w:rPr>
          <w:rFonts w:hint="eastAsia" w:ascii="仿宋_GB2312" w:hAnsi="仿宋" w:eastAsia="仿宋_GB2312"/>
          <w:sz w:val="32"/>
          <w:szCs w:val="32"/>
        </w:rPr>
        <w:t>学校领导班子成员通过政治信仰、家国情怀、国家和学校发展的状况等讲解，把思政小课堂同社会大课堂结合起来，把最新实践和新时代中国特色社会主义理论融入课堂，燃起学生的爱国情、强国志和报国行。（负责部门：马克思主义学院）</w:t>
      </w:r>
    </w:p>
    <w:p>
      <w:pPr>
        <w:pageBreakBefore w:val="0"/>
        <w:kinsoku/>
        <w:overflowPunct/>
        <w:topLinePunct w:val="0"/>
        <w:bidi w:val="0"/>
        <w:spacing w:line="580" w:lineRule="exact"/>
        <w:ind w:firstLine="643" w:firstLineChars="200"/>
        <w:outlineLvl w:val="9"/>
        <w:rPr>
          <w:rFonts w:ascii="仿宋_GB2312" w:hAnsi="仿宋" w:eastAsia="仿宋_GB2312"/>
          <w:sz w:val="32"/>
          <w:szCs w:val="32"/>
        </w:rPr>
      </w:pPr>
      <w:r>
        <w:rPr>
          <w:rFonts w:hint="eastAsia" w:ascii="仿宋_GB2312" w:hAnsi="仿宋" w:eastAsia="仿宋_GB2312"/>
          <w:b/>
          <w:sz w:val="32"/>
          <w:szCs w:val="32"/>
        </w:rPr>
        <w:t>（二）到联系班级听一次课或参加一次班团会（进班级）。</w:t>
      </w:r>
      <w:r>
        <w:rPr>
          <w:rFonts w:hint="eastAsia" w:ascii="仿宋_GB2312" w:hAnsi="仿宋" w:eastAsia="仿宋_GB2312"/>
          <w:sz w:val="32"/>
          <w:szCs w:val="32"/>
        </w:rPr>
        <w:t>了解学生的课堂纪律、班风建设、教学互动等情况，拉近与学生距离，成为学生喜爱的老师。（负责部门：党委学生工作部、各二级学院）</w:t>
      </w:r>
    </w:p>
    <w:p>
      <w:pPr>
        <w:pageBreakBefore w:val="0"/>
        <w:kinsoku/>
        <w:overflowPunct/>
        <w:topLinePunct w:val="0"/>
        <w:bidi w:val="0"/>
        <w:spacing w:line="580" w:lineRule="exact"/>
        <w:ind w:firstLine="643" w:firstLineChars="200"/>
        <w:outlineLvl w:val="9"/>
        <w:rPr>
          <w:rFonts w:ascii="仿宋_GB2312" w:hAnsi="仿宋" w:eastAsia="仿宋_GB2312"/>
          <w:sz w:val="32"/>
          <w:szCs w:val="32"/>
        </w:rPr>
      </w:pPr>
      <w:r>
        <w:rPr>
          <w:rFonts w:hint="eastAsia" w:ascii="仿宋_GB2312" w:hAnsi="仿宋" w:eastAsia="仿宋_GB2312"/>
          <w:b/>
          <w:sz w:val="32"/>
          <w:szCs w:val="32"/>
        </w:rPr>
        <w:t>（三）走访一次学生宿舍（进宿舍）。</w:t>
      </w:r>
      <w:r>
        <w:rPr>
          <w:rFonts w:hint="eastAsia" w:ascii="仿宋_GB2312" w:hAnsi="仿宋" w:eastAsia="仿宋_GB2312"/>
          <w:sz w:val="32"/>
          <w:szCs w:val="32"/>
        </w:rPr>
        <w:t>走进寝室联系学生，了解学生的思想动态，把解决思想问题与解决实际困难相结合，并不断促进寝室文化建设。（负责部门：党委学生工作部、各二级学院）</w:t>
      </w:r>
    </w:p>
    <w:p>
      <w:pPr>
        <w:pageBreakBefore w:val="0"/>
        <w:kinsoku/>
        <w:overflowPunct/>
        <w:topLinePunct w:val="0"/>
        <w:bidi w:val="0"/>
        <w:spacing w:line="580" w:lineRule="exact"/>
        <w:ind w:firstLine="643" w:firstLineChars="200"/>
        <w:outlineLvl w:val="9"/>
        <w:rPr>
          <w:rFonts w:ascii="仿宋_GB2312" w:hAnsi="仿宋" w:eastAsia="仿宋_GB2312"/>
          <w:sz w:val="32"/>
          <w:szCs w:val="32"/>
        </w:rPr>
      </w:pPr>
      <w:r>
        <w:rPr>
          <w:rFonts w:hint="eastAsia" w:ascii="仿宋_GB2312" w:hAnsi="仿宋" w:eastAsia="仿宋_GB2312"/>
          <w:b/>
          <w:sz w:val="32"/>
          <w:szCs w:val="32"/>
        </w:rPr>
        <w:t>（四）进一次学生食堂（进食堂）。</w:t>
      </w:r>
      <w:r>
        <w:rPr>
          <w:rFonts w:hint="eastAsia" w:ascii="仿宋_GB2312" w:hAnsi="仿宋" w:eastAsia="仿宋_GB2312"/>
          <w:sz w:val="32"/>
          <w:szCs w:val="32"/>
        </w:rPr>
        <w:t>了解学生就餐环境、饭菜价格、菜品质量、与学生共同进餐等，关心学生的饮食卫生和安全状况，促进学生食堂保障工作。（负责部门：党委学生工作部、后勤与资产管理处）</w:t>
      </w:r>
    </w:p>
    <w:p>
      <w:pPr>
        <w:pageBreakBefore w:val="0"/>
        <w:kinsoku/>
        <w:overflowPunct/>
        <w:topLinePunct w:val="0"/>
        <w:bidi w:val="0"/>
        <w:spacing w:line="580" w:lineRule="exact"/>
        <w:ind w:firstLine="643" w:firstLineChars="200"/>
        <w:outlineLvl w:val="9"/>
        <w:rPr>
          <w:rFonts w:ascii="仿宋_GB2312" w:hAnsi="仿宋" w:eastAsia="仿宋_GB2312"/>
          <w:sz w:val="32"/>
          <w:szCs w:val="32"/>
        </w:rPr>
      </w:pPr>
      <w:r>
        <w:rPr>
          <w:rFonts w:hint="eastAsia" w:ascii="仿宋_GB2312" w:hAnsi="仿宋" w:eastAsia="仿宋_GB2312"/>
          <w:b/>
          <w:sz w:val="32"/>
          <w:szCs w:val="32"/>
        </w:rPr>
        <w:t>（五）指导或参加一次社团活动（进社团）。</w:t>
      </w:r>
      <w:r>
        <w:rPr>
          <w:rFonts w:hint="eastAsia" w:ascii="仿宋_GB2312" w:hAnsi="仿宋" w:eastAsia="仿宋_GB2312"/>
          <w:sz w:val="32"/>
          <w:szCs w:val="32"/>
        </w:rPr>
        <w:t>关注社团成员、社团活动和社团自身发展建设存在的问题，加强思想引导，促进社团指导力量和保障制度逐渐完善。（负责部门：校团委）</w:t>
      </w:r>
    </w:p>
    <w:p>
      <w:pPr>
        <w:pageBreakBefore w:val="0"/>
        <w:kinsoku/>
        <w:overflowPunct/>
        <w:topLinePunct w:val="0"/>
        <w:bidi w:val="0"/>
        <w:spacing w:line="580" w:lineRule="exact"/>
        <w:ind w:firstLine="643" w:firstLineChars="200"/>
        <w:outlineLvl w:val="9"/>
        <w:rPr>
          <w:rFonts w:ascii="仿宋_GB2312" w:hAnsi="仿宋" w:eastAsia="仿宋_GB2312"/>
          <w:sz w:val="32"/>
          <w:szCs w:val="32"/>
        </w:rPr>
      </w:pPr>
      <w:r>
        <w:rPr>
          <w:rFonts w:hint="eastAsia" w:ascii="仿宋_GB2312" w:hAnsi="仿宋" w:eastAsia="仿宋_GB2312"/>
          <w:b/>
          <w:sz w:val="32"/>
          <w:szCs w:val="32"/>
        </w:rPr>
        <w:t>（六）主讲一堂党课或者举办一次学术讲座（进讲座）。</w:t>
      </w:r>
      <w:r>
        <w:rPr>
          <w:rFonts w:hint="eastAsia" w:ascii="仿宋_GB2312" w:hAnsi="仿宋" w:eastAsia="仿宋_GB2312"/>
          <w:sz w:val="32"/>
          <w:szCs w:val="32"/>
        </w:rPr>
        <w:t>加强对学生的主题教育和引导，帮助学生树立正确世界观、人生观和价值观，用深厚的理论功底赢得学生，成为为学为人的表率。（负责部门：党委学生工作部、各二级学院）</w:t>
      </w:r>
    </w:p>
    <w:p>
      <w:pPr>
        <w:pageBreakBefore w:val="0"/>
        <w:kinsoku/>
        <w:overflowPunct/>
        <w:topLinePunct w:val="0"/>
        <w:bidi w:val="0"/>
        <w:spacing w:line="580" w:lineRule="exact"/>
        <w:ind w:firstLine="643" w:firstLineChars="200"/>
        <w:outlineLvl w:val="9"/>
        <w:rPr>
          <w:rFonts w:ascii="仿宋_GB2312" w:hAnsi="仿宋" w:eastAsia="仿宋_GB2312"/>
          <w:sz w:val="32"/>
          <w:szCs w:val="32"/>
        </w:rPr>
      </w:pPr>
      <w:r>
        <w:rPr>
          <w:rFonts w:hint="eastAsia" w:ascii="仿宋_GB2312" w:hAnsi="仿宋" w:eastAsia="仿宋_GB2312"/>
          <w:b/>
          <w:sz w:val="32"/>
          <w:szCs w:val="32"/>
        </w:rPr>
        <w:t>（七）关注一种沟通方式（进网络）。</w:t>
      </w:r>
      <w:r>
        <w:rPr>
          <w:rFonts w:hint="eastAsia" w:ascii="仿宋_GB2312" w:hAnsi="仿宋" w:eastAsia="仿宋_GB2312"/>
          <w:sz w:val="32"/>
          <w:szCs w:val="32"/>
        </w:rPr>
        <w:t>通过电话、短信、QQ、微博、微信、短视频、电子邮件等方式，倾听学生诉求，疏导学生情绪，加强与学生的沟通与交流。尤其是对特殊群体（学习困难、家庭贫困、心理问题等），帮助学生解决生活、思想、学习、心理等方面的困难，促使其健康成长。（负责部门：党委学生工作部、各二级学院）</w:t>
      </w:r>
    </w:p>
    <w:p>
      <w:pPr>
        <w:pageBreakBefore w:val="0"/>
        <w:kinsoku/>
        <w:overflowPunct/>
        <w:topLinePunct w:val="0"/>
        <w:bidi w:val="0"/>
        <w:spacing w:line="580" w:lineRule="exact"/>
        <w:ind w:firstLine="643" w:firstLineChars="200"/>
        <w:outlineLvl w:val="9"/>
        <w:rPr>
          <w:rFonts w:ascii="黑体" w:hAnsi="黑体" w:eastAsia="黑体"/>
          <w:b/>
          <w:sz w:val="32"/>
          <w:szCs w:val="32"/>
        </w:rPr>
      </w:pPr>
      <w:bookmarkStart w:id="516" w:name="_Toc17447_WPSOffice_Level1"/>
      <w:r>
        <w:rPr>
          <w:rFonts w:hint="eastAsia" w:ascii="黑体" w:hAnsi="黑体" w:eastAsia="黑体"/>
          <w:b/>
          <w:sz w:val="32"/>
          <w:szCs w:val="32"/>
        </w:rPr>
        <w:t>四、工作要求</w:t>
      </w:r>
      <w:bookmarkEnd w:id="516"/>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（一）党委学生工作部根据领导干部联系点情况，与各二级学院确定联系班级、宿舍、社团等，并与其他相关部门一起协调好领导班子成员联系学生日程安排，确保每名领导定期开展联系学生活动。</w:t>
      </w:r>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（二）学校党委工作部门特别是党委学生工作部的负责同志，要把一半以上的时间精力放在直接到一线联系学生、做学生工作上，开展好进课堂、进班级、进宿舍、进网络等工作，做好与学生常态化联系交流。</w:t>
      </w:r>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三）各二级学院党总支书记、院长既要完成“七个一”任务，还要定期参加主题班会或主题教育、座谈会、学生干部培训等大型活动，参加率不能低于90%，要经常性地深入学生课堂、寝室，早锻炼、早升旗和晚自习，检查指导相关工作。</w:t>
      </w:r>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四）各工作任务负责部门要及时汇总校级领导深入基层联系学生情况，形成“工作台账”，实行“一月一报告”制度，于每月底将汇总情况报党委学生工作部。党委组织部和党委学生工作部根据领导干部联系学生过程中发现和学生反映的问题、提出的建议及时汇总分析、研究落实。</w:t>
      </w:r>
    </w:p>
    <w:p>
      <w:pPr>
        <w:pageBreakBefore w:val="0"/>
        <w:kinsoku/>
        <w:overflowPunct/>
        <w:topLinePunct w:val="0"/>
        <w:bidi w:val="0"/>
        <w:spacing w:line="580"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（五）宣传部门要及时了解掌握领导干部联系学生班级的典型事例，通过多种形式宣传报道，积极营造“关爱学生、全员育人”的良好校园风尚。</w:t>
      </w:r>
    </w:p>
    <w:p>
      <w:pPr>
        <w:pageBreakBefore w:val="0"/>
        <w:kinsoku/>
        <w:overflowPunct/>
        <w:topLinePunct w:val="0"/>
        <w:bidi w:val="0"/>
        <w:spacing w:line="580"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（六）对联系学生工作不到位或弄虚作假的，学校依规依纪追责问责。党委组织部和学生工作部应按上级要求报告学校开展领导干部深入基层联系学生工作的情况。</w:t>
      </w:r>
    </w:p>
    <w:p>
      <w:pPr>
        <w:pageBreakBefore w:val="0"/>
        <w:kinsoku/>
        <w:overflowPunct/>
        <w:topLinePunct w:val="0"/>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ascii="仿宋_GB2312" w:eastAsia="仿宋_GB2312"/>
          <w:b w:val="0"/>
          <w:bCs w:val="0"/>
          <w:sz w:val="32"/>
          <w:szCs w:val="32"/>
          <w:lang w:eastAsia="zh-CN"/>
        </w:rPr>
      </w:pPr>
      <w:bookmarkStart w:id="517" w:name="_Toc17648"/>
      <w:bookmarkStart w:id="518" w:name="_Toc10645"/>
      <w:bookmarkStart w:id="519" w:name="_Toc32240"/>
      <w:bookmarkStart w:id="520" w:name="_Toc3496"/>
      <w:bookmarkStart w:id="521" w:name="_Toc27250"/>
      <w:bookmarkStart w:id="522" w:name="_Toc31378_WPSOffice_Level1"/>
      <w:bookmarkStart w:id="523" w:name="_Toc23635"/>
      <w:r>
        <w:rPr>
          <w:rFonts w:hint="eastAsia"/>
          <w:b/>
          <w:color w:val="000000"/>
          <w:sz w:val="36"/>
          <w:szCs w:val="36"/>
        </w:rPr>
        <w:t>柳州职业技术学院学生特殊困难补助实施办法</w:t>
      </w:r>
      <w:bookmarkEnd w:id="517"/>
      <w:bookmarkEnd w:id="518"/>
      <w:bookmarkEnd w:id="519"/>
      <w:bookmarkEnd w:id="520"/>
      <w:bookmarkEnd w:id="521"/>
      <w:bookmarkEnd w:id="522"/>
      <w:bookmarkEnd w:id="523"/>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b w:val="0"/>
          <w:bCs w:val="0"/>
          <w:sz w:val="32"/>
          <w:szCs w:val="32"/>
        </w:rPr>
        <w:t>柳职院学字〔2019〕3号</w:t>
      </w:r>
      <w:r>
        <w:rPr>
          <w:rFonts w:hint="eastAsia" w:ascii="仿宋_GB2312" w:eastAsia="仿宋_GB2312"/>
          <w:b w:val="0"/>
          <w:bCs w:val="0"/>
          <w:sz w:val="32"/>
          <w:szCs w:val="32"/>
          <w:lang w:eastAsia="zh-CN"/>
        </w:rPr>
        <w:t>）</w:t>
      </w: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24" w:name="_Toc23162_WPSOffice_Level1"/>
      <w:r>
        <w:rPr>
          <w:rFonts w:hint="eastAsia" w:ascii="黑体" w:hAnsi="仿宋_GB2312" w:eastAsia="黑体" w:cs="仿宋_GB2312"/>
          <w:b/>
          <w:kern w:val="0"/>
          <w:sz w:val="32"/>
          <w:szCs w:val="32"/>
        </w:rPr>
        <w:t>第一章  总则</w:t>
      </w:r>
      <w:bookmarkEnd w:id="524"/>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第一条 </w:t>
      </w:r>
      <w:r>
        <w:rPr>
          <w:rFonts w:hint="eastAsia" w:ascii="仿宋_GB2312" w:hAnsi="仿宋_GB2312" w:eastAsia="仿宋_GB2312" w:cs="仿宋_GB2312"/>
          <w:kern w:val="0"/>
          <w:sz w:val="32"/>
          <w:szCs w:val="32"/>
        </w:rPr>
        <w:t xml:space="preserve"> 为贯彻落实国家有关家庭经济困难学生资助政策，完善我校家庭经济困难学生的资助体系，帮助和鼓励家庭经济困难学生克服困难，勤奋学习，完成学业，根据《国务院关于建立健全普通本科高校高等职业学校和中等职业学校家庭经济困难学生资助政策体系的意见》（国发〔2007〕13号）、《广西壮族自治区人民政府关于进一步完善高等学校家庭经济困难学生资助政策体系的实施意见》（桂政发[2017]49号）文件精神，结合我校实际，特制定本办法。</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第二条</w:t>
      </w:r>
      <w:r>
        <w:rPr>
          <w:rFonts w:hint="eastAsia" w:ascii="仿宋_GB2312" w:hAnsi="仿宋_GB2312" w:eastAsia="仿宋_GB2312" w:cs="仿宋_GB2312"/>
          <w:kern w:val="0"/>
          <w:sz w:val="32"/>
          <w:szCs w:val="32"/>
        </w:rPr>
        <w:t xml:space="preserve">  特殊困难补助主要用于资助学生在校期间发生特殊情况，如因重大疾病、严重意外伤害事故、家庭突发事件等造成经济困难，无法维持正常学习和生活费用而支付给学生个人的助学补助。</w:t>
      </w:r>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第三条</w:t>
      </w:r>
      <w:r>
        <w:rPr>
          <w:rFonts w:hint="eastAsia" w:ascii="仿宋_GB2312" w:hAnsi="仿宋_GB2312" w:eastAsia="仿宋_GB2312" w:cs="仿宋_GB2312"/>
          <w:kern w:val="0"/>
          <w:sz w:val="32"/>
          <w:szCs w:val="32"/>
        </w:rPr>
        <w:t xml:space="preserve">  特殊困难补助经费从我校教育事业收入总额中提取的助困资助经费支出。</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25" w:name="_Toc6776_WPSOffice_Level1"/>
      <w:r>
        <w:rPr>
          <w:rFonts w:hint="eastAsia" w:ascii="黑体" w:hAnsi="仿宋_GB2312" w:eastAsia="黑体" w:cs="仿宋_GB2312"/>
          <w:b/>
          <w:kern w:val="0"/>
          <w:sz w:val="32"/>
          <w:szCs w:val="32"/>
        </w:rPr>
        <w:t>第二章  组织机构</w:t>
      </w:r>
      <w:bookmarkEnd w:id="525"/>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第四条</w:t>
      </w:r>
      <w:r>
        <w:rPr>
          <w:rFonts w:hint="eastAsia" w:ascii="仿宋_GB2312" w:hAnsi="仿宋_GB2312" w:eastAsia="仿宋_GB2312" w:cs="仿宋_GB2312"/>
          <w:kern w:val="0"/>
          <w:sz w:val="32"/>
          <w:szCs w:val="32"/>
        </w:rPr>
        <w:t xml:space="preserve">  学校学生资助工作领导小组，负责学校特殊困难补助实施办法的制定、修改以及最终评议审核。</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第五条</w:t>
      </w:r>
      <w:r>
        <w:rPr>
          <w:rFonts w:hint="eastAsia" w:ascii="仿宋_GB2312" w:hAnsi="仿宋_GB2312" w:eastAsia="仿宋_GB2312" w:cs="仿宋_GB2312"/>
          <w:kern w:val="0"/>
          <w:sz w:val="32"/>
          <w:szCs w:val="32"/>
        </w:rPr>
        <w:t xml:space="preserve">  学生资助管理中心具体负责组织实施全校的特殊困难补助工作。</w:t>
      </w:r>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第六条</w:t>
      </w:r>
      <w:r>
        <w:rPr>
          <w:rFonts w:hint="eastAsia" w:ascii="仿宋_GB2312" w:hAnsi="仿宋_GB2312" w:eastAsia="仿宋_GB2312" w:cs="仿宋_GB2312"/>
          <w:kern w:val="0"/>
          <w:sz w:val="32"/>
          <w:szCs w:val="32"/>
        </w:rPr>
        <w:t xml:space="preserve">  二级学院以分管学生工作的院领导为组长、学生资助干事、学生辅导员等担任成员的资助工作评审小组，负责本学院学生特殊困难补助的具体组织和初审工作。</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26" w:name="_Toc16333_WPSOffice_Level1"/>
      <w:r>
        <w:rPr>
          <w:rFonts w:hint="eastAsia" w:ascii="黑体" w:hAnsi="仿宋_GB2312" w:eastAsia="黑体" w:cs="仿宋_GB2312"/>
          <w:b/>
          <w:kern w:val="0"/>
          <w:sz w:val="32"/>
          <w:szCs w:val="32"/>
        </w:rPr>
        <w:t>第三章  特殊困难补助对象与条件</w:t>
      </w:r>
      <w:bookmarkEnd w:id="526"/>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第七条</w:t>
      </w:r>
      <w:r>
        <w:rPr>
          <w:rFonts w:hint="eastAsia" w:ascii="仿宋_GB2312" w:hAnsi="仿宋_GB2312" w:eastAsia="仿宋_GB2312" w:cs="仿宋_GB2312"/>
          <w:kern w:val="0"/>
          <w:sz w:val="32"/>
          <w:szCs w:val="32"/>
        </w:rPr>
        <w:t xml:space="preserve">  特殊困难补助对象：</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（一）属于建档立卡贫困户家庭学生，且当年未享受国家一等助学金。</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（二）当年未享受国家助学金但因家庭遭遇突发事件造成经济特别困难的全日制在校生。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第八条</w:t>
      </w:r>
      <w:r>
        <w:rPr>
          <w:rFonts w:hint="eastAsia" w:ascii="仿宋_GB2312" w:hAnsi="仿宋_GB2312" w:eastAsia="仿宋_GB2312" w:cs="仿宋_GB2312"/>
          <w:kern w:val="0"/>
          <w:sz w:val="32"/>
          <w:szCs w:val="32"/>
        </w:rPr>
        <w:t xml:space="preserve">  申请特殊困难补助的基本条件：</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（一）热爱祖国，拥护中国共产党领导，遵纪守法，无违法违纪行为；</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（二）关心集体，积极参加社会和学院举办的各项义务劳动和公益活动；</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（三）尊敬师长，诚实守信，团结同学，乐于助人，举止文明；</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（四）在校期间学习刻苦，成绩良好； </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（五）无不良嗜好，如抽烟、酗酒、赌博等, 无不良消费行为，无不良校园网贷等。</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（六）家庭经济特别困难，生活俭朴，且符合下列条件之一的学生：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1．属于建档立卡贫困户家庭学生，且当年未享受国家一等助学金。</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2．当年未享受国家助学金但家庭存在下列情况之一：</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（1）学生因本人或直系亲属罹患重大疾病、遭受严重意外伤害导致家庭经济困难、严重影响正常学习和生活；</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（2）学生因家庭遭遇严重灾害，家庭财产遭受严重损失导致家庭经济困难、严重影响正常学习和生活；</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（3）学生因其它突发性、特殊性经济困难导致家庭经济困难、严重影响正常学习和生活。</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第九条</w:t>
      </w:r>
      <w:r>
        <w:rPr>
          <w:rFonts w:hint="eastAsia" w:ascii="仿宋_GB2312" w:hAnsi="仿宋_GB2312" w:eastAsia="仿宋_GB2312" w:cs="仿宋_GB2312"/>
          <w:kern w:val="0"/>
          <w:sz w:val="32"/>
          <w:szCs w:val="32"/>
        </w:rPr>
        <w:t xml:space="preserve">  凡具有下列情况之一者，取消特殊困难补助资格，并退回特殊困难补助：</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1．违反国家法律、学校规章制度，受到处分者；</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2．生活铺张浪费、有奢侈消费行为、不良网贷等情况者；</w:t>
      </w:r>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3．在申请资助项目中提供虚假材料者。</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27" w:name="_Toc21142_WPSOffice_Level1"/>
      <w:r>
        <w:rPr>
          <w:rFonts w:hint="eastAsia" w:ascii="黑体" w:hAnsi="仿宋_GB2312" w:eastAsia="黑体" w:cs="仿宋_GB2312"/>
          <w:b/>
          <w:kern w:val="0"/>
          <w:sz w:val="32"/>
          <w:szCs w:val="32"/>
        </w:rPr>
        <w:t>第四章  特殊困难补助额度</w:t>
      </w:r>
      <w:bookmarkEnd w:id="527"/>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第十条</w:t>
      </w:r>
      <w:r>
        <w:rPr>
          <w:rFonts w:hint="eastAsia" w:ascii="仿宋_GB2312" w:hAnsi="仿宋_GB2312" w:eastAsia="仿宋_GB2312" w:cs="仿宋_GB2312"/>
          <w:kern w:val="0"/>
          <w:sz w:val="32"/>
          <w:szCs w:val="32"/>
        </w:rPr>
        <w:t xml:space="preserve">  特殊困难补助标准分为两档：一等特殊困难补助4000元，二等特殊困难补助2000元。</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第十一条 </w:t>
      </w:r>
      <w:r>
        <w:rPr>
          <w:rFonts w:hint="eastAsia" w:ascii="仿宋_GB2312" w:hAnsi="仿宋_GB2312" w:eastAsia="仿宋_GB2312" w:cs="仿宋_GB2312"/>
          <w:kern w:val="0"/>
          <w:sz w:val="32"/>
          <w:szCs w:val="32"/>
        </w:rPr>
        <w:t xml:space="preserve"> 根据申请人当年家庭经济困难情况确定特殊困难补助等级：</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（一）属于建档立卡贫困户家庭学生，且当年未享受国家助学金，享受一等特殊困难补助；</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（二）当年未享受助学金但因家庭遭遇突发事件造成经济特别困难学生，享受一等特殊困难补助；</w:t>
      </w:r>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（三）属于建档立卡贫困户家庭学生，且当年已享受国家二等助学金，享受二等特殊困难补助。</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28" w:name="_Toc14798_WPSOffice_Level1"/>
      <w:r>
        <w:rPr>
          <w:rFonts w:hint="eastAsia" w:ascii="黑体" w:hAnsi="仿宋_GB2312" w:eastAsia="黑体" w:cs="仿宋_GB2312"/>
          <w:b/>
          <w:kern w:val="0"/>
          <w:sz w:val="32"/>
          <w:szCs w:val="32"/>
        </w:rPr>
        <w:t>第五章  特殊困难补助申请的时间与程序</w:t>
      </w:r>
      <w:bookmarkEnd w:id="528"/>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第十二条 </w:t>
      </w:r>
      <w:r>
        <w:rPr>
          <w:rFonts w:hint="eastAsia" w:ascii="仿宋_GB2312" w:hAnsi="仿宋_GB2312" w:eastAsia="仿宋_GB2312" w:cs="仿宋_GB2312"/>
          <w:kern w:val="0"/>
          <w:sz w:val="32"/>
          <w:szCs w:val="32"/>
        </w:rPr>
        <w:t xml:space="preserve"> 特殊困难补助每学年申请一次，原则上在每学年奖、助学金评审工作结束后进行。每年12月1日—10日、5月1日—10日校学生资助中心集中受理各二级学院经审核、公示无异议的学生材料，当月完成审核、报批等工作。</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第十三条</w:t>
      </w:r>
      <w:r>
        <w:rPr>
          <w:rFonts w:hint="eastAsia" w:ascii="仿宋_GB2312" w:hAnsi="仿宋_GB2312" w:eastAsia="仿宋_GB2312" w:cs="仿宋_GB2312"/>
          <w:kern w:val="0"/>
          <w:sz w:val="32"/>
          <w:szCs w:val="32"/>
        </w:rPr>
        <w:t xml:space="preserve">  特殊困难补助申请程序</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（一）本人申请</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申请特殊困难补助的学生，向所在二级学院提出书面申请，如实提供家庭人均收入情况和有关证明材料，填写《柳州职业技术学院学生特殊困难补助申请表》。</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（二）二级学院初审</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辅导员在班级采取个别谈话、民主评议等形式，综合各方面情况和意见，并审核相关材料后，提出初审意见报二级学院学生资助工作评审小组讨论。</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 二级学院资助工作评审小组在确定初审名单后，在院内公示3个工作日，公示无异议后，将初审推荐名单及相关材料报学校学生资助管理中心。</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（三）学校审核</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学生资助管理中心对二级学院上报的特殊困难补助初审结果进行审查，并将拟特殊困难补助名单上报学生资助工作领导小组进行最终审核，确定学校当年特殊困难补助学生名单，并在校内公示3个工作日。</w:t>
      </w:r>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 学生个人对特殊困难补助审定结果如有异议，可在公示期间向学生资助管理中心提起申诉。学生资助管理中心经过调查核实，并由学生资助工作领导小组裁决后，通知学生本人及所在二级学院。</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29" w:name="_Toc28057_WPSOffice_Level1"/>
      <w:r>
        <w:rPr>
          <w:rFonts w:hint="eastAsia" w:ascii="黑体" w:hAnsi="仿宋_GB2312" w:eastAsia="黑体" w:cs="仿宋_GB2312"/>
          <w:b/>
          <w:kern w:val="0"/>
          <w:sz w:val="32"/>
          <w:szCs w:val="32"/>
        </w:rPr>
        <w:t>第六章 特殊困难补助的发放</w:t>
      </w:r>
      <w:bookmarkEnd w:id="529"/>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第十四条</w:t>
      </w:r>
      <w:r>
        <w:rPr>
          <w:rFonts w:hint="eastAsia" w:ascii="仿宋_GB2312" w:hAnsi="仿宋_GB2312" w:eastAsia="仿宋_GB2312" w:cs="仿宋_GB2312"/>
          <w:kern w:val="0"/>
          <w:sz w:val="32"/>
          <w:szCs w:val="32"/>
        </w:rPr>
        <w:t xml:space="preserve">  在学校公示期后，由学校财务处通过银行卡的方式，将特殊困难补助一次性发放给学生。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30" w:name="_Toc32080_WPSOffice_Level1"/>
      <w:r>
        <w:rPr>
          <w:rFonts w:hint="eastAsia" w:ascii="黑体" w:hAnsi="仿宋_GB2312" w:eastAsia="黑体" w:cs="仿宋_GB2312"/>
          <w:b/>
          <w:kern w:val="0"/>
          <w:sz w:val="32"/>
          <w:szCs w:val="32"/>
        </w:rPr>
        <w:t>第七章  附则</w:t>
      </w:r>
      <w:bookmarkEnd w:id="530"/>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第十五条</w:t>
      </w:r>
      <w:r>
        <w:rPr>
          <w:rFonts w:hint="eastAsia" w:ascii="仿宋_GB2312" w:hAnsi="仿宋_GB2312" w:eastAsia="仿宋_GB2312" w:cs="仿宋_GB2312"/>
          <w:kern w:val="0"/>
          <w:sz w:val="32"/>
          <w:szCs w:val="32"/>
        </w:rPr>
        <w:t xml:space="preserve">  本办法自公布之日起施行。</w:t>
      </w:r>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第十六条  本办法由校学生工作部（处）负责解释。</w:t>
      </w:r>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rPr>
      </w:pP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附表：柳州职业技术学院特殊困难补助申请表</w:t>
      </w:r>
    </w:p>
    <w:p>
      <w:pPr>
        <w:pageBreakBefore w:val="0"/>
        <w:kinsoku/>
        <w:overflowPunct/>
        <w:topLinePunct w:val="0"/>
        <w:bidi w:val="0"/>
        <w:spacing w:line="560" w:lineRule="exact"/>
        <w:ind w:firstLine="640" w:firstLineChars="200"/>
        <w:outlineLvl w:val="9"/>
        <w:rPr>
          <w:rFonts w:hint="eastAsia" w:ascii="仿宋_GB2312" w:hAnsi="仿宋_GB2312" w:eastAsia="仿宋_GB2312" w:cs="仿宋_GB2312"/>
          <w:kern w:val="0"/>
          <w:sz w:val="32"/>
          <w:szCs w:val="32"/>
        </w:rPr>
      </w:pPr>
    </w:p>
    <w:p>
      <w:pPr>
        <w:pageBreakBefore w:val="0"/>
        <w:kinsoku/>
        <w:overflowPunct/>
        <w:topLinePunct w:val="0"/>
        <w:bidi w:val="0"/>
        <w:spacing w:line="560" w:lineRule="exact"/>
        <w:ind w:firstLine="1600" w:firstLineChars="500"/>
        <w:outlineLvl w:val="9"/>
        <w:rPr>
          <w:rFonts w:ascii="仿宋_GB2312" w:hAnsi="仿宋_GB2312" w:eastAsia="仿宋_GB2312" w:cs="仿宋_GB2312"/>
          <w:kern w:val="0"/>
          <w:sz w:val="32"/>
          <w:szCs w:val="32"/>
        </w:rPr>
        <w:sectPr>
          <w:footerReference r:id="rId9" w:type="default"/>
          <w:headerReference r:id="rId8" w:type="even"/>
          <w:footerReference r:id="rId10" w:type="even"/>
          <w:pgSz w:w="11906" w:h="16838"/>
          <w:pgMar w:top="2098" w:right="1474" w:bottom="1985" w:left="1588" w:header="851" w:footer="1559" w:gutter="0"/>
          <w:pgNumType w:fmt="decimal"/>
          <w:cols w:space="425" w:num="1"/>
          <w:docGrid w:type="linesAndChars" w:linePitch="381" w:charSpace="0"/>
        </w:sectPr>
      </w:pPr>
    </w:p>
    <w:p>
      <w:pPr>
        <w:pageBreakBefore w:val="0"/>
        <w:kinsoku/>
        <w:overflowPunct/>
        <w:topLinePunct w:val="0"/>
        <w:bidi w:val="0"/>
        <w:spacing w:line="240" w:lineRule="exact"/>
        <w:outlineLvl w:val="9"/>
        <w:rPr>
          <w:rFonts w:ascii="仿宋_GB2312" w:eastAsia="仿宋_GB2312"/>
          <w:spacing w:val="-2"/>
          <w:sz w:val="21"/>
          <w:szCs w:val="21"/>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b/>
          <w:color w:val="000000"/>
          <w:sz w:val="36"/>
          <w:szCs w:val="36"/>
        </w:rPr>
      </w:pPr>
      <w:bookmarkStart w:id="531" w:name="_Toc6638"/>
      <w:bookmarkStart w:id="532" w:name="_Toc12986"/>
      <w:bookmarkStart w:id="533" w:name="_Toc12253"/>
      <w:bookmarkStart w:id="534" w:name="_Toc22167_WPSOffice_Level1"/>
      <w:bookmarkStart w:id="535" w:name="_Toc16208"/>
      <w:bookmarkStart w:id="536" w:name="_Toc3512"/>
      <w:bookmarkStart w:id="537" w:name="_Toc6305"/>
      <w:r>
        <w:rPr>
          <w:rFonts w:hint="eastAsia"/>
          <w:b/>
          <w:color w:val="000000"/>
          <w:sz w:val="36"/>
          <w:szCs w:val="36"/>
        </w:rPr>
        <w:t>柳州职业技术学院学生学费减免实施办法</w:t>
      </w:r>
      <w:bookmarkEnd w:id="531"/>
      <w:bookmarkEnd w:id="532"/>
      <w:bookmarkEnd w:id="533"/>
      <w:bookmarkEnd w:id="534"/>
      <w:bookmarkEnd w:id="535"/>
      <w:bookmarkEnd w:id="536"/>
      <w:bookmarkEnd w:id="537"/>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b w:val="0"/>
          <w:bCs w:val="0"/>
          <w:sz w:val="32"/>
          <w:szCs w:val="32"/>
        </w:rPr>
        <w:t>柳职院学字〔2019〕4号</w:t>
      </w:r>
      <w:r>
        <w:rPr>
          <w:rFonts w:hint="eastAsia" w:ascii="仿宋_GB2312" w:eastAsia="仿宋_GB2312"/>
          <w:b w:val="0"/>
          <w:bCs w:val="0"/>
          <w:sz w:val="32"/>
          <w:szCs w:val="32"/>
          <w:lang w:eastAsia="zh-CN"/>
        </w:rPr>
        <w:t>）</w:t>
      </w: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38" w:name="_Toc21613_WPSOffice_Level1"/>
      <w:r>
        <w:rPr>
          <w:rFonts w:hint="eastAsia" w:ascii="黑体" w:hAnsi="仿宋_GB2312" w:eastAsia="黑体" w:cs="仿宋_GB2312"/>
          <w:b/>
          <w:kern w:val="0"/>
          <w:sz w:val="32"/>
          <w:szCs w:val="32"/>
        </w:rPr>
        <w:t>第一章  总则</w:t>
      </w:r>
      <w:bookmarkEnd w:id="538"/>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第一条 </w:t>
      </w:r>
      <w:r>
        <w:rPr>
          <w:rFonts w:hint="eastAsia" w:ascii="仿宋_GB2312" w:hAnsi="仿宋_GB2312" w:eastAsia="仿宋_GB2312" w:cs="仿宋_GB2312"/>
          <w:kern w:val="0"/>
          <w:sz w:val="32"/>
          <w:szCs w:val="32"/>
        </w:rPr>
        <w:t xml:space="preserve"> 为贯彻落实国家有关家庭经济困难学生资助政策，完善我校家庭经济困难学生的资助体系，帮助和鼓励家庭经济困难学生克服困难，勤奋学习，完成学业，根据《国务院关于建立健全普通本科高校高等职业学校和中等职业学校家庭经济困难学生资助政策体系的意见》（国发〔</w:t>
      </w:r>
      <w:r>
        <w:rPr>
          <w:rFonts w:ascii="仿宋_GB2312" w:hAnsi="仿宋_GB2312" w:eastAsia="仿宋_GB2312" w:cs="仿宋_GB2312"/>
          <w:kern w:val="0"/>
          <w:sz w:val="32"/>
          <w:szCs w:val="32"/>
        </w:rPr>
        <w:t>2007</w:t>
      </w:r>
      <w:r>
        <w:rPr>
          <w:rFonts w:hint="eastAsia" w:ascii="仿宋_GB2312" w:hAnsi="仿宋_GB2312" w:eastAsia="仿宋_GB2312" w:cs="仿宋_GB2312"/>
          <w:kern w:val="0"/>
          <w:sz w:val="32"/>
          <w:szCs w:val="32"/>
        </w:rPr>
        <w:t>〕</w:t>
      </w:r>
      <w:r>
        <w:rPr>
          <w:rFonts w:ascii="仿宋_GB2312" w:hAnsi="仿宋_GB2312" w:eastAsia="仿宋_GB2312" w:cs="仿宋_GB2312"/>
          <w:kern w:val="0"/>
          <w:sz w:val="32"/>
          <w:szCs w:val="32"/>
        </w:rPr>
        <w:t>13</w:t>
      </w:r>
      <w:r>
        <w:rPr>
          <w:rFonts w:hint="eastAsia" w:ascii="仿宋_GB2312" w:hAnsi="仿宋_GB2312" w:eastAsia="仿宋_GB2312" w:cs="仿宋_GB2312"/>
          <w:kern w:val="0"/>
          <w:sz w:val="32"/>
          <w:szCs w:val="32"/>
        </w:rPr>
        <w:t>号）、《广西壮族自治区人民政府关于进一步完善高等学校家庭经济困难学生资助政策体系的实施意见》（桂政发</w:t>
      </w:r>
      <w:r>
        <w:rPr>
          <w:rFonts w:hint="eastAsia" w:ascii="仿宋_GB2312" w:eastAsia="仿宋_GB2312"/>
          <w:sz w:val="32"/>
          <w:szCs w:val="32"/>
        </w:rPr>
        <w:t>〔2017〕</w:t>
      </w:r>
      <w:r>
        <w:rPr>
          <w:rFonts w:hint="eastAsia" w:ascii="仿宋_GB2312" w:hAnsi="仿宋_GB2312" w:eastAsia="仿宋_GB2312" w:cs="仿宋_GB2312"/>
          <w:kern w:val="0"/>
          <w:sz w:val="32"/>
          <w:szCs w:val="32"/>
        </w:rPr>
        <w:t>49号）文件精神，结合我校实际，特制定本办法。</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第二条</w:t>
      </w:r>
      <w:r>
        <w:rPr>
          <w:rFonts w:hint="eastAsia" w:ascii="仿宋_GB2312" w:hAnsi="仿宋_GB2312" w:eastAsia="仿宋_GB2312" w:cs="仿宋_GB2312"/>
          <w:kern w:val="0"/>
          <w:sz w:val="32"/>
          <w:szCs w:val="32"/>
        </w:rPr>
        <w:t xml:space="preserve">  学费减免主要用于资助学生因家庭经济困难无法交纳学费而给予学费的减免。</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第三条</w:t>
      </w:r>
      <w:r>
        <w:rPr>
          <w:rFonts w:hint="eastAsia" w:ascii="仿宋_GB2312" w:hAnsi="仿宋_GB2312" w:eastAsia="仿宋_GB2312" w:cs="仿宋_GB2312"/>
          <w:kern w:val="0"/>
          <w:sz w:val="32"/>
          <w:szCs w:val="32"/>
        </w:rPr>
        <w:t xml:space="preserve">  学费减免经费从我校教育事业收入总额中提取的助困资助经费支出。</w:t>
      </w: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39" w:name="_Toc5400_WPSOffice_Level1"/>
      <w:r>
        <w:rPr>
          <w:rFonts w:hint="eastAsia" w:ascii="黑体" w:hAnsi="仿宋_GB2312" w:eastAsia="黑体" w:cs="仿宋_GB2312"/>
          <w:b/>
          <w:kern w:val="0"/>
          <w:sz w:val="32"/>
          <w:szCs w:val="32"/>
        </w:rPr>
        <w:t>第二章  组织机构</w:t>
      </w:r>
      <w:bookmarkEnd w:id="539"/>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第四条</w:t>
      </w:r>
      <w:r>
        <w:rPr>
          <w:rFonts w:hint="eastAsia" w:ascii="仿宋_GB2312" w:hAnsi="仿宋_GB2312" w:eastAsia="仿宋_GB2312" w:cs="仿宋_GB2312"/>
          <w:kern w:val="0"/>
          <w:sz w:val="32"/>
          <w:szCs w:val="32"/>
        </w:rPr>
        <w:t xml:space="preserve">  学校学生资助工作领导小组，负责学校学费减免实施办法的制定、修改以及最终评议审核。</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第五条</w:t>
      </w:r>
      <w:r>
        <w:rPr>
          <w:rFonts w:hint="eastAsia" w:ascii="仿宋_GB2312" w:hAnsi="仿宋_GB2312" w:eastAsia="仿宋_GB2312" w:cs="仿宋_GB2312"/>
          <w:kern w:val="0"/>
          <w:sz w:val="32"/>
          <w:szCs w:val="32"/>
        </w:rPr>
        <w:t xml:space="preserve">  学生资助管理中心具体负责组织实施全校的学费减免工作。</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第六条</w:t>
      </w:r>
      <w:r>
        <w:rPr>
          <w:rFonts w:hint="eastAsia" w:ascii="仿宋_GB2312" w:hAnsi="仿宋_GB2312" w:eastAsia="仿宋_GB2312" w:cs="仿宋_GB2312"/>
          <w:kern w:val="0"/>
          <w:sz w:val="32"/>
          <w:szCs w:val="32"/>
        </w:rPr>
        <w:t xml:space="preserve">  二级学院以分管学生工作的院领导为组长、学生资助干事、学生辅导员等担任成员的资助工作评审小组，负责本学院学生学费减免的具体组织和初审工作。</w:t>
      </w: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40" w:name="_Toc24323_WPSOffice_Level1"/>
      <w:r>
        <w:rPr>
          <w:rFonts w:hint="eastAsia" w:ascii="黑体" w:hAnsi="仿宋_GB2312" w:eastAsia="黑体" w:cs="仿宋_GB2312"/>
          <w:b/>
          <w:kern w:val="0"/>
          <w:sz w:val="32"/>
          <w:szCs w:val="32"/>
        </w:rPr>
        <w:t>第三章  学费减免对象与减免条件</w:t>
      </w:r>
      <w:bookmarkEnd w:id="540"/>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第七条</w:t>
      </w:r>
      <w:r>
        <w:rPr>
          <w:rFonts w:hint="eastAsia" w:ascii="仿宋_GB2312" w:hAnsi="仿宋_GB2312" w:eastAsia="仿宋_GB2312" w:cs="仿宋_GB2312"/>
          <w:kern w:val="0"/>
          <w:sz w:val="32"/>
          <w:szCs w:val="32"/>
        </w:rPr>
        <w:t xml:space="preserve">  学费减免对象为当年我校被认定为家庭经济困难的全日制在校生。</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第八条</w:t>
      </w:r>
      <w:r>
        <w:rPr>
          <w:rFonts w:hint="eastAsia" w:ascii="仿宋_GB2312" w:hAnsi="仿宋_GB2312" w:eastAsia="仿宋_GB2312" w:cs="仿宋_GB2312"/>
          <w:kern w:val="0"/>
          <w:sz w:val="32"/>
          <w:szCs w:val="32"/>
        </w:rPr>
        <w:t xml:space="preserve">  申请学费减免的基本条件：</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（一）热爱祖国，拥护中国共产党领导，遵纪守法，无违法违纪行为；</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（二）关心集体，积极参加社会和学院举办的各项义务劳动和公益活动；</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（三）尊敬师长，诚实守信，团结同学，乐于助人，举止文明；</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（四）在校期间学习刻苦，成绩良好，无不及格科目；</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（五）无不良嗜好，如抽烟、酗酒、赌博等, 无不良消费行为，无不良校园网贷等。</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（六）家庭经济困难，生活俭朴，在当年被认定为家庭经济困难学生且符合下列条件之一的学生：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1．农村建档立卡家庭经济特别困难的学生；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 父母均已去世，确无经济来源的孤儿；</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3．烈士子女等优抚对象中家庭经济困难的学生；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4．学生本人残疾、患重大疾病，需长期自费治疗，造成家庭严重负债；</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由于父母单方或双方重病、残疾、丧失劳动能力等原因，造成家庭经济特别困难，交付学费存在困难的学生；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家庭因重大自然灾害等原因，造成经济困难而难以支付全额学费的学生；</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 其他情况按国家相关政策要求应予以减免学费的学生。</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第九条 </w:t>
      </w:r>
      <w:r>
        <w:rPr>
          <w:rFonts w:hint="eastAsia" w:ascii="仿宋_GB2312" w:hAnsi="仿宋_GB2312" w:eastAsia="仿宋_GB2312" w:cs="仿宋_GB2312"/>
          <w:kern w:val="0"/>
          <w:sz w:val="32"/>
          <w:szCs w:val="32"/>
        </w:rPr>
        <w:t xml:space="preserve"> 凡具有下列情况之一者，取消学费减免资格，并退回减免的学费：</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ascii="仿宋_GB2312" w:hAnsi="仿宋_GB2312" w:eastAsia="仿宋_GB2312" w:cs="仿宋_GB2312"/>
          <w:kern w:val="0"/>
          <w:sz w:val="32"/>
          <w:szCs w:val="32"/>
        </w:rPr>
        <w:t>1</w:t>
      </w:r>
      <w:r>
        <w:rPr>
          <w:rFonts w:hint="eastAsia" w:ascii="仿宋_GB2312" w:hAnsi="仿宋_GB2312" w:eastAsia="仿宋_GB2312" w:cs="仿宋_GB2312"/>
          <w:kern w:val="0"/>
          <w:sz w:val="32"/>
          <w:szCs w:val="32"/>
        </w:rPr>
        <w:t>．违反国家法律、学校规章制度，受到处分者；</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ascii="仿宋_GB2312" w:hAnsi="仿宋_GB2312" w:eastAsia="仿宋_GB2312" w:cs="仿宋_GB2312"/>
          <w:kern w:val="0"/>
          <w:sz w:val="32"/>
          <w:szCs w:val="32"/>
        </w:rPr>
        <w:t>2</w:t>
      </w:r>
      <w:r>
        <w:rPr>
          <w:rFonts w:hint="eastAsia" w:ascii="仿宋_GB2312" w:hAnsi="仿宋_GB2312" w:eastAsia="仿宋_GB2312" w:cs="仿宋_GB2312"/>
          <w:kern w:val="0"/>
          <w:sz w:val="32"/>
          <w:szCs w:val="32"/>
        </w:rPr>
        <w:t>．生活铺张浪费、有奢侈消费行为、不良网贷等情况者；</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3．在申请资助项目中提供虚假材料者。</w:t>
      </w: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41" w:name="_Toc28206_WPSOffice_Level1"/>
      <w:r>
        <w:rPr>
          <w:rFonts w:hint="eastAsia" w:ascii="黑体" w:hAnsi="仿宋_GB2312" w:eastAsia="黑体" w:cs="仿宋_GB2312"/>
          <w:b/>
          <w:kern w:val="0"/>
          <w:sz w:val="32"/>
          <w:szCs w:val="32"/>
        </w:rPr>
        <w:t>第四章  学费减免额度</w:t>
      </w:r>
      <w:bookmarkEnd w:id="541"/>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第十条</w:t>
      </w:r>
      <w:r>
        <w:rPr>
          <w:rFonts w:hint="eastAsia" w:ascii="仿宋_GB2312" w:hAnsi="仿宋_GB2312" w:eastAsia="仿宋_GB2312" w:cs="仿宋_GB2312"/>
          <w:kern w:val="0"/>
          <w:sz w:val="32"/>
          <w:szCs w:val="32"/>
        </w:rPr>
        <w:t xml:space="preserve">  </w:t>
      </w:r>
      <w:r>
        <w:rPr>
          <w:rFonts w:ascii="仿宋_GB2312" w:hAnsi="仿宋_GB2312" w:eastAsia="仿宋_GB2312" w:cs="仿宋_GB2312"/>
          <w:kern w:val="0"/>
          <w:sz w:val="32"/>
          <w:szCs w:val="32"/>
        </w:rPr>
        <w:t>学费减免</w:t>
      </w:r>
      <w:r>
        <w:rPr>
          <w:rFonts w:hint="eastAsia" w:ascii="仿宋_GB2312" w:hAnsi="仿宋_GB2312" w:eastAsia="仿宋_GB2312" w:cs="仿宋_GB2312"/>
          <w:kern w:val="0"/>
          <w:sz w:val="32"/>
          <w:szCs w:val="32"/>
        </w:rPr>
        <w:t>额度最高不超过当年度应缴纳学费金额。</w:t>
      </w: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42" w:name="_Toc2011_WPSOffice_Level1"/>
      <w:r>
        <w:rPr>
          <w:rFonts w:hint="eastAsia" w:ascii="黑体" w:hAnsi="仿宋_GB2312" w:eastAsia="黑体" w:cs="仿宋_GB2312"/>
          <w:b/>
          <w:kern w:val="0"/>
          <w:sz w:val="32"/>
          <w:szCs w:val="32"/>
        </w:rPr>
        <w:t>第五章  学费减免申请的时间与程序</w:t>
      </w:r>
      <w:bookmarkEnd w:id="542"/>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第十一条</w:t>
      </w:r>
      <w:r>
        <w:rPr>
          <w:rFonts w:hint="eastAsia" w:ascii="仿宋_GB2312" w:hAnsi="仿宋_GB2312" w:eastAsia="仿宋_GB2312" w:cs="仿宋_GB2312"/>
          <w:kern w:val="0"/>
          <w:sz w:val="32"/>
          <w:szCs w:val="32"/>
        </w:rPr>
        <w:t xml:space="preserve">  学费减免每学年申请一次，原则上在每学年奖、助学金评审工作结束后进行。每年12月1日—10日校学生资助中心集中受理各二级学院经审核、公示无异议的学生材料，12月底完成审核、报批等工作。</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第十二条</w:t>
      </w:r>
      <w:r>
        <w:rPr>
          <w:rFonts w:hint="eastAsia" w:ascii="仿宋_GB2312" w:hAnsi="仿宋_GB2312" w:eastAsia="仿宋_GB2312" w:cs="仿宋_GB2312"/>
          <w:kern w:val="0"/>
          <w:sz w:val="32"/>
          <w:szCs w:val="32"/>
        </w:rPr>
        <w:t xml:space="preserve">  学费减免申请程序</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（一）本人申请</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申请减免学费的学生，向所在二级学院提出书面申请，如实提供家庭人均收入情况和有关证明材料，填写《柳州职业技术学院学生学费减免申请表》。</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（二）二级学院初审</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辅导员在班级采取个别谈话、民主评议等形式，综合各方面情况和意见，并审核相关材料后，提出初审意见报二级学院学生资助工作评审小组讨论。</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 二级学院资助工作评审小组在确定初审名单后，在院内公示3个工作日，公示无异议后，将初审推荐名单及相关材料报学校学生资助管理中心。</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（三）学校审核</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学生资助管理中心对二级学院上报的学费减免初审结果进行审查，并将拟减免学费名单上报学生资助工作领导小组进行最终审核，确定学校当年学费减免学生名单，并在校内公示3个工作日。</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 学生个人对学费减免审定结果如有异议，可在公示期间向学生资助管理中心提起申诉。学生资助管理中心经过调查核实，并由学生资助工作领导小组裁决后，通知学生本人及所在二级学院。</w:t>
      </w: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43" w:name="_Toc31605_WPSOffice_Level1"/>
      <w:r>
        <w:rPr>
          <w:rFonts w:hint="eastAsia" w:ascii="黑体" w:hAnsi="仿宋_GB2312" w:eastAsia="黑体" w:cs="仿宋_GB2312"/>
          <w:b/>
          <w:kern w:val="0"/>
          <w:sz w:val="32"/>
          <w:szCs w:val="32"/>
        </w:rPr>
        <w:t>第六章  附则</w:t>
      </w:r>
      <w:bookmarkEnd w:id="543"/>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第十三条</w:t>
      </w:r>
      <w:r>
        <w:rPr>
          <w:rFonts w:hint="eastAsia" w:ascii="仿宋_GB2312" w:hAnsi="仿宋_GB2312" w:eastAsia="仿宋_GB2312" w:cs="仿宋_GB2312"/>
          <w:kern w:val="0"/>
          <w:sz w:val="32"/>
          <w:szCs w:val="32"/>
        </w:rPr>
        <w:t xml:space="preserve">  本办法自公布之日起施行，原《柳州职业技术学院家庭经济困难学生学费减免实施办法》（柳职院学字</w:t>
      </w:r>
      <w:r>
        <w:rPr>
          <w:rFonts w:hint="eastAsia" w:ascii="仿宋_GB2312" w:eastAsia="仿宋_GB2312"/>
          <w:sz w:val="32"/>
          <w:szCs w:val="32"/>
        </w:rPr>
        <w:t>〔2014〕</w:t>
      </w:r>
      <w:r>
        <w:rPr>
          <w:rFonts w:hint="eastAsia" w:ascii="仿宋_GB2312" w:hAnsi="仿宋_GB2312" w:eastAsia="仿宋_GB2312" w:cs="仿宋_GB2312"/>
          <w:kern w:val="0"/>
          <w:sz w:val="32"/>
          <w:szCs w:val="32"/>
        </w:rPr>
        <w:t>46号）同时废止。</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第十四条</w:t>
      </w:r>
      <w:r>
        <w:rPr>
          <w:rFonts w:hint="eastAsia" w:ascii="仿宋_GB2312" w:hAnsi="仿宋_GB2312" w:eastAsia="仿宋_GB2312" w:cs="仿宋_GB2312"/>
          <w:kern w:val="0"/>
          <w:sz w:val="32"/>
          <w:szCs w:val="32"/>
        </w:rPr>
        <w:t xml:space="preserve">  本办法由校学生工作部（处）负责解释。</w:t>
      </w:r>
    </w:p>
    <w:p>
      <w:pPr>
        <w:rPr>
          <w:rFonts w:hint="eastAsia"/>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b/>
          <w:color w:val="000000"/>
          <w:sz w:val="36"/>
          <w:szCs w:val="36"/>
        </w:rPr>
      </w:pPr>
      <w:bookmarkStart w:id="544" w:name="_Toc15925"/>
      <w:bookmarkStart w:id="545" w:name="_Toc23607_WPSOffice_Level1"/>
      <w:bookmarkStart w:id="546" w:name="_Toc25884"/>
      <w:bookmarkStart w:id="547" w:name="_Toc23307"/>
      <w:bookmarkStart w:id="548" w:name="_Toc3614"/>
      <w:bookmarkStart w:id="549" w:name="_Toc25792"/>
      <w:bookmarkStart w:id="550" w:name="_Toc13829"/>
      <w:r>
        <w:rPr>
          <w:rFonts w:hint="eastAsia"/>
          <w:b/>
          <w:color w:val="000000"/>
          <w:sz w:val="36"/>
          <w:szCs w:val="36"/>
        </w:rPr>
        <w:t>柳州职业技术学院直招士官国家资助管理办法</w:t>
      </w:r>
      <w:bookmarkEnd w:id="544"/>
      <w:bookmarkEnd w:id="545"/>
      <w:bookmarkEnd w:id="546"/>
      <w:bookmarkEnd w:id="547"/>
      <w:bookmarkEnd w:id="548"/>
      <w:bookmarkEnd w:id="549"/>
      <w:bookmarkEnd w:id="550"/>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b w:val="0"/>
          <w:bCs w:val="0"/>
          <w:sz w:val="32"/>
          <w:szCs w:val="32"/>
        </w:rPr>
        <w:t>柳职院学字〔2019〕16号</w:t>
      </w:r>
      <w:r>
        <w:rPr>
          <w:rFonts w:hint="eastAsia" w:ascii="仿宋_GB2312" w:eastAsia="仿宋_GB2312"/>
          <w:b w:val="0"/>
          <w:bCs w:val="0"/>
          <w:sz w:val="32"/>
          <w:szCs w:val="32"/>
          <w:lang w:eastAsia="zh-CN"/>
        </w:rPr>
        <w:t>）</w:t>
      </w: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51" w:name="_Toc20214_WPSOffice_Level1"/>
      <w:r>
        <w:rPr>
          <w:rFonts w:hint="eastAsia" w:ascii="黑体" w:hAnsi="仿宋_GB2312" w:eastAsia="黑体" w:cs="仿宋_GB2312"/>
          <w:b/>
          <w:kern w:val="0"/>
          <w:sz w:val="32"/>
          <w:szCs w:val="32"/>
        </w:rPr>
        <w:t>第一章  总则</w:t>
      </w:r>
      <w:bookmarkEnd w:id="551"/>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第一条</w:t>
      </w:r>
      <w:r>
        <w:rPr>
          <w:rFonts w:hint="eastAsia" w:ascii="仿宋_GB2312" w:hAnsi="仿宋_GB2312" w:eastAsia="仿宋_GB2312" w:cs="仿宋_GB2312"/>
          <w:kern w:val="0"/>
          <w:sz w:val="32"/>
          <w:szCs w:val="32"/>
        </w:rPr>
        <w:t xml:space="preserve">  为鼓励我校学生积极参加士官直招，提高部队士官人才质量，推进国防和军队现代化建设，根据财政部、教育部、总参谋部联合印发的《关于对直接招收为士官的高等学校学生施行国家资助的通知》(财教</w:t>
      </w:r>
      <w:r>
        <w:rPr>
          <w:rFonts w:hint="eastAsia" w:ascii="仿宋_GB2312" w:eastAsia="仿宋_GB2312"/>
          <w:sz w:val="32"/>
          <w:szCs w:val="32"/>
        </w:rPr>
        <w:t>〔2015〕</w:t>
      </w:r>
      <w:r>
        <w:rPr>
          <w:rFonts w:hint="eastAsia" w:ascii="仿宋_GB2312" w:hAnsi="仿宋_GB2312" w:eastAsia="仿宋_GB2312" w:cs="仿宋_GB2312"/>
          <w:kern w:val="0"/>
          <w:sz w:val="32"/>
          <w:szCs w:val="32"/>
        </w:rPr>
        <w:t>462号)文件精神，对直接招收为士官的我校学生实施国家资助，结合我校实际，制定本办法。</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第二条</w:t>
      </w:r>
      <w:r>
        <w:rPr>
          <w:rFonts w:hint="eastAsia" w:ascii="仿宋_GB2312" w:hAnsi="仿宋_GB2312" w:eastAsia="仿宋_GB2312" w:cs="仿宋_GB2312"/>
          <w:kern w:val="0"/>
          <w:sz w:val="32"/>
          <w:szCs w:val="32"/>
        </w:rPr>
        <w:t xml:space="preserve">  国家对直接招收为士官的高等学校学生施行国家资助，是指入伍时对其在校期间缴纳的学费实行一次性补偿或获得的国家助学贷款（包括校园地国家助学贷款和生源地信用助学贷款，下同）实行代偿。</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第三条</w:t>
      </w:r>
      <w:r>
        <w:rPr>
          <w:rFonts w:hint="eastAsia" w:ascii="仿宋_GB2312" w:hAnsi="仿宋_GB2312" w:eastAsia="仿宋_GB2312" w:cs="仿宋_GB2312"/>
          <w:kern w:val="0"/>
          <w:sz w:val="32"/>
          <w:szCs w:val="32"/>
        </w:rPr>
        <w:t xml:space="preserve">  国家资助直接招收为士官的高等学校学生（以下简称“高校学生”），是指直接从非军事部门招收为部队士官的全日制普通本专科（含高职）的应（往）届毕业生。</w:t>
      </w:r>
    </w:p>
    <w:p>
      <w:pPr>
        <w:pageBreakBefore w:val="0"/>
        <w:kinsoku/>
        <w:overflowPunct/>
        <w:topLinePunct w:val="0"/>
        <w:bidi w:val="0"/>
        <w:spacing w:line="560" w:lineRule="exact"/>
        <w:ind w:firstLine="643"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第四条</w:t>
      </w:r>
      <w:r>
        <w:rPr>
          <w:rFonts w:hint="eastAsia" w:ascii="仿宋_GB2312" w:hAnsi="仿宋_GB2312" w:eastAsia="仿宋_GB2312" w:cs="仿宋_GB2312"/>
          <w:kern w:val="0"/>
          <w:sz w:val="32"/>
          <w:szCs w:val="32"/>
        </w:rPr>
        <w:t xml:space="preserve">  直接招收为士官的高校学生国家资助资金，全部由中央财政安排。</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52" w:name="_Toc8344_WPSOffice_Level1"/>
      <w:r>
        <w:rPr>
          <w:rFonts w:hint="eastAsia" w:ascii="黑体" w:hAnsi="仿宋_GB2312" w:eastAsia="黑体" w:cs="仿宋_GB2312"/>
          <w:b/>
          <w:kern w:val="0"/>
          <w:sz w:val="32"/>
          <w:szCs w:val="32"/>
        </w:rPr>
        <w:t>第二章  标准及年限</w:t>
      </w:r>
      <w:bookmarkEnd w:id="552"/>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第五条</w:t>
      </w:r>
      <w:r>
        <w:rPr>
          <w:rFonts w:hint="eastAsia" w:ascii="仿宋_GB2312" w:hAnsi="仿宋_GB2312" w:eastAsia="仿宋_GB2312" w:cs="仿宋_GB2312"/>
          <w:kern w:val="0"/>
          <w:sz w:val="32"/>
          <w:szCs w:val="32"/>
        </w:rPr>
        <w:t xml:space="preserve">  学费补偿及国家助学贷款代偿标准，每人每年最高不超过8000元。</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学费补偿或国家助学贷款代偿金额，按学生实际缴纳的学费或获得的国家助学贷款(国家助学贷款包括本金及其全部偿还之前产生的利息，下同)两者金额较高者执行，据实补偿或者代偿。超出标准部分不予补偿或者代偿。 </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获学费补偿学生在校期间获得国家助学贷款的，补偿资金必须首先用于偿还国家助学贷款。如补偿金额高于国家助学贷款金额，高出部分退还学生。</w:t>
      </w:r>
    </w:p>
    <w:p>
      <w:pPr>
        <w:pageBreakBefore w:val="0"/>
        <w:kinsoku/>
        <w:overflowPunct/>
        <w:topLinePunct w:val="0"/>
        <w:bidi w:val="0"/>
        <w:spacing w:line="560" w:lineRule="exact"/>
        <w:ind w:firstLine="643"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第六条</w:t>
      </w:r>
      <w:r>
        <w:rPr>
          <w:rFonts w:hint="eastAsia" w:ascii="仿宋_GB2312" w:hAnsi="仿宋_GB2312" w:eastAsia="仿宋_GB2312" w:cs="仿宋_GB2312"/>
          <w:kern w:val="0"/>
          <w:sz w:val="32"/>
          <w:szCs w:val="32"/>
        </w:rPr>
        <w:t xml:space="preserve">  直接招收为士官的高校学生国家资助的年限按照三年修业规定年限据实计算。</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53" w:name="_Toc13122_WPSOffice_Level1"/>
      <w:r>
        <w:rPr>
          <w:rFonts w:hint="eastAsia" w:ascii="黑体" w:hAnsi="仿宋_GB2312" w:eastAsia="黑体" w:cs="仿宋_GB2312"/>
          <w:b/>
          <w:kern w:val="0"/>
          <w:sz w:val="32"/>
          <w:szCs w:val="32"/>
        </w:rPr>
        <w:t>第三章  申请与审批</w:t>
      </w:r>
      <w:bookmarkEnd w:id="553"/>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第七条</w:t>
      </w:r>
      <w:r>
        <w:rPr>
          <w:rFonts w:hint="eastAsia" w:ascii="仿宋_GB2312" w:hAnsi="仿宋_GB2312" w:eastAsia="仿宋_GB2312" w:cs="仿宋_GB2312"/>
          <w:kern w:val="0"/>
          <w:sz w:val="32"/>
          <w:szCs w:val="32"/>
        </w:rPr>
        <w:t xml:space="preserve">  学生申请直招士官国家资助申报流程及所需材料：</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（一）应征报名的学生登录全国征兵网(</w:t>
      </w:r>
      <w:r>
        <w:rPr>
          <w:rFonts w:ascii="仿宋_GB2312" w:hAnsi="仿宋_GB2312" w:eastAsia="仿宋_GB2312" w:cs="仿宋_GB2312"/>
          <w:kern w:val="0"/>
          <w:sz w:val="32"/>
          <w:szCs w:val="32"/>
        </w:rPr>
        <w:t>www.gfbzb.gov.cn</w:t>
      </w:r>
      <w:r>
        <w:rPr>
          <w:rFonts w:hint="eastAsia" w:ascii="仿宋_GB2312" w:hAnsi="仿宋_GB2312" w:eastAsia="仿宋_GB2312" w:cs="仿宋_GB2312"/>
          <w:kern w:val="0"/>
          <w:sz w:val="32"/>
          <w:szCs w:val="32"/>
        </w:rPr>
        <w:t>)，按要求在线填写，并从系统打印一式两份（双面打印）《直接招收士官的高校学生学费补偿国家助学贷款代偿申请表》（以下简称《申请表》）。</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学生将《申请表》交到学生资助管理中心初审，由学生资助管理中心和学校财务处对《申请表》中学生的资助资格、标准、金额等相关信息审核无误后，对《申请表》加盖公章。申请国家助学贷款代偿的需同时提供所有年度的《国家助学贷款借款合同》。</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（三）学生在征兵报名时将初审合格的《申请表》交至入伍所在地县级人民政府征兵办公室（以下简称县级征兵办）签字公章。</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（四）每年9月15日—10月20日，学生将以下材料交至学生服务中心，由学生资助管理中心对各项内容进行复核：</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1.《高校学生应征入伍学费补偿国家助学贷款代偿申请表》（一式两份）；</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2.入伍通知书复印件（一式一份）；</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3.本人姓名的农行卡复印件（一式一份）；</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4.申请国家助学贷款代偿的需同时提供所有年度国家助学贷款借款合同复印件（一式一份）。</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（五）学生资助管理中心对各项内容进行复核后，符合条件的，应及时向学生进行学费补偿或国家助学贷款代偿。</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第八条</w:t>
      </w:r>
      <w:r>
        <w:rPr>
          <w:rFonts w:hint="eastAsia" w:ascii="仿宋_GB2312" w:hAnsi="仿宋_GB2312" w:eastAsia="仿宋_GB2312" w:cs="仿宋_GB2312"/>
          <w:kern w:val="0"/>
          <w:sz w:val="32"/>
          <w:szCs w:val="32"/>
        </w:rPr>
        <w:t xml:space="preserve">  每年10月31日前，学校将本年度高校直接招收为士官的学生国家资助的经费使用等情况，报自治区学生资助管理中心审核。</w:t>
      </w:r>
    </w:p>
    <w:p>
      <w:pPr>
        <w:pageBreakBefore w:val="0"/>
        <w:kinsoku/>
        <w:overflowPunct/>
        <w:topLinePunct w:val="0"/>
        <w:bidi w:val="0"/>
        <w:spacing w:line="560" w:lineRule="exact"/>
        <w:ind w:firstLine="643"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第九条</w:t>
      </w:r>
      <w:r>
        <w:rPr>
          <w:rFonts w:hint="eastAsia" w:ascii="仿宋_GB2312" w:hAnsi="仿宋_GB2312" w:eastAsia="仿宋_GB2312" w:cs="仿宋_GB2312"/>
          <w:kern w:val="0"/>
          <w:sz w:val="32"/>
          <w:szCs w:val="32"/>
        </w:rPr>
        <w:t xml:space="preserve"> 各类资助金拨付到校，财务处与学生资助中心核对人员及金额无误后，将补偿、代偿的资金发放到学生账户中。办理了国家助学贷款的学生，应优先偿还国家助学贷款。</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54" w:name="_Toc5377_WPSOffice_Level1"/>
      <w:r>
        <w:rPr>
          <w:rFonts w:hint="eastAsia" w:ascii="黑体" w:hAnsi="仿宋_GB2312" w:eastAsia="黑体" w:cs="仿宋_GB2312"/>
          <w:b/>
          <w:kern w:val="0"/>
          <w:sz w:val="32"/>
          <w:szCs w:val="32"/>
        </w:rPr>
        <w:t>第四章  管理与监督</w:t>
      </w:r>
      <w:bookmarkEnd w:id="554"/>
    </w:p>
    <w:p>
      <w:pPr>
        <w:pageBreakBefore w:val="0"/>
        <w:kinsoku/>
        <w:overflowPunct/>
        <w:topLinePunct w:val="0"/>
        <w:bidi w:val="0"/>
        <w:spacing w:line="560" w:lineRule="exact"/>
        <w:ind w:firstLine="643" w:firstLineChars="200"/>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第十条</w:t>
      </w:r>
      <w:r>
        <w:rPr>
          <w:rFonts w:hint="eastAsia" w:ascii="仿宋_GB2312" w:hAnsi="仿宋_GB2312" w:eastAsia="仿宋_GB2312" w:cs="仿宋_GB2312"/>
          <w:kern w:val="0"/>
          <w:sz w:val="32"/>
          <w:szCs w:val="32"/>
        </w:rPr>
        <w:t xml:space="preserve">  因本人思想原因、故意隐瞒病史或弄虚作假、违法犯罪等行为造成退兵的学生，学校取消其受助资格。已补偿的学费或代偿的国家助学贷款资金，由学生退回安置地县级人民政府征兵办公室会同教育行政部门收回。</w:t>
      </w:r>
    </w:p>
    <w:p>
      <w:pPr>
        <w:pageBreakBefore w:val="0"/>
        <w:kinsoku/>
        <w:overflowPunct/>
        <w:topLinePunct w:val="0"/>
        <w:bidi w:val="0"/>
        <w:spacing w:line="560" w:lineRule="exact"/>
        <w:ind w:firstLine="640" w:firstLineChars="200"/>
        <w:outlineLvl w:val="9"/>
        <w:rPr>
          <w:rFonts w:ascii="仿宋_GB2312" w:hAnsi="仿宋_GB2312" w:eastAsia="仿宋_GB2312" w:cs="仿宋_GB2312"/>
          <w:kern w:val="0"/>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55" w:name="_Toc20799_WPSOffice_Level1"/>
      <w:r>
        <w:rPr>
          <w:rFonts w:hint="eastAsia" w:ascii="黑体" w:hAnsi="仿宋_GB2312" w:eastAsia="黑体" w:cs="仿宋_GB2312"/>
          <w:b/>
          <w:kern w:val="0"/>
          <w:sz w:val="32"/>
          <w:szCs w:val="32"/>
        </w:rPr>
        <w:t>第五章  附则</w:t>
      </w:r>
      <w:bookmarkEnd w:id="555"/>
      <w:r>
        <w:rPr>
          <w:rFonts w:hint="eastAsia" w:ascii="黑体" w:hAnsi="仿宋_GB2312" w:eastAsia="黑体" w:cs="仿宋_GB2312"/>
          <w:b/>
          <w:kern w:val="0"/>
          <w:sz w:val="32"/>
          <w:szCs w:val="32"/>
        </w:rPr>
        <w:t xml:space="preserve"> </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第十一条</w:t>
      </w:r>
      <w:r>
        <w:rPr>
          <w:rFonts w:hint="eastAsia" w:ascii="仿宋_GB2312" w:hAnsi="仿宋_GB2312" w:eastAsia="仿宋_GB2312" w:cs="仿宋_GB2312"/>
          <w:kern w:val="0"/>
          <w:sz w:val="32"/>
          <w:szCs w:val="32"/>
        </w:rPr>
        <w:t xml:space="preserve">  本办法自公布之日起实施。</w:t>
      </w:r>
    </w:p>
    <w:p>
      <w:pPr>
        <w:pageBreakBefore w:val="0"/>
        <w:kinsoku/>
        <w:overflowPunct/>
        <w:topLinePunct w:val="0"/>
        <w:bidi w:val="0"/>
        <w:spacing w:line="56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第十二条</w:t>
      </w:r>
      <w:r>
        <w:rPr>
          <w:rFonts w:hint="eastAsia" w:ascii="仿宋_GB2312" w:hAnsi="仿宋_GB2312" w:eastAsia="仿宋_GB2312" w:cs="仿宋_GB2312"/>
          <w:kern w:val="0"/>
          <w:sz w:val="32"/>
          <w:szCs w:val="32"/>
        </w:rPr>
        <w:t xml:space="preserve">  本办法由校学生工作部（处）负责解释。</w:t>
      </w: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b/>
          <w:color w:val="000000"/>
          <w:sz w:val="36"/>
          <w:szCs w:val="36"/>
        </w:rPr>
      </w:pPr>
      <w:bookmarkStart w:id="556" w:name="_Toc17320"/>
      <w:bookmarkStart w:id="557" w:name="_Toc9576"/>
      <w:bookmarkStart w:id="558" w:name="_Toc7705"/>
      <w:bookmarkStart w:id="559" w:name="_Toc14159"/>
      <w:bookmarkStart w:id="560" w:name="_Toc13608"/>
      <w:bookmarkStart w:id="561" w:name="_Toc24112"/>
      <w:bookmarkStart w:id="562" w:name="_Toc11264_WPSOffice_Level1"/>
      <w:r>
        <w:rPr>
          <w:rFonts w:hint="eastAsia"/>
          <w:b/>
          <w:color w:val="000000"/>
          <w:sz w:val="36"/>
          <w:szCs w:val="36"/>
        </w:rPr>
        <w:t>柳州职业技术学院学生应征入伍</w:t>
      </w:r>
      <w:bookmarkEnd w:id="556"/>
      <w:bookmarkStart w:id="563" w:name="_Toc2143"/>
      <w:r>
        <w:rPr>
          <w:rFonts w:hint="eastAsia"/>
          <w:b/>
          <w:color w:val="000000"/>
          <w:sz w:val="36"/>
          <w:szCs w:val="36"/>
        </w:rPr>
        <w:t>服义务兵役国家资助管理办法</w:t>
      </w:r>
      <w:bookmarkEnd w:id="557"/>
      <w:bookmarkEnd w:id="558"/>
      <w:bookmarkEnd w:id="559"/>
      <w:bookmarkEnd w:id="560"/>
      <w:bookmarkEnd w:id="561"/>
      <w:bookmarkEnd w:id="562"/>
      <w:bookmarkEnd w:id="563"/>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b w:val="0"/>
          <w:bCs w:val="0"/>
          <w:sz w:val="32"/>
          <w:szCs w:val="32"/>
        </w:rPr>
        <w:t>柳职院学字〔2019〕17号</w:t>
      </w:r>
      <w:r>
        <w:rPr>
          <w:rFonts w:hint="eastAsia" w:ascii="仿宋_GB2312" w:eastAsia="仿宋_GB2312"/>
          <w:b w:val="0"/>
          <w:bCs w:val="0"/>
          <w:sz w:val="32"/>
          <w:szCs w:val="32"/>
          <w:lang w:eastAsia="zh-CN"/>
        </w:rPr>
        <w:t>）</w:t>
      </w: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64" w:name="_Toc4476_WPSOffice_Level1"/>
      <w:r>
        <w:rPr>
          <w:rFonts w:hint="eastAsia" w:ascii="黑体" w:hAnsi="仿宋_GB2312" w:eastAsia="黑体" w:cs="仿宋_GB2312"/>
          <w:b/>
          <w:kern w:val="0"/>
          <w:sz w:val="32"/>
          <w:szCs w:val="32"/>
        </w:rPr>
        <w:t>第一章  总则</w:t>
      </w:r>
      <w:bookmarkEnd w:id="564"/>
    </w:p>
    <w:p>
      <w:pPr>
        <w:pageBreakBefore w:val="0"/>
        <w:kinsoku/>
        <w:overflowPunct/>
        <w:topLinePunct w:val="0"/>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hAnsiTheme="minorEastAsia"/>
          <w:b/>
          <w:sz w:val="32"/>
          <w:szCs w:val="32"/>
        </w:rPr>
        <w:t xml:space="preserve">第一条  </w:t>
      </w:r>
      <w:r>
        <w:rPr>
          <w:rFonts w:hint="eastAsia" w:ascii="仿宋_GB2312" w:eastAsia="仿宋_GB2312" w:hAnsiTheme="minorEastAsia"/>
          <w:sz w:val="32"/>
          <w:szCs w:val="32"/>
        </w:rPr>
        <w:t>为推进国防和军队现代化建设，鼓励我校学生积极应征入伍服义务兵役，提高兵员征集质量，根据《关于印发&lt;高等学校学生应征入伍服义务兵役国家资助办法&gt;的通知》(财教[2013]236号)文件精神，对应征入伍服义务兵役及退役后自愿回校复学的我校学生给予高等学校学生应征入伍服义务兵役国家资助，结合我校实际，制定本办法。</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第二条</w:t>
      </w:r>
      <w:r>
        <w:rPr>
          <w:rFonts w:hint="eastAsia" w:ascii="仿宋_GB2312" w:eastAsia="仿宋_GB2312" w:hAnsiTheme="minorEastAsia"/>
          <w:sz w:val="32"/>
          <w:szCs w:val="32"/>
        </w:rPr>
        <w:t xml:space="preserve">  高等学校学生应征入伍服义务兵役国家资助，是指国家对应征入伍服义务兵役的高校学生，在入伍时对其在校期间缴纳的学费实行一次性补偿或获得的国家助学贷款（国家助学贷款包括校园地国家助学贷款和生源地信用助学贷款，下同）实行代偿；应征入伍服义务兵役前正在高等学校就读的学生（含按国家招生规定录取的高等学校新生），服役期间按国家有关规定保留学籍或入学资格、退役后自愿复学或入学的，国家实行学费减免。</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第三条</w:t>
      </w:r>
      <w:r>
        <w:rPr>
          <w:rFonts w:hint="eastAsia" w:ascii="仿宋_GB2312" w:eastAsia="仿宋_GB2312" w:hAnsiTheme="minorEastAsia"/>
          <w:sz w:val="32"/>
          <w:szCs w:val="32"/>
        </w:rPr>
        <w:t xml:space="preserve">  本办法所称高校学生是指高校全日制普通本专科（含高职）应（往）届毕业生、在校生和入学新生（以下简称“高校学生”）。</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下列高校学生应征入伍服义务兵役不享受国家资助：</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（一）在校期间已免除全部学费的学生；</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（二）定向生、委培生和国防生；</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（三）其他不属于服义务兵役到部队参军的学生</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第四条</w:t>
      </w:r>
      <w:r>
        <w:rPr>
          <w:rFonts w:hint="eastAsia" w:ascii="仿宋_GB2312" w:eastAsia="仿宋_GB2312" w:hAnsiTheme="minorEastAsia"/>
          <w:sz w:val="32"/>
          <w:szCs w:val="32"/>
        </w:rPr>
        <w:t xml:space="preserve">  高校学生应征入伍服义务兵役国家资助资金，全部由中央财政安排。</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65" w:name="_Toc21310_WPSOffice_Level1"/>
      <w:r>
        <w:rPr>
          <w:rFonts w:hint="eastAsia" w:ascii="黑体" w:hAnsi="仿宋_GB2312" w:eastAsia="黑体" w:cs="仿宋_GB2312"/>
          <w:b/>
          <w:kern w:val="0"/>
          <w:sz w:val="32"/>
          <w:szCs w:val="32"/>
        </w:rPr>
        <w:t>第二章  标准及年限</w:t>
      </w:r>
      <w:bookmarkEnd w:id="565"/>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第五条</w:t>
      </w:r>
      <w:r>
        <w:rPr>
          <w:rFonts w:hint="eastAsia" w:ascii="仿宋_GB2312" w:eastAsia="仿宋_GB2312" w:hAnsiTheme="minorEastAsia"/>
          <w:sz w:val="32"/>
          <w:szCs w:val="32"/>
        </w:rPr>
        <w:t xml:space="preserve">  学费补偿、国家助学贷款代偿及学费减免标准，专科生每人每年最高不超过8000元。</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学费补偿或国家助学贷款代偿金额，按学生实际缴纳的学费或获得的国家助学贷款（国家助学贷款包括本金及其全部偿还之前产生的利息，下同）两者金额较高者执行，据实补偿或者代偿。退役复学后学费减免金额，按学校实际收取学费金额执行。超出标准部分不予补偿、代偿或减免。</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获学费补偿学生在校期间获得国家助学贷款的，补偿资金必须首先用于偿还国家助学贷款。如补偿金额高于国家助学贷款金额，高出部分退还学生。</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第六条</w:t>
      </w:r>
      <w:r>
        <w:rPr>
          <w:rFonts w:hint="eastAsia" w:ascii="仿宋_GB2312" w:eastAsia="仿宋_GB2312" w:hAnsiTheme="minorEastAsia"/>
          <w:sz w:val="32"/>
          <w:szCs w:val="32"/>
        </w:rPr>
        <w:t xml:space="preserve">  获得国家助学贷款的高校在校生应征入伍后，国家助学贷款停止发放。</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第七条</w:t>
      </w:r>
      <w:r>
        <w:rPr>
          <w:rFonts w:hint="eastAsia" w:ascii="仿宋_GB2312" w:eastAsia="仿宋_GB2312" w:hAnsiTheme="minorEastAsia"/>
          <w:sz w:val="32"/>
          <w:szCs w:val="32"/>
        </w:rPr>
        <w:t xml:space="preserve">  学费补偿、国家助学贷款代偿和学费减免的年限按照三年修业规定年限据实计算。以入伍时间为准，入伍前已达到的修业规定年限，即为学费补偿或国家助学贷款代偿的年限；退役复学后应完成的规定的修业年限的剩余期限，即为学费减免的年限。</w:t>
      </w:r>
    </w:p>
    <w:p>
      <w:pPr>
        <w:pageBreakBefore w:val="0"/>
        <w:kinsoku/>
        <w:overflowPunct/>
        <w:topLinePunct w:val="0"/>
        <w:bidi w:val="0"/>
        <w:spacing w:line="580" w:lineRule="exact"/>
        <w:ind w:firstLine="640" w:firstLineChars="200"/>
        <w:outlineLvl w:val="9"/>
        <w:rPr>
          <w:rFonts w:hint="eastAsia" w:ascii="仿宋_GB2312" w:eastAsia="仿宋_GB2312"/>
          <w:sz w:val="32"/>
          <w:szCs w:val="32"/>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66" w:name="_Toc32007_WPSOffice_Level1"/>
      <w:r>
        <w:rPr>
          <w:rFonts w:hint="eastAsia" w:ascii="黑体" w:hAnsi="仿宋_GB2312" w:eastAsia="黑体" w:cs="仿宋_GB2312"/>
          <w:b/>
          <w:kern w:val="0"/>
          <w:sz w:val="32"/>
          <w:szCs w:val="32"/>
        </w:rPr>
        <w:t>第三章  申请与审批</w:t>
      </w:r>
      <w:bookmarkEnd w:id="566"/>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第八条</w:t>
      </w:r>
      <w:r>
        <w:rPr>
          <w:rFonts w:hint="eastAsia" w:ascii="仿宋_GB2312" w:eastAsia="仿宋_GB2312" w:hAnsiTheme="minorEastAsia"/>
          <w:sz w:val="32"/>
          <w:szCs w:val="32"/>
        </w:rPr>
        <w:t xml:space="preserve">  应征入伍的应（往）届毕业生和在校生学费补偿、国家助学贷款代偿申报流程及所需材料：</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（一）应征报名的学生登录全国征兵网(www.gfbzb.gov.cn)，按要求在线填写，并从系统打印一式两份（双面打印）《高校学生应征入伍学费补偿国家助学贷款代偿申请表》（以下简称《申请表》）。</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二）学生将《申请表》交到学生资助管理中心初审，由学生资助管理中心和学校财务处对《申请表》中学生的资助资格、标准、金额等相关信息审核无误后，对《申请表》加盖公章。申请国家助学贷款代偿的需同时提供所有年度的《国家助学贷款借款合同》。</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（三）学生在征兵报名时将初审合格的《申请表》交至入伍所在地县级人民政府征兵办公室（以下简称县级征兵办）签字公章。</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（四）每年9月15日—10月20日，学生将以下材料交至学生服务中心，由学生资助管理中心对各项内容进行复核：</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1.《高校学生应征入伍学费补偿国家助学贷款代偿申请表》（一式两份）；</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2.入伍通知书复印件（一式一份）；</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3. 本人姓名的农行卡复印件（一式一份）；</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4. 申请国家助学贷款代偿的需同时提供所有年度国家助学贷款借款合同复印件（一式一份）。</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（五）学生资助管理中心对各项内容进行复核后，符合条件的，应及时向学生进行学费补偿或国家助学贷款代偿。</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第九条</w:t>
      </w:r>
      <w:r>
        <w:rPr>
          <w:rFonts w:hint="eastAsia" w:ascii="仿宋_GB2312" w:eastAsia="仿宋_GB2312" w:hAnsiTheme="minorEastAsia"/>
          <w:sz w:val="32"/>
          <w:szCs w:val="32"/>
        </w:rPr>
        <w:t xml:space="preserve">  保留学籍或入学资格的新生和在校生退役后自愿回校复学，学费减免申报流程及所需材料：</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（一）学生登陆全国征兵网（www.gfbzb.gov.cn），填写并从系统打印一式两份《高校学生退役复学学费减免申请表》。</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二）学生将《高校学生退役复学学费减免申请表》交到学生资助管理中心初审，由学生资助管理中心和学校财务处对《高校学生退役复学学费减免申请表》中学生的资助资格、标准、金额等相关信息审核无误后，对《高校学生退役复学学费减免申请表》加盖公章。</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（三）学生到退役安置地县级人民政府征兵办公室在《高校学生退役复学学费减免申请表》上加盖公章。</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（四）每年9月15日—10月20日，学生将以下材料交至学生服务中心，由学生资助管理中心对各项内容进行审核认定：</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1.《高校学生退役复学学费减免申请表》（一式两份）；</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2.退出现役证书复印件（一式一份）；</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3.本人姓名的农行卡复印件（一式一份）。</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（五）学生资助管理中心对各项内容进行审核认定后，符合条件的，及时办理学费减免手续。</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第十条</w:t>
      </w:r>
      <w:r>
        <w:rPr>
          <w:rFonts w:hint="eastAsia" w:ascii="仿宋_GB2312" w:eastAsia="仿宋_GB2312" w:hAnsiTheme="minorEastAsia"/>
          <w:sz w:val="32"/>
          <w:szCs w:val="32"/>
        </w:rPr>
        <w:t xml:space="preserve">  每年10月31日前，学校将本年度高校学生应征入伍服义务兵役国家资助的经费使用等情况，报自治区学生资助管理中心审核。</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第十一条</w:t>
      </w:r>
      <w:r>
        <w:rPr>
          <w:rFonts w:hint="eastAsia" w:ascii="仿宋_GB2312" w:eastAsia="仿宋_GB2312" w:hAnsiTheme="minorEastAsia"/>
          <w:sz w:val="32"/>
          <w:szCs w:val="32"/>
        </w:rPr>
        <w:t xml:space="preserve"> 各类资助金拨付到校，财务处与学生资助中心核对人员及金额无误后，将补偿、代偿的资金发放到学生账户中。办理了国家助学贷款的学生，应优先偿还国家助学贷款。</w:t>
      </w: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67" w:name="_Toc8560_WPSOffice_Level1"/>
      <w:r>
        <w:rPr>
          <w:rFonts w:hint="eastAsia" w:ascii="黑体" w:hAnsi="仿宋_GB2312" w:eastAsia="黑体" w:cs="仿宋_GB2312"/>
          <w:b/>
          <w:kern w:val="0"/>
          <w:sz w:val="32"/>
          <w:szCs w:val="32"/>
        </w:rPr>
        <w:t>第四章  管理与监督</w:t>
      </w:r>
      <w:bookmarkEnd w:id="567"/>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第十二条</w:t>
      </w:r>
      <w:r>
        <w:rPr>
          <w:rFonts w:hint="eastAsia" w:ascii="仿宋_GB2312" w:eastAsia="仿宋_GB2312" w:hAnsiTheme="minorEastAsia"/>
          <w:sz w:val="32"/>
          <w:szCs w:val="32"/>
        </w:rPr>
        <w:t xml:space="preserve">  因本人思想原因、故意隐瞒病史或弄虚作假、违法犯罪等行为造成退兵的学生，学校取消其受助资格，并不得申请学费减免。</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第十三条</w:t>
      </w:r>
      <w:r>
        <w:rPr>
          <w:rFonts w:hint="eastAsia" w:ascii="仿宋_GB2312" w:eastAsia="仿宋_GB2312" w:hAnsiTheme="minorEastAsia"/>
          <w:sz w:val="32"/>
          <w:szCs w:val="32"/>
        </w:rPr>
        <w:t xml:space="preserve">  被部队退回并被取消资助资格的学生，如学生返回学校，已补偿的学费或代偿的国家助学贷款由学校会同退役安置地县级人民政府征兵办公室收回，并在收回资金后十日内，上缴自治区学生资助管理中心。</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第十四条</w:t>
      </w:r>
      <w:r>
        <w:rPr>
          <w:rFonts w:hint="eastAsia" w:ascii="仿宋_GB2312" w:eastAsia="仿宋_GB2312" w:hAnsiTheme="minorEastAsia"/>
          <w:sz w:val="32"/>
          <w:szCs w:val="32"/>
        </w:rPr>
        <w:t xml:space="preserve">  因部队编制员额缩减、国家建设需要、因战因公负伤致残、因病不适宜在部队继续服役、家庭发生重大变故需要退出现役等原因，经组织批准提前退役的学生，仍具备受助资格。其他原因非正常退役学生的资助资格认定，由柳州市人民政府征兵办公室会同柳州市教育局确定。</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68" w:name="_Toc16923_WPSOffice_Level1"/>
      <w:r>
        <w:rPr>
          <w:rFonts w:hint="eastAsia" w:ascii="黑体" w:hAnsi="仿宋_GB2312" w:eastAsia="黑体" w:cs="仿宋_GB2312"/>
          <w:b/>
          <w:kern w:val="0"/>
          <w:sz w:val="32"/>
          <w:szCs w:val="32"/>
        </w:rPr>
        <w:t>第五章  附则</w:t>
      </w:r>
      <w:bookmarkEnd w:id="568"/>
      <w:r>
        <w:rPr>
          <w:rFonts w:hint="eastAsia" w:ascii="黑体" w:hAnsi="仿宋_GB2312" w:eastAsia="黑体" w:cs="仿宋_GB2312"/>
          <w:b/>
          <w:kern w:val="0"/>
          <w:sz w:val="32"/>
          <w:szCs w:val="32"/>
        </w:rPr>
        <w:t xml:space="preserve"> </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第十五条</w:t>
      </w:r>
      <w:r>
        <w:rPr>
          <w:rFonts w:hint="eastAsia" w:ascii="仿宋_GB2312" w:eastAsia="仿宋_GB2312" w:hAnsiTheme="minorEastAsia"/>
          <w:sz w:val="32"/>
          <w:szCs w:val="32"/>
        </w:rPr>
        <w:t xml:space="preserve">  本办法自公布之日起实施。</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第十六条</w:t>
      </w:r>
      <w:r>
        <w:rPr>
          <w:rFonts w:hint="eastAsia" w:ascii="仿宋_GB2312" w:eastAsia="仿宋_GB2312" w:hAnsiTheme="minorEastAsia"/>
          <w:sz w:val="32"/>
          <w:szCs w:val="32"/>
        </w:rPr>
        <w:t xml:space="preserve">  本办法由校学生工作部（处）负责解释。</w:t>
      </w:r>
    </w:p>
    <w:p>
      <w:pPr>
        <w:pageBreakBefore w:val="0"/>
        <w:kinsoku/>
        <w:overflowPunct/>
        <w:topLinePunct w:val="0"/>
        <w:bidi w:val="0"/>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b/>
          <w:color w:val="000000"/>
          <w:sz w:val="36"/>
          <w:szCs w:val="36"/>
        </w:rPr>
      </w:pPr>
      <w:bookmarkStart w:id="569" w:name="_Toc26810"/>
      <w:bookmarkStart w:id="570" w:name="_Toc14667"/>
      <w:bookmarkStart w:id="571" w:name="_Toc27531"/>
      <w:bookmarkStart w:id="572" w:name="_Toc3371"/>
      <w:bookmarkStart w:id="573" w:name="_Toc360"/>
      <w:bookmarkStart w:id="574" w:name="_Toc19246"/>
      <w:bookmarkStart w:id="575" w:name="_Toc7381_WPSOffice_Level1"/>
      <w:r>
        <w:rPr>
          <w:rFonts w:hint="eastAsia"/>
          <w:b/>
          <w:color w:val="000000"/>
          <w:sz w:val="36"/>
          <w:szCs w:val="36"/>
        </w:rPr>
        <w:t>柳州职业技术学院退役士兵</w:t>
      </w:r>
      <w:bookmarkEnd w:id="569"/>
      <w:bookmarkStart w:id="576" w:name="_Toc29462"/>
      <w:r>
        <w:rPr>
          <w:rFonts w:hint="eastAsia"/>
          <w:b/>
          <w:color w:val="000000"/>
          <w:sz w:val="36"/>
          <w:szCs w:val="36"/>
        </w:rPr>
        <w:t>全日制教育学费资助管理办法</w:t>
      </w:r>
      <w:bookmarkEnd w:id="570"/>
      <w:bookmarkEnd w:id="571"/>
      <w:bookmarkEnd w:id="572"/>
      <w:bookmarkEnd w:id="573"/>
      <w:bookmarkEnd w:id="574"/>
      <w:bookmarkEnd w:id="575"/>
      <w:bookmarkEnd w:id="576"/>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b w:val="0"/>
          <w:bCs w:val="0"/>
          <w:sz w:val="32"/>
          <w:szCs w:val="32"/>
        </w:rPr>
        <w:t>柳职院学字〔2019〕18号</w:t>
      </w:r>
      <w:r>
        <w:rPr>
          <w:rFonts w:hint="eastAsia" w:ascii="仿宋_GB2312" w:eastAsia="仿宋_GB2312"/>
          <w:b w:val="0"/>
          <w:bCs w:val="0"/>
          <w:sz w:val="32"/>
          <w:szCs w:val="32"/>
          <w:lang w:eastAsia="zh-CN"/>
        </w:rPr>
        <w:t>）</w:t>
      </w: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77" w:name="_Toc25382_WPSOffice_Level1"/>
      <w:r>
        <w:rPr>
          <w:rFonts w:hint="eastAsia" w:ascii="黑体" w:hAnsi="仿宋_GB2312" w:eastAsia="黑体" w:cs="仿宋_GB2312"/>
          <w:b/>
          <w:kern w:val="0"/>
          <w:sz w:val="32"/>
          <w:szCs w:val="32"/>
        </w:rPr>
        <w:t>第一章  总则</w:t>
      </w:r>
      <w:bookmarkEnd w:id="577"/>
    </w:p>
    <w:p>
      <w:pPr>
        <w:pageBreakBefore w:val="0"/>
        <w:kinsoku/>
        <w:overflowPunct/>
        <w:topLinePunct w:val="0"/>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hAnsiTheme="minorEastAsia"/>
          <w:b/>
          <w:sz w:val="32"/>
          <w:szCs w:val="32"/>
        </w:rPr>
        <w:t xml:space="preserve">第一条  </w:t>
      </w:r>
      <w:r>
        <w:rPr>
          <w:rFonts w:hint="eastAsia" w:ascii="仿宋_GB2312" w:eastAsia="仿宋_GB2312" w:hAnsiTheme="minorEastAsia"/>
          <w:sz w:val="32"/>
          <w:szCs w:val="32"/>
        </w:rPr>
        <w:t>为推进国防和军队现代化建设，鼓励我校学生积极应征入伍服义务兵役，提高兵员征集质量，根据《财政部 教育部 民政部 总参谋部 总政治部关于实施退役士兵教育资助政策的意见》（财教〔2011〕538号）和《关于将全日制普通高等职业学校单独考试招生退役士兵学生纳入学费资助对象的通知》（教助中心〔2013〕100号）文件精神，对应征入伍服义务兵役退役后自愿回校复学的高等学校学生，国家给予资助。结合我校实际，制定本办法。</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第二条</w:t>
      </w:r>
      <w:r>
        <w:rPr>
          <w:rFonts w:hint="eastAsia" w:ascii="仿宋_GB2312" w:eastAsia="仿宋_GB2312" w:hAnsiTheme="minorEastAsia"/>
          <w:sz w:val="32"/>
          <w:szCs w:val="32"/>
        </w:rPr>
        <w:t xml:space="preserve">  本办法中资助对象为退役一年（含）以上考入我校的自主就业退役士兵。</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下列退役士兵学生不享受退役士兵教育学费资助政策：</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（一）享受过应征入伍服兵役学费补偿贷款代偿政策的学生；</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（二）以前学历教育阶段享受过退役士兵教育学费资助政策的学生；</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第三条</w:t>
      </w:r>
      <w:r>
        <w:rPr>
          <w:rFonts w:hint="eastAsia" w:ascii="仿宋_GB2312" w:eastAsia="仿宋_GB2312" w:hAnsiTheme="minorEastAsia"/>
          <w:sz w:val="32"/>
          <w:szCs w:val="32"/>
        </w:rPr>
        <w:t xml:space="preserve">  退役士兵全日制教育学费资助资金，全部由中央财政安排。</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78" w:name="_Toc9898_WPSOffice_Level1"/>
      <w:r>
        <w:rPr>
          <w:rFonts w:hint="eastAsia" w:ascii="黑体" w:hAnsi="仿宋_GB2312" w:eastAsia="黑体" w:cs="仿宋_GB2312"/>
          <w:b/>
          <w:kern w:val="0"/>
          <w:sz w:val="32"/>
          <w:szCs w:val="32"/>
        </w:rPr>
        <w:t>第二章  标准及年限</w:t>
      </w:r>
      <w:bookmarkEnd w:id="578"/>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第四条</w:t>
      </w:r>
      <w:r>
        <w:rPr>
          <w:rFonts w:hint="eastAsia" w:ascii="仿宋_GB2312" w:eastAsia="仿宋_GB2312" w:hAnsiTheme="minorEastAsia"/>
          <w:sz w:val="32"/>
          <w:szCs w:val="32"/>
        </w:rPr>
        <w:t xml:space="preserve">  资助标准：每人每年最高不超过8000元，学费标准低于8000元的，按实际收费标准申请。</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第五条</w:t>
      </w:r>
      <w:r>
        <w:rPr>
          <w:rFonts w:hint="eastAsia" w:ascii="仿宋_GB2312" w:eastAsia="仿宋_GB2312" w:hAnsiTheme="minorEastAsia"/>
          <w:sz w:val="32"/>
          <w:szCs w:val="32"/>
        </w:rPr>
        <w:t xml:space="preserve">  资助期限：按照全日制普通高等学历教育一个学制期执行。只能申请当年的资助经费，每年都需要申请，未申请满学制的学生仍需继续申请。漏报的学生可以补报，但是只能补报上一年及当年的，不可补报前年的。</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79" w:name="_Toc2792_WPSOffice_Level1"/>
      <w:r>
        <w:rPr>
          <w:rFonts w:hint="eastAsia" w:ascii="黑体" w:hAnsi="仿宋_GB2312" w:eastAsia="黑体" w:cs="仿宋_GB2312"/>
          <w:b/>
          <w:kern w:val="0"/>
          <w:sz w:val="32"/>
          <w:szCs w:val="32"/>
        </w:rPr>
        <w:t>第三章  申请与审批</w:t>
      </w:r>
      <w:bookmarkEnd w:id="579"/>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第六条</w:t>
      </w:r>
      <w:r>
        <w:rPr>
          <w:rFonts w:hint="eastAsia" w:ascii="仿宋_GB2312" w:eastAsia="仿宋_GB2312" w:hAnsiTheme="minorEastAsia"/>
          <w:sz w:val="32"/>
          <w:szCs w:val="32"/>
        </w:rPr>
        <w:t xml:space="preserve">  每年10月10日—10月20日，自愿提出申请且符合资助条件的学生需将以下材料交至学生资助管理中心：</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 xml:space="preserve">（一）《普通高等学校退役士兵全日制教育学费资助申请表》（见附件）一式两份； </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（二）退伍证复印件一份；</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（三）自主就业退役士兵身份证明原件一份；</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（四）本人姓名的农行卡复印件一份。</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第七条</w:t>
      </w:r>
      <w:r>
        <w:rPr>
          <w:rFonts w:hint="eastAsia" w:ascii="仿宋_GB2312" w:eastAsia="仿宋_GB2312" w:hAnsiTheme="minorEastAsia"/>
          <w:sz w:val="32"/>
          <w:szCs w:val="32"/>
        </w:rPr>
        <w:t xml:space="preserve">  每年10月31日前，学生资助中心对各项内容复核后将申请材料送至自治区学生资助管理办公室审核。</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第八条</w:t>
      </w:r>
      <w:r>
        <w:rPr>
          <w:rFonts w:hint="eastAsia" w:ascii="仿宋_GB2312" w:eastAsia="仿宋_GB2312" w:hAnsiTheme="minorEastAsia"/>
          <w:sz w:val="32"/>
          <w:szCs w:val="32"/>
        </w:rPr>
        <w:t xml:space="preserve">  资助金拨付到校，财务处与学生资助管理中心核对人员及金额无误后，将资助资金发放到学生账户中。</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80" w:name="_Toc15164_WPSOffice_Level1"/>
      <w:r>
        <w:rPr>
          <w:rFonts w:hint="eastAsia" w:ascii="黑体" w:hAnsi="仿宋_GB2312" w:eastAsia="黑体" w:cs="仿宋_GB2312"/>
          <w:b/>
          <w:kern w:val="0"/>
          <w:sz w:val="32"/>
          <w:szCs w:val="32"/>
        </w:rPr>
        <w:t>第四章  管理与监督</w:t>
      </w:r>
      <w:bookmarkEnd w:id="580"/>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第九条</w:t>
      </w:r>
      <w:r>
        <w:rPr>
          <w:rFonts w:hint="eastAsia" w:ascii="仿宋_GB2312" w:eastAsia="仿宋_GB2312" w:hAnsiTheme="minorEastAsia"/>
          <w:sz w:val="32"/>
          <w:szCs w:val="32"/>
        </w:rPr>
        <w:t xml:space="preserve">  退役士兵学生须诚实申报，一旦发现申报材料弄虚作假，将取消教育资助资格；情节严重者，将按照学校管理办法予以相关处分。</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第十条</w:t>
      </w:r>
      <w:r>
        <w:rPr>
          <w:rFonts w:hint="eastAsia" w:ascii="仿宋_GB2312" w:eastAsia="仿宋_GB2312" w:hAnsiTheme="minorEastAsia"/>
          <w:sz w:val="32"/>
          <w:szCs w:val="32"/>
        </w:rPr>
        <w:t xml:space="preserve">  退役士兵全日制教育学费资助是一项系统工程，各二级学院要加强组织领导，做好政策宣传工作，健全工作机制，明确职责分工，使广大退役士兵学生明确受助的权利。</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p>
    <w:p>
      <w:pPr>
        <w:pageBreakBefore w:val="0"/>
        <w:kinsoku/>
        <w:overflowPunct/>
        <w:topLinePunct w:val="0"/>
        <w:bidi w:val="0"/>
        <w:spacing w:line="550" w:lineRule="exact"/>
        <w:jc w:val="center"/>
        <w:outlineLvl w:val="9"/>
        <w:rPr>
          <w:rFonts w:hint="eastAsia" w:ascii="黑体" w:hAnsi="仿宋_GB2312" w:eastAsia="黑体" w:cs="仿宋_GB2312"/>
          <w:b/>
          <w:kern w:val="0"/>
          <w:sz w:val="32"/>
          <w:szCs w:val="32"/>
        </w:rPr>
      </w:pPr>
      <w:bookmarkStart w:id="581" w:name="_Toc5832_WPSOffice_Level1"/>
      <w:r>
        <w:rPr>
          <w:rFonts w:hint="eastAsia" w:ascii="黑体" w:hAnsi="仿宋_GB2312" w:eastAsia="黑体" w:cs="仿宋_GB2312"/>
          <w:b/>
          <w:kern w:val="0"/>
          <w:sz w:val="32"/>
          <w:szCs w:val="32"/>
        </w:rPr>
        <w:t>第五章  附则</w:t>
      </w:r>
      <w:bookmarkEnd w:id="581"/>
      <w:r>
        <w:rPr>
          <w:rFonts w:hint="eastAsia" w:ascii="黑体" w:hAnsi="仿宋_GB2312" w:eastAsia="黑体" w:cs="仿宋_GB2312"/>
          <w:b/>
          <w:kern w:val="0"/>
          <w:sz w:val="32"/>
          <w:szCs w:val="32"/>
        </w:rPr>
        <w:t xml:space="preserve"> </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第十一条</w:t>
      </w:r>
      <w:r>
        <w:rPr>
          <w:rFonts w:hint="eastAsia" w:ascii="仿宋_GB2312" w:eastAsia="仿宋_GB2312" w:hAnsiTheme="minorEastAsia"/>
          <w:sz w:val="32"/>
          <w:szCs w:val="32"/>
        </w:rPr>
        <w:t xml:space="preserve">  本办法自公布之日起实施。</w:t>
      </w:r>
    </w:p>
    <w:p>
      <w:pPr>
        <w:pageBreakBefore w:val="0"/>
        <w:kinsoku/>
        <w:overflowPunct/>
        <w:topLinePunct w:val="0"/>
        <w:bidi w:val="0"/>
        <w:spacing w:line="580" w:lineRule="exact"/>
        <w:ind w:firstLine="643" w:firstLineChars="200"/>
        <w:outlineLvl w:val="9"/>
        <w:rPr>
          <w:rFonts w:hint="eastAsia" w:ascii="仿宋_GB2312" w:eastAsia="仿宋_GB2312" w:hAnsiTheme="minorEastAsia"/>
          <w:sz w:val="32"/>
          <w:szCs w:val="32"/>
        </w:rPr>
      </w:pPr>
      <w:r>
        <w:rPr>
          <w:rFonts w:hint="eastAsia" w:ascii="仿宋_GB2312" w:eastAsia="仿宋_GB2312" w:hAnsiTheme="minorEastAsia"/>
          <w:b/>
          <w:sz w:val="32"/>
          <w:szCs w:val="32"/>
        </w:rPr>
        <w:t>第十二条</w:t>
      </w:r>
      <w:r>
        <w:rPr>
          <w:rFonts w:hint="eastAsia" w:ascii="仿宋_GB2312" w:eastAsia="仿宋_GB2312" w:hAnsiTheme="minorEastAsia"/>
          <w:sz w:val="32"/>
          <w:szCs w:val="32"/>
        </w:rPr>
        <w:t xml:space="preserve">  本办法由校学生工作部（处）负责解释。</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t>附件：普通高等学校退役士兵全日制教育学费资助申请表</w:t>
      </w:r>
    </w:p>
    <w:p>
      <w:pPr>
        <w:pageBreakBefore w:val="0"/>
        <w:kinsoku/>
        <w:overflowPunct/>
        <w:topLinePunct w:val="0"/>
        <w:bidi w:val="0"/>
        <w:spacing w:line="580" w:lineRule="exact"/>
        <w:ind w:firstLine="640" w:firstLineChars="200"/>
        <w:outlineLvl w:val="9"/>
        <w:rPr>
          <w:rFonts w:hint="eastAsia" w:ascii="仿宋_GB2312" w:eastAsia="仿宋_GB2312" w:hAnsiTheme="minorEastAsia"/>
          <w:sz w:val="32"/>
          <w:szCs w:val="32"/>
        </w:rPr>
      </w:pPr>
      <w:r>
        <w:rPr>
          <w:rFonts w:hint="eastAsia" w:ascii="仿宋_GB2312" w:eastAsia="仿宋_GB2312" w:hAnsiTheme="minorEastAsia"/>
          <w:sz w:val="32"/>
          <w:szCs w:val="32"/>
        </w:rPr>
        <w:br w:type="page"/>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b/>
          <w:color w:val="000000"/>
          <w:sz w:val="36"/>
          <w:szCs w:val="36"/>
        </w:rPr>
      </w:pPr>
      <w:bookmarkStart w:id="582" w:name="_Toc27883"/>
      <w:bookmarkStart w:id="583" w:name="_Toc6463"/>
      <w:bookmarkStart w:id="584" w:name="_Toc17296"/>
      <w:bookmarkStart w:id="585" w:name="_Toc27167"/>
      <w:bookmarkStart w:id="586" w:name="_Toc8813"/>
      <w:bookmarkStart w:id="587" w:name="_Toc29563_WPSOffice_Level1"/>
      <w:bookmarkStart w:id="588" w:name="_Toc4225"/>
      <w:r>
        <w:rPr>
          <w:rFonts w:hint="eastAsia"/>
          <w:b/>
          <w:color w:val="000000"/>
          <w:sz w:val="36"/>
          <w:szCs w:val="36"/>
        </w:rPr>
        <w:t>柳州职业技术学院中职升高职</w:t>
      </w:r>
      <w:bookmarkEnd w:id="582"/>
      <w:bookmarkStart w:id="589" w:name="_Toc8994"/>
      <w:r>
        <w:rPr>
          <w:rFonts w:hint="eastAsia"/>
          <w:b/>
          <w:color w:val="000000"/>
          <w:sz w:val="36"/>
          <w:szCs w:val="36"/>
        </w:rPr>
        <w:t>学费补助评选管理办法</w:t>
      </w:r>
      <w:bookmarkEnd w:id="583"/>
      <w:bookmarkEnd w:id="584"/>
      <w:bookmarkEnd w:id="585"/>
      <w:bookmarkEnd w:id="586"/>
      <w:bookmarkEnd w:id="587"/>
      <w:bookmarkEnd w:id="588"/>
      <w:bookmarkEnd w:id="589"/>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b w:val="0"/>
          <w:bCs w:val="0"/>
          <w:sz w:val="32"/>
          <w:szCs w:val="32"/>
        </w:rPr>
        <w:t>柳职院学字〔2019〕19号</w:t>
      </w:r>
      <w:r>
        <w:rPr>
          <w:rFonts w:hint="eastAsia" w:ascii="仿宋_GB2312" w:eastAsia="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ascii="仿宋_GB2312" w:eastAsia="仿宋_GB2312"/>
          <w:b w:val="0"/>
          <w:bCs w:val="0"/>
          <w:sz w:val="32"/>
          <w:szCs w:val="32"/>
          <w:lang w:eastAsia="zh-CN"/>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90" w:name="_Toc12431_WPSOffice_Level1"/>
      <w:r>
        <w:rPr>
          <w:rFonts w:hint="eastAsia" w:ascii="黑体" w:hAnsi="仿宋_GB2312" w:eastAsia="黑体" w:cs="仿宋_GB2312"/>
          <w:b/>
          <w:kern w:val="0"/>
          <w:sz w:val="32"/>
          <w:szCs w:val="32"/>
        </w:rPr>
        <w:t>第一章  总则</w:t>
      </w:r>
      <w:bookmarkEnd w:id="590"/>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第一条</w:t>
      </w:r>
      <w:r>
        <w:rPr>
          <w:rFonts w:hint="eastAsia" w:ascii="仿宋_GB2312" w:eastAsia="仿宋_GB2312" w:hAnsiTheme="minorEastAsia"/>
          <w:sz w:val="32"/>
          <w:szCs w:val="32"/>
        </w:rPr>
        <w:t xml:space="preserve">  为加强我校中等职业学校毕业生升入高等学校就读的家庭经济困难学生学费补助（以下简称“中职升高职学费补助”）的管理，做好家庭经济困难学生的资助工作，根据自治区教育厅、财政厅《关于中等职业学校毕业生升入高等职业学校就读的家庭经济困难学生实施学费补助的通知》（桂教资助〔2014〕6号）、《关于印发广西中等职业学校毕业生升入高等职业学校就读的家庭经济困难学生学费补助资金管理暂行办法的通知》（桂财教〔2014〕165号）文件精神，结合我校实际，特制定本办法。</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第二条</w:t>
      </w:r>
      <w:r>
        <w:rPr>
          <w:rFonts w:hint="eastAsia" w:ascii="仿宋_GB2312" w:eastAsia="仿宋_GB2312" w:hAnsiTheme="minorEastAsia"/>
          <w:sz w:val="32"/>
          <w:szCs w:val="32"/>
        </w:rPr>
        <w:t xml:space="preserve">  本办法所称中等职业学校是指政府有关部门依法批准设立，实施全日制中等职业学历教育的各类职业学校，包括公办和民办的普通中专、成人中专、职业高中、技工学校和高等学校附属的中专部、中等职业学校等。</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第三条</w:t>
      </w:r>
      <w:r>
        <w:rPr>
          <w:rFonts w:hint="eastAsia" w:ascii="仿宋_GB2312" w:eastAsia="仿宋_GB2312" w:hAnsiTheme="minorEastAsia"/>
          <w:sz w:val="32"/>
          <w:szCs w:val="32"/>
        </w:rPr>
        <w:t xml:space="preserve">  本办法所称中等职业学校毕业生升入高等职业学校就读的家庭经济困难学生，是指自2014年秋季学期后升入高等职业学校、高等专科学校和普通本科高校的家庭经济困难高职高专学生，2014年秋季学期前入学的学生不列入学费补助政策范围。</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第四条</w:t>
      </w:r>
      <w:r>
        <w:rPr>
          <w:rFonts w:hint="eastAsia" w:ascii="仿宋_GB2312" w:eastAsia="仿宋_GB2312" w:hAnsiTheme="minorEastAsia"/>
          <w:sz w:val="32"/>
          <w:szCs w:val="32"/>
        </w:rPr>
        <w:t xml:space="preserve">  中职升高职学费补助所需资金由自治区财政全额承担。</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91" w:name="_Toc23614_WPSOffice_Level1"/>
      <w:r>
        <w:rPr>
          <w:rFonts w:hint="eastAsia" w:ascii="黑体" w:hAnsi="仿宋_GB2312" w:eastAsia="黑体" w:cs="仿宋_GB2312"/>
          <w:b/>
          <w:kern w:val="0"/>
          <w:sz w:val="32"/>
          <w:szCs w:val="32"/>
        </w:rPr>
        <w:t>第二章  补助标准与申请条件</w:t>
      </w:r>
      <w:bookmarkEnd w:id="591"/>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第五条</w:t>
      </w:r>
      <w:r>
        <w:rPr>
          <w:rFonts w:hint="eastAsia" w:ascii="仿宋_GB2312" w:eastAsia="仿宋_GB2312" w:hAnsiTheme="minorEastAsia"/>
          <w:sz w:val="32"/>
          <w:szCs w:val="32"/>
        </w:rPr>
        <w:t xml:space="preserve">  中职升高职学费补助标准为每生每年2000元。</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第六条</w:t>
      </w:r>
      <w:r>
        <w:rPr>
          <w:rFonts w:hint="eastAsia" w:ascii="仿宋_GB2312" w:eastAsia="仿宋_GB2312" w:hAnsiTheme="minorEastAsia"/>
          <w:sz w:val="32"/>
          <w:szCs w:val="32"/>
        </w:rPr>
        <w:t xml:space="preserve">  中职升高职学费补助的基本申请条件：</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1．热爱社会主义祖国，拥护中国共产党的领导；</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2．遵守宪法和法律，遵守学校规章制度，无违纪违规记录；</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3．诚实守信，道德品质优良，关心集体，团结同学，乐于助人，举止文明；</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4．勤奋学习，积极上进；</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5．从中等职业学校毕业升入高等学校就读，家庭经济困难，生活俭朴，无不良嗜好，如抽烟、酗酒、赌博等, 无不良消费行为，无不良校园网贷等。</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92" w:name="_Toc23328_WPSOffice_Level1"/>
      <w:r>
        <w:rPr>
          <w:rFonts w:hint="eastAsia" w:ascii="黑体" w:hAnsi="仿宋_GB2312" w:eastAsia="黑体" w:cs="仿宋_GB2312"/>
          <w:b/>
          <w:kern w:val="0"/>
          <w:sz w:val="32"/>
          <w:szCs w:val="32"/>
        </w:rPr>
        <w:t>第三章  名额分配</w:t>
      </w:r>
      <w:bookmarkEnd w:id="592"/>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第七条</w:t>
      </w:r>
      <w:r>
        <w:rPr>
          <w:rFonts w:hint="eastAsia" w:ascii="仿宋_GB2312" w:eastAsia="仿宋_GB2312" w:hAnsiTheme="minorEastAsia"/>
          <w:sz w:val="32"/>
          <w:szCs w:val="32"/>
        </w:rPr>
        <w:t xml:space="preserve">  学生资助管理中心根据上级下达学费补助的经费预算，综合考虑各二级学院的中职升高职的家庭经济困难学生比例，对各二级学院学费补助的资助名额进行分配。</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93" w:name="_Toc6299_WPSOffice_Level1"/>
      <w:r>
        <w:rPr>
          <w:rFonts w:hint="eastAsia" w:ascii="黑体" w:hAnsi="仿宋_GB2312" w:eastAsia="黑体" w:cs="仿宋_GB2312"/>
          <w:b/>
          <w:kern w:val="0"/>
          <w:sz w:val="32"/>
          <w:szCs w:val="32"/>
        </w:rPr>
        <w:t>第四章  评审组织机构</w:t>
      </w:r>
      <w:bookmarkEnd w:id="593"/>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第八条</w:t>
      </w:r>
      <w:r>
        <w:rPr>
          <w:rFonts w:hint="eastAsia" w:ascii="仿宋_GB2312" w:eastAsia="仿宋_GB2312" w:hAnsiTheme="minorEastAsia"/>
          <w:sz w:val="32"/>
          <w:szCs w:val="32"/>
        </w:rPr>
        <w:t xml:space="preserve">  学校学生资助工作领导小组全面领导和监督评审工作，并裁决有关申诉事项。学校评审领导小组办公室设在学生资助管理中心，负责制定名额分配方案，协调评审工作；负责全校推荐学生的资格审核、资料审查、评审等工作。</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 xml:space="preserve">第九条  </w:t>
      </w:r>
      <w:r>
        <w:rPr>
          <w:rFonts w:hint="eastAsia" w:ascii="仿宋_GB2312" w:eastAsia="仿宋_GB2312" w:hAnsiTheme="minorEastAsia"/>
          <w:sz w:val="32"/>
          <w:szCs w:val="32"/>
        </w:rPr>
        <w:t>各二级学院学生资助工作领导小组负责组织和开展本学院中职升高职学费补助的申请和初评工作。</w:t>
      </w:r>
    </w:p>
    <w:p>
      <w:pPr>
        <w:pageBreakBefore w:val="0"/>
        <w:kinsoku/>
        <w:overflowPunct/>
        <w:topLinePunct w:val="0"/>
        <w:bidi w:val="0"/>
        <w:spacing w:line="580" w:lineRule="exact"/>
        <w:ind w:firstLine="643" w:firstLineChars="200"/>
        <w:outlineLvl w:val="9"/>
        <w:rPr>
          <w:rFonts w:ascii="仿宋_GB2312" w:eastAsia="仿宋_GB2312" w:hAnsiTheme="minorEastAsia"/>
          <w:b/>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94" w:name="_Toc12789_WPSOffice_Level1"/>
      <w:r>
        <w:rPr>
          <w:rFonts w:hint="eastAsia" w:ascii="黑体" w:hAnsi="仿宋_GB2312" w:eastAsia="黑体" w:cs="仿宋_GB2312"/>
          <w:b/>
          <w:kern w:val="0"/>
          <w:sz w:val="32"/>
          <w:szCs w:val="32"/>
        </w:rPr>
        <w:t>第五章  评审标准</w:t>
      </w:r>
      <w:bookmarkEnd w:id="594"/>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第十条</w:t>
      </w:r>
      <w:r>
        <w:rPr>
          <w:rFonts w:hint="eastAsia" w:ascii="仿宋_GB2312" w:eastAsia="仿宋_GB2312" w:hAnsiTheme="minorEastAsia"/>
          <w:sz w:val="32"/>
          <w:szCs w:val="32"/>
        </w:rPr>
        <w:t xml:space="preserve">  中职升高职学费补助按学年申请和评审，评定工作坚持公开、公平、公正的原则。</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第十一条</w:t>
      </w:r>
      <w:r>
        <w:rPr>
          <w:rFonts w:hint="eastAsia" w:ascii="仿宋_GB2312" w:eastAsia="仿宋_GB2312" w:hAnsiTheme="minorEastAsia"/>
          <w:sz w:val="32"/>
          <w:szCs w:val="32"/>
        </w:rPr>
        <w:t xml:space="preserve">  每年10月10日前，学生根据本办法规定的中职升高职学费补助的基本申请条件及其他有关规定，向学校提出申请，并递交《中等职业学校毕业生升入高等学校就读的家庭经济困难学生学费补助申请表》（见附件）。</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第十二条</w:t>
      </w:r>
      <w:r>
        <w:rPr>
          <w:rFonts w:hint="eastAsia" w:ascii="仿宋_GB2312" w:eastAsia="仿宋_GB2312" w:hAnsiTheme="minorEastAsia"/>
          <w:sz w:val="32"/>
          <w:szCs w:val="32"/>
        </w:rPr>
        <w:t xml:space="preserve">  家庭经济困难学生中有下列情况之一的，可优先享受学费补助：</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（一）享受城乡最低生活保障政策家庭学生；</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（二）孤儿；</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（三）烈士子女；</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（四）家庭经济困难的残疾学生；</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（五）建档立卡贫困户子女学生。</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（六）广西建档困难职工家庭学生。</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具备上述情形之一者，需提交相关证明材料，如《低保证》、《烈士军属证》、《残疾证》、《脱贫攻坚精准帮扶手册》、《广西困难职工审批表》以及孤儿证明等。</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95" w:name="_Toc12283_WPSOffice_Level1"/>
      <w:r>
        <w:rPr>
          <w:rFonts w:hint="eastAsia" w:ascii="黑体" w:hAnsi="仿宋_GB2312" w:eastAsia="黑体" w:cs="仿宋_GB2312"/>
          <w:b/>
          <w:kern w:val="0"/>
          <w:sz w:val="32"/>
          <w:szCs w:val="32"/>
        </w:rPr>
        <w:t>第六章 评审程序</w:t>
      </w:r>
      <w:bookmarkEnd w:id="595"/>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第十三条</w:t>
      </w:r>
      <w:r>
        <w:rPr>
          <w:rFonts w:hint="eastAsia" w:ascii="仿宋_GB2312" w:eastAsia="仿宋_GB2312" w:hAnsiTheme="minorEastAsia"/>
          <w:sz w:val="32"/>
          <w:szCs w:val="32"/>
        </w:rPr>
        <w:t xml:space="preserve">  符合中职升高职学费补助申请条件的学生向所在二级学院提出申请，递交《中等职业学校毕业生升入高等学校就读的家庭经济困难学生学费补助申请表》。二级学院学生资助工作小组在班级民主测评的基础之上，确定初评名单并在本学院内按年级分班级公示3个工作日，公示无异议后，将初评的中职升高职学费补助推荐名单及相关材料报学生资助管理中心。</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第十四条</w:t>
      </w:r>
      <w:r>
        <w:rPr>
          <w:rFonts w:hint="eastAsia" w:ascii="仿宋_GB2312" w:eastAsia="仿宋_GB2312" w:hAnsiTheme="minorEastAsia"/>
          <w:sz w:val="32"/>
          <w:szCs w:val="32"/>
        </w:rPr>
        <w:t xml:space="preserve">  学生资助管理中心审核二级学院报送的中职升高职学费补助学生名单和相关材料，并报学生资助工作领导小组审批，审定结果按年级分班级在全校范围公示5个工作日。</w:t>
      </w:r>
    </w:p>
    <w:p>
      <w:pPr>
        <w:pageBreakBefore w:val="0"/>
        <w:kinsoku/>
        <w:overflowPunct/>
        <w:topLinePunct w:val="0"/>
        <w:bidi w:val="0"/>
        <w:spacing w:line="580" w:lineRule="exact"/>
        <w:ind w:firstLine="643" w:firstLineChars="200"/>
        <w:outlineLvl w:val="9"/>
        <w:rPr>
          <w:rFonts w:ascii="仿宋_GB2312" w:eastAsia="仿宋_GB2312" w:hAnsiTheme="minorEastAsia"/>
          <w:kern w:val="0"/>
          <w:sz w:val="32"/>
          <w:szCs w:val="32"/>
        </w:rPr>
      </w:pPr>
      <w:r>
        <w:rPr>
          <w:rFonts w:hint="eastAsia" w:ascii="仿宋_GB2312" w:eastAsia="仿宋_GB2312" w:hAnsiTheme="minorEastAsia"/>
          <w:b/>
          <w:kern w:val="0"/>
          <w:sz w:val="32"/>
          <w:szCs w:val="32"/>
        </w:rPr>
        <w:t>第十五条</w:t>
      </w:r>
      <w:r>
        <w:rPr>
          <w:rFonts w:hint="eastAsia" w:ascii="仿宋_GB2312" w:eastAsia="仿宋_GB2312" w:hAnsiTheme="minorEastAsia"/>
          <w:kern w:val="0"/>
          <w:sz w:val="32"/>
          <w:szCs w:val="32"/>
        </w:rPr>
        <w:t xml:space="preserve">  学生个人对中职升高职学费补助审定结果如有异议，可在公示期间向学生资助</w:t>
      </w:r>
      <w:r>
        <w:rPr>
          <w:rFonts w:hint="eastAsia" w:ascii="仿宋_GB2312" w:eastAsia="仿宋_GB2312" w:hAnsiTheme="minorEastAsia"/>
          <w:sz w:val="32"/>
          <w:szCs w:val="32"/>
        </w:rPr>
        <w:t>管理</w:t>
      </w:r>
      <w:r>
        <w:rPr>
          <w:rFonts w:hint="eastAsia" w:ascii="仿宋_GB2312" w:eastAsia="仿宋_GB2312" w:hAnsiTheme="minorEastAsia"/>
          <w:kern w:val="0"/>
          <w:sz w:val="32"/>
          <w:szCs w:val="32"/>
        </w:rPr>
        <w:t>中心提出申诉。学生资助管理中心经过调查核实，并由学生资助工作领导小组裁决后，通知学生本人及所在二级学院。</w:t>
      </w:r>
    </w:p>
    <w:p>
      <w:pPr>
        <w:pageBreakBefore w:val="0"/>
        <w:kinsoku/>
        <w:overflowPunct/>
        <w:topLinePunct w:val="0"/>
        <w:bidi w:val="0"/>
        <w:spacing w:line="580" w:lineRule="exact"/>
        <w:ind w:firstLine="643" w:firstLineChars="200"/>
        <w:outlineLvl w:val="9"/>
        <w:rPr>
          <w:rFonts w:ascii="仿宋_GB2312" w:eastAsia="仿宋_GB2312" w:hAnsiTheme="minorEastAsia"/>
          <w:kern w:val="0"/>
          <w:sz w:val="32"/>
          <w:szCs w:val="32"/>
        </w:rPr>
      </w:pPr>
      <w:r>
        <w:rPr>
          <w:rFonts w:hint="eastAsia" w:ascii="仿宋_GB2312" w:eastAsia="仿宋_GB2312" w:hAnsiTheme="minorEastAsia"/>
          <w:b/>
          <w:kern w:val="0"/>
          <w:sz w:val="32"/>
          <w:szCs w:val="32"/>
        </w:rPr>
        <w:t>第十六条</w:t>
      </w:r>
      <w:r>
        <w:rPr>
          <w:rFonts w:hint="eastAsia" w:ascii="仿宋_GB2312" w:eastAsia="仿宋_GB2312" w:hAnsiTheme="minorEastAsia"/>
          <w:kern w:val="0"/>
          <w:sz w:val="32"/>
          <w:szCs w:val="32"/>
        </w:rPr>
        <w:t xml:space="preserve">  公示无异议后学生资助管理中心确定补助人员名单。</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96" w:name="_Toc22875_WPSOffice_Level1"/>
      <w:r>
        <w:rPr>
          <w:rFonts w:hint="eastAsia" w:ascii="黑体" w:hAnsi="仿宋_GB2312" w:eastAsia="黑体" w:cs="仿宋_GB2312"/>
          <w:b/>
          <w:kern w:val="0"/>
          <w:sz w:val="32"/>
          <w:szCs w:val="32"/>
        </w:rPr>
        <w:t>第七章  资金发放、管理与监督</w:t>
      </w:r>
      <w:bookmarkEnd w:id="596"/>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第十七条</w:t>
      </w:r>
      <w:r>
        <w:rPr>
          <w:rFonts w:hint="eastAsia" w:ascii="仿宋_GB2312" w:eastAsia="仿宋_GB2312" w:hAnsiTheme="minorEastAsia"/>
          <w:sz w:val="32"/>
          <w:szCs w:val="32"/>
        </w:rPr>
        <w:t xml:space="preserve">  学校在正式公示获</w:t>
      </w:r>
      <w:r>
        <w:rPr>
          <w:rFonts w:hint="eastAsia" w:ascii="仿宋_GB2312" w:eastAsia="仿宋_GB2312" w:hAnsiTheme="minorEastAsia"/>
          <w:kern w:val="0"/>
          <w:sz w:val="32"/>
          <w:szCs w:val="32"/>
        </w:rPr>
        <w:t>中职升高职学费补助学生名单并下拨专项经费后，由学校财务处通过银行卡的方式，将当年中职升高职学费补助通过银行一次性发放给获助学生</w:t>
      </w:r>
      <w:r>
        <w:rPr>
          <w:rFonts w:hint="eastAsia" w:ascii="仿宋_GB2312" w:eastAsia="仿宋_GB2312" w:hAnsiTheme="minorEastAsia"/>
          <w:sz w:val="32"/>
          <w:szCs w:val="32"/>
        </w:rPr>
        <w:t>。</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第十八条</w:t>
      </w:r>
      <w:r>
        <w:rPr>
          <w:rFonts w:hint="eastAsia" w:ascii="仿宋_GB2312" w:eastAsia="仿宋_GB2312" w:hAnsiTheme="minorEastAsia"/>
          <w:sz w:val="32"/>
          <w:szCs w:val="32"/>
        </w:rPr>
        <w:t xml:space="preserve">  学校为</w:t>
      </w:r>
      <w:r>
        <w:rPr>
          <w:rFonts w:hint="eastAsia" w:ascii="仿宋_GB2312" w:eastAsia="仿宋_GB2312" w:hAnsiTheme="minorEastAsia"/>
          <w:kern w:val="0"/>
          <w:sz w:val="32"/>
          <w:szCs w:val="32"/>
        </w:rPr>
        <w:t>中职升高职学费补助</w:t>
      </w:r>
      <w:r>
        <w:rPr>
          <w:rFonts w:hint="eastAsia" w:ascii="仿宋_GB2312" w:eastAsia="仿宋_GB2312" w:hAnsiTheme="minorEastAsia"/>
          <w:sz w:val="32"/>
          <w:szCs w:val="32"/>
        </w:rPr>
        <w:t>资金实行分账核算，专款专用，并接受上级有关部门的审计、检查和监督。</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597" w:name="_Toc11732_WPSOffice_Level1"/>
      <w:r>
        <w:rPr>
          <w:rFonts w:hint="eastAsia" w:ascii="黑体" w:hAnsi="仿宋_GB2312" w:eastAsia="黑体" w:cs="仿宋_GB2312"/>
          <w:b/>
          <w:kern w:val="0"/>
          <w:sz w:val="32"/>
          <w:szCs w:val="32"/>
        </w:rPr>
        <w:t>第八章  附则</w:t>
      </w:r>
      <w:bookmarkEnd w:id="597"/>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第十九条</w:t>
      </w:r>
      <w:r>
        <w:rPr>
          <w:rFonts w:hint="eastAsia" w:ascii="仿宋_GB2312" w:eastAsia="仿宋_GB2312" w:hAnsiTheme="minorEastAsia"/>
          <w:sz w:val="32"/>
          <w:szCs w:val="32"/>
        </w:rPr>
        <w:t xml:space="preserve">  本办法自公布之日起施行。</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第二十条</w:t>
      </w:r>
      <w:r>
        <w:rPr>
          <w:rFonts w:hint="eastAsia" w:ascii="仿宋_GB2312" w:eastAsia="仿宋_GB2312" w:hAnsiTheme="minorEastAsia"/>
          <w:sz w:val="32"/>
          <w:szCs w:val="32"/>
        </w:rPr>
        <w:t xml:space="preserve">  本办法由校学生工作部（处）负责解释。</w:t>
      </w:r>
    </w:p>
    <w:p>
      <w:pPr>
        <w:pageBreakBefore w:val="0"/>
        <w:kinsoku/>
        <w:overflowPunct/>
        <w:topLinePunct w:val="0"/>
        <w:bidi w:val="0"/>
        <w:spacing w:line="580" w:lineRule="exact"/>
        <w:ind w:firstLine="640" w:firstLineChars="200"/>
        <w:jc w:val="left"/>
        <w:outlineLvl w:val="9"/>
        <w:rPr>
          <w:rFonts w:ascii="仿宋_GB2312" w:eastAsia="仿宋_GB2312" w:hAnsiTheme="minorEastAsia"/>
          <w:sz w:val="32"/>
          <w:szCs w:val="32"/>
        </w:rPr>
      </w:pPr>
    </w:p>
    <w:p>
      <w:pPr>
        <w:pageBreakBefore w:val="0"/>
        <w:kinsoku/>
        <w:overflowPunct/>
        <w:topLinePunct w:val="0"/>
        <w:bidi w:val="0"/>
        <w:spacing w:line="580"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附件：中等职业学校毕业生升入高等学校就读的家庭经济困</w:t>
      </w:r>
    </w:p>
    <w:p>
      <w:pPr>
        <w:pageBreakBefore w:val="0"/>
        <w:kinsoku/>
        <w:overflowPunct/>
        <w:topLinePunct w:val="0"/>
        <w:bidi w:val="0"/>
        <w:spacing w:line="580" w:lineRule="exact"/>
        <w:ind w:firstLine="1440" w:firstLineChars="450"/>
        <w:jc w:val="left"/>
        <w:outlineLvl w:val="9"/>
        <w:rPr>
          <w:rFonts w:ascii="仿宋_GB2312" w:eastAsia="仿宋_GB2312" w:hAnsiTheme="minorEastAsia"/>
          <w:sz w:val="32"/>
          <w:szCs w:val="32"/>
        </w:rPr>
        <w:sectPr>
          <w:headerReference r:id="rId11" w:type="default"/>
          <w:footerReference r:id="rId13" w:type="default"/>
          <w:headerReference r:id="rId12" w:type="even"/>
          <w:footerReference r:id="rId14" w:type="even"/>
          <w:pgSz w:w="11906" w:h="16838"/>
          <w:pgMar w:top="2098" w:right="1474" w:bottom="1985" w:left="1588" w:header="851" w:footer="1559" w:gutter="0"/>
          <w:pgNumType w:fmt="decimal"/>
          <w:cols w:space="425" w:num="1"/>
          <w:docGrid w:type="lines" w:linePitch="381" w:charSpace="0"/>
        </w:sectPr>
      </w:pPr>
      <w:r>
        <w:rPr>
          <w:rFonts w:hint="eastAsia" w:ascii="仿宋_GB2312" w:eastAsia="仿宋_GB2312" w:hAnsiTheme="minorEastAsia"/>
          <w:sz w:val="32"/>
          <w:szCs w:val="32"/>
        </w:rPr>
        <w:t>难学生学费补助申请表</w:t>
      </w:r>
    </w:p>
    <w:p>
      <w:pPr>
        <w:pageBreakBefore w:val="0"/>
        <w:kinsoku/>
        <w:overflowPunct/>
        <w:topLinePunct w:val="0"/>
        <w:bidi w:val="0"/>
        <w:outlineLvl w:val="9"/>
        <w:rPr>
          <w:rFonts w:hint="eastAsia" w:ascii="仿宋_GB2312" w:eastAsia="仿宋_GB2312"/>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b/>
          <w:color w:val="000000"/>
          <w:sz w:val="36"/>
          <w:szCs w:val="36"/>
        </w:rPr>
      </w:pPr>
      <w:bookmarkStart w:id="598" w:name="_Toc13201"/>
      <w:bookmarkStart w:id="599" w:name="_Toc2572"/>
      <w:bookmarkStart w:id="600" w:name="_Toc5608"/>
      <w:bookmarkStart w:id="601" w:name="_Toc4155"/>
      <w:bookmarkStart w:id="602" w:name="_Toc19915_WPSOffice_Level1"/>
      <w:bookmarkStart w:id="603" w:name="_Toc21740"/>
      <w:bookmarkStart w:id="604" w:name="_Toc28648"/>
      <w:r>
        <w:rPr>
          <w:rFonts w:hint="eastAsia"/>
          <w:b/>
          <w:color w:val="000000"/>
          <w:sz w:val="36"/>
          <w:szCs w:val="36"/>
        </w:rPr>
        <w:t>柳州职业技术学院学生转学管理细则</w:t>
      </w:r>
      <w:bookmarkEnd w:id="598"/>
      <w:bookmarkEnd w:id="599"/>
      <w:bookmarkEnd w:id="600"/>
      <w:bookmarkEnd w:id="601"/>
      <w:bookmarkEnd w:id="602"/>
      <w:bookmarkEnd w:id="603"/>
      <w:bookmarkEnd w:id="604"/>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b w:val="0"/>
          <w:bCs w:val="0"/>
          <w:sz w:val="32"/>
          <w:szCs w:val="32"/>
        </w:rPr>
        <w:t>柳职院学字〔2019〕23号</w:t>
      </w:r>
      <w:r>
        <w:rPr>
          <w:rFonts w:hint="eastAsia" w:ascii="仿宋_GB2312" w:eastAsia="仿宋_GB2312"/>
          <w:b w:val="0"/>
          <w:bCs w:val="0"/>
          <w:sz w:val="32"/>
          <w:szCs w:val="32"/>
          <w:lang w:eastAsia="zh-CN"/>
        </w:rPr>
        <w:t>）</w:t>
      </w: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一、转学条件</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学生一般应当在被录取学校完成学业，确实因病或者特殊困难、特殊需要，无法继续在本校学习或者不适应本校学习要求的，可向学校提出转学申请。学生有下列情形之一，不得转学：</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w:t>
      </w:r>
      <w:r>
        <w:rPr>
          <w:rFonts w:ascii="仿宋_GB2312" w:eastAsia="仿宋_GB2312" w:hAnsiTheme="minorEastAsia"/>
          <w:sz w:val="32"/>
          <w:szCs w:val="32"/>
        </w:rPr>
        <w:t>1</w:t>
      </w:r>
      <w:r>
        <w:rPr>
          <w:rFonts w:hint="eastAsia" w:ascii="仿宋_GB2312" w:eastAsia="仿宋_GB2312" w:hAnsiTheme="minorEastAsia"/>
          <w:sz w:val="32"/>
          <w:szCs w:val="32"/>
        </w:rPr>
        <w:t>）入学未满一学期或者毕业前一年的；</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w:t>
      </w:r>
      <w:r>
        <w:rPr>
          <w:rFonts w:ascii="仿宋_GB2312" w:eastAsia="仿宋_GB2312" w:hAnsiTheme="minorEastAsia"/>
          <w:sz w:val="32"/>
          <w:szCs w:val="32"/>
        </w:rPr>
        <w:t>2</w:t>
      </w:r>
      <w:r>
        <w:rPr>
          <w:rFonts w:hint="eastAsia" w:ascii="仿宋_GB2312" w:eastAsia="仿宋_GB2312" w:hAnsiTheme="minorEastAsia"/>
          <w:sz w:val="32"/>
          <w:szCs w:val="32"/>
        </w:rPr>
        <w:t>）高考成绩低于拟转入学校相关专业同一生源地相应年份录取成绩的；</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w:t>
      </w:r>
      <w:r>
        <w:rPr>
          <w:rFonts w:ascii="仿宋_GB2312" w:eastAsia="仿宋_GB2312" w:hAnsiTheme="minorEastAsia"/>
          <w:sz w:val="32"/>
          <w:szCs w:val="32"/>
        </w:rPr>
        <w:t>3</w:t>
      </w:r>
      <w:r>
        <w:rPr>
          <w:rFonts w:hint="eastAsia" w:ascii="仿宋_GB2312" w:eastAsia="仿宋_GB2312" w:hAnsiTheme="minorEastAsia"/>
          <w:sz w:val="32"/>
          <w:szCs w:val="32"/>
        </w:rPr>
        <w:t>）由低学历层次转为高学历层次的；</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w:t>
      </w:r>
      <w:r>
        <w:rPr>
          <w:rFonts w:ascii="仿宋_GB2312" w:eastAsia="仿宋_GB2312" w:hAnsiTheme="minorEastAsia"/>
          <w:sz w:val="32"/>
          <w:szCs w:val="32"/>
        </w:rPr>
        <w:t>4</w:t>
      </w:r>
      <w:r>
        <w:rPr>
          <w:rFonts w:hint="eastAsia" w:ascii="仿宋_GB2312" w:eastAsia="仿宋_GB2312" w:hAnsiTheme="minorEastAsia"/>
          <w:sz w:val="32"/>
          <w:szCs w:val="32"/>
        </w:rPr>
        <w:t>）以定向就业招生录取的；</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（5）其他无正当理由的。</w:t>
      </w:r>
    </w:p>
    <w:p>
      <w:pPr>
        <w:pageBreakBefore w:val="0"/>
        <w:kinsoku/>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二、办理程序</w:t>
      </w:r>
    </w:p>
    <w:p>
      <w:pPr>
        <w:pageBreakBefore w:val="0"/>
        <w:kinsoku/>
        <w:overflowPunct/>
        <w:topLinePunct w:val="0"/>
        <w:bidi w:val="0"/>
        <w:spacing w:line="580" w:lineRule="exact"/>
        <w:ind w:firstLine="643" w:firstLineChars="200"/>
        <w:outlineLvl w:val="9"/>
        <w:rPr>
          <w:rFonts w:ascii="楷体_GB2312" w:eastAsia="楷体_GB2312" w:hAnsiTheme="minorEastAsia"/>
          <w:b/>
          <w:sz w:val="32"/>
          <w:szCs w:val="32"/>
        </w:rPr>
      </w:pPr>
      <w:r>
        <w:rPr>
          <w:rFonts w:hint="eastAsia" w:ascii="楷体_GB2312" w:eastAsia="楷体_GB2312" w:hAnsiTheme="minorEastAsia"/>
          <w:b/>
          <w:sz w:val="32"/>
          <w:szCs w:val="32"/>
        </w:rPr>
        <w:t>（一）转出办理程序：</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1.</w:t>
      </w:r>
      <w:r>
        <w:rPr>
          <w:rFonts w:hint="eastAsia" w:ascii="仿宋_GB2312" w:eastAsia="仿宋_GB2312" w:hAnsiTheme="minorEastAsia"/>
          <w:sz w:val="32"/>
          <w:szCs w:val="32"/>
        </w:rPr>
        <w:t>学生向所在二级学院提出转学申请，填写《柳州职业技术学院转学申请表》和《广西壮族自治区普通高等学校学生转学备案表》，并按要求提供相关的证明材料。</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 xml:space="preserve">2. </w:t>
      </w:r>
      <w:r>
        <w:rPr>
          <w:rFonts w:hint="eastAsia" w:ascii="仿宋_GB2312" w:eastAsia="仿宋_GB2312" w:hAnsiTheme="minorEastAsia"/>
          <w:sz w:val="32"/>
          <w:szCs w:val="32"/>
        </w:rPr>
        <w:t>学生所在二级学院将签署好意见的《柳州职业技术学院转学申请表》及有关材料送交教务处审核，由学生所在二级学院提供加盖二级学院公章的学生个人表现鉴定书及成绩证明各一份。由招生处提供加盖学校公章的学生录取简明登记表（含录取分数）。</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3.</w:t>
      </w:r>
      <w:r>
        <w:rPr>
          <w:rFonts w:hint="eastAsia" w:ascii="仿宋_GB2312" w:eastAsia="仿宋_GB2312" w:hAnsiTheme="minorEastAsia"/>
          <w:sz w:val="32"/>
          <w:szCs w:val="32"/>
        </w:rPr>
        <w:t>经学校校长办公会审议通过后，对拟转学学生信息（主要包括：学生姓名，转出、转入学校和专业名称，入学年份，录取分数，转学理由等）通过学校网站进行公示，公示时间不少于</w:t>
      </w:r>
      <w:r>
        <w:rPr>
          <w:rFonts w:ascii="仿宋_GB2312" w:eastAsia="仿宋_GB2312" w:hAnsiTheme="minorEastAsia"/>
          <w:sz w:val="32"/>
          <w:szCs w:val="32"/>
        </w:rPr>
        <w:t>5</w:t>
      </w:r>
      <w:r>
        <w:rPr>
          <w:rFonts w:hint="eastAsia" w:ascii="仿宋_GB2312" w:eastAsia="仿宋_GB2312" w:hAnsiTheme="minorEastAsia"/>
          <w:sz w:val="32"/>
          <w:szCs w:val="32"/>
        </w:rPr>
        <w:t>个工作日。</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4.</w:t>
      </w:r>
      <w:r>
        <w:rPr>
          <w:rFonts w:hint="eastAsia" w:ascii="仿宋_GB2312" w:eastAsia="仿宋_GB2312" w:hAnsiTheme="minorEastAsia"/>
          <w:sz w:val="32"/>
          <w:szCs w:val="32"/>
        </w:rPr>
        <w:t>经公示无异议后，由我校教务处将相关材料报送学生拟转入学校审批，由转入学校报送广西教育厅备案（跨省转学的，经双方学校同意后，先报送转出学校所在地教育行政部门备案，再报转入学校所在地教育行政部门备案）。</w:t>
      </w:r>
    </w:p>
    <w:p>
      <w:pPr>
        <w:pageBreakBefore w:val="0"/>
        <w:kinsoku/>
        <w:overflowPunct/>
        <w:topLinePunct w:val="0"/>
        <w:bidi w:val="0"/>
        <w:spacing w:line="580" w:lineRule="exact"/>
        <w:ind w:firstLine="643" w:firstLineChars="200"/>
        <w:outlineLvl w:val="9"/>
        <w:rPr>
          <w:rFonts w:ascii="楷体_GB2312" w:eastAsia="楷体_GB2312" w:hAnsiTheme="minorEastAsia"/>
          <w:b/>
          <w:sz w:val="32"/>
          <w:szCs w:val="32"/>
        </w:rPr>
      </w:pPr>
      <w:r>
        <w:rPr>
          <w:rFonts w:hint="eastAsia" w:ascii="楷体_GB2312" w:eastAsia="楷体_GB2312" w:hAnsiTheme="minorEastAsia"/>
          <w:b/>
          <w:sz w:val="32"/>
          <w:szCs w:val="32"/>
        </w:rPr>
        <w:t>（二）转入程序</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1</w:t>
      </w:r>
      <w:r>
        <w:rPr>
          <w:rFonts w:hint="eastAsia" w:ascii="仿宋_GB2312" w:eastAsia="仿宋_GB2312" w:hAnsiTheme="minorEastAsia"/>
          <w:sz w:val="32"/>
          <w:szCs w:val="32"/>
        </w:rPr>
        <w:t>．由转出学校初审申请转学学生的材料，审核通过后，转学学生持《广西壮族自治区普通高等学校学生转学备案表》及相关材料向我校提出申请。</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 xml:space="preserve">2. </w:t>
      </w:r>
      <w:r>
        <w:rPr>
          <w:rFonts w:hint="eastAsia" w:ascii="仿宋_GB2312" w:eastAsia="仿宋_GB2312" w:hAnsiTheme="minorEastAsia"/>
          <w:sz w:val="32"/>
          <w:szCs w:val="32"/>
        </w:rPr>
        <w:t>学生填写《柳州职业技术学院转学申请表》，由我校教务处和招生处审核学生转学条件及相关证明材料，通过后转入拟转入二级学院研究讨论。</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3.</w:t>
      </w:r>
      <w:r>
        <w:rPr>
          <w:rFonts w:hint="eastAsia" w:ascii="仿宋_GB2312" w:eastAsia="仿宋_GB2312" w:hAnsiTheme="minorEastAsia"/>
          <w:sz w:val="32"/>
          <w:szCs w:val="32"/>
        </w:rPr>
        <w:t>二级学院审议通过后，由教务处将二级学院会议纪要、相关证明等材料提交校务会审议，并将会议决定如实记入《柳州职业技术学院转学申请表》。</w:t>
      </w:r>
      <w:r>
        <w:rPr>
          <w:rFonts w:ascii="仿宋_GB2312" w:eastAsia="仿宋_GB2312" w:hAnsiTheme="minorEastAsia"/>
          <w:sz w:val="32"/>
          <w:szCs w:val="32"/>
        </w:rPr>
        <w:t xml:space="preserve"> </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4.</w:t>
      </w:r>
      <w:r>
        <w:rPr>
          <w:rFonts w:hint="eastAsia" w:ascii="仿宋_GB2312" w:eastAsia="仿宋_GB2312" w:hAnsiTheme="minorEastAsia"/>
          <w:sz w:val="32"/>
          <w:szCs w:val="32"/>
        </w:rPr>
        <w:t>校长办会议审议通过后，对拟转学学生信息（主要包括：学生姓名，转出、转入学校和专业名称，入学年份，录取分数，转学理由等）通过学校网站进行公示，公示时间不少于</w:t>
      </w:r>
      <w:r>
        <w:rPr>
          <w:rFonts w:ascii="仿宋_GB2312" w:eastAsia="仿宋_GB2312" w:hAnsiTheme="minorEastAsia"/>
          <w:sz w:val="32"/>
          <w:szCs w:val="32"/>
        </w:rPr>
        <w:t>5</w:t>
      </w:r>
      <w:r>
        <w:rPr>
          <w:rFonts w:hint="eastAsia" w:ascii="仿宋_GB2312" w:eastAsia="仿宋_GB2312" w:hAnsiTheme="minorEastAsia"/>
          <w:sz w:val="32"/>
          <w:szCs w:val="32"/>
        </w:rPr>
        <w:t>个工作日。</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5.</w:t>
      </w:r>
      <w:r>
        <w:rPr>
          <w:rFonts w:hint="eastAsia" w:ascii="仿宋_GB2312" w:eastAsia="仿宋_GB2312" w:hAnsiTheme="minorEastAsia"/>
          <w:sz w:val="32"/>
          <w:szCs w:val="32"/>
        </w:rPr>
        <w:t>经公示无异议后，由校长签署接收函。</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6.</w:t>
      </w:r>
      <w:r>
        <w:rPr>
          <w:rFonts w:hint="eastAsia" w:ascii="仿宋_GB2312" w:eastAsia="仿宋_GB2312" w:hAnsiTheme="minorEastAsia"/>
          <w:sz w:val="32"/>
          <w:szCs w:val="32"/>
        </w:rPr>
        <w:t>学生转学审核完成后，转入学校应在</w:t>
      </w:r>
      <w:r>
        <w:rPr>
          <w:rFonts w:ascii="仿宋_GB2312" w:eastAsia="仿宋_GB2312" w:hAnsiTheme="minorEastAsia"/>
          <w:sz w:val="32"/>
          <w:szCs w:val="32"/>
        </w:rPr>
        <w:t>15</w:t>
      </w:r>
      <w:r>
        <w:rPr>
          <w:rFonts w:hint="eastAsia" w:ascii="仿宋_GB2312" w:eastAsia="仿宋_GB2312" w:hAnsiTheme="minorEastAsia"/>
          <w:sz w:val="32"/>
          <w:szCs w:val="32"/>
        </w:rPr>
        <w:t>个工作日内登录“中国高等教育学生信息网学籍学历信息管理平台”完成学籍异动手续办理。</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7.</w:t>
      </w:r>
      <w:r>
        <w:rPr>
          <w:rFonts w:hint="eastAsia" w:ascii="仿宋_GB2312" w:eastAsia="仿宋_GB2312" w:hAnsiTheme="minorEastAsia"/>
          <w:sz w:val="32"/>
          <w:szCs w:val="32"/>
        </w:rPr>
        <w:t>按教育厅要求，由转入学校向教育厅报送转学备案材料。跨省转学的，由转出学校报送转学备案材料。</w:t>
      </w:r>
    </w:p>
    <w:p>
      <w:pPr>
        <w:pageBreakBefore w:val="0"/>
        <w:kinsoku/>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三、材料要求</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报广西教育厅审批备案时，须提供以下材料：</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（一）广西壮族自治区普通高等学校学生转学备案表，见附件。（原件一式四份；如学生须迁移户口的，则报一式五份）。</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（二）因患病转学学生须提供转出学校所在地二级甲等以上医院检查证明原件（加盖医院病情证明专用章）；因特殊困难转学学生须提供特殊困难情况说明，并提供相应证明材料（加盖学校公章）。</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（三）加盖转出学校公章的转学学生《普通高校录取新生简明登记表》（含录取分数）（一式两份）。</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（四）加盖转出学校公章的学生各学期学习成绩证明和表现鉴定书原件各一份。</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（五）转入学校提供的转学学生达到拟转入专业同一生源地相应年份最低录取分数的《普通高校录取新生简明登记表》（含录取分数）（加盖学校公章）。</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（六）拟转出、转入学校集体研究会议纪要。</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hint="eastAsia" w:ascii="仿宋_GB2312" w:eastAsia="仿宋_GB2312" w:hAnsiTheme="minorEastAsia"/>
          <w:sz w:val="32"/>
          <w:szCs w:val="32"/>
        </w:rPr>
        <w:t>（七）校长签发的《接收函》一份。</w:t>
      </w:r>
    </w:p>
    <w:p>
      <w:pPr>
        <w:pageBreakBefore w:val="0"/>
        <w:kinsoku/>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四、时间要求</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1.</w:t>
      </w:r>
      <w:r>
        <w:rPr>
          <w:rFonts w:hint="eastAsia" w:ascii="仿宋_GB2312" w:eastAsia="仿宋_GB2312" w:hAnsiTheme="minorEastAsia"/>
          <w:sz w:val="32"/>
          <w:szCs w:val="32"/>
        </w:rPr>
        <w:t>除节假日外，学校全年受理转学申请；</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r>
        <w:rPr>
          <w:rFonts w:ascii="仿宋_GB2312" w:eastAsia="仿宋_GB2312" w:hAnsiTheme="minorEastAsia"/>
          <w:sz w:val="32"/>
          <w:szCs w:val="32"/>
        </w:rPr>
        <w:t>2.</w:t>
      </w:r>
      <w:r>
        <w:rPr>
          <w:rFonts w:hint="eastAsia" w:ascii="仿宋_GB2312" w:eastAsia="仿宋_GB2312" w:hAnsiTheme="minorEastAsia"/>
          <w:sz w:val="32"/>
          <w:szCs w:val="32"/>
        </w:rPr>
        <w:t>转入学生应在接到学校同意转入通知后，在指定时间内到我校办理入学报到手续，逾期视为放弃入学资格。</w:t>
      </w:r>
    </w:p>
    <w:p>
      <w:pPr>
        <w:pageBreakBefore w:val="0"/>
        <w:kinsoku/>
        <w:overflowPunct/>
        <w:topLinePunct w:val="0"/>
        <w:bidi w:val="0"/>
        <w:spacing w:line="580" w:lineRule="exact"/>
        <w:ind w:firstLine="643" w:firstLineChars="200"/>
        <w:outlineLvl w:val="9"/>
        <w:rPr>
          <w:rFonts w:ascii="仿宋_GB2312" w:eastAsia="仿宋_GB2312" w:hAnsiTheme="minorEastAsia"/>
          <w:sz w:val="32"/>
          <w:szCs w:val="32"/>
        </w:rPr>
      </w:pPr>
      <w:r>
        <w:rPr>
          <w:rFonts w:hint="eastAsia" w:ascii="黑体" w:hAnsi="黑体" w:eastAsia="黑体"/>
          <w:b/>
          <w:sz w:val="32"/>
          <w:szCs w:val="32"/>
        </w:rPr>
        <w:t>五、</w:t>
      </w:r>
      <w:r>
        <w:rPr>
          <w:rFonts w:hint="eastAsia" w:ascii="仿宋_GB2312" w:eastAsia="仿宋_GB2312" w:hAnsiTheme="minorEastAsia"/>
          <w:sz w:val="32"/>
          <w:szCs w:val="32"/>
        </w:rPr>
        <w:t>本细则从</w:t>
      </w:r>
      <w:r>
        <w:rPr>
          <w:rFonts w:ascii="仿宋_GB2312" w:eastAsia="仿宋_GB2312" w:hAnsiTheme="minorEastAsia"/>
          <w:sz w:val="32"/>
          <w:szCs w:val="32"/>
        </w:rPr>
        <w:t>2019</w:t>
      </w:r>
      <w:r>
        <w:rPr>
          <w:rFonts w:hint="eastAsia" w:ascii="仿宋_GB2312" w:eastAsia="仿宋_GB2312" w:hAnsiTheme="minorEastAsia"/>
          <w:sz w:val="32"/>
          <w:szCs w:val="32"/>
        </w:rPr>
        <w:t>年</w:t>
      </w:r>
      <w:r>
        <w:rPr>
          <w:rFonts w:ascii="仿宋_GB2312" w:eastAsia="仿宋_GB2312" w:hAnsiTheme="minorEastAsia"/>
          <w:sz w:val="32"/>
          <w:szCs w:val="32"/>
        </w:rPr>
        <w:t>3</w:t>
      </w:r>
      <w:r>
        <w:rPr>
          <w:rFonts w:hint="eastAsia" w:ascii="仿宋_GB2312" w:eastAsia="仿宋_GB2312" w:hAnsiTheme="minorEastAsia"/>
          <w:sz w:val="32"/>
          <w:szCs w:val="32"/>
        </w:rPr>
        <w:t>月起执行，由学校教务处负责解释；原《柳州职业技术学院学生转学管理细则》（柳职院教字〔2015〕</w:t>
      </w:r>
      <w:r>
        <w:rPr>
          <w:rFonts w:ascii="仿宋_GB2312" w:eastAsia="仿宋_GB2312" w:hAnsiTheme="minorEastAsia"/>
          <w:sz w:val="32"/>
          <w:szCs w:val="32"/>
        </w:rPr>
        <w:t>18</w:t>
      </w:r>
      <w:r>
        <w:rPr>
          <w:rFonts w:hint="eastAsia" w:ascii="仿宋_GB2312" w:eastAsia="仿宋_GB2312" w:hAnsiTheme="minorEastAsia"/>
          <w:sz w:val="32"/>
          <w:szCs w:val="32"/>
        </w:rPr>
        <w:t>号）同时废止。</w:t>
      </w: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p>
    <w:p>
      <w:pPr>
        <w:pageBreakBefore w:val="0"/>
        <w:kinsoku/>
        <w:overflowPunct/>
        <w:topLinePunct w:val="0"/>
        <w:bidi w:val="0"/>
        <w:spacing w:line="580" w:lineRule="exact"/>
        <w:ind w:firstLine="640" w:firstLineChars="200"/>
        <w:outlineLvl w:val="9"/>
        <w:rPr>
          <w:rFonts w:ascii="仿宋_GB2312" w:eastAsia="仿宋_GB2312" w:hAnsiTheme="minorEastAsia"/>
          <w:sz w:val="32"/>
          <w:szCs w:val="32"/>
        </w:rPr>
      </w:pPr>
      <w:bookmarkStart w:id="605" w:name="_Toc10288_WPSOffice_Level1"/>
      <w:r>
        <w:rPr>
          <w:rFonts w:hint="eastAsia" w:ascii="仿宋_GB2312" w:eastAsia="仿宋_GB2312" w:hAnsiTheme="minorEastAsia"/>
          <w:sz w:val="32"/>
          <w:szCs w:val="32"/>
        </w:rPr>
        <w:t>附表：</w:t>
      </w:r>
      <w:r>
        <w:rPr>
          <w:rFonts w:ascii="仿宋_GB2312" w:eastAsia="仿宋_GB2312" w:hAnsiTheme="minorEastAsia"/>
          <w:sz w:val="32"/>
          <w:szCs w:val="32"/>
        </w:rPr>
        <w:t>1.</w:t>
      </w:r>
      <w:r>
        <w:rPr>
          <w:rFonts w:hint="eastAsia" w:ascii="仿宋_GB2312" w:eastAsia="仿宋_GB2312" w:hAnsiTheme="minorEastAsia"/>
          <w:sz w:val="32"/>
          <w:szCs w:val="32"/>
        </w:rPr>
        <w:t>柳州职业技术学院转学申请表</w:t>
      </w:r>
      <w:bookmarkEnd w:id="605"/>
    </w:p>
    <w:p>
      <w:pPr>
        <w:pageBreakBefore w:val="0"/>
        <w:kinsoku/>
        <w:overflowPunct/>
        <w:topLinePunct w:val="0"/>
        <w:bidi w:val="0"/>
        <w:spacing w:line="580" w:lineRule="exact"/>
        <w:ind w:firstLine="1600" w:firstLineChars="500"/>
        <w:outlineLvl w:val="9"/>
        <w:rPr>
          <w:rFonts w:ascii="仿宋_GB2312" w:eastAsia="仿宋_GB2312" w:hAnsiTheme="minorEastAsia"/>
          <w:sz w:val="32"/>
          <w:szCs w:val="32"/>
        </w:rPr>
      </w:pPr>
      <w:r>
        <w:rPr>
          <w:rFonts w:ascii="仿宋_GB2312" w:eastAsia="仿宋_GB2312" w:hAnsiTheme="minorEastAsia"/>
          <w:sz w:val="32"/>
          <w:szCs w:val="32"/>
        </w:rPr>
        <w:t>2.</w:t>
      </w:r>
      <w:r>
        <w:rPr>
          <w:rFonts w:hint="eastAsia" w:ascii="仿宋_GB2312" w:eastAsia="仿宋_GB2312" w:hAnsiTheme="minorEastAsia"/>
          <w:sz w:val="32"/>
          <w:szCs w:val="32"/>
        </w:rPr>
        <w:t>广西壮族自治区普通高等学校学生转学备案表</w:t>
      </w:r>
    </w:p>
    <w:p>
      <w:pPr>
        <w:pageBreakBefore w:val="0"/>
        <w:kinsoku/>
        <w:overflowPunct/>
        <w:topLinePunct w:val="0"/>
        <w:bidi w:val="0"/>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br w:type="page"/>
      </w:r>
    </w:p>
    <w:p>
      <w:pPr>
        <w:pageBreakBefore w:val="0"/>
        <w:kinsoku/>
        <w:overflowPunct/>
        <w:topLinePunct w:val="0"/>
        <w:bidi w:val="0"/>
        <w:spacing w:line="400" w:lineRule="exact"/>
        <w:jc w:val="left"/>
        <w:outlineLvl w:val="9"/>
        <w:rPr>
          <w:rFonts w:ascii="黑体" w:eastAsia="黑体"/>
          <w:sz w:val="32"/>
          <w:szCs w:val="32"/>
        </w:rPr>
      </w:pPr>
      <w:bookmarkStart w:id="606" w:name="_Toc29395_WPSOffice_Level1"/>
      <w:r>
        <w:rPr>
          <w:rFonts w:hint="eastAsia" w:ascii="黑体" w:eastAsia="黑体"/>
          <w:sz w:val="32"/>
          <w:szCs w:val="32"/>
        </w:rPr>
        <w:t>附表</w:t>
      </w:r>
      <w:r>
        <w:rPr>
          <w:rFonts w:ascii="黑体" w:eastAsia="黑体"/>
          <w:sz w:val="32"/>
          <w:szCs w:val="32"/>
        </w:rPr>
        <w:t xml:space="preserve">1 </w:t>
      </w:r>
      <w:r>
        <w:rPr>
          <w:rFonts w:hint="eastAsia" w:ascii="黑体" w:eastAsia="黑体"/>
          <w:sz w:val="32"/>
          <w:szCs w:val="32"/>
        </w:rPr>
        <w:t>：</w:t>
      </w:r>
      <w:bookmarkEnd w:id="606"/>
    </w:p>
    <w:p>
      <w:pPr>
        <w:pageBreakBefore w:val="0"/>
        <w:kinsoku/>
        <w:overflowPunct/>
        <w:topLinePunct w:val="0"/>
        <w:bidi w:val="0"/>
        <w:spacing w:line="590" w:lineRule="exact"/>
        <w:jc w:val="center"/>
        <w:outlineLvl w:val="9"/>
        <w:rPr>
          <w:b/>
          <w:color w:val="000000"/>
          <w:sz w:val="36"/>
          <w:szCs w:val="36"/>
        </w:rPr>
      </w:pPr>
      <w:bookmarkStart w:id="607" w:name="_Toc11110_WPSOffice_Level1"/>
      <w:r>
        <w:rPr>
          <w:rFonts w:hint="eastAsia"/>
          <w:b/>
          <w:color w:val="000000"/>
          <w:sz w:val="36"/>
          <w:szCs w:val="36"/>
        </w:rPr>
        <w:t>柳州职业技术学院转学申请表</w:t>
      </w:r>
      <w:bookmarkEnd w:id="607"/>
    </w:p>
    <w:tbl>
      <w:tblPr>
        <w:tblStyle w:val="1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44"/>
        <w:gridCol w:w="226"/>
        <w:gridCol w:w="1306"/>
        <w:gridCol w:w="699"/>
        <w:gridCol w:w="263"/>
        <w:gridCol w:w="425"/>
        <w:gridCol w:w="992"/>
        <w:gridCol w:w="1621"/>
        <w:gridCol w:w="135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300" w:type="dxa"/>
            <w:gridSpan w:val="2"/>
            <w:tcBorders>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姓  名</w:t>
            </w:r>
          </w:p>
        </w:tc>
        <w:tc>
          <w:tcPr>
            <w:tcW w:w="1532" w:type="dxa"/>
            <w:gridSpan w:val="2"/>
            <w:tcBorders>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699" w:type="dxa"/>
            <w:tcBorders>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性别</w:t>
            </w:r>
          </w:p>
        </w:tc>
        <w:tc>
          <w:tcPr>
            <w:tcW w:w="688" w:type="dxa"/>
            <w:gridSpan w:val="2"/>
            <w:tcBorders>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992" w:type="dxa"/>
            <w:vAlign w:val="center"/>
          </w:tcPr>
          <w:p>
            <w:pPr>
              <w:pageBreakBefore w:val="0"/>
              <w:kinsoku/>
              <w:overflowPunct/>
              <w:topLinePunct w:val="0"/>
              <w:bidi w:val="0"/>
              <w:spacing w:line="300" w:lineRule="exact"/>
              <w:ind w:left="511" w:hanging="511" w:hangingChars="213"/>
              <w:jc w:val="center"/>
              <w:outlineLvl w:val="9"/>
              <w:rPr>
                <w:rFonts w:ascii="仿宋_GB2312" w:eastAsia="仿宋_GB2312"/>
                <w:sz w:val="24"/>
              </w:rPr>
            </w:pPr>
            <w:r>
              <w:rPr>
                <w:rFonts w:hint="eastAsia" w:ascii="仿宋_GB2312" w:hAnsi="宋体" w:eastAsia="仿宋_GB2312"/>
                <w:sz w:val="24"/>
              </w:rPr>
              <w:t>出生</w:t>
            </w:r>
          </w:p>
          <w:p>
            <w:pPr>
              <w:pageBreakBefore w:val="0"/>
              <w:kinsoku/>
              <w:overflowPunct/>
              <w:topLinePunct w:val="0"/>
              <w:bidi w:val="0"/>
              <w:spacing w:line="300" w:lineRule="exact"/>
              <w:ind w:left="511" w:hanging="511" w:hangingChars="213"/>
              <w:jc w:val="center"/>
              <w:outlineLvl w:val="9"/>
              <w:rPr>
                <w:rFonts w:ascii="仿宋_GB2312" w:eastAsia="仿宋_GB2312"/>
                <w:sz w:val="24"/>
              </w:rPr>
            </w:pPr>
            <w:r>
              <w:rPr>
                <w:rFonts w:hint="eastAsia" w:ascii="仿宋_GB2312" w:hAnsi="宋体" w:eastAsia="仿宋_GB2312"/>
                <w:sz w:val="24"/>
              </w:rPr>
              <w:t>日期</w:t>
            </w:r>
          </w:p>
        </w:tc>
        <w:tc>
          <w:tcPr>
            <w:tcW w:w="1621" w:type="dxa"/>
            <w:tcBorders>
              <w:top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356" w:type="dxa"/>
            <w:tcBorders>
              <w:top w:val="single" w:color="auto" w:sz="2" w:space="0"/>
              <w:left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r>
              <w:rPr>
                <w:rFonts w:hint="eastAsia" w:ascii="仿宋_GB2312" w:hAnsi="宋体" w:eastAsia="仿宋_GB2312"/>
                <w:sz w:val="24"/>
              </w:rPr>
              <w:t>入学年度</w:t>
            </w:r>
          </w:p>
        </w:tc>
        <w:tc>
          <w:tcPr>
            <w:tcW w:w="851" w:type="dxa"/>
            <w:tcBorders>
              <w:top w:val="single" w:color="auto" w:sz="2" w:space="0"/>
              <w:left w:val="single" w:color="auto" w:sz="2" w:space="0"/>
            </w:tcBorders>
            <w:vAlign w:val="center"/>
          </w:tcPr>
          <w:p>
            <w:pPr>
              <w:pageBreakBefore w:val="0"/>
              <w:kinsoku/>
              <w:overflowPunct/>
              <w:topLinePunct w:val="0"/>
              <w:bidi w:val="0"/>
              <w:spacing w:line="300" w:lineRule="exact"/>
              <w:ind w:right="-506" w:rightChars="-241" w:firstLine="480" w:firstLineChars="200"/>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526" w:type="dxa"/>
            <w:gridSpan w:val="3"/>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身份证号码</w:t>
            </w:r>
          </w:p>
        </w:tc>
        <w:tc>
          <w:tcPr>
            <w:tcW w:w="2693" w:type="dxa"/>
            <w:gridSpan w:val="4"/>
            <w:vAlign w:val="center"/>
          </w:tcPr>
          <w:p>
            <w:pPr>
              <w:pageBreakBefore w:val="0"/>
              <w:kinsoku/>
              <w:overflowPunct/>
              <w:topLinePunct w:val="0"/>
              <w:bidi w:val="0"/>
              <w:spacing w:line="300" w:lineRule="exact"/>
              <w:outlineLvl w:val="9"/>
              <w:rPr>
                <w:rFonts w:ascii="仿宋_GB2312" w:eastAsia="仿宋_GB2312"/>
                <w:sz w:val="24"/>
              </w:rPr>
            </w:pPr>
          </w:p>
          <w:p>
            <w:pPr>
              <w:pageBreakBefore w:val="0"/>
              <w:kinsoku/>
              <w:overflowPunct/>
              <w:topLinePunct w:val="0"/>
              <w:bidi w:val="0"/>
              <w:spacing w:line="300" w:lineRule="exact"/>
              <w:outlineLvl w:val="9"/>
              <w:rPr>
                <w:rFonts w:ascii="仿宋_GB2312" w:eastAsia="仿宋_GB2312"/>
                <w:sz w:val="24"/>
              </w:rPr>
            </w:pPr>
          </w:p>
        </w:tc>
        <w:tc>
          <w:tcPr>
            <w:tcW w:w="992" w:type="dxa"/>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学号</w:t>
            </w:r>
          </w:p>
        </w:tc>
        <w:tc>
          <w:tcPr>
            <w:tcW w:w="1621" w:type="dxa"/>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c>
          <w:tcPr>
            <w:tcW w:w="1356" w:type="dxa"/>
            <w:vAlign w:val="center"/>
          </w:tcPr>
          <w:p>
            <w:pPr>
              <w:pageBreakBefore w:val="0"/>
              <w:kinsoku/>
              <w:overflowPunct/>
              <w:topLinePunct w:val="0"/>
              <w:bidi w:val="0"/>
              <w:spacing w:line="300" w:lineRule="exact"/>
              <w:outlineLvl w:val="9"/>
              <w:rPr>
                <w:rFonts w:ascii="仿宋_GB2312" w:eastAsia="仿宋_GB2312"/>
                <w:sz w:val="24"/>
              </w:rPr>
            </w:pPr>
            <w:r>
              <w:rPr>
                <w:rFonts w:hint="eastAsia" w:ascii="仿宋_GB2312" w:hAnsi="宋体" w:eastAsia="仿宋_GB2312"/>
                <w:sz w:val="24"/>
              </w:rPr>
              <w:t>高考总分</w:t>
            </w:r>
          </w:p>
        </w:tc>
        <w:tc>
          <w:tcPr>
            <w:tcW w:w="851" w:type="dxa"/>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526" w:type="dxa"/>
            <w:gridSpan w:val="3"/>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联系电话</w:t>
            </w:r>
          </w:p>
        </w:tc>
        <w:tc>
          <w:tcPr>
            <w:tcW w:w="2693" w:type="dxa"/>
            <w:gridSpan w:val="4"/>
            <w:vAlign w:val="center"/>
          </w:tcPr>
          <w:p>
            <w:pPr>
              <w:pageBreakBefore w:val="0"/>
              <w:kinsoku/>
              <w:overflowPunct/>
              <w:topLinePunct w:val="0"/>
              <w:bidi w:val="0"/>
              <w:spacing w:line="300" w:lineRule="exact"/>
              <w:outlineLvl w:val="9"/>
              <w:rPr>
                <w:rFonts w:ascii="仿宋_GB2312" w:eastAsia="仿宋_GB2312"/>
                <w:sz w:val="24"/>
              </w:rPr>
            </w:pPr>
          </w:p>
          <w:p>
            <w:pPr>
              <w:pageBreakBefore w:val="0"/>
              <w:kinsoku/>
              <w:overflowPunct/>
              <w:topLinePunct w:val="0"/>
              <w:bidi w:val="0"/>
              <w:spacing w:line="300" w:lineRule="exact"/>
              <w:outlineLvl w:val="9"/>
              <w:rPr>
                <w:rFonts w:ascii="仿宋_GB2312" w:eastAsia="仿宋_GB2312"/>
                <w:sz w:val="24"/>
              </w:rPr>
            </w:pPr>
          </w:p>
        </w:tc>
        <w:tc>
          <w:tcPr>
            <w:tcW w:w="3969" w:type="dxa"/>
            <w:gridSpan w:val="3"/>
            <w:vAlign w:val="center"/>
          </w:tcPr>
          <w:p>
            <w:pPr>
              <w:pageBreakBefore w:val="0"/>
              <w:kinsoku/>
              <w:overflowPunct/>
              <w:topLinePunct w:val="0"/>
              <w:bidi w:val="0"/>
              <w:spacing w:line="300" w:lineRule="exact"/>
              <w:outlineLvl w:val="9"/>
              <w:rPr>
                <w:rFonts w:ascii="仿宋_GB2312" w:eastAsia="仿宋_GB2312"/>
                <w:spacing w:val="-10"/>
                <w:sz w:val="24"/>
              </w:rPr>
            </w:pPr>
            <w:r>
              <w:rPr>
                <w:rFonts w:hint="eastAsia" w:ascii="仿宋_GB2312" w:hAnsi="宋体" w:eastAsia="仿宋_GB2312"/>
                <w:spacing w:val="-10"/>
                <w:sz w:val="24"/>
              </w:rPr>
              <w:t>转入学校转入专业当年当地录取最低分</w:t>
            </w:r>
          </w:p>
        </w:tc>
        <w:tc>
          <w:tcPr>
            <w:tcW w:w="851" w:type="dxa"/>
            <w:vAlign w:val="center"/>
          </w:tcPr>
          <w:p>
            <w:pPr>
              <w:pageBreakBefore w:val="0"/>
              <w:kinsoku/>
              <w:overflowPunct/>
              <w:topLinePunct w:val="0"/>
              <w:bidi w:val="0"/>
              <w:spacing w:line="300" w:lineRule="exact"/>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56"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p>
        </w:tc>
        <w:tc>
          <w:tcPr>
            <w:tcW w:w="2738" w:type="dxa"/>
            <w:gridSpan w:val="5"/>
            <w:tcBorders>
              <w:top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学校名称（全称）</w:t>
            </w:r>
          </w:p>
        </w:tc>
        <w:tc>
          <w:tcPr>
            <w:tcW w:w="1417"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年级（4位）</w:t>
            </w:r>
          </w:p>
        </w:tc>
        <w:tc>
          <w:tcPr>
            <w:tcW w:w="1621"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专业名称</w:t>
            </w:r>
          </w:p>
        </w:tc>
        <w:tc>
          <w:tcPr>
            <w:tcW w:w="1356"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学制（年）</w:t>
            </w:r>
          </w:p>
        </w:tc>
        <w:tc>
          <w:tcPr>
            <w:tcW w:w="851"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学历层次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56"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转出</w:t>
            </w:r>
          </w:p>
        </w:tc>
        <w:tc>
          <w:tcPr>
            <w:tcW w:w="2738" w:type="dxa"/>
            <w:gridSpan w:val="5"/>
            <w:tcBorders>
              <w:top w:val="single" w:color="auto" w:sz="2" w:space="0"/>
              <w:bottom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417"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621"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356"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851"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56"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转入</w:t>
            </w:r>
          </w:p>
        </w:tc>
        <w:tc>
          <w:tcPr>
            <w:tcW w:w="2738" w:type="dxa"/>
            <w:gridSpan w:val="5"/>
            <w:tcBorders>
              <w:top w:val="single" w:color="auto" w:sz="2" w:space="0"/>
              <w:bottom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417"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621"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356"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851"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56"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r>
              <w:rPr>
                <w:rFonts w:hint="eastAsia" w:ascii="仿宋_GB2312" w:hAnsi="宋体" w:eastAsia="仿宋_GB2312"/>
                <w:sz w:val="24"/>
              </w:rPr>
              <w:t>申请</w:t>
            </w:r>
          </w:p>
          <w:p>
            <w:pPr>
              <w:pageBreakBefore w:val="0"/>
              <w:kinsoku/>
              <w:overflowPunct/>
              <w:topLinePunct w:val="0"/>
              <w:bidi w:val="0"/>
              <w:spacing w:line="300" w:lineRule="exact"/>
              <w:outlineLvl w:val="9"/>
              <w:rPr>
                <w:rFonts w:ascii="仿宋_GB2312" w:eastAsia="仿宋_GB2312"/>
                <w:sz w:val="24"/>
              </w:rPr>
            </w:pPr>
          </w:p>
          <w:p>
            <w:pPr>
              <w:pageBreakBefore w:val="0"/>
              <w:kinsoku/>
              <w:overflowPunct/>
              <w:topLinePunct w:val="0"/>
              <w:bidi w:val="0"/>
              <w:spacing w:line="300" w:lineRule="exact"/>
              <w:outlineLvl w:val="9"/>
              <w:rPr>
                <w:rFonts w:ascii="仿宋_GB2312" w:eastAsia="仿宋_GB2312"/>
                <w:sz w:val="24"/>
              </w:rPr>
            </w:pPr>
            <w:r>
              <w:rPr>
                <w:rFonts w:hint="eastAsia" w:ascii="仿宋_GB2312" w:hAnsi="宋体" w:eastAsia="仿宋_GB2312"/>
                <w:sz w:val="24"/>
              </w:rPr>
              <w:t>理由</w:t>
            </w:r>
          </w:p>
        </w:tc>
        <w:tc>
          <w:tcPr>
            <w:tcW w:w="7983" w:type="dxa"/>
            <w:gridSpan w:val="10"/>
            <w:tcBorders>
              <w:top w:val="single" w:color="auto" w:sz="2" w:space="0"/>
              <w:bottom w:val="single" w:color="auto" w:sz="2" w:space="0"/>
              <w:right w:val="single" w:color="auto" w:sz="2" w:space="0"/>
            </w:tcBorders>
            <w:vAlign w:val="center"/>
          </w:tcPr>
          <w:p>
            <w:pPr>
              <w:pageBreakBefore w:val="0"/>
              <w:widowControl/>
              <w:kinsoku/>
              <w:overflowPunct/>
              <w:topLinePunct w:val="0"/>
              <w:bidi w:val="0"/>
              <w:adjustRightInd w:val="0"/>
              <w:snapToGrid w:val="0"/>
              <w:spacing w:line="300" w:lineRule="exact"/>
              <w:outlineLvl w:val="9"/>
              <w:rPr>
                <w:rFonts w:ascii="仿宋_GB2312" w:eastAsia="仿宋_GB2312"/>
                <w:color w:val="000000"/>
                <w:kern w:val="0"/>
                <w:sz w:val="24"/>
              </w:rPr>
            </w:pPr>
            <w:r>
              <w:rPr>
                <w:rFonts w:hint="eastAsia" w:ascii="仿宋_GB2312" w:hAnsi="宋体" w:eastAsia="仿宋_GB2312"/>
                <w:color w:val="000000"/>
                <w:kern w:val="0"/>
                <w:sz w:val="24"/>
              </w:rPr>
              <w:t>1．因病转学（须提供医院检查证明原件）：</w:t>
            </w:r>
          </w:p>
          <w:p>
            <w:pPr>
              <w:pageBreakBefore w:val="0"/>
              <w:widowControl/>
              <w:kinsoku/>
              <w:overflowPunct/>
              <w:topLinePunct w:val="0"/>
              <w:bidi w:val="0"/>
              <w:adjustRightInd w:val="0"/>
              <w:snapToGrid w:val="0"/>
              <w:spacing w:line="300" w:lineRule="exact"/>
              <w:outlineLvl w:val="9"/>
              <w:rPr>
                <w:rFonts w:ascii="仿宋_GB2312" w:eastAsia="仿宋_GB2312"/>
                <w:color w:val="000000"/>
                <w:kern w:val="0"/>
                <w:sz w:val="24"/>
                <w:u w:val="single"/>
              </w:rPr>
            </w:pPr>
            <w:r>
              <w:rPr>
                <w:rFonts w:hint="eastAsia" w:ascii="仿宋_GB2312" w:hAnsi="宋体" w:eastAsia="仿宋_GB2312"/>
                <w:color w:val="000000"/>
                <w:kern w:val="0"/>
                <w:sz w:val="24"/>
              </w:rPr>
              <w:t>2．因特殊困难转学（须提供特殊困难情况证明材料）:</w:t>
            </w:r>
          </w:p>
          <w:p>
            <w:pPr>
              <w:pageBreakBefore w:val="0"/>
              <w:widowControl/>
              <w:kinsoku/>
              <w:overflowPunct/>
              <w:topLinePunct w:val="0"/>
              <w:bidi w:val="0"/>
              <w:adjustRightInd w:val="0"/>
              <w:snapToGrid w:val="0"/>
              <w:spacing w:line="300" w:lineRule="exact"/>
              <w:outlineLvl w:val="9"/>
              <w:rPr>
                <w:rFonts w:ascii="仿宋_GB2312" w:eastAsia="仿宋_GB2312"/>
                <w:color w:val="000000"/>
                <w:kern w:val="0"/>
                <w:sz w:val="24"/>
                <w:u w:val="single"/>
              </w:rPr>
            </w:pPr>
            <w:r>
              <w:rPr>
                <w:rFonts w:hint="eastAsia" w:ascii="仿宋_GB2312" w:hAnsi="宋体" w:eastAsia="仿宋_GB2312"/>
                <w:color w:val="000000"/>
                <w:kern w:val="0"/>
                <w:sz w:val="24"/>
              </w:rPr>
              <w:t>3．其他原因:</w:t>
            </w:r>
            <w:r>
              <w:rPr>
                <w:rFonts w:hint="eastAsia" w:ascii="仿宋_GB2312" w:hAnsi="宋体" w:eastAsia="仿宋_GB2312"/>
                <w:color w:val="000000"/>
                <w:kern w:val="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69" w:hRule="atLeast"/>
        </w:trPr>
        <w:tc>
          <w:tcPr>
            <w:tcW w:w="1056"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二级学院（部）意见</w:t>
            </w:r>
          </w:p>
        </w:tc>
        <w:tc>
          <w:tcPr>
            <w:tcW w:w="7983" w:type="dxa"/>
            <w:gridSpan w:val="10"/>
            <w:tcBorders>
              <w:top w:val="single" w:color="auto" w:sz="2" w:space="0"/>
              <w:bottom w:val="single" w:color="auto" w:sz="2" w:space="0"/>
              <w:right w:val="single" w:color="auto" w:sz="2" w:space="0"/>
            </w:tcBorders>
            <w:vAlign w:val="bottom"/>
          </w:tcPr>
          <w:p>
            <w:pPr>
              <w:pageBreakBefore w:val="0"/>
              <w:kinsoku/>
              <w:overflowPunct/>
              <w:topLinePunct w:val="0"/>
              <w:bidi w:val="0"/>
              <w:spacing w:line="300" w:lineRule="exact"/>
              <w:jc w:val="right"/>
              <w:outlineLvl w:val="9"/>
              <w:rPr>
                <w:rFonts w:ascii="仿宋_GB2312" w:eastAsia="仿宋_GB2312"/>
                <w:sz w:val="24"/>
              </w:rPr>
            </w:pPr>
            <w:r>
              <w:rPr>
                <w:rFonts w:hint="eastAsia" w:ascii="仿宋_GB2312" w:hAnsi="宋体" w:eastAsia="仿宋_GB2312"/>
                <w:sz w:val="24"/>
              </w:rPr>
              <w:t>领导签字：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2" w:hRule="atLeast"/>
        </w:trPr>
        <w:tc>
          <w:tcPr>
            <w:tcW w:w="1056"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招生处意见</w:t>
            </w:r>
          </w:p>
        </w:tc>
        <w:tc>
          <w:tcPr>
            <w:tcW w:w="7983" w:type="dxa"/>
            <w:gridSpan w:val="10"/>
            <w:tcBorders>
              <w:top w:val="single" w:color="auto" w:sz="2" w:space="0"/>
              <w:bottom w:val="single" w:color="auto" w:sz="2" w:space="0"/>
              <w:right w:val="single" w:color="auto" w:sz="2" w:space="0"/>
            </w:tcBorders>
            <w:vAlign w:val="bottom"/>
          </w:tcPr>
          <w:p>
            <w:pPr>
              <w:pageBreakBefore w:val="0"/>
              <w:kinsoku/>
              <w:overflowPunct/>
              <w:topLinePunct w:val="0"/>
              <w:bidi w:val="0"/>
              <w:spacing w:line="300" w:lineRule="exact"/>
              <w:jc w:val="right"/>
              <w:outlineLvl w:val="9"/>
              <w:rPr>
                <w:rFonts w:ascii="仿宋_GB2312" w:eastAsia="仿宋_GB2312"/>
                <w:sz w:val="24"/>
              </w:rPr>
            </w:pPr>
            <w:r>
              <w:rPr>
                <w:rFonts w:hint="eastAsia" w:ascii="仿宋_GB2312" w:hAnsi="宋体" w:eastAsia="仿宋_GB2312"/>
                <w:sz w:val="24"/>
              </w:rPr>
              <w:t>处长签字：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4" w:hRule="atLeast"/>
        </w:trPr>
        <w:tc>
          <w:tcPr>
            <w:tcW w:w="1056"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hAnsi="宋体" w:eastAsia="仿宋_GB2312"/>
                <w:sz w:val="24"/>
              </w:rPr>
              <w:t>教务处意见</w:t>
            </w:r>
          </w:p>
        </w:tc>
        <w:tc>
          <w:tcPr>
            <w:tcW w:w="7983" w:type="dxa"/>
            <w:gridSpan w:val="10"/>
            <w:tcBorders>
              <w:top w:val="single" w:color="auto" w:sz="2" w:space="0"/>
              <w:bottom w:val="single" w:color="auto" w:sz="2" w:space="0"/>
              <w:right w:val="single" w:color="auto" w:sz="2" w:space="0"/>
            </w:tcBorders>
            <w:vAlign w:val="bottom"/>
          </w:tcPr>
          <w:p>
            <w:pPr>
              <w:pageBreakBefore w:val="0"/>
              <w:kinsoku/>
              <w:overflowPunct/>
              <w:topLinePunct w:val="0"/>
              <w:bidi w:val="0"/>
              <w:spacing w:line="300" w:lineRule="exact"/>
              <w:jc w:val="right"/>
              <w:outlineLvl w:val="9"/>
              <w:rPr>
                <w:rFonts w:ascii="仿宋_GB2312" w:eastAsia="仿宋_GB2312"/>
                <w:sz w:val="24"/>
              </w:rPr>
            </w:pPr>
            <w:r>
              <w:rPr>
                <w:rFonts w:hint="eastAsia" w:ascii="仿宋_GB2312" w:hAnsi="宋体" w:eastAsia="仿宋_GB2312"/>
                <w:sz w:val="24"/>
              </w:rPr>
              <w:t>处长签字：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8" w:hRule="atLeast"/>
        </w:trPr>
        <w:tc>
          <w:tcPr>
            <w:tcW w:w="1056"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校长办公会决定</w:t>
            </w:r>
          </w:p>
        </w:tc>
        <w:tc>
          <w:tcPr>
            <w:tcW w:w="7983" w:type="dxa"/>
            <w:gridSpan w:val="10"/>
            <w:tcBorders>
              <w:top w:val="single" w:color="auto" w:sz="2" w:space="0"/>
              <w:bottom w:val="single" w:color="auto" w:sz="2" w:space="0"/>
              <w:right w:val="single" w:color="auto" w:sz="2" w:space="0"/>
            </w:tcBorders>
            <w:vAlign w:val="bottom"/>
          </w:tcPr>
          <w:p>
            <w:pPr>
              <w:pageBreakBefore w:val="0"/>
              <w:tabs>
                <w:tab w:val="left" w:pos="7767"/>
              </w:tabs>
              <w:kinsoku/>
              <w:overflowPunct/>
              <w:topLinePunct w:val="0"/>
              <w:bidi w:val="0"/>
              <w:spacing w:line="300" w:lineRule="exact"/>
              <w:ind w:firstLine="2772" w:firstLineChars="1155"/>
              <w:outlineLvl w:val="9"/>
              <w:rPr>
                <w:rFonts w:ascii="仿宋_GB2312" w:eastAsia="仿宋_GB2312"/>
                <w:sz w:val="24"/>
              </w:rPr>
            </w:pPr>
            <w:r>
              <w:rPr>
                <w:rFonts w:hint="eastAsia" w:ascii="仿宋_GB2312" w:hAnsi="宋体" w:eastAsia="仿宋_GB2312"/>
                <w:sz w:val="24"/>
              </w:rPr>
              <w:t>负责人签字：     　　　　    年   月 　 日</w:t>
            </w:r>
          </w:p>
        </w:tc>
      </w:tr>
    </w:tbl>
    <w:p>
      <w:pPr>
        <w:pageBreakBefore w:val="0"/>
        <w:kinsoku/>
        <w:overflowPunct/>
        <w:topLinePunct w:val="0"/>
        <w:bidi w:val="0"/>
        <w:outlineLvl w:val="9"/>
      </w:pPr>
    </w:p>
    <w:p>
      <w:pPr>
        <w:pageBreakBefore w:val="0"/>
        <w:kinsoku/>
        <w:overflowPunct/>
        <w:topLinePunct w:val="0"/>
        <w:bidi w:val="0"/>
        <w:spacing w:line="400" w:lineRule="exact"/>
        <w:jc w:val="left"/>
        <w:outlineLvl w:val="9"/>
        <w:rPr>
          <w:rFonts w:ascii="黑体" w:eastAsia="黑体"/>
          <w:sz w:val="32"/>
          <w:szCs w:val="32"/>
        </w:rPr>
      </w:pPr>
      <w:bookmarkStart w:id="608" w:name="_Toc1636_WPSOffice_Level1"/>
      <w:r>
        <w:rPr>
          <w:rFonts w:hint="eastAsia" w:ascii="黑体" w:eastAsia="黑体"/>
          <w:sz w:val="32"/>
          <w:szCs w:val="32"/>
        </w:rPr>
        <w:t>附表</w:t>
      </w:r>
      <w:r>
        <w:rPr>
          <w:rFonts w:ascii="黑体" w:eastAsia="黑体"/>
          <w:sz w:val="32"/>
          <w:szCs w:val="32"/>
        </w:rPr>
        <w:t>2</w:t>
      </w:r>
      <w:r>
        <w:rPr>
          <w:rFonts w:hint="eastAsia" w:ascii="黑体" w:eastAsia="黑体"/>
          <w:sz w:val="32"/>
          <w:szCs w:val="32"/>
        </w:rPr>
        <w:t>：</w:t>
      </w:r>
      <w:bookmarkEnd w:id="608"/>
    </w:p>
    <w:p>
      <w:pPr>
        <w:pageBreakBefore w:val="0"/>
        <w:kinsoku/>
        <w:overflowPunct/>
        <w:topLinePunct w:val="0"/>
        <w:bidi w:val="0"/>
        <w:spacing w:line="590" w:lineRule="exact"/>
        <w:jc w:val="center"/>
        <w:outlineLvl w:val="9"/>
        <w:rPr>
          <w:b/>
          <w:color w:val="000000"/>
          <w:sz w:val="36"/>
          <w:szCs w:val="36"/>
        </w:rPr>
      </w:pPr>
      <w:bookmarkStart w:id="609" w:name="_Toc15544_WPSOffice_Level1"/>
      <w:r>
        <w:rPr>
          <w:rFonts w:hint="eastAsia"/>
          <w:b/>
          <w:color w:val="000000"/>
          <w:sz w:val="36"/>
          <w:szCs w:val="36"/>
        </w:rPr>
        <w:t>广西壮族自治区普通高等学校学生转学备案表</w:t>
      </w:r>
      <w:bookmarkEnd w:id="609"/>
      <w:r>
        <w:rPr>
          <w:b/>
          <w:color w:val="000000"/>
          <w:sz w:val="36"/>
          <w:szCs w:val="36"/>
        </w:rPr>
        <w:t xml:space="preserve"> </w:t>
      </w:r>
    </w:p>
    <w:tbl>
      <w:tblPr>
        <w:tblStyle w:val="14"/>
        <w:tblW w:w="9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357"/>
        <w:gridCol w:w="454"/>
        <w:gridCol w:w="1134"/>
        <w:gridCol w:w="709"/>
        <w:gridCol w:w="681"/>
        <w:gridCol w:w="726"/>
        <w:gridCol w:w="691"/>
        <w:gridCol w:w="248"/>
        <w:gridCol w:w="1170"/>
        <w:gridCol w:w="1276"/>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1072" w:type="dxa"/>
            <w:gridSpan w:val="2"/>
            <w:tcBorders>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姓  名</w:t>
            </w:r>
          </w:p>
        </w:tc>
        <w:tc>
          <w:tcPr>
            <w:tcW w:w="1588" w:type="dxa"/>
            <w:gridSpan w:val="2"/>
            <w:tcBorders>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p>
        </w:tc>
        <w:tc>
          <w:tcPr>
            <w:tcW w:w="709" w:type="dxa"/>
            <w:tcBorders>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性别</w:t>
            </w:r>
          </w:p>
        </w:tc>
        <w:tc>
          <w:tcPr>
            <w:tcW w:w="681" w:type="dxa"/>
            <w:tcBorders>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p>
        </w:tc>
        <w:tc>
          <w:tcPr>
            <w:tcW w:w="1417" w:type="dxa"/>
            <w:gridSpan w:val="2"/>
            <w:vAlign w:val="center"/>
          </w:tcPr>
          <w:p>
            <w:pPr>
              <w:pageBreakBefore w:val="0"/>
              <w:kinsoku/>
              <w:overflowPunct/>
              <w:topLinePunct w:val="0"/>
              <w:bidi w:val="0"/>
              <w:spacing w:line="300" w:lineRule="exact"/>
              <w:ind w:left="511" w:hanging="511" w:hangingChars="213"/>
              <w:jc w:val="center"/>
              <w:outlineLvl w:val="9"/>
              <w:rPr>
                <w:rFonts w:ascii="仿宋_GB2312" w:eastAsia="仿宋_GB2312"/>
                <w:sz w:val="24"/>
              </w:rPr>
            </w:pPr>
            <w:r>
              <w:rPr>
                <w:rFonts w:hint="eastAsia" w:ascii="仿宋_GB2312" w:eastAsia="仿宋_GB2312"/>
                <w:sz w:val="24"/>
              </w:rPr>
              <w:t>学号</w:t>
            </w:r>
          </w:p>
        </w:tc>
        <w:tc>
          <w:tcPr>
            <w:tcW w:w="1418" w:type="dxa"/>
            <w:gridSpan w:val="2"/>
            <w:tcBorders>
              <w:top w:val="single" w:color="auto" w:sz="2" w:space="0"/>
              <w:right w:val="single" w:color="auto" w:sz="2" w:space="0"/>
            </w:tcBorders>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c>
          <w:tcPr>
            <w:tcW w:w="1276" w:type="dxa"/>
            <w:tcBorders>
              <w:top w:val="single" w:color="auto" w:sz="2" w:space="0"/>
              <w:left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r>
              <w:rPr>
                <w:rFonts w:hint="eastAsia" w:ascii="仿宋_GB2312" w:eastAsia="仿宋_GB2312"/>
                <w:sz w:val="24"/>
              </w:rPr>
              <w:t>生源省市</w:t>
            </w:r>
          </w:p>
        </w:tc>
        <w:tc>
          <w:tcPr>
            <w:tcW w:w="878" w:type="dxa"/>
            <w:tcBorders>
              <w:top w:val="single" w:color="auto" w:sz="2" w:space="0"/>
              <w:left w:val="single" w:color="auto" w:sz="2" w:space="0"/>
            </w:tcBorders>
            <w:vAlign w:val="center"/>
          </w:tcPr>
          <w:p>
            <w:pPr>
              <w:pageBreakBefore w:val="0"/>
              <w:kinsoku/>
              <w:overflowPunct/>
              <w:topLinePunct w:val="0"/>
              <w:bidi w:val="0"/>
              <w:spacing w:line="300" w:lineRule="exact"/>
              <w:ind w:right="-506" w:rightChars="-241" w:firstLine="480" w:firstLineChars="200"/>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1526" w:type="dxa"/>
            <w:gridSpan w:val="3"/>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身份证号码</w:t>
            </w:r>
          </w:p>
        </w:tc>
        <w:tc>
          <w:tcPr>
            <w:tcW w:w="2524" w:type="dxa"/>
            <w:gridSpan w:val="3"/>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c>
          <w:tcPr>
            <w:tcW w:w="1417" w:type="dxa"/>
            <w:gridSpan w:val="2"/>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录取批次</w:t>
            </w:r>
          </w:p>
        </w:tc>
        <w:tc>
          <w:tcPr>
            <w:tcW w:w="1418" w:type="dxa"/>
            <w:gridSpan w:val="2"/>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c>
          <w:tcPr>
            <w:tcW w:w="1276" w:type="dxa"/>
            <w:vAlign w:val="center"/>
          </w:tcPr>
          <w:p>
            <w:pPr>
              <w:pageBreakBefore w:val="0"/>
              <w:kinsoku/>
              <w:overflowPunct/>
              <w:topLinePunct w:val="0"/>
              <w:bidi w:val="0"/>
              <w:spacing w:line="300" w:lineRule="exact"/>
              <w:outlineLvl w:val="9"/>
              <w:rPr>
                <w:rFonts w:ascii="仿宋_GB2312" w:eastAsia="仿宋_GB2312"/>
                <w:sz w:val="24"/>
              </w:rPr>
            </w:pPr>
            <w:r>
              <w:rPr>
                <w:rFonts w:hint="eastAsia" w:ascii="仿宋_GB2312" w:eastAsia="仿宋_GB2312"/>
                <w:sz w:val="24"/>
              </w:rPr>
              <w:t>录取年份</w:t>
            </w:r>
          </w:p>
        </w:tc>
        <w:tc>
          <w:tcPr>
            <w:tcW w:w="878" w:type="dxa"/>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1526" w:type="dxa"/>
            <w:gridSpan w:val="3"/>
            <w:vMerge w:val="restart"/>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考生号</w:t>
            </w:r>
          </w:p>
        </w:tc>
        <w:tc>
          <w:tcPr>
            <w:tcW w:w="2524" w:type="dxa"/>
            <w:gridSpan w:val="3"/>
            <w:vMerge w:val="restart"/>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c>
          <w:tcPr>
            <w:tcW w:w="4111" w:type="dxa"/>
            <w:gridSpan w:val="5"/>
            <w:vAlign w:val="center"/>
          </w:tcPr>
          <w:p>
            <w:pPr>
              <w:pageBreakBefore w:val="0"/>
              <w:kinsoku/>
              <w:overflowPunct/>
              <w:topLinePunct w:val="0"/>
              <w:bidi w:val="0"/>
              <w:spacing w:line="300" w:lineRule="exact"/>
              <w:outlineLvl w:val="9"/>
              <w:rPr>
                <w:rFonts w:ascii="仿宋_GB2312" w:eastAsia="仿宋_GB2312"/>
                <w:spacing w:val="-6"/>
                <w:sz w:val="24"/>
              </w:rPr>
            </w:pPr>
            <w:r>
              <w:rPr>
                <w:rFonts w:hint="eastAsia" w:ascii="仿宋_GB2312" w:eastAsia="仿宋_GB2312"/>
                <w:spacing w:val="-6"/>
                <w:sz w:val="24"/>
              </w:rPr>
              <w:t>高考总分（本、专科生）</w:t>
            </w:r>
          </w:p>
        </w:tc>
        <w:tc>
          <w:tcPr>
            <w:tcW w:w="878" w:type="dxa"/>
            <w:vMerge w:val="restart"/>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1526" w:type="dxa"/>
            <w:gridSpan w:val="3"/>
            <w:vMerge w:val="continue"/>
            <w:vAlign w:val="center"/>
          </w:tcPr>
          <w:p>
            <w:pPr>
              <w:pageBreakBefore w:val="0"/>
              <w:kinsoku/>
              <w:overflowPunct/>
              <w:topLinePunct w:val="0"/>
              <w:bidi w:val="0"/>
              <w:spacing w:line="300" w:lineRule="exact"/>
              <w:jc w:val="center"/>
              <w:outlineLvl w:val="9"/>
              <w:rPr>
                <w:rFonts w:ascii="仿宋_GB2312" w:eastAsia="仿宋_GB2312"/>
                <w:sz w:val="24"/>
              </w:rPr>
            </w:pPr>
          </w:p>
        </w:tc>
        <w:tc>
          <w:tcPr>
            <w:tcW w:w="2524" w:type="dxa"/>
            <w:gridSpan w:val="3"/>
            <w:vMerge w:val="continue"/>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c>
          <w:tcPr>
            <w:tcW w:w="4111" w:type="dxa"/>
            <w:gridSpan w:val="5"/>
            <w:vAlign w:val="center"/>
          </w:tcPr>
          <w:p>
            <w:pPr>
              <w:pageBreakBefore w:val="0"/>
              <w:kinsoku/>
              <w:overflowPunct/>
              <w:topLinePunct w:val="0"/>
              <w:bidi w:val="0"/>
              <w:spacing w:line="300" w:lineRule="exact"/>
              <w:outlineLvl w:val="9"/>
              <w:rPr>
                <w:rFonts w:ascii="仿宋_GB2312" w:eastAsia="仿宋_GB2312"/>
                <w:spacing w:val="-6"/>
                <w:sz w:val="24"/>
              </w:rPr>
            </w:pPr>
            <w:r>
              <w:rPr>
                <w:rFonts w:hint="eastAsia" w:ascii="仿宋_GB2312" w:eastAsia="仿宋_GB2312"/>
                <w:spacing w:val="-6"/>
                <w:sz w:val="24"/>
              </w:rPr>
              <w:t>入学考试成绩（研究生）</w:t>
            </w:r>
          </w:p>
        </w:tc>
        <w:tc>
          <w:tcPr>
            <w:tcW w:w="878" w:type="dxa"/>
            <w:vMerge w:val="continue"/>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1526" w:type="dxa"/>
            <w:gridSpan w:val="3"/>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联系电话</w:t>
            </w:r>
          </w:p>
        </w:tc>
        <w:tc>
          <w:tcPr>
            <w:tcW w:w="2524" w:type="dxa"/>
            <w:gridSpan w:val="3"/>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c>
          <w:tcPr>
            <w:tcW w:w="4111" w:type="dxa"/>
            <w:gridSpan w:val="5"/>
            <w:vAlign w:val="center"/>
          </w:tcPr>
          <w:p>
            <w:pPr>
              <w:pageBreakBefore w:val="0"/>
              <w:kinsoku/>
              <w:overflowPunct/>
              <w:topLinePunct w:val="0"/>
              <w:bidi w:val="0"/>
              <w:spacing w:line="300" w:lineRule="exact"/>
              <w:outlineLvl w:val="9"/>
              <w:rPr>
                <w:rFonts w:ascii="仿宋_GB2312" w:eastAsia="仿宋_GB2312"/>
                <w:spacing w:val="-6"/>
                <w:sz w:val="24"/>
              </w:rPr>
            </w:pPr>
            <w:r>
              <w:rPr>
                <w:rFonts w:hint="eastAsia" w:ascii="仿宋_GB2312" w:eastAsia="仿宋_GB2312"/>
                <w:spacing w:val="-6"/>
                <w:sz w:val="24"/>
              </w:rPr>
              <w:t>转入学校转入专业当年当地录取最低分</w:t>
            </w:r>
          </w:p>
        </w:tc>
        <w:tc>
          <w:tcPr>
            <w:tcW w:w="878" w:type="dxa"/>
            <w:vAlign w:val="center"/>
          </w:tcPr>
          <w:p>
            <w:pPr>
              <w:pageBreakBefore w:val="0"/>
              <w:kinsoku/>
              <w:overflowPunct/>
              <w:topLinePunct w:val="0"/>
              <w:bidi w:val="0"/>
              <w:spacing w:line="300" w:lineRule="exact"/>
              <w:ind w:firstLine="480" w:firstLineChars="200"/>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715"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p>
        </w:tc>
        <w:tc>
          <w:tcPr>
            <w:tcW w:w="3335" w:type="dxa"/>
            <w:gridSpan w:val="5"/>
            <w:tcBorders>
              <w:top w:val="single" w:color="auto" w:sz="2" w:space="0"/>
              <w:bottom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学校名称（全称）</w:t>
            </w:r>
          </w:p>
        </w:tc>
        <w:tc>
          <w:tcPr>
            <w:tcW w:w="1417"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年级（4位）</w:t>
            </w:r>
          </w:p>
        </w:tc>
        <w:tc>
          <w:tcPr>
            <w:tcW w:w="1418"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专业名称</w:t>
            </w:r>
          </w:p>
        </w:tc>
        <w:tc>
          <w:tcPr>
            <w:tcW w:w="1276"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学制（年）</w:t>
            </w:r>
          </w:p>
        </w:tc>
        <w:tc>
          <w:tcPr>
            <w:tcW w:w="878"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jc w:val="center"/>
              <w:outlineLvl w:val="9"/>
              <w:rPr>
                <w:rFonts w:ascii="仿宋_GB2312" w:eastAsia="仿宋_GB2312"/>
                <w:sz w:val="24"/>
              </w:rPr>
            </w:pPr>
            <w:r>
              <w:rPr>
                <w:rFonts w:hint="eastAsia" w:ascii="仿宋_GB2312" w:eastAsia="仿宋_GB2312"/>
                <w:sz w:val="24"/>
              </w:rPr>
              <w:t>学历层次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715"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r>
              <w:rPr>
                <w:rFonts w:hint="eastAsia" w:ascii="仿宋_GB2312" w:eastAsia="仿宋_GB2312"/>
                <w:sz w:val="24"/>
              </w:rPr>
              <w:t>转出</w:t>
            </w:r>
          </w:p>
        </w:tc>
        <w:tc>
          <w:tcPr>
            <w:tcW w:w="3335" w:type="dxa"/>
            <w:gridSpan w:val="5"/>
            <w:tcBorders>
              <w:top w:val="single" w:color="auto" w:sz="2" w:space="0"/>
              <w:bottom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417"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418"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276"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878"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r>
              <w:rPr>
                <w:rFonts w:hint="eastAsia" w:ascii="仿宋_GB2312" w:eastAsia="仿宋_GB2312"/>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715"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r>
              <w:rPr>
                <w:rFonts w:hint="eastAsia" w:ascii="仿宋_GB2312" w:eastAsia="仿宋_GB2312"/>
                <w:sz w:val="24"/>
              </w:rPr>
              <w:t>转入</w:t>
            </w:r>
          </w:p>
        </w:tc>
        <w:tc>
          <w:tcPr>
            <w:tcW w:w="3335" w:type="dxa"/>
            <w:gridSpan w:val="5"/>
            <w:tcBorders>
              <w:top w:val="single" w:color="auto" w:sz="2" w:space="0"/>
              <w:bottom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417"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418"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1276"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c>
          <w:tcPr>
            <w:tcW w:w="878" w:type="dxa"/>
            <w:tcBorders>
              <w:top w:val="single" w:color="auto" w:sz="2" w:space="0"/>
              <w:bottom w:val="single" w:color="auto" w:sz="2" w:space="0"/>
              <w:right w:val="single" w:color="auto" w:sz="2" w:space="0"/>
            </w:tcBorders>
            <w:vAlign w:val="center"/>
          </w:tcPr>
          <w:p>
            <w:pPr>
              <w:pageBreakBefore w:val="0"/>
              <w:kinsoku/>
              <w:overflowPunct/>
              <w:topLinePunct w:val="0"/>
              <w:bidi w:val="0"/>
              <w:spacing w:line="300" w:lineRule="exact"/>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15" w:type="dxa"/>
            <w:tcBorders>
              <w:top w:val="single" w:color="auto" w:sz="2" w:space="0"/>
              <w:left w:val="single" w:color="auto" w:sz="2" w:space="0"/>
              <w:bottom w:val="single" w:color="auto" w:sz="2" w:space="0"/>
            </w:tcBorders>
            <w:vAlign w:val="center"/>
          </w:tcPr>
          <w:p>
            <w:pPr>
              <w:pageBreakBefore w:val="0"/>
              <w:kinsoku/>
              <w:overflowPunct/>
              <w:topLinePunct w:val="0"/>
              <w:bidi w:val="0"/>
              <w:spacing w:line="400" w:lineRule="exact"/>
              <w:jc w:val="center"/>
              <w:outlineLvl w:val="9"/>
              <w:rPr>
                <w:rFonts w:ascii="仿宋_GB2312" w:eastAsia="仿宋_GB2312"/>
                <w:sz w:val="24"/>
              </w:rPr>
            </w:pPr>
            <w:r>
              <w:rPr>
                <w:rFonts w:hint="eastAsia" w:ascii="仿宋_GB2312" w:eastAsia="仿宋_GB2312"/>
                <w:sz w:val="24"/>
              </w:rPr>
              <w:t>转出</w:t>
            </w:r>
          </w:p>
          <w:p>
            <w:pPr>
              <w:pageBreakBefore w:val="0"/>
              <w:kinsoku/>
              <w:overflowPunct/>
              <w:topLinePunct w:val="0"/>
              <w:bidi w:val="0"/>
              <w:spacing w:line="400" w:lineRule="exact"/>
              <w:jc w:val="center"/>
              <w:outlineLvl w:val="9"/>
              <w:rPr>
                <w:rFonts w:ascii="仿宋_GB2312" w:eastAsia="仿宋_GB2312"/>
                <w:sz w:val="24"/>
              </w:rPr>
            </w:pPr>
            <w:r>
              <w:rPr>
                <w:rFonts w:hint="eastAsia" w:ascii="仿宋_GB2312" w:eastAsia="仿宋_GB2312"/>
                <w:sz w:val="24"/>
              </w:rPr>
              <w:t>学校</w:t>
            </w:r>
          </w:p>
          <w:p>
            <w:pPr>
              <w:pageBreakBefore w:val="0"/>
              <w:kinsoku/>
              <w:overflowPunct/>
              <w:topLinePunct w:val="0"/>
              <w:bidi w:val="0"/>
              <w:spacing w:line="400" w:lineRule="exact"/>
              <w:jc w:val="center"/>
              <w:outlineLvl w:val="9"/>
              <w:rPr>
                <w:rFonts w:ascii="仿宋_GB2312" w:eastAsia="仿宋_GB2312"/>
                <w:sz w:val="24"/>
              </w:rPr>
            </w:pPr>
            <w:r>
              <w:rPr>
                <w:rFonts w:hint="eastAsia" w:ascii="仿宋_GB2312" w:eastAsia="仿宋_GB2312"/>
                <w:sz w:val="24"/>
              </w:rPr>
              <w:t>审核</w:t>
            </w:r>
          </w:p>
          <w:p>
            <w:pPr>
              <w:pageBreakBefore w:val="0"/>
              <w:kinsoku/>
              <w:overflowPunct/>
              <w:topLinePunct w:val="0"/>
              <w:bidi w:val="0"/>
              <w:spacing w:line="400" w:lineRule="exact"/>
              <w:jc w:val="center"/>
              <w:outlineLvl w:val="9"/>
              <w:rPr>
                <w:rFonts w:ascii="仿宋_GB2312" w:eastAsia="仿宋_GB2312"/>
                <w:sz w:val="24"/>
              </w:rPr>
            </w:pPr>
            <w:r>
              <w:rPr>
                <w:rFonts w:hint="eastAsia" w:ascii="仿宋_GB2312" w:eastAsia="仿宋_GB2312"/>
                <w:sz w:val="24"/>
              </w:rPr>
              <w:t>意见</w:t>
            </w:r>
          </w:p>
        </w:tc>
        <w:tc>
          <w:tcPr>
            <w:tcW w:w="4061" w:type="dxa"/>
            <w:gridSpan w:val="6"/>
            <w:tcBorders>
              <w:top w:val="single" w:color="auto" w:sz="2" w:space="0"/>
              <w:bottom w:val="single" w:color="auto" w:sz="2" w:space="0"/>
            </w:tcBorders>
          </w:tcPr>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outlineLvl w:val="9"/>
              <w:rPr>
                <w:rFonts w:ascii="仿宋_GB2312" w:eastAsia="仿宋_GB2312"/>
                <w:sz w:val="24"/>
              </w:rPr>
            </w:pPr>
            <w:r>
              <w:rPr>
                <w:rFonts w:hint="eastAsia" w:ascii="仿宋_GB2312" w:eastAsia="仿宋_GB2312"/>
                <w:sz w:val="24"/>
              </w:rPr>
              <w:t>经办人：</w:t>
            </w:r>
          </w:p>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outlineLvl w:val="9"/>
              <w:rPr>
                <w:rFonts w:ascii="仿宋_GB2312" w:eastAsia="仿宋_GB2312"/>
                <w:sz w:val="24"/>
              </w:rPr>
            </w:pPr>
            <w:r>
              <w:rPr>
                <w:rFonts w:hint="eastAsia" w:ascii="仿宋_GB2312" w:eastAsia="仿宋_GB2312"/>
                <w:sz w:val="24"/>
              </w:rPr>
              <w:t>处长：</w:t>
            </w:r>
          </w:p>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outlineLvl w:val="9"/>
              <w:rPr>
                <w:rFonts w:ascii="仿宋_GB2312" w:eastAsia="仿宋_GB2312"/>
                <w:sz w:val="24"/>
              </w:rPr>
            </w:pPr>
            <w:r>
              <w:rPr>
                <w:rFonts w:hint="eastAsia" w:ascii="仿宋_GB2312" w:eastAsia="仿宋_GB2312"/>
                <w:sz w:val="24"/>
              </w:rPr>
              <w:t>校领导签字（或盖章）：</w:t>
            </w:r>
          </w:p>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ind w:firstLine="480" w:firstLineChars="200"/>
              <w:outlineLvl w:val="9"/>
              <w:rPr>
                <w:rFonts w:ascii="仿宋_GB2312" w:eastAsia="仿宋_GB2312"/>
                <w:sz w:val="24"/>
              </w:rPr>
            </w:pPr>
            <w:r>
              <w:rPr>
                <w:rFonts w:hint="eastAsia" w:ascii="仿宋_GB2312" w:eastAsia="仿宋_GB2312"/>
                <w:sz w:val="24"/>
              </w:rPr>
              <w:t>学校盖章       年   月   日</w:t>
            </w:r>
          </w:p>
        </w:tc>
        <w:tc>
          <w:tcPr>
            <w:tcW w:w="939" w:type="dxa"/>
            <w:gridSpan w:val="2"/>
            <w:tcBorders>
              <w:top w:val="single" w:color="auto" w:sz="2" w:space="0"/>
              <w:bottom w:val="single" w:color="auto" w:sz="2" w:space="0"/>
              <w:right w:val="single" w:color="auto" w:sz="2" w:space="0"/>
            </w:tcBorders>
            <w:vAlign w:val="center"/>
          </w:tcPr>
          <w:p>
            <w:pPr>
              <w:pageBreakBefore w:val="0"/>
              <w:kinsoku/>
              <w:overflowPunct/>
              <w:topLinePunct w:val="0"/>
              <w:bidi w:val="0"/>
              <w:spacing w:line="400" w:lineRule="exact"/>
              <w:jc w:val="center"/>
              <w:outlineLvl w:val="9"/>
              <w:rPr>
                <w:rFonts w:ascii="仿宋_GB2312" w:eastAsia="仿宋_GB2312"/>
                <w:sz w:val="24"/>
              </w:rPr>
            </w:pPr>
            <w:r>
              <w:rPr>
                <w:rFonts w:hint="eastAsia" w:ascii="仿宋_GB2312" w:eastAsia="仿宋_GB2312"/>
                <w:sz w:val="24"/>
              </w:rPr>
              <w:t>转入</w:t>
            </w:r>
          </w:p>
          <w:p>
            <w:pPr>
              <w:pageBreakBefore w:val="0"/>
              <w:kinsoku/>
              <w:overflowPunct/>
              <w:topLinePunct w:val="0"/>
              <w:bidi w:val="0"/>
              <w:spacing w:line="400" w:lineRule="exact"/>
              <w:jc w:val="center"/>
              <w:outlineLvl w:val="9"/>
              <w:rPr>
                <w:rFonts w:ascii="仿宋_GB2312" w:eastAsia="仿宋_GB2312"/>
                <w:sz w:val="24"/>
              </w:rPr>
            </w:pPr>
            <w:r>
              <w:rPr>
                <w:rFonts w:hint="eastAsia" w:ascii="仿宋_GB2312" w:eastAsia="仿宋_GB2312"/>
                <w:sz w:val="24"/>
              </w:rPr>
              <w:t>学校</w:t>
            </w:r>
          </w:p>
          <w:p>
            <w:pPr>
              <w:pageBreakBefore w:val="0"/>
              <w:kinsoku/>
              <w:overflowPunct/>
              <w:topLinePunct w:val="0"/>
              <w:bidi w:val="0"/>
              <w:spacing w:line="400" w:lineRule="exact"/>
              <w:jc w:val="center"/>
              <w:outlineLvl w:val="9"/>
              <w:rPr>
                <w:rFonts w:ascii="仿宋_GB2312" w:eastAsia="仿宋_GB2312"/>
                <w:sz w:val="24"/>
              </w:rPr>
            </w:pPr>
            <w:r>
              <w:rPr>
                <w:rFonts w:hint="eastAsia" w:ascii="仿宋_GB2312" w:eastAsia="仿宋_GB2312"/>
                <w:sz w:val="24"/>
              </w:rPr>
              <w:t>审核</w:t>
            </w:r>
          </w:p>
          <w:p>
            <w:pPr>
              <w:pageBreakBefore w:val="0"/>
              <w:kinsoku/>
              <w:overflowPunct/>
              <w:topLinePunct w:val="0"/>
              <w:bidi w:val="0"/>
              <w:spacing w:line="400" w:lineRule="exact"/>
              <w:jc w:val="center"/>
              <w:outlineLvl w:val="9"/>
              <w:rPr>
                <w:rFonts w:ascii="仿宋_GB2312" w:eastAsia="仿宋_GB2312"/>
                <w:sz w:val="24"/>
              </w:rPr>
            </w:pPr>
            <w:r>
              <w:rPr>
                <w:rFonts w:hint="eastAsia" w:ascii="仿宋_GB2312" w:eastAsia="仿宋_GB2312"/>
                <w:sz w:val="24"/>
              </w:rPr>
              <w:t>意见</w:t>
            </w:r>
          </w:p>
        </w:tc>
        <w:tc>
          <w:tcPr>
            <w:tcW w:w="3324" w:type="dxa"/>
            <w:gridSpan w:val="3"/>
            <w:tcBorders>
              <w:top w:val="single" w:color="auto" w:sz="2" w:space="0"/>
              <w:bottom w:val="single" w:color="auto" w:sz="2" w:space="0"/>
              <w:right w:val="single" w:color="auto" w:sz="2" w:space="0"/>
            </w:tcBorders>
          </w:tcPr>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outlineLvl w:val="9"/>
              <w:rPr>
                <w:rFonts w:ascii="仿宋_GB2312" w:eastAsia="仿宋_GB2312"/>
                <w:sz w:val="24"/>
              </w:rPr>
            </w:pPr>
            <w:r>
              <w:rPr>
                <w:rFonts w:hint="eastAsia" w:ascii="仿宋_GB2312" w:eastAsia="仿宋_GB2312"/>
                <w:sz w:val="24"/>
              </w:rPr>
              <w:t>经办人：</w:t>
            </w:r>
          </w:p>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outlineLvl w:val="9"/>
              <w:rPr>
                <w:rFonts w:ascii="仿宋_GB2312" w:eastAsia="仿宋_GB2312"/>
                <w:sz w:val="24"/>
              </w:rPr>
            </w:pPr>
            <w:r>
              <w:rPr>
                <w:rFonts w:hint="eastAsia" w:ascii="仿宋_GB2312" w:eastAsia="仿宋_GB2312"/>
                <w:sz w:val="24"/>
              </w:rPr>
              <w:t>处长：</w:t>
            </w:r>
          </w:p>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outlineLvl w:val="9"/>
              <w:rPr>
                <w:rFonts w:ascii="仿宋_GB2312" w:eastAsia="仿宋_GB2312"/>
                <w:sz w:val="24"/>
              </w:rPr>
            </w:pPr>
            <w:r>
              <w:rPr>
                <w:rFonts w:hint="eastAsia" w:ascii="仿宋_GB2312" w:eastAsia="仿宋_GB2312"/>
                <w:sz w:val="24"/>
              </w:rPr>
              <w:t>校领导签字（或盖章）：</w:t>
            </w:r>
          </w:p>
          <w:p>
            <w:pPr>
              <w:pageBreakBefore w:val="0"/>
              <w:kinsoku/>
              <w:overflowPunct/>
              <w:topLinePunct w:val="0"/>
              <w:bidi w:val="0"/>
              <w:spacing w:line="400" w:lineRule="exact"/>
              <w:outlineLvl w:val="9"/>
              <w:rPr>
                <w:rFonts w:ascii="仿宋_GB2312" w:eastAsia="仿宋_GB2312"/>
                <w:sz w:val="24"/>
              </w:rPr>
            </w:pPr>
          </w:p>
          <w:p>
            <w:pPr>
              <w:pageBreakBefore w:val="0"/>
              <w:kinsoku/>
              <w:overflowPunct/>
              <w:topLinePunct w:val="0"/>
              <w:bidi w:val="0"/>
              <w:spacing w:line="400" w:lineRule="exact"/>
              <w:outlineLvl w:val="9"/>
              <w:rPr>
                <w:rFonts w:ascii="仿宋_GB2312" w:eastAsia="仿宋_GB2312"/>
                <w:sz w:val="24"/>
              </w:rPr>
            </w:pPr>
            <w:r>
              <w:rPr>
                <w:rFonts w:hint="eastAsia" w:ascii="仿宋_GB2312" w:eastAsia="仿宋_GB2312"/>
                <w:sz w:val="24"/>
              </w:rPr>
              <w:t>学校盖章    年   月   日</w:t>
            </w:r>
          </w:p>
        </w:tc>
      </w:tr>
    </w:tbl>
    <w:p>
      <w:pPr>
        <w:pageBreakBefore w:val="0"/>
        <w:tabs>
          <w:tab w:val="left" w:pos="180"/>
        </w:tabs>
        <w:kinsoku/>
        <w:overflowPunct/>
        <w:topLinePunct w:val="0"/>
        <w:bidi w:val="0"/>
        <w:spacing w:line="400" w:lineRule="exact"/>
        <w:outlineLvl w:val="9"/>
        <w:rPr>
          <w:rFonts w:ascii="仿宋_GB2312" w:eastAsia="仿宋_GB2312"/>
          <w:sz w:val="24"/>
        </w:rPr>
      </w:pPr>
      <w:r>
        <w:rPr>
          <w:rFonts w:hint="eastAsia" w:ascii="仿宋_GB2312" w:eastAsia="仿宋_GB2312"/>
          <w:b/>
          <w:sz w:val="24"/>
        </w:rPr>
        <w:t>说明：</w:t>
      </w:r>
      <w:r>
        <w:rPr>
          <w:rFonts w:hint="eastAsia" w:ascii="仿宋_GB2312" w:eastAsia="仿宋_GB2312"/>
          <w:sz w:val="24"/>
        </w:rPr>
        <w:t xml:space="preserve">1．此表仅用于具有普通高等教育学籍的学生（含研究生）办理转学申请备案相关手续； </w:t>
      </w:r>
    </w:p>
    <w:p>
      <w:pPr>
        <w:pageBreakBefore w:val="0"/>
        <w:tabs>
          <w:tab w:val="left" w:pos="180"/>
        </w:tabs>
        <w:kinsoku/>
        <w:overflowPunct/>
        <w:topLinePunct w:val="0"/>
        <w:bidi w:val="0"/>
        <w:spacing w:line="400" w:lineRule="exact"/>
        <w:ind w:firstLine="888" w:firstLineChars="370"/>
        <w:outlineLvl w:val="9"/>
        <w:rPr>
          <w:rFonts w:ascii="仿宋_GB2312" w:eastAsia="仿宋_GB2312"/>
          <w:sz w:val="24"/>
        </w:rPr>
      </w:pPr>
      <w:r>
        <w:rPr>
          <w:rFonts w:hint="eastAsia" w:ascii="仿宋_GB2312" w:eastAsia="仿宋_GB2312"/>
          <w:sz w:val="24"/>
        </w:rPr>
        <w:t>2．填表必须字迹清晰，姓名、转出及转入等重要信息不得涂改；</w:t>
      </w:r>
    </w:p>
    <w:p>
      <w:pPr>
        <w:pageBreakBefore w:val="0"/>
        <w:tabs>
          <w:tab w:val="left" w:pos="180"/>
        </w:tabs>
        <w:kinsoku/>
        <w:overflowPunct/>
        <w:topLinePunct w:val="0"/>
        <w:bidi w:val="0"/>
        <w:spacing w:line="400" w:lineRule="exact"/>
        <w:ind w:firstLine="888" w:firstLineChars="370"/>
        <w:outlineLvl w:val="9"/>
        <w:rPr>
          <w:rFonts w:ascii="仿宋_GB2312" w:eastAsia="仿宋_GB2312"/>
          <w:sz w:val="24"/>
        </w:rPr>
      </w:pPr>
      <w:r>
        <w:rPr>
          <w:rFonts w:hint="eastAsia" w:ascii="仿宋_GB2312" w:eastAsia="仿宋_GB2312"/>
          <w:sz w:val="24"/>
        </w:rPr>
        <w:t>3．学历层次指博士、硕士、本科、专科（高职）。年级填4位年度，如“2005”；</w:t>
      </w:r>
    </w:p>
    <w:p>
      <w:pPr>
        <w:pageBreakBefore w:val="0"/>
        <w:tabs>
          <w:tab w:val="left" w:pos="180"/>
        </w:tabs>
        <w:kinsoku/>
        <w:overflowPunct/>
        <w:topLinePunct w:val="0"/>
        <w:bidi w:val="0"/>
        <w:spacing w:line="400" w:lineRule="exact"/>
        <w:ind w:firstLine="888" w:firstLineChars="370"/>
        <w:outlineLvl w:val="9"/>
        <w:rPr>
          <w:rFonts w:ascii="仿宋_GB2312" w:eastAsia="仿宋_GB2312"/>
          <w:sz w:val="24"/>
        </w:rPr>
      </w:pPr>
      <w:r>
        <w:rPr>
          <w:rFonts w:hint="eastAsia" w:ascii="仿宋_GB2312" w:eastAsia="仿宋_GB2312"/>
          <w:sz w:val="24"/>
        </w:rPr>
        <w:t>4．生源省市、录取批次、考生号等信息按照《普通高等录取新生见面登记表》中本人信息填写；</w:t>
      </w:r>
    </w:p>
    <w:p>
      <w:pPr>
        <w:pageBreakBefore w:val="0"/>
        <w:tabs>
          <w:tab w:val="left" w:pos="180"/>
        </w:tabs>
        <w:kinsoku/>
        <w:overflowPunct/>
        <w:topLinePunct w:val="0"/>
        <w:bidi w:val="0"/>
        <w:spacing w:line="400" w:lineRule="exact"/>
        <w:ind w:firstLine="820" w:firstLineChars="342"/>
        <w:outlineLvl w:val="9"/>
        <w:rPr>
          <w:rFonts w:ascii="仿宋_GB2312" w:eastAsia="仿宋_GB2312"/>
          <w:sz w:val="24"/>
        </w:rPr>
      </w:pPr>
      <w:r>
        <w:rPr>
          <w:rFonts w:hint="eastAsia" w:ascii="仿宋_GB2312" w:eastAsia="仿宋_GB2312"/>
          <w:sz w:val="24"/>
        </w:rPr>
        <w:t>5．此表可根据样表复制或印制，但必须用A4纸双面印。</w:t>
      </w: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tbl>
      <w:tblPr>
        <w:tblStyle w:val="14"/>
        <w:tblW w:w="93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461" w:hRule="atLeast"/>
          <w:jc w:val="center"/>
        </w:trPr>
        <w:tc>
          <w:tcPr>
            <w:tcW w:w="900" w:type="dxa"/>
            <w:tcBorders>
              <w:top w:val="single" w:color="auto" w:sz="2" w:space="0"/>
              <w:left w:val="single" w:color="auto" w:sz="2" w:space="0"/>
              <w:bottom w:val="single" w:color="auto" w:sz="2" w:space="0"/>
              <w:right w:val="single" w:color="auto" w:sz="2" w:space="0"/>
            </w:tcBorders>
            <w:vAlign w:val="center"/>
          </w:tcPr>
          <w:p>
            <w:pPr>
              <w:pageBreakBefore w:val="0"/>
              <w:kinsoku/>
              <w:overflowPunct/>
              <w:topLinePunct w:val="0"/>
              <w:bidi w:val="0"/>
              <w:spacing w:line="440" w:lineRule="exact"/>
              <w:jc w:val="center"/>
              <w:outlineLvl w:val="9"/>
              <w:rPr>
                <w:rFonts w:ascii="仿宋_GB2312" w:eastAsia="仿宋_GB2312"/>
              </w:rPr>
            </w:pPr>
            <w:r>
              <w:rPr>
                <w:rFonts w:hint="eastAsia" w:ascii="仿宋_GB2312" w:eastAsia="仿宋_GB2312"/>
              </w:rPr>
              <w:t>申</w:t>
            </w:r>
          </w:p>
          <w:p>
            <w:pPr>
              <w:pageBreakBefore w:val="0"/>
              <w:kinsoku/>
              <w:overflowPunct/>
              <w:topLinePunct w:val="0"/>
              <w:bidi w:val="0"/>
              <w:spacing w:line="440" w:lineRule="exact"/>
              <w:jc w:val="center"/>
              <w:outlineLvl w:val="9"/>
              <w:rPr>
                <w:rFonts w:ascii="仿宋_GB2312" w:eastAsia="仿宋_GB2312"/>
              </w:rPr>
            </w:pPr>
            <w:r>
              <w:rPr>
                <w:rFonts w:hint="eastAsia" w:ascii="仿宋_GB2312" w:eastAsia="仿宋_GB2312"/>
              </w:rPr>
              <w:t>请</w:t>
            </w:r>
          </w:p>
          <w:p>
            <w:pPr>
              <w:pageBreakBefore w:val="0"/>
              <w:kinsoku/>
              <w:overflowPunct/>
              <w:topLinePunct w:val="0"/>
              <w:bidi w:val="0"/>
              <w:spacing w:line="440" w:lineRule="exact"/>
              <w:jc w:val="center"/>
              <w:outlineLvl w:val="9"/>
              <w:rPr>
                <w:rFonts w:ascii="仿宋_GB2312" w:eastAsia="仿宋_GB2312"/>
              </w:rPr>
            </w:pPr>
            <w:r>
              <w:rPr>
                <w:rFonts w:hint="eastAsia" w:ascii="仿宋_GB2312" w:eastAsia="仿宋_GB2312"/>
              </w:rPr>
              <w:t>转</w:t>
            </w:r>
          </w:p>
          <w:p>
            <w:pPr>
              <w:pageBreakBefore w:val="0"/>
              <w:kinsoku/>
              <w:overflowPunct/>
              <w:topLinePunct w:val="0"/>
              <w:bidi w:val="0"/>
              <w:spacing w:line="440" w:lineRule="exact"/>
              <w:jc w:val="center"/>
              <w:outlineLvl w:val="9"/>
              <w:rPr>
                <w:rFonts w:ascii="仿宋_GB2312" w:eastAsia="仿宋_GB2312"/>
              </w:rPr>
            </w:pPr>
            <w:r>
              <w:rPr>
                <w:rFonts w:hint="eastAsia" w:ascii="仿宋_GB2312" w:eastAsia="仿宋_GB2312"/>
              </w:rPr>
              <w:t>学</w:t>
            </w:r>
          </w:p>
          <w:p>
            <w:pPr>
              <w:pageBreakBefore w:val="0"/>
              <w:kinsoku/>
              <w:overflowPunct/>
              <w:topLinePunct w:val="0"/>
              <w:bidi w:val="0"/>
              <w:spacing w:line="440" w:lineRule="exact"/>
              <w:jc w:val="center"/>
              <w:outlineLvl w:val="9"/>
              <w:rPr>
                <w:rFonts w:ascii="仿宋_GB2312" w:eastAsia="仿宋_GB2312"/>
              </w:rPr>
            </w:pPr>
            <w:r>
              <w:rPr>
                <w:rFonts w:hint="eastAsia" w:ascii="仿宋_GB2312" w:eastAsia="仿宋_GB2312"/>
              </w:rPr>
              <w:t>理</w:t>
            </w:r>
          </w:p>
          <w:p>
            <w:pPr>
              <w:pageBreakBefore w:val="0"/>
              <w:kinsoku/>
              <w:overflowPunct/>
              <w:topLinePunct w:val="0"/>
              <w:bidi w:val="0"/>
              <w:spacing w:line="440" w:lineRule="exact"/>
              <w:jc w:val="center"/>
              <w:outlineLvl w:val="9"/>
              <w:rPr>
                <w:rFonts w:ascii="仿宋_GB2312" w:eastAsia="仿宋_GB2312"/>
                <w:sz w:val="24"/>
              </w:rPr>
            </w:pPr>
            <w:r>
              <w:rPr>
                <w:rFonts w:hint="eastAsia" w:ascii="仿宋_GB2312" w:eastAsia="仿宋_GB2312"/>
              </w:rPr>
              <w:t>由</w:t>
            </w:r>
          </w:p>
        </w:tc>
        <w:tc>
          <w:tcPr>
            <w:tcW w:w="8414" w:type="dxa"/>
            <w:tcBorders>
              <w:top w:val="single" w:color="auto" w:sz="2" w:space="0"/>
              <w:left w:val="single" w:color="auto" w:sz="2" w:space="0"/>
              <w:bottom w:val="single" w:color="auto" w:sz="2" w:space="0"/>
              <w:right w:val="single" w:color="auto" w:sz="2" w:space="0"/>
            </w:tcBorders>
          </w:tcPr>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outlineLvl w:val="9"/>
              <w:rPr>
                <w:rFonts w:ascii="仿宋_GB2312" w:eastAsia="仿宋_GB2312"/>
                <w:color w:val="000000"/>
                <w:sz w:val="24"/>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p>
          <w:p>
            <w:pPr>
              <w:pageBreakBefore w:val="0"/>
              <w:kinsoku/>
              <w:overflowPunct/>
              <w:topLinePunct w:val="0"/>
              <w:bidi w:val="0"/>
              <w:ind w:firstLine="4680"/>
              <w:outlineLvl w:val="9"/>
              <w:rPr>
                <w:rFonts w:ascii="仿宋_GB2312" w:eastAsia="仿宋_GB2312"/>
                <w:color w:val="000000"/>
              </w:rPr>
            </w:pPr>
            <w:r>
              <w:rPr>
                <w:rFonts w:hint="eastAsia" w:ascii="仿宋_GB2312" w:eastAsia="仿宋_GB2312"/>
                <w:color w:val="000000"/>
              </w:rPr>
              <w:t xml:space="preserve">申请人签名：  </w:t>
            </w:r>
          </w:p>
          <w:p>
            <w:pPr>
              <w:pageBreakBefore w:val="0"/>
              <w:kinsoku/>
              <w:overflowPunct/>
              <w:topLinePunct w:val="0"/>
              <w:bidi w:val="0"/>
              <w:ind w:firstLine="4830" w:firstLineChars="2300"/>
              <w:outlineLvl w:val="9"/>
              <w:rPr>
                <w:rFonts w:ascii="仿宋_GB2312" w:eastAsia="仿宋_GB2312"/>
                <w:color w:val="000000"/>
                <w:sz w:val="24"/>
              </w:rPr>
            </w:pPr>
            <w:r>
              <w:rPr>
                <w:rFonts w:hint="eastAsia" w:ascii="仿宋_GB2312" w:eastAsia="仿宋_GB2312"/>
                <w:color w:val="000000"/>
              </w:rPr>
              <w:t>年   月   日</w:t>
            </w:r>
          </w:p>
        </w:tc>
      </w:tr>
    </w:tbl>
    <w:p>
      <w:pPr>
        <w:pageBreakBefore w:val="0"/>
        <w:kinsoku/>
        <w:overflowPunct/>
        <w:topLinePunct w:val="0"/>
        <w:bidi w:val="0"/>
        <w:spacing w:line="590" w:lineRule="exact"/>
        <w:jc w:val="center"/>
        <w:outlineLvl w:val="9"/>
        <w:rPr>
          <w:rFonts w:hint="eastAsia"/>
          <w:b/>
          <w:color w:val="000000"/>
          <w:sz w:val="36"/>
          <w:szCs w:val="36"/>
        </w:rPr>
      </w:pPr>
      <w:bookmarkStart w:id="610" w:name="_Toc24949"/>
      <w:bookmarkStart w:id="611" w:name="_Toc6799"/>
    </w:p>
    <w:p>
      <w:pPr>
        <w:pageBreakBefore w:val="0"/>
        <w:kinsoku/>
        <w:overflowPunct/>
        <w:topLinePunct w:val="0"/>
        <w:bidi w:val="0"/>
        <w:spacing w:line="590" w:lineRule="exact"/>
        <w:jc w:val="center"/>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ascii="仿宋_GB2312" w:eastAsia="仿宋_GB2312" w:hAnsiTheme="minorEastAsia"/>
          <w:sz w:val="32"/>
          <w:szCs w:val="32"/>
        </w:rPr>
      </w:pPr>
      <w:bookmarkStart w:id="612" w:name="_Toc4843"/>
      <w:bookmarkStart w:id="613" w:name="_Toc5515"/>
      <w:bookmarkStart w:id="614" w:name="_Toc902_WPSOffice_Level1"/>
      <w:bookmarkStart w:id="615" w:name="_Toc8177"/>
      <w:bookmarkStart w:id="616" w:name="_Toc21105"/>
      <w:r>
        <w:rPr>
          <w:rFonts w:hint="eastAsia"/>
          <w:b/>
          <w:color w:val="000000"/>
          <w:sz w:val="36"/>
          <w:szCs w:val="36"/>
        </w:rPr>
        <w:t>柳州职业技术学院家庭经济困难学生认定办法（修订）</w:t>
      </w:r>
      <w:bookmarkEnd w:id="610"/>
      <w:bookmarkEnd w:id="611"/>
      <w:bookmarkEnd w:id="612"/>
      <w:bookmarkEnd w:id="613"/>
      <w:bookmarkEnd w:id="614"/>
      <w:bookmarkEnd w:id="615"/>
      <w:bookmarkEnd w:id="616"/>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b w:val="0"/>
          <w:bCs w:val="0"/>
          <w:sz w:val="32"/>
          <w:szCs w:val="32"/>
        </w:rPr>
        <w:t>柳职院学字〔2019〕58号</w:t>
      </w:r>
      <w:r>
        <w:rPr>
          <w:rFonts w:hint="eastAsia" w:ascii="仿宋_GB2312" w:eastAsia="仿宋_GB2312"/>
          <w:b w:val="0"/>
          <w:bCs w:val="0"/>
          <w:sz w:val="32"/>
          <w:szCs w:val="32"/>
          <w:lang w:eastAsia="zh-CN"/>
        </w:rPr>
        <w:t>）</w:t>
      </w:r>
    </w:p>
    <w:p>
      <w:pPr>
        <w:pageBreakBefore w:val="0"/>
        <w:kinsoku/>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17" w:name="_Toc29355_WPSOffice_Level1"/>
      <w:r>
        <w:rPr>
          <w:rFonts w:hint="eastAsia" w:ascii="黑体" w:hAnsi="黑体" w:eastAsia="黑体"/>
          <w:b/>
          <w:sz w:val="32"/>
          <w:szCs w:val="32"/>
        </w:rPr>
        <w:t>第一章  总则</w:t>
      </w:r>
      <w:bookmarkEnd w:id="617"/>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第一条  </w:t>
      </w:r>
      <w:r>
        <w:rPr>
          <w:rFonts w:hint="eastAsia" w:ascii="仿宋_GB2312" w:hAnsi="宋体" w:eastAsia="仿宋_GB2312"/>
          <w:sz w:val="32"/>
          <w:szCs w:val="32"/>
        </w:rPr>
        <w:t>为切实做好我校家庭经济困难学生认定工作，公平、公正、合理的分配资助资源，帮助家庭经济困难学生顺利完成学业，根据《教育部等六部门关于做好家庭经济困难学生认定工作的指导意见》（教财〔2018〕16号）和《自治区教育厅等8部门关于印发&lt;广西壮族自治区家庭经济困难学生认定实施办法&gt;的通知》（桂教规范〔2019〕13号）文件精神，制定本办法。</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第二条</w:t>
      </w:r>
      <w:r>
        <w:rPr>
          <w:rFonts w:hint="eastAsia" w:ascii="仿宋_GB2312" w:hAnsi="宋体" w:eastAsia="仿宋_GB2312"/>
          <w:sz w:val="32"/>
          <w:szCs w:val="32"/>
        </w:rPr>
        <w:t xml:space="preserve">  本办法适用于我校全日制在校高职学生。</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第三条  </w:t>
      </w:r>
      <w:r>
        <w:rPr>
          <w:rFonts w:hint="eastAsia" w:ascii="仿宋_GB2312" w:hAnsi="宋体" w:eastAsia="仿宋_GB2312"/>
          <w:sz w:val="32"/>
          <w:szCs w:val="32"/>
        </w:rPr>
        <w:t>本办法所称家庭经济困难学生认定工作的对象是指学生本人及其家庭的经济能力难以满足在校期间的学习、生活基本支出的学生。</w:t>
      </w:r>
    </w:p>
    <w:p>
      <w:pPr>
        <w:pageBreakBefore w:val="0"/>
        <w:kinsoku/>
        <w:overflowPunct/>
        <w:topLinePunct w:val="0"/>
        <w:bidi w:val="0"/>
        <w:spacing w:line="596" w:lineRule="exact"/>
        <w:ind w:firstLine="643" w:firstLineChars="200"/>
        <w:outlineLvl w:val="9"/>
        <w:rPr>
          <w:rFonts w:hint="eastAsia" w:ascii="仿宋_GB2312" w:hAnsi="宋体" w:eastAsia="仿宋_GB2312" w:cs="MS Shell Dlg"/>
          <w:spacing w:val="4"/>
          <w:sz w:val="32"/>
          <w:szCs w:val="32"/>
        </w:rPr>
      </w:pPr>
      <w:r>
        <w:rPr>
          <w:rFonts w:hint="eastAsia" w:ascii="仿宋_GB2312" w:hAnsi="宋体" w:eastAsia="仿宋_GB2312"/>
          <w:b/>
          <w:sz w:val="32"/>
          <w:szCs w:val="32"/>
        </w:rPr>
        <w:t xml:space="preserve">第四条  </w:t>
      </w:r>
      <w:r>
        <w:rPr>
          <w:rFonts w:hint="eastAsia" w:ascii="仿宋_GB2312" w:hAnsi="宋体" w:eastAsia="仿宋_GB2312" w:cs="MS Shell Dlg"/>
          <w:spacing w:val="4"/>
          <w:sz w:val="32"/>
          <w:szCs w:val="32"/>
        </w:rPr>
        <w:t>经认定的家庭经济困难学生，根据认定档次，经本人申请，符合资助条件的经学校审批可享受资助资源。</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第五条  </w:t>
      </w:r>
      <w:r>
        <w:rPr>
          <w:rFonts w:hint="eastAsia" w:ascii="仿宋_GB2312" w:hAnsi="宋体" w:eastAsia="仿宋_GB2312"/>
          <w:sz w:val="32"/>
          <w:szCs w:val="32"/>
        </w:rPr>
        <w:t>家庭经济困难学生认定工作要遵循以下基本原则：</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(一）坚持实事求是、客观公平。认定家庭经济困难学生要从客观实际出发，以学生家庭经济状况为主要认定依据，认定标准和尺度要统一，确保公平公正。</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(二）坚持定量评价与定性评价相结合。既要建立科学的量化指标体系，进行定量评价，也要通过定性分析修正量化结果，更加准确、全面地了解学生的实际情况。</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(三）坚持公开透明与保护隐私相结合。既要做到认定内容、程序、方法等透明，确保认定公正，也要尊重和保护学生隐私，严禁让学生当众诉苦、互相比困。</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(四）坚持积极引导与自愿申请相结合。既要引导学生或监护人如实反映家庭经济困难情况，主动利用国家资助完成学业，也要充分尊重学生或监护人个人意愿，遵循自愿申请的原则。</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18" w:name="_Toc6083_WPSOffice_Level1"/>
      <w:r>
        <w:rPr>
          <w:rFonts w:hint="eastAsia" w:ascii="黑体" w:hAnsi="黑体" w:eastAsia="黑体"/>
          <w:b/>
          <w:sz w:val="32"/>
          <w:szCs w:val="32"/>
        </w:rPr>
        <w:t>第二章  组织机构</w:t>
      </w:r>
      <w:bookmarkEnd w:id="618"/>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第六条</w:t>
      </w:r>
      <w:r>
        <w:rPr>
          <w:rFonts w:hint="eastAsia" w:ascii="仿宋_GB2312" w:hAnsi="宋体" w:eastAsia="仿宋_GB2312"/>
          <w:sz w:val="32"/>
          <w:szCs w:val="32"/>
        </w:rPr>
        <w:t xml:space="preserve">  家庭经济困难学生认定工作必须严格工作制度，规范工作程序，做到公开、公平、公正。</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第七条</w:t>
      </w:r>
      <w:r>
        <w:rPr>
          <w:rFonts w:hint="eastAsia" w:ascii="仿宋_GB2312" w:hAnsi="宋体" w:eastAsia="仿宋_GB2312"/>
          <w:sz w:val="32"/>
          <w:szCs w:val="32"/>
        </w:rPr>
        <w:t xml:space="preserve">  学校成立学生资助工作领导小组，全面领导本校家庭经济困难学生的认定工作。学校学生资助管理中心具体负责组织和管理全校的认定工作，建立我校家庭经济困难学生档案，对学生的贫困情况和受资助情况进行记录，并实行动态管理。</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第八条</w:t>
      </w:r>
      <w:r>
        <w:rPr>
          <w:rFonts w:hint="eastAsia" w:ascii="仿宋_GB2312" w:hAnsi="宋体" w:eastAsia="仿宋_GB2312"/>
          <w:sz w:val="32"/>
          <w:szCs w:val="32"/>
        </w:rPr>
        <w:t xml:space="preserve">  二级学院成立以分管学生资助工作的领导为组长，学生辅导员等相关人员担任成员的资助领导小组，负责开展本学院家庭经济困难学生认定工作。</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第九条 </w:t>
      </w:r>
      <w:r>
        <w:rPr>
          <w:rFonts w:hint="eastAsia" w:ascii="仿宋_GB2312" w:hAnsi="宋体" w:eastAsia="仿宋_GB2312"/>
          <w:sz w:val="32"/>
          <w:szCs w:val="32"/>
        </w:rPr>
        <w:t xml:space="preserve"> 二级学院以班级（专业或年级）为单位，成立以学生辅导员任组长，学生代表担任成员的认定评议小组，负责认定民主评议工作。</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认定评议小组成员中，学生代表人数视班级人数合理配置，应具有广泛的代表性（班干、班级成员、宿舍成员等），班级评议小组成员一般不少于5人（专业或年级评议小组成员不少于专业或年级总人数的10%）。认定评议小组成立后，其成员名单应在二级学院范围内公示，并备案。</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19" w:name="_Toc22867_WPSOffice_Level1"/>
      <w:r>
        <w:rPr>
          <w:rFonts w:hint="eastAsia" w:ascii="黑体" w:hAnsi="黑体" w:eastAsia="黑体"/>
          <w:b/>
          <w:sz w:val="32"/>
          <w:szCs w:val="32"/>
        </w:rPr>
        <w:t>第三章  认定依据</w:t>
      </w:r>
      <w:bookmarkEnd w:id="619"/>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第十条  </w:t>
      </w:r>
      <w:r>
        <w:rPr>
          <w:rFonts w:hint="eastAsia" w:ascii="仿宋_GB2312" w:hAnsi="宋体" w:eastAsia="仿宋_GB2312"/>
          <w:sz w:val="32"/>
          <w:szCs w:val="32"/>
        </w:rPr>
        <w:t>家庭经济困难学生认定参考以下几大因素:</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（一）家庭经济因素。主要包括家庭收入、财产、债务等情况。</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（二）特殊群体因素。主要指是否属于建档立卡贫困户家庭学生、最低生活保障家庭学生、特困救助供养学生、建档困难职工家庭学生、孤儿学生、烈士子女、家庭经济困难残疾学生及残疾人子女等情况。</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（三）地区经济社会发展水平因素。主要指校园地、生源地经济发展水平、城乡居民最低生活保障标准,学校收费标准等情况。</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（四）突发状况因素。主要指遭受重大自然灾害、重大突发意外事件等情况。</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（五）学生消费因素。主要指学生消费的金额、结构等是否合理。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（六）其它影响家庭经济状况的有关因素。主要包括家庭负担、劳动力及职业状况等。</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20" w:name="_Toc10438_WPSOffice_Level1"/>
      <w:r>
        <w:rPr>
          <w:rFonts w:hint="eastAsia" w:ascii="黑体" w:hAnsi="黑体" w:eastAsia="黑体"/>
          <w:b/>
          <w:sz w:val="32"/>
          <w:szCs w:val="32"/>
        </w:rPr>
        <w:t>第四章  认定标准</w:t>
      </w:r>
      <w:bookmarkEnd w:id="620"/>
    </w:p>
    <w:p>
      <w:pPr>
        <w:pageBreakBefore w:val="0"/>
        <w:kinsoku/>
        <w:overflowPunct/>
        <w:topLinePunct w:val="0"/>
        <w:bidi w:val="0"/>
        <w:spacing w:line="596" w:lineRule="exact"/>
        <w:ind w:firstLine="643" w:firstLineChars="200"/>
        <w:outlineLvl w:val="9"/>
        <w:rPr>
          <w:rFonts w:hint="eastAsia" w:ascii="仿宋_GB2312" w:hAnsi="宋体" w:eastAsia="仿宋_GB2312"/>
          <w:b/>
          <w:sz w:val="32"/>
          <w:szCs w:val="32"/>
        </w:rPr>
      </w:pPr>
      <w:r>
        <w:rPr>
          <w:rFonts w:hint="eastAsia" w:ascii="仿宋_GB2312" w:hAnsi="宋体" w:eastAsia="仿宋_GB2312"/>
          <w:b/>
          <w:sz w:val="32"/>
          <w:szCs w:val="32"/>
        </w:rPr>
        <w:t>第十一条</w:t>
      </w:r>
      <w:r>
        <w:rPr>
          <w:rFonts w:hint="eastAsia" w:ascii="仿宋_GB2312" w:hAnsi="宋体" w:eastAsia="仿宋_GB2312"/>
          <w:sz w:val="32"/>
          <w:szCs w:val="32"/>
        </w:rPr>
        <w:t xml:space="preserve">  根据学生或监护人提交的申请材料,采取民主评议和学校评定相结合的原则开展认定工作。同时,可采取家访、个别访谈、大数据分析、信函索证、量化评估等方式提高家庭经济困难学生认定的精准度。</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第十二条  </w:t>
      </w:r>
      <w:r>
        <w:rPr>
          <w:rFonts w:hint="eastAsia" w:ascii="仿宋_GB2312" w:hAnsi="宋体" w:eastAsia="仿宋_GB2312"/>
          <w:sz w:val="32"/>
          <w:szCs w:val="32"/>
        </w:rPr>
        <w:t>根据我校实际情况，将家庭经济困难学生情况分为三类，具体认定标准为：</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特别困难。原则上为农村建档立卡贫困户家庭学生(含2016年及以后年度脱贫的建档立卡学生)、最低生活保障家庭学生、特困救助供养学生、孤儿学生、烈士子女、家庭经济困难残疾学生和残疾人子女、广西建档困难职工家庭学生等。</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（二）突发事件特殊困难。指因家庭遭遇重大疾病、重大自然灾害和事故等突发事件,导致学生本人及其家庭所能筹集到的资金,难以支付其在校学习期间的学习和生活基本费用的学生。</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（三）比较困难。指一般家庭经济困难学生,具体依据学生家庭情况和本地区经济状况水平等实际情况而定。</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21" w:name="_Toc18935_WPSOffice_Level1"/>
      <w:r>
        <w:rPr>
          <w:rFonts w:hint="eastAsia" w:ascii="黑体" w:hAnsi="黑体" w:eastAsia="黑体"/>
          <w:b/>
          <w:sz w:val="32"/>
          <w:szCs w:val="32"/>
        </w:rPr>
        <w:t>第五章  认定程序</w:t>
      </w:r>
      <w:bookmarkEnd w:id="621"/>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第十三条</w:t>
      </w:r>
      <w:r>
        <w:rPr>
          <w:rFonts w:hint="eastAsia" w:ascii="仿宋_GB2312" w:hAnsi="宋体" w:eastAsia="仿宋_GB2312"/>
          <w:sz w:val="32"/>
          <w:szCs w:val="32"/>
        </w:rPr>
        <w:t xml:space="preserve">  家庭经济困难学生认定工作要提高资助政策及执行情况的透明度，主动接受监督，做到“四公开”：所有资助项目要公开，所有申请条件要公开，所有评审过程要公开，所有资助结果要公开。</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第十四条</w:t>
      </w:r>
      <w:r>
        <w:rPr>
          <w:rFonts w:hint="eastAsia" w:ascii="仿宋_GB2312" w:hAnsi="宋体" w:eastAsia="仿宋_GB2312"/>
          <w:sz w:val="32"/>
          <w:szCs w:val="32"/>
        </w:rPr>
        <w:t xml:space="preserve">  家庭经济困难学生认定工作原则上每学年进行一次，每学期要按家庭经济困难学生实际情况进行动态调整。学校学生资助管理中心、二级学院认定工作组、班级认定评议小组，按照各自的职能分工，认真、负责地共同完成认定工作。</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第十五条  </w:t>
      </w:r>
      <w:r>
        <w:rPr>
          <w:rFonts w:hint="eastAsia" w:ascii="仿宋_GB2312" w:hAnsi="宋体" w:eastAsia="仿宋_GB2312"/>
          <w:sz w:val="32"/>
          <w:szCs w:val="32"/>
        </w:rPr>
        <w:t>家庭经济困难学生认定程序一般应包括宣传告知、个人申请、身份核验、学校认定、结果公示、建档备案等六个环节。</w:t>
      </w:r>
    </w:p>
    <w:p>
      <w:pPr>
        <w:pageBreakBefore w:val="0"/>
        <w:kinsoku/>
        <w:overflowPunct/>
        <w:topLinePunct w:val="0"/>
        <w:bidi w:val="0"/>
        <w:spacing w:line="596" w:lineRule="exact"/>
        <w:ind w:firstLine="656" w:firstLineChars="200"/>
        <w:outlineLvl w:val="9"/>
        <w:rPr>
          <w:rFonts w:hint="eastAsia" w:ascii="仿宋_GB2312" w:hAnsi="宋体" w:eastAsia="仿宋_GB2312" w:cs="MS Shell Dlg"/>
          <w:spacing w:val="4"/>
          <w:sz w:val="32"/>
          <w:szCs w:val="32"/>
        </w:rPr>
      </w:pPr>
      <w:r>
        <w:rPr>
          <w:rFonts w:hint="eastAsia" w:ascii="仿宋_GB2312" w:hAnsi="宋体" w:eastAsia="仿宋_GB2312" w:cs="MS Shell Dlg"/>
          <w:spacing w:val="4"/>
          <w:sz w:val="32"/>
          <w:szCs w:val="32"/>
        </w:rPr>
        <w:t>（一）宣传告知。学校通过多种途径和方式，向学生宣传资助政策，并告知家庭经济困难学生认定工作事项，发放《广西壮族自治区家庭经济困难学生认定申请表》（见附件，以下简称“《认定申请表》”）。二级学院通过主题班会等多种形式组织开展资助政策宣传和解读工作。</w:t>
      </w:r>
    </w:p>
    <w:p>
      <w:pPr>
        <w:pageBreakBefore w:val="0"/>
        <w:kinsoku/>
        <w:overflowPunct/>
        <w:topLinePunct w:val="0"/>
        <w:bidi w:val="0"/>
        <w:spacing w:line="596" w:lineRule="exact"/>
        <w:ind w:firstLine="656" w:firstLineChars="200"/>
        <w:outlineLvl w:val="9"/>
        <w:rPr>
          <w:rFonts w:hint="eastAsia" w:ascii="仿宋_GB2312" w:hAnsi="宋体" w:eastAsia="仿宋_GB2312"/>
          <w:sz w:val="32"/>
          <w:szCs w:val="32"/>
        </w:rPr>
      </w:pPr>
      <w:r>
        <w:rPr>
          <w:rFonts w:hint="eastAsia" w:ascii="仿宋_GB2312" w:hAnsi="宋体" w:eastAsia="仿宋_GB2312" w:cs="MS Shell Dlg"/>
          <w:spacing w:val="4"/>
          <w:sz w:val="32"/>
          <w:szCs w:val="32"/>
        </w:rPr>
        <w:t>（二）个人申请。学生本人或监护人自愿提出申请，如实填报综合反映学生家庭经济情况的《认定申请表》后交至</w:t>
      </w:r>
      <w:r>
        <w:rPr>
          <w:rFonts w:hint="eastAsia" w:ascii="仿宋_GB2312" w:hAnsi="宋体" w:eastAsia="仿宋_GB2312"/>
          <w:sz w:val="32"/>
          <w:szCs w:val="32"/>
        </w:rPr>
        <w:t>辅导员。</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（三）身份核验。二级学院认定工作组应通过内部调查、网络核验、主动核查等方式核实家庭经济困难学生身份，学校学生资助管理中心复核。</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属建档立卡贫困户家庭子女学生、建档困难职工家庭学生、最低生活保障家庭学生、 残疾学生、烈士子女、孤儿学生等，需提供相关佐证材料复印件，具体为：</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1.建档立卡贫困户家庭子女学生，提供当年的帮扶手册。</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2.残疾学生，提供残疾证。</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3.烈士子女，提供烈士证明书。</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4.建档困难职工家庭学生，提供县级以上总工会提供的有效《广西困难职工审批表》。</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5.低收入家庭学生提供县级民政部门或街道办事处（乡镇人民政府）的认定结果。</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凡经过家庭经济困难学生身份审核确认的农村建档立卡贫困家庭学生、孤儿学生、残疾学生及烈士子女，今后学年度在提交认定申请材料时不用重复提交相关佐证材料。</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（四）学校认定。学校根据学生或监护人提交的申请材料，采取民主评议和学校评定相结合的原则开展认定工作。</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1.民主评议。</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各认定评议小组根据学生提交的《认定申请表》，对照本办法中第三章第十条的认定依据和第四章第十二条的认定标准，结合学生日常消费水平，以及影响其家庭经济状况的有关情况，认真进行评议。确定家庭经济困难学生认定档次后，报二级学院认定工作组进行审核。</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（2）认定评议小组进行民主评议过程中应着重考虑孤残学生、低收入家庭学生、烈士子女，以及家庭成员长期患重病、家庭遭遇自然灾害或突发事件等特殊情况的学生。</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（3）民主评议不得采取让学生当众诉苦、互相比困的方式，评议小组成员要注意保护申请学生的隐私。</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（4）农村建档立卡贫困户家庭学生一经确认身份，不需要经过评议环节，直接认定为特别困难，并进入公示环节。</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2.二级学院认定。</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（1）二级学院认定工作组要认真审核认定评议小组申报的初步评议结果，如有异议，应积极听取认定评议小组的意见，予以更正。</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经二级学院认定工作组审核通过后，要将家庭经济困难学生名单及认定档次，以适当方式、在适当范围内公示3个工作日。公示不得涉及学生个人及家庭隐私。如有异议，可通过有效方式向本学院认定工作组提出质疑。二级学院认定工作组应在接到异议材料的3个工作日内予以答复。如情况属实，应及时做出调整。</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（3）各二级学院应建立家庭经济困难学生档案，对学生的贫困情况和受资助情况进行记录，并实行动态管理。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3.学校认定。校资助管理中心复核二级学院认定工作组的初步评议结果，同时，采取个别访谈、大数据分析、信函索证、量化评估等方式提高认定精准度。</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五）结果公示。学校学生资助管理中心负责将学校家庭经济困难学生名单及认定档次报学校学生资助工作领导小组审批后，以适当方式、在适当范围内公示5个工作日。如有异议，可通过有效方式向学校学生资助管理中心提请复议。学校学生资助管理中心在接到复议提请的3个工作日内予以答复。如情况属实，应及时做出调整。</w:t>
      </w:r>
    </w:p>
    <w:p>
      <w:pPr>
        <w:pageBreakBefore w:val="0"/>
        <w:kinsoku/>
        <w:overflowPunct/>
        <w:topLinePunct w:val="0"/>
        <w:bidi w:val="0"/>
        <w:spacing w:line="596" w:lineRule="exact"/>
        <w:ind w:firstLine="640" w:firstLineChars="200"/>
        <w:outlineLvl w:val="9"/>
        <w:rPr>
          <w:rFonts w:hint="eastAsia" w:ascii="仿宋_GB2312" w:hAnsi="宋体" w:eastAsia="仿宋_GB2312" w:cs="MS Shell Dlg"/>
          <w:spacing w:val="4"/>
          <w:sz w:val="32"/>
          <w:szCs w:val="32"/>
        </w:rPr>
      </w:pPr>
      <w:r>
        <w:rPr>
          <w:rFonts w:hint="eastAsia" w:ascii="仿宋_GB2312" w:hAnsi="宋体" w:eastAsia="仿宋_GB2312"/>
          <w:sz w:val="32"/>
          <w:szCs w:val="32"/>
        </w:rPr>
        <w:t>（六）建档备案。经公示无异议后，校学生资助管理中心汇总家庭经济困难学生名单，连同学生提交的申请材料统一建档，实行动态管理，并按要求录入全国学生资助管理信息系统。</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第十六条</w:t>
      </w:r>
      <w:r>
        <w:rPr>
          <w:rFonts w:hint="eastAsia" w:ascii="仿宋_GB2312" w:hAnsi="宋体" w:eastAsia="仿宋_GB2312"/>
          <w:sz w:val="32"/>
          <w:szCs w:val="32"/>
        </w:rPr>
        <w:t xml:space="preserve">  家庭经济困难学生资格认定后，二级学院应不定期地随机抽选一定比例（不低于10%）的家庭经济困难学生，通过信件、电话、个别访谈、实地走访等方式进行了解核实，并留存相关核实工作的原始记录和照片存档。如发现弄虚作假的，一经核实，立即取消家庭经济困难学生资格，收回资助资金；情节严重的，依据有关规定进行严肃处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22" w:name="_Toc5113_WPSOffice_Level1"/>
      <w:r>
        <w:rPr>
          <w:rFonts w:hint="eastAsia" w:ascii="黑体" w:hAnsi="黑体" w:eastAsia="黑体"/>
          <w:b/>
          <w:sz w:val="32"/>
          <w:szCs w:val="32"/>
        </w:rPr>
        <w:t>第六章  认定工作的管理与监督</w:t>
      </w:r>
      <w:bookmarkEnd w:id="622"/>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第十七条</w:t>
      </w:r>
      <w:r>
        <w:rPr>
          <w:rFonts w:hint="eastAsia" w:ascii="仿宋_GB2312" w:hAnsi="宋体" w:eastAsia="仿宋_GB2312"/>
          <w:sz w:val="32"/>
          <w:szCs w:val="32"/>
        </w:rPr>
        <w:t xml:space="preserve">  二级学院应加强学生的诚信教育，教育学生既不应隐而不报，更不能夸大虚报，应如实提供家庭情况，及时告知家庭经济状况显著变化情况。如学生家庭经济状况发生显著变化，各二级学院应及时书面报告学院学生资助管理中心，以便做出相应调整。</w:t>
      </w:r>
    </w:p>
    <w:p>
      <w:pPr>
        <w:pageBreakBefore w:val="0"/>
        <w:kinsoku/>
        <w:overflowPunct/>
        <w:topLinePunct w:val="0"/>
        <w:bidi w:val="0"/>
        <w:spacing w:line="596" w:lineRule="exact"/>
        <w:ind w:firstLine="643" w:firstLineChars="200"/>
        <w:outlineLvl w:val="9"/>
        <w:rPr>
          <w:rFonts w:hint="eastAsia" w:ascii="仿宋_GB2312" w:hAnsi="宋体" w:eastAsia="仿宋_GB2312" w:cs="MS Shell Dlg"/>
          <w:spacing w:val="4"/>
          <w:sz w:val="32"/>
          <w:szCs w:val="32"/>
        </w:rPr>
      </w:pPr>
      <w:r>
        <w:rPr>
          <w:rFonts w:hint="eastAsia" w:ascii="仿宋_GB2312" w:hAnsi="宋体" w:eastAsia="仿宋_GB2312"/>
          <w:b/>
          <w:sz w:val="32"/>
          <w:szCs w:val="32"/>
        </w:rPr>
        <w:t xml:space="preserve">第十八条  </w:t>
      </w:r>
      <w:r>
        <w:rPr>
          <w:rFonts w:hint="eastAsia" w:ascii="仿宋_GB2312" w:hAnsi="宋体" w:eastAsia="仿宋_GB2312"/>
          <w:sz w:val="32"/>
          <w:szCs w:val="32"/>
        </w:rPr>
        <w:t>学校学生资助管理中心和二级学院应对经确认后认定为家庭经济困难的学生的生活及学习状况进行实时监控，并采取相应的资助措施。</w:t>
      </w:r>
      <w:r>
        <w:rPr>
          <w:rFonts w:hint="eastAsia" w:ascii="仿宋_GB2312" w:hAnsi="宋体" w:eastAsia="仿宋_GB2312" w:cs="MS Shell Dlg"/>
          <w:spacing w:val="4"/>
          <w:sz w:val="32"/>
          <w:szCs w:val="32"/>
        </w:rPr>
        <w:t>各类当年度的贫困资助（如国家助学金、国家励志奖学金、自治区人民政府奖学金等）以当年度认定的贫困生为资助对象。</w:t>
      </w:r>
    </w:p>
    <w:p>
      <w:pPr>
        <w:pageBreakBefore w:val="0"/>
        <w:kinsoku/>
        <w:overflowPunct/>
        <w:topLinePunct w:val="0"/>
        <w:bidi w:val="0"/>
        <w:spacing w:line="596" w:lineRule="exact"/>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23" w:name="_Toc22695_WPSOffice_Level1"/>
      <w:r>
        <w:rPr>
          <w:rFonts w:hint="eastAsia" w:ascii="黑体" w:hAnsi="黑体" w:eastAsia="黑体"/>
          <w:b/>
          <w:sz w:val="32"/>
          <w:szCs w:val="32"/>
        </w:rPr>
        <w:t>第七章  附则</w:t>
      </w:r>
      <w:bookmarkEnd w:id="623"/>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第十九条  </w:t>
      </w:r>
      <w:r>
        <w:rPr>
          <w:rFonts w:hint="eastAsia" w:ascii="仿宋_GB2312" w:hAnsi="宋体" w:eastAsia="仿宋_GB2312" w:cs="MS Shell Dlg"/>
          <w:spacing w:val="4"/>
          <w:sz w:val="32"/>
          <w:szCs w:val="32"/>
        </w:rPr>
        <w:t>本办法自公布之日起施行。原《柳州职业技术学院家庭经济困难学生认定办法》（柳职院学字〔2009〕28号）同时废止。</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第二十条  </w:t>
      </w:r>
      <w:r>
        <w:rPr>
          <w:rFonts w:hint="eastAsia" w:ascii="仿宋_GB2312" w:hAnsi="宋体" w:eastAsia="仿宋_GB2312"/>
          <w:sz w:val="32"/>
          <w:szCs w:val="32"/>
        </w:rPr>
        <w:t>本办法由校学生工作部（处）负责解释。</w:t>
      </w:r>
    </w:p>
    <w:p>
      <w:pPr>
        <w:pageBreakBefore w:val="0"/>
        <w:kinsoku/>
        <w:overflowPunct/>
        <w:topLinePunct w:val="0"/>
        <w:bidi w:val="0"/>
        <w:spacing w:line="596" w:lineRule="exact"/>
        <w:ind w:firstLine="656" w:firstLineChars="200"/>
        <w:outlineLvl w:val="9"/>
        <w:rPr>
          <w:rFonts w:hint="eastAsia" w:ascii="仿宋_GB2312" w:hAnsi="宋体" w:eastAsia="仿宋_GB2312" w:cs="MS Shell Dlg"/>
          <w:spacing w:val="4"/>
          <w:sz w:val="32"/>
          <w:szCs w:val="32"/>
        </w:rPr>
      </w:pPr>
    </w:p>
    <w:p>
      <w:pPr>
        <w:pageBreakBefore w:val="0"/>
        <w:kinsoku/>
        <w:overflowPunct/>
        <w:topLinePunct w:val="0"/>
        <w:bidi w:val="0"/>
        <w:spacing w:line="596" w:lineRule="exact"/>
        <w:ind w:firstLine="656" w:firstLineChars="200"/>
        <w:outlineLvl w:val="9"/>
        <w:rPr>
          <w:rFonts w:hint="eastAsia" w:ascii="仿宋_GB2312" w:hAnsi="宋体" w:eastAsia="仿宋_GB2312"/>
          <w:sz w:val="32"/>
          <w:szCs w:val="32"/>
        </w:rPr>
      </w:pPr>
      <w:r>
        <w:rPr>
          <w:rFonts w:hint="eastAsia" w:ascii="仿宋_GB2312" w:hAnsi="宋体" w:eastAsia="仿宋_GB2312" w:cs="MS Shell Dlg"/>
          <w:spacing w:val="4"/>
          <w:sz w:val="32"/>
          <w:szCs w:val="32"/>
        </w:rPr>
        <w:t>附表：广西壮族自治区家庭经济困难学生认定申请表</w:t>
      </w:r>
    </w:p>
    <w:p>
      <w:pPr>
        <w:pageBreakBefore w:val="0"/>
        <w:widowControl/>
        <w:kinsoku/>
        <w:overflowPunct/>
        <w:topLinePunct w:val="0"/>
        <w:bidi w:val="0"/>
        <w:jc w:val="left"/>
        <w:outlineLvl w:val="9"/>
        <w:rPr>
          <w:rFonts w:hint="eastAsia" w:eastAsia="黑体"/>
          <w:b/>
          <w:bCs/>
          <w:sz w:val="18"/>
          <w:szCs w:val="18"/>
        </w:rPr>
      </w:pPr>
    </w:p>
    <w:p>
      <w:pPr>
        <w:pStyle w:val="3"/>
        <w:outlineLvl w:val="9"/>
        <w:rPr>
          <w:rFonts w:hint="eastAsia"/>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ascii="仿宋_GB2312" w:eastAsia="仿宋_GB2312" w:hAnsiTheme="minorEastAsia"/>
          <w:sz w:val="32"/>
          <w:szCs w:val="32"/>
        </w:rPr>
      </w:pPr>
      <w:bookmarkStart w:id="624" w:name="_Toc2072"/>
      <w:bookmarkStart w:id="625" w:name="_Toc23583"/>
      <w:bookmarkStart w:id="626" w:name="_Toc13171"/>
      <w:bookmarkStart w:id="627" w:name="_Toc24626_WPSOffice_Level1"/>
      <w:bookmarkStart w:id="628" w:name="_Toc30109"/>
      <w:bookmarkStart w:id="629" w:name="_Toc18096"/>
      <w:bookmarkStart w:id="630" w:name="_Toc28635"/>
      <w:r>
        <w:rPr>
          <w:rFonts w:hint="eastAsia"/>
          <w:b/>
          <w:color w:val="000000"/>
          <w:sz w:val="36"/>
          <w:szCs w:val="36"/>
        </w:rPr>
        <w:t>柳州职业技术学院学生特殊困难补助实施办法（修订）</w:t>
      </w:r>
      <w:bookmarkEnd w:id="624"/>
      <w:bookmarkEnd w:id="625"/>
      <w:bookmarkEnd w:id="626"/>
      <w:bookmarkEnd w:id="627"/>
      <w:bookmarkEnd w:id="628"/>
      <w:bookmarkEnd w:id="629"/>
      <w:bookmarkEnd w:id="630"/>
    </w:p>
    <w:p>
      <w:pPr>
        <w:pageBreakBefore w:val="0"/>
        <w:kinsoku/>
        <w:overflowPunct/>
        <w:topLinePunct w:val="0"/>
        <w:bidi w:val="0"/>
        <w:spacing w:line="580" w:lineRule="exact"/>
        <w:jc w:val="center"/>
        <w:outlineLvl w:val="9"/>
        <w:rPr>
          <w:rFonts w:hint="eastAsia" w:ascii="仿宋_GB2312" w:eastAsia="仿宋_GB2312"/>
          <w:b w:val="0"/>
          <w:bCs/>
          <w:sz w:val="32"/>
          <w:szCs w:val="32"/>
          <w:lang w:eastAsia="zh-CN"/>
        </w:rPr>
      </w:pPr>
      <w:r>
        <w:rPr>
          <w:rFonts w:hint="eastAsia" w:ascii="仿宋_GB2312" w:eastAsia="仿宋_GB2312"/>
          <w:b w:val="0"/>
          <w:bCs/>
          <w:sz w:val="32"/>
          <w:szCs w:val="32"/>
          <w:lang w:eastAsia="zh-CN"/>
        </w:rPr>
        <w:t>（</w:t>
      </w:r>
      <w:r>
        <w:rPr>
          <w:rFonts w:hint="eastAsia" w:ascii="仿宋_GB2312" w:eastAsia="仿宋_GB2312"/>
          <w:b w:val="0"/>
          <w:bCs/>
          <w:sz w:val="32"/>
          <w:szCs w:val="32"/>
        </w:rPr>
        <w:t>柳职院学字〔2019〕59号</w:t>
      </w:r>
      <w:r>
        <w:rPr>
          <w:rFonts w:hint="eastAsia" w:ascii="仿宋_GB2312" w:eastAsia="仿宋_GB2312"/>
          <w:b w:val="0"/>
          <w:bCs/>
          <w:sz w:val="32"/>
          <w:szCs w:val="32"/>
          <w:lang w:eastAsia="zh-CN"/>
        </w:rPr>
        <w:t>）</w:t>
      </w:r>
    </w:p>
    <w:p>
      <w:pPr>
        <w:pageBreakBefore w:val="0"/>
        <w:kinsoku/>
        <w:overflowPunct/>
        <w:topLinePunct w:val="0"/>
        <w:bidi w:val="0"/>
        <w:spacing w:line="580" w:lineRule="exact"/>
        <w:jc w:val="center"/>
        <w:outlineLvl w:val="9"/>
        <w:rPr>
          <w:rFonts w:hint="eastAsia" w:ascii="仿宋_GB2312" w:eastAsia="仿宋_GB2312"/>
          <w:b w:val="0"/>
          <w:bCs/>
          <w:sz w:val="32"/>
          <w:szCs w:val="32"/>
          <w:lang w:eastAsia="zh-CN"/>
        </w:rPr>
      </w:pPr>
    </w:p>
    <w:p>
      <w:pPr>
        <w:pageBreakBefore w:val="0"/>
        <w:kinsoku/>
        <w:overflowPunct/>
        <w:topLinePunct w:val="0"/>
        <w:bidi w:val="0"/>
        <w:spacing w:line="596" w:lineRule="exact"/>
        <w:jc w:val="center"/>
        <w:outlineLvl w:val="9"/>
        <w:rPr>
          <w:rFonts w:ascii="黑体" w:hAnsi="黑体" w:eastAsia="黑体"/>
          <w:b/>
          <w:sz w:val="32"/>
          <w:szCs w:val="32"/>
        </w:rPr>
      </w:pPr>
      <w:bookmarkStart w:id="631" w:name="_Toc20418_WPSOffice_Level1"/>
      <w:r>
        <w:rPr>
          <w:rFonts w:hint="eastAsia" w:ascii="黑体" w:hAnsi="黑体" w:eastAsia="黑体"/>
          <w:b/>
          <w:sz w:val="32"/>
          <w:szCs w:val="32"/>
        </w:rPr>
        <w:t>第一章  总则</w:t>
      </w:r>
      <w:bookmarkEnd w:id="631"/>
    </w:p>
    <w:p>
      <w:pPr>
        <w:pageBreakBefore w:val="0"/>
        <w:kinsoku/>
        <w:overflowPunct/>
        <w:topLinePunct w:val="0"/>
        <w:bidi w:val="0"/>
        <w:spacing w:line="596"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第一条</w:t>
      </w:r>
      <w:r>
        <w:rPr>
          <w:rFonts w:hint="eastAsia" w:ascii="仿宋_GB2312" w:eastAsia="仿宋_GB2312" w:hAnsiTheme="minorEastAsia"/>
          <w:sz w:val="32"/>
          <w:szCs w:val="32"/>
        </w:rPr>
        <w:t xml:space="preserve">  为贯彻落实国家有关家庭经济困难学生资助政策，完善我校家庭经济困难学生的资助体系，帮助和鼓励家庭经济困难学生克服困难，勤奋学习，完成学业，根据《国务院关于建立健全普通本科高校高等职业学校和中等职业学校家庭经济困难学生资助政策体系的意见》（国发〔2007〕13号）、《广西壮族自治区人民政府关于进一步完善高等学校家庭经济困难学生资助政策体系的实施意见》（桂政发〔2017〕49号）文件精神，结合我校实际，特制定本办法。</w:t>
      </w:r>
    </w:p>
    <w:p>
      <w:pPr>
        <w:pageBreakBefore w:val="0"/>
        <w:kinsoku/>
        <w:overflowPunct/>
        <w:topLinePunct w:val="0"/>
        <w:bidi w:val="0"/>
        <w:spacing w:line="596"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第二条</w:t>
      </w:r>
      <w:r>
        <w:rPr>
          <w:rFonts w:hint="eastAsia" w:ascii="仿宋_GB2312" w:eastAsia="仿宋_GB2312" w:hAnsiTheme="minorEastAsia"/>
          <w:sz w:val="32"/>
          <w:szCs w:val="32"/>
        </w:rPr>
        <w:t xml:space="preserve">  特殊困难补助主要用于资助学生在校期间发生特殊情况，如因重大疾病、严重意外伤害事故、家庭突发事件等造成经济困难，无法维持正常学习和生活费用而支付给学生个人的助学补助。</w:t>
      </w:r>
    </w:p>
    <w:p>
      <w:pPr>
        <w:pageBreakBefore w:val="0"/>
        <w:kinsoku/>
        <w:overflowPunct/>
        <w:topLinePunct w:val="0"/>
        <w:bidi w:val="0"/>
        <w:spacing w:line="596"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第三条</w:t>
      </w:r>
      <w:r>
        <w:rPr>
          <w:rFonts w:hint="eastAsia" w:ascii="仿宋_GB2312" w:eastAsia="仿宋_GB2312" w:hAnsiTheme="minorEastAsia"/>
          <w:sz w:val="32"/>
          <w:szCs w:val="32"/>
        </w:rPr>
        <w:t xml:space="preserve">  特殊困难补助经费从我校教育事业收入总额中提取的助困资助经费支出。</w:t>
      </w:r>
    </w:p>
    <w:p>
      <w:pPr>
        <w:pageBreakBefore w:val="0"/>
        <w:kinsoku/>
        <w:overflowPunct/>
        <w:topLinePunct w:val="0"/>
        <w:bidi w:val="0"/>
        <w:spacing w:line="596" w:lineRule="exact"/>
        <w:ind w:firstLine="640" w:firstLineChars="200"/>
        <w:outlineLvl w:val="9"/>
        <w:rPr>
          <w:rFonts w:ascii="仿宋_GB2312" w:eastAsia="仿宋_GB2312" w:hAnsiTheme="minorEastAsia"/>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632" w:name="_Toc6574_WPSOffice_Level1"/>
      <w:r>
        <w:rPr>
          <w:rFonts w:hint="eastAsia" w:ascii="黑体" w:hAnsi="黑体" w:eastAsia="黑体"/>
          <w:b/>
          <w:sz w:val="32"/>
          <w:szCs w:val="32"/>
        </w:rPr>
        <w:t>第二章  组织机构</w:t>
      </w:r>
      <w:bookmarkEnd w:id="632"/>
    </w:p>
    <w:p>
      <w:pPr>
        <w:pageBreakBefore w:val="0"/>
        <w:kinsoku/>
        <w:overflowPunct/>
        <w:topLinePunct w:val="0"/>
        <w:bidi w:val="0"/>
        <w:spacing w:line="596"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第四条</w:t>
      </w:r>
      <w:r>
        <w:rPr>
          <w:rFonts w:hint="eastAsia" w:ascii="仿宋_GB2312" w:eastAsia="仿宋_GB2312" w:hAnsiTheme="minorEastAsia"/>
          <w:sz w:val="32"/>
          <w:szCs w:val="32"/>
        </w:rPr>
        <w:t xml:space="preserve">  学校学生资助工作领导小组，负责学校特殊困难补助实施办法的制定、修改以及最终评议审核。</w:t>
      </w:r>
    </w:p>
    <w:p>
      <w:pPr>
        <w:pageBreakBefore w:val="0"/>
        <w:kinsoku/>
        <w:overflowPunct/>
        <w:topLinePunct w:val="0"/>
        <w:bidi w:val="0"/>
        <w:spacing w:line="596"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第五条</w:t>
      </w:r>
      <w:r>
        <w:rPr>
          <w:rFonts w:hint="eastAsia" w:ascii="仿宋_GB2312" w:eastAsia="仿宋_GB2312" w:hAnsiTheme="minorEastAsia"/>
          <w:sz w:val="32"/>
          <w:szCs w:val="32"/>
        </w:rPr>
        <w:t xml:space="preserve">  学生资助管理中心具体负责组织实施全校的特殊困难补助工作。</w:t>
      </w:r>
    </w:p>
    <w:p>
      <w:pPr>
        <w:pageBreakBefore w:val="0"/>
        <w:kinsoku/>
        <w:overflowPunct/>
        <w:topLinePunct w:val="0"/>
        <w:bidi w:val="0"/>
        <w:spacing w:line="596" w:lineRule="exact"/>
        <w:ind w:firstLine="643" w:firstLineChars="200"/>
        <w:outlineLvl w:val="9"/>
        <w:rPr>
          <w:rFonts w:ascii="仿宋_GB2312" w:eastAsia="仿宋_GB2312" w:hAnsiTheme="minorEastAsia"/>
          <w:sz w:val="32"/>
          <w:szCs w:val="32"/>
        </w:rPr>
      </w:pPr>
      <w:r>
        <w:rPr>
          <w:rFonts w:hint="eastAsia" w:ascii="仿宋_GB2312" w:eastAsia="仿宋_GB2312" w:hAnsiTheme="minorEastAsia"/>
          <w:b/>
          <w:sz w:val="32"/>
          <w:szCs w:val="32"/>
        </w:rPr>
        <w:t>第六条</w:t>
      </w:r>
      <w:r>
        <w:rPr>
          <w:rFonts w:hint="eastAsia" w:ascii="仿宋_GB2312" w:eastAsia="仿宋_GB2312" w:hAnsiTheme="minorEastAsia"/>
          <w:sz w:val="32"/>
          <w:szCs w:val="32"/>
        </w:rPr>
        <w:t xml:space="preserve">  二级学院以分管学生工作的院领导为组长、学生资助干事、学生辅导员等担任成员的资助工作评审小组，负责本学院学生特殊困难补助的具体组织和初审工作。</w:t>
      </w:r>
    </w:p>
    <w:p>
      <w:pPr>
        <w:pageBreakBefore w:val="0"/>
        <w:kinsoku/>
        <w:overflowPunct/>
        <w:topLinePunct w:val="0"/>
        <w:bidi w:val="0"/>
        <w:spacing w:line="596" w:lineRule="exact"/>
        <w:ind w:firstLine="640" w:firstLineChars="200"/>
        <w:outlineLvl w:val="9"/>
        <w:rPr>
          <w:rFonts w:ascii="仿宋_GB2312" w:eastAsia="仿宋_GB2312" w:hAnsiTheme="minorEastAsia"/>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633" w:name="_Toc12420_WPSOffice_Level1"/>
      <w:r>
        <w:rPr>
          <w:rFonts w:hint="eastAsia" w:ascii="黑体" w:hAnsi="黑体" w:eastAsia="黑体"/>
          <w:b/>
          <w:sz w:val="32"/>
          <w:szCs w:val="32"/>
        </w:rPr>
        <w:t>第三章  特殊困难补助对象与条件</w:t>
      </w:r>
      <w:bookmarkEnd w:id="633"/>
    </w:p>
    <w:p>
      <w:pPr>
        <w:pageBreakBefore w:val="0"/>
        <w:kinsoku/>
        <w:overflowPunct/>
        <w:topLinePunct w:val="0"/>
        <w:bidi w:val="0"/>
        <w:spacing w:line="596" w:lineRule="exact"/>
        <w:ind w:firstLine="643" w:firstLineChars="200"/>
        <w:jc w:val="left"/>
        <w:outlineLvl w:val="9"/>
        <w:rPr>
          <w:rFonts w:ascii="仿宋_GB2312" w:eastAsia="仿宋_GB2312" w:hAnsiTheme="minorEastAsia"/>
          <w:sz w:val="32"/>
          <w:szCs w:val="32"/>
        </w:rPr>
      </w:pPr>
      <w:r>
        <w:rPr>
          <w:rFonts w:hint="eastAsia" w:ascii="仿宋_GB2312" w:eastAsia="仿宋_GB2312" w:hAnsiTheme="minorEastAsia"/>
          <w:b/>
          <w:sz w:val="32"/>
          <w:szCs w:val="32"/>
        </w:rPr>
        <w:t>第七条</w:t>
      </w:r>
      <w:r>
        <w:rPr>
          <w:rFonts w:hint="eastAsia" w:ascii="仿宋_GB2312" w:eastAsia="仿宋_GB2312" w:hAnsiTheme="minorEastAsia"/>
          <w:sz w:val="32"/>
          <w:szCs w:val="32"/>
        </w:rPr>
        <w:t xml:space="preserve">  特殊困难补助对象：</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（一）属于建档立卡贫困户家庭学生，且当年未享受国家一等助学金。</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（二）当年未享受国家助学金但因家庭遭遇突发事件造成经济特别困难的全日制在校生。</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（三）其他家庭经济特别困难的全日制在校生。</w:t>
      </w:r>
    </w:p>
    <w:p>
      <w:pPr>
        <w:pageBreakBefore w:val="0"/>
        <w:kinsoku/>
        <w:overflowPunct/>
        <w:topLinePunct w:val="0"/>
        <w:bidi w:val="0"/>
        <w:spacing w:line="596" w:lineRule="exact"/>
        <w:ind w:firstLine="643" w:firstLineChars="200"/>
        <w:jc w:val="left"/>
        <w:outlineLvl w:val="9"/>
        <w:rPr>
          <w:rFonts w:ascii="仿宋_GB2312" w:eastAsia="仿宋_GB2312" w:hAnsiTheme="minorEastAsia"/>
          <w:sz w:val="32"/>
          <w:szCs w:val="32"/>
        </w:rPr>
      </w:pPr>
      <w:r>
        <w:rPr>
          <w:rFonts w:hint="eastAsia" w:ascii="仿宋_GB2312" w:eastAsia="仿宋_GB2312" w:hAnsiTheme="minorEastAsia"/>
          <w:b/>
          <w:sz w:val="32"/>
          <w:szCs w:val="32"/>
        </w:rPr>
        <w:t>第八条</w:t>
      </w:r>
      <w:r>
        <w:rPr>
          <w:rFonts w:hint="eastAsia" w:ascii="仿宋_GB2312" w:eastAsia="仿宋_GB2312" w:hAnsiTheme="minorEastAsia"/>
          <w:sz w:val="32"/>
          <w:szCs w:val="32"/>
        </w:rPr>
        <w:t xml:space="preserve">  申请特殊困难补助的基本条件：</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（一）热爱祖国，拥护中国共产党领导，遵纪守法，无违法违纪行为；</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（二）关心集体，积极参加社会和学院举办的各项义务劳动和公益活动；</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（三）尊敬师长，诚实守信，团结同学，乐于助人，举止文明；</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 xml:space="preserve">（四）在校期间学习刻苦，成绩良好； </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（五）无不良嗜好，如抽烟、酗酒、赌博等, 无不良消费行为，无不良校园网贷等。</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（六）家庭经济特别困难，生活俭朴，且符合下列条件之一的学生：</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1．属于建档立卡贫困户家庭学生，且当年未享受国家一等助学金。</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2．当年未享受国家助学金，但家庭存在下列情况之一：</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（1）学生因本人或直系亲属罹患重大疾病、遭受严重意外伤害导致家庭经济困难、严重影响正常学习和生活；</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（2）学生因家庭遭遇严重灾害，家庭财产遭受严重损失导致家庭经济困难、严重影响正常学习和生活；</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（3）学生因其它突发性、特殊性经济困难导致家庭经济困难、严重影响正常学习和生活。</w:t>
      </w:r>
    </w:p>
    <w:p>
      <w:pPr>
        <w:pageBreakBefore w:val="0"/>
        <w:kinsoku/>
        <w:overflowPunct/>
        <w:topLinePunct w:val="0"/>
        <w:bidi w:val="0"/>
        <w:spacing w:line="596" w:lineRule="exact"/>
        <w:ind w:firstLine="643" w:firstLineChars="200"/>
        <w:jc w:val="left"/>
        <w:outlineLvl w:val="9"/>
        <w:rPr>
          <w:rFonts w:ascii="仿宋_GB2312" w:eastAsia="仿宋_GB2312" w:hAnsiTheme="minorEastAsia"/>
          <w:sz w:val="32"/>
          <w:szCs w:val="32"/>
        </w:rPr>
      </w:pPr>
      <w:r>
        <w:rPr>
          <w:rFonts w:hint="eastAsia" w:ascii="仿宋_GB2312" w:eastAsia="仿宋_GB2312" w:hAnsiTheme="minorEastAsia"/>
          <w:b/>
          <w:sz w:val="32"/>
          <w:szCs w:val="32"/>
        </w:rPr>
        <w:t>第九条</w:t>
      </w:r>
      <w:r>
        <w:rPr>
          <w:rFonts w:hint="eastAsia" w:ascii="仿宋_GB2312" w:eastAsia="仿宋_GB2312" w:hAnsiTheme="minorEastAsia"/>
          <w:sz w:val="32"/>
          <w:szCs w:val="32"/>
        </w:rPr>
        <w:t xml:space="preserve">  凡具有下列情况之一者，取消特殊困难补助资格，并退回特殊困难补助：</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1．违反国家法律、学校规章制度，受到处分者；</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2．生活铺张浪费、有奢侈消费行为、不良网贷等情况者；</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3．在申请资助项目中提供虚假材料者。</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634" w:name="_Toc4836_WPSOffice_Level1"/>
      <w:r>
        <w:rPr>
          <w:rFonts w:hint="eastAsia" w:ascii="黑体" w:hAnsi="黑体" w:eastAsia="黑体"/>
          <w:b/>
          <w:sz w:val="32"/>
          <w:szCs w:val="32"/>
        </w:rPr>
        <w:t>第四章  特殊困难补助额度</w:t>
      </w:r>
      <w:bookmarkEnd w:id="634"/>
    </w:p>
    <w:p>
      <w:pPr>
        <w:pageBreakBefore w:val="0"/>
        <w:kinsoku/>
        <w:overflowPunct/>
        <w:topLinePunct w:val="0"/>
        <w:bidi w:val="0"/>
        <w:spacing w:line="596" w:lineRule="exact"/>
        <w:ind w:firstLine="643" w:firstLineChars="200"/>
        <w:jc w:val="left"/>
        <w:outlineLvl w:val="9"/>
        <w:rPr>
          <w:rFonts w:ascii="仿宋_GB2312" w:eastAsia="仿宋_GB2312" w:hAnsiTheme="minorEastAsia"/>
          <w:sz w:val="32"/>
          <w:szCs w:val="32"/>
        </w:rPr>
      </w:pPr>
      <w:r>
        <w:rPr>
          <w:rFonts w:hint="eastAsia" w:ascii="仿宋_GB2312" w:eastAsia="仿宋_GB2312" w:hAnsiTheme="minorEastAsia"/>
          <w:b/>
          <w:sz w:val="32"/>
          <w:szCs w:val="32"/>
        </w:rPr>
        <w:t>第十条</w:t>
      </w:r>
      <w:r>
        <w:rPr>
          <w:rFonts w:hint="eastAsia" w:ascii="仿宋_GB2312" w:eastAsia="仿宋_GB2312" w:hAnsiTheme="minorEastAsia"/>
          <w:sz w:val="32"/>
          <w:szCs w:val="32"/>
        </w:rPr>
        <w:t xml:space="preserve">  特殊困难补助标准分为两档：一等特殊困难补助4000元，二等特殊困难补助2000元。</w:t>
      </w:r>
    </w:p>
    <w:p>
      <w:pPr>
        <w:pageBreakBefore w:val="0"/>
        <w:kinsoku/>
        <w:overflowPunct/>
        <w:topLinePunct w:val="0"/>
        <w:bidi w:val="0"/>
        <w:spacing w:line="596" w:lineRule="exact"/>
        <w:ind w:firstLine="643" w:firstLineChars="200"/>
        <w:jc w:val="left"/>
        <w:outlineLvl w:val="9"/>
        <w:rPr>
          <w:rFonts w:ascii="仿宋_GB2312" w:eastAsia="仿宋_GB2312" w:hAnsiTheme="minorEastAsia"/>
          <w:b/>
          <w:sz w:val="32"/>
          <w:szCs w:val="32"/>
        </w:rPr>
      </w:pPr>
      <w:r>
        <w:rPr>
          <w:rFonts w:hint="eastAsia" w:ascii="仿宋_GB2312" w:eastAsia="仿宋_GB2312" w:hAnsiTheme="minorEastAsia"/>
          <w:b/>
          <w:sz w:val="32"/>
          <w:szCs w:val="32"/>
        </w:rPr>
        <w:t xml:space="preserve">第十一条  </w:t>
      </w:r>
      <w:r>
        <w:rPr>
          <w:rFonts w:hint="eastAsia" w:ascii="仿宋_GB2312" w:eastAsia="仿宋_GB2312" w:hAnsiTheme="minorEastAsia"/>
          <w:sz w:val="32"/>
          <w:szCs w:val="32"/>
        </w:rPr>
        <w:t>根据申请人当年家庭经济困难情况确定特殊困难补助等级：</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（一）属于建档立卡贫困户家庭学生，且当年未享受国家助学金，享受一等特殊困难补助；</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（二）当年未享受国家助学金但因家庭遭遇突发事件造成经济特别困难学生，享受一等特殊困难补助；</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（三）属于建档立卡贫困户家庭学生，且当年已享受国家二等助学金，享受二等特殊困难补助。</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（四）其他家庭经济特别困难的学生，且当年已享受了国家助学金，享受二等特殊困难补助。</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635" w:name="_Toc10505_WPSOffice_Level1"/>
      <w:r>
        <w:rPr>
          <w:rFonts w:hint="eastAsia" w:ascii="黑体" w:hAnsi="黑体" w:eastAsia="黑体"/>
          <w:b/>
          <w:sz w:val="32"/>
          <w:szCs w:val="32"/>
        </w:rPr>
        <w:t>第五章  特殊困难补助申请的时间与程序</w:t>
      </w:r>
      <w:bookmarkEnd w:id="635"/>
    </w:p>
    <w:p>
      <w:pPr>
        <w:pageBreakBefore w:val="0"/>
        <w:kinsoku/>
        <w:overflowPunct/>
        <w:topLinePunct w:val="0"/>
        <w:bidi w:val="0"/>
        <w:spacing w:line="596" w:lineRule="exact"/>
        <w:ind w:firstLine="643" w:firstLineChars="200"/>
        <w:jc w:val="left"/>
        <w:outlineLvl w:val="9"/>
        <w:rPr>
          <w:rFonts w:ascii="仿宋_GB2312" w:eastAsia="仿宋_GB2312" w:hAnsiTheme="minorEastAsia"/>
          <w:color w:val="FF0000"/>
          <w:sz w:val="32"/>
          <w:szCs w:val="32"/>
        </w:rPr>
      </w:pPr>
      <w:r>
        <w:rPr>
          <w:rFonts w:hint="eastAsia" w:ascii="仿宋_GB2312" w:eastAsia="仿宋_GB2312" w:hAnsiTheme="minorEastAsia"/>
          <w:b/>
          <w:sz w:val="32"/>
          <w:szCs w:val="32"/>
        </w:rPr>
        <w:t>第十二条</w:t>
      </w:r>
      <w:r>
        <w:rPr>
          <w:rFonts w:hint="eastAsia" w:ascii="仿宋_GB2312" w:eastAsia="仿宋_GB2312" w:hAnsiTheme="minorEastAsia"/>
          <w:sz w:val="32"/>
          <w:szCs w:val="32"/>
        </w:rPr>
        <w:t xml:space="preserve">  特殊困难补助每生每学年申请一次，原则上在每学年奖、助学金评审工作结束后进行。每年12月（特殊情况除外）学生资助管理中心集中受理各二级学院经审核、公示无异议的学生材料，完成审核、报批等工作。</w:t>
      </w:r>
    </w:p>
    <w:p>
      <w:pPr>
        <w:pageBreakBefore w:val="0"/>
        <w:kinsoku/>
        <w:overflowPunct/>
        <w:topLinePunct w:val="0"/>
        <w:bidi w:val="0"/>
        <w:spacing w:line="596" w:lineRule="exact"/>
        <w:ind w:firstLine="643" w:firstLineChars="200"/>
        <w:jc w:val="left"/>
        <w:outlineLvl w:val="9"/>
        <w:rPr>
          <w:rFonts w:ascii="仿宋_GB2312" w:eastAsia="仿宋_GB2312" w:hAnsiTheme="minorEastAsia"/>
          <w:sz w:val="32"/>
          <w:szCs w:val="32"/>
        </w:rPr>
      </w:pPr>
      <w:r>
        <w:rPr>
          <w:rFonts w:hint="eastAsia" w:ascii="仿宋_GB2312" w:eastAsia="仿宋_GB2312" w:hAnsiTheme="minorEastAsia"/>
          <w:b/>
          <w:sz w:val="32"/>
          <w:szCs w:val="32"/>
        </w:rPr>
        <w:t>第十三条</w:t>
      </w:r>
      <w:r>
        <w:rPr>
          <w:rFonts w:hint="eastAsia" w:ascii="仿宋_GB2312" w:eastAsia="仿宋_GB2312" w:hAnsiTheme="minorEastAsia"/>
          <w:sz w:val="32"/>
          <w:szCs w:val="32"/>
        </w:rPr>
        <w:t xml:space="preserve">  特殊困难补助申请程序</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（一）本人申请</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申请特殊困难补助的学生，向所在二级学院提出书面申请，如实提供家庭人均收入情况和有关证明材料，填写《柳州职业技术学院学生特殊困难补助申请表》。</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（二）二级学院初审</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1. 辅导员在班级采取个别谈话、民主评议等形式，综合各方面情况和意见，并审核相关材料后，提出初审意见报二级学院学生资助工作评审小组讨论。</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2. 二级学院资助工作评审小组在确定初审名单后，在院内公示3个工作日，公示无异议后，将初审推荐名单及相关材料报学校学生资助管理中心。</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（三）学校审核</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1. 学生资助管理中心对二级学院上报的特殊困难补助初审结果进行审查，并将拟特殊困难补助名单上报学生资助工作领导小组进行最终审核，确定学校当年特殊困难补助学生名单，并在校内公示3个工作日。</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r>
        <w:rPr>
          <w:rFonts w:hint="eastAsia" w:ascii="仿宋_GB2312" w:eastAsia="仿宋_GB2312" w:hAnsiTheme="minorEastAsia"/>
          <w:sz w:val="32"/>
          <w:szCs w:val="32"/>
        </w:rPr>
        <w:t>2. 学生个人对特殊困难补助审定结果如有异议，可在公示期间向学生资助管理中心提起申诉。学生资助管理中心经过调查核实，并由学生资助工作领导小组裁决后，通知学生本人及所在二级学院。</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636" w:name="_Toc22781_WPSOffice_Level1"/>
      <w:r>
        <w:rPr>
          <w:rFonts w:hint="eastAsia" w:ascii="黑体" w:hAnsi="黑体" w:eastAsia="黑体"/>
          <w:b/>
          <w:sz w:val="32"/>
          <w:szCs w:val="32"/>
        </w:rPr>
        <w:t>第六章 特殊困难补助的发放</w:t>
      </w:r>
      <w:bookmarkEnd w:id="636"/>
    </w:p>
    <w:p>
      <w:pPr>
        <w:pageBreakBefore w:val="0"/>
        <w:kinsoku/>
        <w:overflowPunct/>
        <w:topLinePunct w:val="0"/>
        <w:bidi w:val="0"/>
        <w:spacing w:line="596" w:lineRule="exact"/>
        <w:ind w:firstLine="643" w:firstLineChars="200"/>
        <w:jc w:val="left"/>
        <w:outlineLvl w:val="9"/>
        <w:rPr>
          <w:rFonts w:ascii="仿宋_GB2312" w:eastAsia="仿宋_GB2312" w:hAnsiTheme="minorEastAsia"/>
          <w:sz w:val="32"/>
          <w:szCs w:val="32"/>
        </w:rPr>
      </w:pPr>
      <w:r>
        <w:rPr>
          <w:rFonts w:hint="eastAsia" w:ascii="仿宋_GB2312" w:eastAsia="仿宋_GB2312" w:hAnsiTheme="minorEastAsia"/>
          <w:b/>
          <w:sz w:val="32"/>
          <w:szCs w:val="32"/>
        </w:rPr>
        <w:t>第十四条</w:t>
      </w:r>
      <w:r>
        <w:rPr>
          <w:rFonts w:hint="eastAsia" w:ascii="仿宋_GB2312" w:eastAsia="仿宋_GB2312" w:hAnsiTheme="minorEastAsia"/>
          <w:sz w:val="32"/>
          <w:szCs w:val="32"/>
        </w:rPr>
        <w:t xml:space="preserve">  在学校公示无异议后，由学校财务处通过银行卡（或校园卡）的方式，将特殊困难补助按月（或按学期）发放给获助学生。</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637" w:name="_Toc13164_WPSOffice_Level1"/>
      <w:r>
        <w:rPr>
          <w:rFonts w:hint="eastAsia" w:ascii="黑体" w:hAnsi="黑体" w:eastAsia="黑体"/>
          <w:b/>
          <w:sz w:val="32"/>
          <w:szCs w:val="32"/>
        </w:rPr>
        <w:t>第七章  附则</w:t>
      </w:r>
      <w:bookmarkEnd w:id="637"/>
    </w:p>
    <w:p>
      <w:pPr>
        <w:pageBreakBefore w:val="0"/>
        <w:kinsoku/>
        <w:overflowPunct/>
        <w:topLinePunct w:val="0"/>
        <w:bidi w:val="0"/>
        <w:spacing w:line="596" w:lineRule="exact"/>
        <w:ind w:firstLine="643" w:firstLineChars="200"/>
        <w:jc w:val="left"/>
        <w:outlineLvl w:val="9"/>
        <w:rPr>
          <w:rFonts w:ascii="仿宋_GB2312" w:eastAsia="仿宋_GB2312" w:hAnsiTheme="minorEastAsia"/>
          <w:sz w:val="32"/>
          <w:szCs w:val="32"/>
        </w:rPr>
      </w:pPr>
      <w:r>
        <w:rPr>
          <w:rFonts w:hint="eastAsia" w:ascii="仿宋_GB2312" w:eastAsia="仿宋_GB2312" w:hAnsiTheme="minorEastAsia"/>
          <w:b/>
          <w:sz w:val="32"/>
          <w:szCs w:val="32"/>
        </w:rPr>
        <w:t>第十五条</w:t>
      </w:r>
      <w:r>
        <w:rPr>
          <w:rFonts w:hint="eastAsia" w:ascii="仿宋_GB2312" w:eastAsia="仿宋_GB2312" w:hAnsiTheme="minorEastAsia"/>
          <w:sz w:val="32"/>
          <w:szCs w:val="32"/>
        </w:rPr>
        <w:t xml:space="preserve">  本办法自公布之日起施行。原</w:t>
      </w:r>
      <w:r>
        <w:rPr>
          <w:rFonts w:hint="eastAsia" w:ascii="仿宋_GB2312" w:eastAsia="仿宋_GB2312" w:hAnsiTheme="majorEastAsia"/>
          <w:kern w:val="0"/>
          <w:sz w:val="32"/>
          <w:szCs w:val="32"/>
        </w:rPr>
        <w:t>《柳州职业技术学院学生特殊困难补助实施办法》（柳职院学字〔2019〕3号）同时废止</w:t>
      </w:r>
      <w:r>
        <w:rPr>
          <w:rFonts w:hint="eastAsia" w:ascii="仿宋_GB2312" w:eastAsia="仿宋_GB2312" w:hAnsiTheme="minorEastAsia"/>
          <w:sz w:val="32"/>
          <w:szCs w:val="32"/>
        </w:rPr>
        <w:t>。</w:t>
      </w:r>
    </w:p>
    <w:p>
      <w:pPr>
        <w:pageBreakBefore w:val="0"/>
        <w:kinsoku/>
        <w:overflowPunct/>
        <w:topLinePunct w:val="0"/>
        <w:bidi w:val="0"/>
        <w:spacing w:line="596" w:lineRule="exact"/>
        <w:ind w:firstLine="643" w:firstLineChars="200"/>
        <w:jc w:val="left"/>
        <w:outlineLvl w:val="9"/>
        <w:rPr>
          <w:rFonts w:ascii="仿宋_GB2312" w:eastAsia="仿宋_GB2312" w:hAnsiTheme="minorEastAsia"/>
          <w:sz w:val="32"/>
          <w:szCs w:val="32"/>
        </w:rPr>
      </w:pPr>
      <w:r>
        <w:rPr>
          <w:rFonts w:hint="eastAsia" w:ascii="仿宋_GB2312" w:eastAsia="仿宋_GB2312" w:hAnsiTheme="minorEastAsia"/>
          <w:b/>
          <w:sz w:val="32"/>
          <w:szCs w:val="32"/>
        </w:rPr>
        <w:t>第十六条</w:t>
      </w:r>
      <w:r>
        <w:rPr>
          <w:rFonts w:hint="eastAsia" w:ascii="仿宋_GB2312" w:eastAsia="仿宋_GB2312" w:hAnsiTheme="minorEastAsia"/>
          <w:sz w:val="32"/>
          <w:szCs w:val="32"/>
        </w:rPr>
        <w:t xml:space="preserve">  本办法由校学生工作部（处）负责解释。</w:t>
      </w:r>
    </w:p>
    <w:p>
      <w:pPr>
        <w:pageBreakBefore w:val="0"/>
        <w:kinsoku/>
        <w:overflowPunct/>
        <w:topLinePunct w:val="0"/>
        <w:bidi w:val="0"/>
        <w:spacing w:line="596" w:lineRule="exact"/>
        <w:ind w:firstLine="640" w:firstLineChars="200"/>
        <w:jc w:val="left"/>
        <w:outlineLvl w:val="9"/>
        <w:rPr>
          <w:rFonts w:ascii="仿宋_GB2312" w:eastAsia="仿宋_GB2312" w:hAnsiTheme="minorEastAsia"/>
          <w:sz w:val="32"/>
          <w:szCs w:val="32"/>
        </w:rPr>
      </w:pPr>
    </w:p>
    <w:p>
      <w:pPr>
        <w:pageBreakBefore w:val="0"/>
        <w:kinsoku/>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hAnsiTheme="minorEastAsia"/>
          <w:kern w:val="0"/>
          <w:sz w:val="32"/>
          <w:szCs w:val="32"/>
        </w:rPr>
        <w:t>附件：柳州职业技术学院特殊困难补助申请表</w:t>
      </w:r>
    </w:p>
    <w:p>
      <w:pPr>
        <w:pageBreakBefore w:val="0"/>
        <w:kinsoku/>
        <w:overflowPunct/>
        <w:topLinePunct w:val="0"/>
        <w:bidi w:val="0"/>
        <w:ind w:firstLine="1205" w:firstLineChars="400"/>
        <w:jc w:val="both"/>
        <w:outlineLvl w:val="9"/>
        <w:rPr>
          <w:rFonts w:ascii="黑体" w:hAnsi="宋体" w:eastAsia="黑体"/>
          <w:b/>
          <w:sz w:val="30"/>
          <w:szCs w:val="30"/>
        </w:rPr>
      </w:pPr>
      <w:bookmarkStart w:id="638" w:name="_Toc24812_WPSOffice_Level1"/>
      <w:r>
        <w:rPr>
          <w:rFonts w:hint="eastAsia" w:ascii="黑体" w:hAnsi="宋体" w:eastAsia="黑体"/>
          <w:b/>
          <w:sz w:val="30"/>
          <w:szCs w:val="30"/>
        </w:rPr>
        <w:t>柳州职业技术学院学生特殊困难补助申请表</w:t>
      </w:r>
      <w:bookmarkEnd w:id="638"/>
    </w:p>
    <w:tbl>
      <w:tblPr>
        <w:tblStyle w:val="14"/>
        <w:tblW w:w="107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661"/>
        <w:gridCol w:w="387"/>
        <w:gridCol w:w="343"/>
        <w:gridCol w:w="452"/>
        <w:gridCol w:w="259"/>
        <w:gridCol w:w="49"/>
        <w:gridCol w:w="666"/>
        <w:gridCol w:w="328"/>
        <w:gridCol w:w="342"/>
        <w:gridCol w:w="37"/>
        <w:gridCol w:w="703"/>
        <w:gridCol w:w="6"/>
        <w:gridCol w:w="708"/>
        <w:gridCol w:w="710"/>
        <w:gridCol w:w="710"/>
        <w:gridCol w:w="177"/>
        <w:gridCol w:w="673"/>
        <w:gridCol w:w="35"/>
        <w:gridCol w:w="292"/>
        <w:gridCol w:w="285"/>
        <w:gridCol w:w="132"/>
        <w:gridCol w:w="433"/>
        <w:gridCol w:w="302"/>
        <w:gridCol w:w="691"/>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restart"/>
            <w:vAlign w:val="center"/>
          </w:tcPr>
          <w:p>
            <w:pPr>
              <w:pageBreakBefore w:val="0"/>
              <w:kinsoku/>
              <w:overflowPunct/>
              <w:topLinePunct w:val="0"/>
              <w:bidi w:val="0"/>
              <w:spacing w:line="240" w:lineRule="exact"/>
              <w:ind w:left="113" w:right="113"/>
              <w:jc w:val="center"/>
              <w:outlineLvl w:val="9"/>
              <w:rPr>
                <w:rFonts w:ascii="宋体" w:hAnsi="宋体"/>
                <w:sz w:val="21"/>
                <w:szCs w:val="21"/>
              </w:rPr>
            </w:pPr>
            <w:r>
              <w:rPr>
                <w:rFonts w:hint="eastAsia" w:ascii="宋体" w:hAnsi="宋体"/>
                <w:sz w:val="21"/>
                <w:szCs w:val="21"/>
              </w:rPr>
              <w:t>个人基本情况</w:t>
            </w:r>
          </w:p>
        </w:tc>
        <w:tc>
          <w:tcPr>
            <w:tcW w:w="661" w:type="dxa"/>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姓名</w:t>
            </w:r>
          </w:p>
        </w:tc>
        <w:tc>
          <w:tcPr>
            <w:tcW w:w="1490" w:type="dxa"/>
            <w:gridSpan w:val="5"/>
            <w:vAlign w:val="center"/>
          </w:tcPr>
          <w:p>
            <w:pPr>
              <w:pageBreakBefore w:val="0"/>
              <w:kinsoku/>
              <w:overflowPunct/>
              <w:topLinePunct w:val="0"/>
              <w:bidi w:val="0"/>
              <w:spacing w:line="240" w:lineRule="exact"/>
              <w:jc w:val="center"/>
              <w:outlineLvl w:val="9"/>
              <w:rPr>
                <w:rFonts w:ascii="宋体" w:hAnsi="宋体"/>
                <w:sz w:val="21"/>
                <w:szCs w:val="21"/>
              </w:rPr>
            </w:pPr>
          </w:p>
        </w:tc>
        <w:tc>
          <w:tcPr>
            <w:tcW w:w="666" w:type="dxa"/>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性别</w:t>
            </w:r>
          </w:p>
        </w:tc>
        <w:tc>
          <w:tcPr>
            <w:tcW w:w="707"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709" w:type="dxa"/>
            <w:gridSpan w:val="2"/>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民族</w:t>
            </w:r>
          </w:p>
        </w:tc>
        <w:tc>
          <w:tcPr>
            <w:tcW w:w="708" w:type="dxa"/>
            <w:vAlign w:val="center"/>
          </w:tcPr>
          <w:p>
            <w:pPr>
              <w:pageBreakBefore w:val="0"/>
              <w:kinsoku/>
              <w:overflowPunct/>
              <w:topLinePunct w:val="0"/>
              <w:bidi w:val="0"/>
              <w:spacing w:line="240" w:lineRule="exact"/>
              <w:jc w:val="center"/>
              <w:outlineLvl w:val="9"/>
              <w:rPr>
                <w:rFonts w:ascii="宋体" w:hAnsi="宋体"/>
                <w:sz w:val="21"/>
                <w:szCs w:val="21"/>
              </w:rPr>
            </w:pPr>
          </w:p>
        </w:tc>
        <w:tc>
          <w:tcPr>
            <w:tcW w:w="710" w:type="dxa"/>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学号</w:t>
            </w:r>
          </w:p>
        </w:tc>
        <w:tc>
          <w:tcPr>
            <w:tcW w:w="1560"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1177" w:type="dxa"/>
            <w:gridSpan w:val="5"/>
            <w:shd w:val="clear" w:color="auto" w:fill="auto"/>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政治面貌</w:t>
            </w:r>
          </w:p>
        </w:tc>
        <w:tc>
          <w:tcPr>
            <w:tcW w:w="1664" w:type="dxa"/>
            <w:gridSpan w:val="3"/>
            <w:shd w:val="clear" w:color="auto" w:fill="auto"/>
            <w:vAlign w:val="center"/>
          </w:tcPr>
          <w:p>
            <w:pPr>
              <w:pageBreakBefore w:val="0"/>
              <w:kinsoku/>
              <w:overflowPunct/>
              <w:topLinePunct w:val="0"/>
              <w:bidi w:val="0"/>
              <w:spacing w:line="240" w:lineRule="exact"/>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continue"/>
            <w:vAlign w:val="center"/>
          </w:tcPr>
          <w:p>
            <w:pPr>
              <w:pageBreakBefore w:val="0"/>
              <w:kinsoku/>
              <w:overflowPunct/>
              <w:topLinePunct w:val="0"/>
              <w:bidi w:val="0"/>
              <w:spacing w:line="240" w:lineRule="exact"/>
              <w:ind w:left="113" w:right="113"/>
              <w:jc w:val="center"/>
              <w:outlineLvl w:val="9"/>
              <w:rPr>
                <w:rFonts w:ascii="宋体" w:hAnsi="宋体"/>
                <w:sz w:val="21"/>
                <w:szCs w:val="21"/>
              </w:rPr>
            </w:pPr>
          </w:p>
        </w:tc>
        <w:tc>
          <w:tcPr>
            <w:tcW w:w="661" w:type="dxa"/>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学院</w:t>
            </w:r>
          </w:p>
        </w:tc>
        <w:tc>
          <w:tcPr>
            <w:tcW w:w="2156" w:type="dxa"/>
            <w:gridSpan w:val="6"/>
            <w:vAlign w:val="center"/>
          </w:tcPr>
          <w:p>
            <w:pPr>
              <w:pageBreakBefore w:val="0"/>
              <w:kinsoku/>
              <w:overflowPunct/>
              <w:topLinePunct w:val="0"/>
              <w:bidi w:val="0"/>
              <w:spacing w:line="240" w:lineRule="exact"/>
              <w:ind w:left="154"/>
              <w:jc w:val="center"/>
              <w:outlineLvl w:val="9"/>
              <w:rPr>
                <w:rFonts w:ascii="宋体" w:hAnsi="宋体"/>
                <w:sz w:val="21"/>
                <w:szCs w:val="21"/>
              </w:rPr>
            </w:pPr>
          </w:p>
        </w:tc>
        <w:tc>
          <w:tcPr>
            <w:tcW w:w="707" w:type="dxa"/>
            <w:gridSpan w:val="3"/>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年级</w:t>
            </w:r>
          </w:p>
        </w:tc>
        <w:tc>
          <w:tcPr>
            <w:tcW w:w="709" w:type="dxa"/>
            <w:gridSpan w:val="2"/>
            <w:vAlign w:val="center"/>
          </w:tcPr>
          <w:p>
            <w:pPr>
              <w:pageBreakBefore w:val="0"/>
              <w:kinsoku/>
              <w:overflowPunct/>
              <w:topLinePunct w:val="0"/>
              <w:bidi w:val="0"/>
              <w:spacing w:line="240" w:lineRule="exact"/>
              <w:jc w:val="center"/>
              <w:outlineLvl w:val="9"/>
              <w:rPr>
                <w:rFonts w:ascii="宋体" w:hAnsi="宋体"/>
                <w:sz w:val="21"/>
                <w:szCs w:val="21"/>
              </w:rPr>
            </w:pPr>
          </w:p>
        </w:tc>
        <w:tc>
          <w:tcPr>
            <w:tcW w:w="1418" w:type="dxa"/>
            <w:gridSpan w:val="2"/>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napToGrid w:val="0"/>
                <w:kern w:val="0"/>
                <w:sz w:val="21"/>
                <w:szCs w:val="21"/>
              </w:rPr>
              <w:t>专业班级</w:t>
            </w:r>
          </w:p>
        </w:tc>
        <w:tc>
          <w:tcPr>
            <w:tcW w:w="1560"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1177" w:type="dxa"/>
            <w:gridSpan w:val="5"/>
            <w:shd w:val="clear" w:color="auto" w:fill="auto"/>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本人联系电话</w:t>
            </w:r>
          </w:p>
        </w:tc>
        <w:tc>
          <w:tcPr>
            <w:tcW w:w="1664" w:type="dxa"/>
            <w:gridSpan w:val="3"/>
            <w:shd w:val="clear" w:color="auto" w:fill="auto"/>
            <w:vAlign w:val="center"/>
          </w:tcPr>
          <w:p>
            <w:pPr>
              <w:pageBreakBefore w:val="0"/>
              <w:kinsoku/>
              <w:overflowPunct/>
              <w:topLinePunct w:val="0"/>
              <w:bidi w:val="0"/>
              <w:spacing w:line="240" w:lineRule="exact"/>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continue"/>
            <w:vAlign w:val="center"/>
          </w:tcPr>
          <w:p>
            <w:pPr>
              <w:pageBreakBefore w:val="0"/>
              <w:kinsoku/>
              <w:overflowPunct/>
              <w:topLinePunct w:val="0"/>
              <w:bidi w:val="0"/>
              <w:spacing w:line="240" w:lineRule="exact"/>
              <w:ind w:left="113" w:right="113"/>
              <w:jc w:val="center"/>
              <w:outlineLvl w:val="9"/>
              <w:rPr>
                <w:rFonts w:ascii="宋体" w:hAnsi="宋体"/>
                <w:sz w:val="21"/>
                <w:szCs w:val="21"/>
              </w:rPr>
            </w:pPr>
          </w:p>
        </w:tc>
        <w:tc>
          <w:tcPr>
            <w:tcW w:w="1048" w:type="dxa"/>
            <w:gridSpan w:val="2"/>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家庭</w:t>
            </w:r>
          </w:p>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地址</w:t>
            </w:r>
          </w:p>
        </w:tc>
        <w:tc>
          <w:tcPr>
            <w:tcW w:w="4603" w:type="dxa"/>
            <w:gridSpan w:val="12"/>
            <w:vAlign w:val="center"/>
          </w:tcPr>
          <w:p>
            <w:pPr>
              <w:pageBreakBefore w:val="0"/>
              <w:kinsoku/>
              <w:overflowPunct/>
              <w:topLinePunct w:val="0"/>
              <w:bidi w:val="0"/>
              <w:spacing w:line="240" w:lineRule="exact"/>
              <w:jc w:val="center"/>
              <w:outlineLvl w:val="9"/>
              <w:rPr>
                <w:rFonts w:ascii="宋体" w:hAnsi="宋体"/>
                <w:sz w:val="21"/>
                <w:szCs w:val="21"/>
              </w:rPr>
            </w:pPr>
          </w:p>
        </w:tc>
        <w:tc>
          <w:tcPr>
            <w:tcW w:w="1560" w:type="dxa"/>
            <w:gridSpan w:val="3"/>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家庭电话</w:t>
            </w:r>
          </w:p>
        </w:tc>
        <w:tc>
          <w:tcPr>
            <w:tcW w:w="2841" w:type="dxa"/>
            <w:gridSpan w:val="8"/>
            <w:vAlign w:val="center"/>
          </w:tcPr>
          <w:p>
            <w:pPr>
              <w:pageBreakBefore w:val="0"/>
              <w:kinsoku/>
              <w:overflowPunct/>
              <w:topLinePunct w:val="0"/>
              <w:bidi w:val="0"/>
              <w:spacing w:line="240" w:lineRule="exact"/>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continue"/>
            <w:shd w:val="clear" w:color="auto" w:fill="auto"/>
            <w:textDirection w:val="tbRlV"/>
            <w:vAlign w:val="center"/>
          </w:tcPr>
          <w:p>
            <w:pPr>
              <w:pageBreakBefore w:val="0"/>
              <w:kinsoku/>
              <w:overflowPunct/>
              <w:topLinePunct w:val="0"/>
              <w:bidi w:val="0"/>
              <w:spacing w:line="240" w:lineRule="exact"/>
              <w:ind w:left="113" w:right="113"/>
              <w:jc w:val="center"/>
              <w:outlineLvl w:val="9"/>
              <w:rPr>
                <w:rFonts w:ascii="宋体" w:hAnsi="宋体"/>
                <w:sz w:val="21"/>
                <w:szCs w:val="21"/>
              </w:rPr>
            </w:pPr>
          </w:p>
        </w:tc>
        <w:tc>
          <w:tcPr>
            <w:tcW w:w="661" w:type="dxa"/>
            <w:vAlign w:val="center"/>
          </w:tcPr>
          <w:p>
            <w:pPr>
              <w:pageBreakBefore w:val="0"/>
              <w:kinsoku/>
              <w:overflowPunct/>
              <w:topLinePunct w:val="0"/>
              <w:bidi w:val="0"/>
              <w:spacing w:line="240" w:lineRule="exact"/>
              <w:ind w:right="-108"/>
              <w:outlineLvl w:val="9"/>
              <w:rPr>
                <w:rFonts w:ascii="宋体" w:hAnsi="宋体"/>
                <w:sz w:val="21"/>
                <w:szCs w:val="21"/>
              </w:rPr>
            </w:pPr>
            <w:r>
              <w:rPr>
                <w:rFonts w:hint="eastAsia" w:ascii="宋体" w:hAnsi="宋体"/>
                <w:sz w:val="21"/>
                <w:szCs w:val="21"/>
              </w:rPr>
              <w:t>家庭</w:t>
            </w:r>
          </w:p>
          <w:p>
            <w:pPr>
              <w:pageBreakBefore w:val="0"/>
              <w:kinsoku/>
              <w:overflowPunct/>
              <w:topLinePunct w:val="0"/>
              <w:bidi w:val="0"/>
              <w:spacing w:line="240" w:lineRule="exact"/>
              <w:outlineLvl w:val="9"/>
              <w:rPr>
                <w:rFonts w:ascii="宋体" w:hAnsi="宋体"/>
                <w:sz w:val="21"/>
                <w:szCs w:val="21"/>
              </w:rPr>
            </w:pPr>
            <w:r>
              <w:rPr>
                <w:rFonts w:hint="eastAsia" w:ascii="宋体" w:hAnsi="宋体"/>
                <w:sz w:val="21"/>
                <w:szCs w:val="21"/>
              </w:rPr>
              <w:t>户口</w:t>
            </w:r>
          </w:p>
        </w:tc>
        <w:tc>
          <w:tcPr>
            <w:tcW w:w="1490" w:type="dxa"/>
            <w:gridSpan w:val="5"/>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 xml:space="preserve">城镇 </w:t>
            </w:r>
            <w:r>
              <w:rPr>
                <w:rFonts w:hint="eastAsia" w:ascii="新宋体" w:hAnsi="新宋体" w:eastAsia="新宋体"/>
                <w:sz w:val="21"/>
                <w:szCs w:val="21"/>
              </w:rPr>
              <w:t>□</w:t>
            </w:r>
          </w:p>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 xml:space="preserve">农村 </w:t>
            </w:r>
            <w:r>
              <w:rPr>
                <w:rFonts w:hint="eastAsia" w:ascii="新宋体" w:hAnsi="新宋体" w:eastAsia="新宋体"/>
                <w:sz w:val="21"/>
                <w:szCs w:val="21"/>
              </w:rPr>
              <w:t>□</w:t>
            </w:r>
          </w:p>
        </w:tc>
        <w:tc>
          <w:tcPr>
            <w:tcW w:w="994" w:type="dxa"/>
            <w:gridSpan w:val="2"/>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家庭总人口数</w:t>
            </w:r>
          </w:p>
        </w:tc>
        <w:tc>
          <w:tcPr>
            <w:tcW w:w="1796" w:type="dxa"/>
            <w:gridSpan w:val="5"/>
            <w:vAlign w:val="center"/>
          </w:tcPr>
          <w:p>
            <w:pPr>
              <w:pageBreakBefore w:val="0"/>
              <w:kinsoku/>
              <w:overflowPunct/>
              <w:topLinePunct w:val="0"/>
              <w:bidi w:val="0"/>
              <w:spacing w:line="240" w:lineRule="exact"/>
              <w:jc w:val="center"/>
              <w:outlineLvl w:val="9"/>
              <w:rPr>
                <w:rFonts w:ascii="宋体" w:hAnsi="宋体"/>
                <w:sz w:val="21"/>
                <w:szCs w:val="21"/>
              </w:rPr>
            </w:pPr>
          </w:p>
        </w:tc>
        <w:tc>
          <w:tcPr>
            <w:tcW w:w="1420" w:type="dxa"/>
            <w:gridSpan w:val="2"/>
            <w:vAlign w:val="center"/>
          </w:tcPr>
          <w:p>
            <w:pPr>
              <w:pageBreakBefore w:val="0"/>
              <w:kinsoku/>
              <w:overflowPunct/>
              <w:topLinePunct w:val="0"/>
              <w:bidi w:val="0"/>
              <w:spacing w:line="240" w:lineRule="exact"/>
              <w:ind w:right="-78"/>
              <w:jc w:val="center"/>
              <w:outlineLvl w:val="9"/>
              <w:rPr>
                <w:rFonts w:ascii="宋体" w:hAnsi="宋体"/>
                <w:sz w:val="21"/>
                <w:szCs w:val="21"/>
              </w:rPr>
            </w:pPr>
            <w:r>
              <w:rPr>
                <w:rFonts w:hint="eastAsia" w:ascii="宋体" w:hAnsi="宋体"/>
                <w:sz w:val="21"/>
                <w:szCs w:val="21"/>
              </w:rPr>
              <w:t>家庭</w:t>
            </w:r>
          </w:p>
          <w:p>
            <w:pPr>
              <w:pageBreakBefore w:val="0"/>
              <w:kinsoku/>
              <w:overflowPunct/>
              <w:topLinePunct w:val="0"/>
              <w:bidi w:val="0"/>
              <w:spacing w:line="240" w:lineRule="exact"/>
              <w:ind w:right="-78"/>
              <w:jc w:val="center"/>
              <w:outlineLvl w:val="9"/>
              <w:rPr>
                <w:rFonts w:ascii="宋体" w:hAnsi="宋体"/>
                <w:sz w:val="21"/>
                <w:szCs w:val="21"/>
              </w:rPr>
            </w:pPr>
            <w:r>
              <w:rPr>
                <w:rFonts w:hint="eastAsia" w:ascii="宋体" w:hAnsi="宋体"/>
                <w:sz w:val="21"/>
                <w:szCs w:val="21"/>
              </w:rPr>
              <w:t>月总收入</w:t>
            </w:r>
          </w:p>
        </w:tc>
        <w:tc>
          <w:tcPr>
            <w:tcW w:w="1177" w:type="dxa"/>
            <w:gridSpan w:val="4"/>
            <w:vAlign w:val="center"/>
          </w:tcPr>
          <w:p>
            <w:pPr>
              <w:pageBreakBefore w:val="0"/>
              <w:widowControl/>
              <w:kinsoku/>
              <w:overflowPunct/>
              <w:topLinePunct w:val="0"/>
              <w:bidi w:val="0"/>
              <w:spacing w:line="240" w:lineRule="exact"/>
              <w:jc w:val="center"/>
              <w:outlineLvl w:val="9"/>
              <w:rPr>
                <w:rFonts w:ascii="宋体" w:hAnsi="宋体"/>
                <w:sz w:val="21"/>
                <w:szCs w:val="21"/>
              </w:rPr>
            </w:pPr>
          </w:p>
          <w:p>
            <w:pPr>
              <w:pageBreakBefore w:val="0"/>
              <w:kinsoku/>
              <w:overflowPunct/>
              <w:topLinePunct w:val="0"/>
              <w:bidi w:val="0"/>
              <w:spacing w:line="240" w:lineRule="exact"/>
              <w:ind w:right="840"/>
              <w:jc w:val="center"/>
              <w:outlineLvl w:val="9"/>
              <w:rPr>
                <w:rFonts w:ascii="宋体" w:hAnsi="宋体"/>
                <w:sz w:val="21"/>
                <w:szCs w:val="21"/>
              </w:rPr>
            </w:pPr>
          </w:p>
        </w:tc>
        <w:tc>
          <w:tcPr>
            <w:tcW w:w="850" w:type="dxa"/>
            <w:gridSpan w:val="3"/>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人均</w:t>
            </w:r>
          </w:p>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月收入</w:t>
            </w:r>
          </w:p>
        </w:tc>
        <w:tc>
          <w:tcPr>
            <w:tcW w:w="1664"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continue"/>
            <w:shd w:val="clear" w:color="auto" w:fill="auto"/>
            <w:vAlign w:val="center"/>
          </w:tcPr>
          <w:p>
            <w:pPr>
              <w:pageBreakBefore w:val="0"/>
              <w:kinsoku/>
              <w:overflowPunct/>
              <w:topLinePunct w:val="0"/>
              <w:bidi w:val="0"/>
              <w:spacing w:line="240" w:lineRule="exact"/>
              <w:ind w:right="420"/>
              <w:jc w:val="center"/>
              <w:outlineLvl w:val="9"/>
              <w:rPr>
                <w:rFonts w:ascii="宋体" w:hAnsi="宋体"/>
                <w:sz w:val="21"/>
                <w:szCs w:val="21"/>
              </w:rPr>
            </w:pPr>
          </w:p>
        </w:tc>
        <w:tc>
          <w:tcPr>
            <w:tcW w:w="661" w:type="dxa"/>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孤儿</w:t>
            </w:r>
          </w:p>
        </w:tc>
        <w:tc>
          <w:tcPr>
            <w:tcW w:w="730" w:type="dxa"/>
            <w:gridSpan w:val="2"/>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□是□否</w:t>
            </w:r>
          </w:p>
        </w:tc>
        <w:tc>
          <w:tcPr>
            <w:tcW w:w="711" w:type="dxa"/>
            <w:gridSpan w:val="2"/>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残疾</w:t>
            </w:r>
          </w:p>
        </w:tc>
        <w:tc>
          <w:tcPr>
            <w:tcW w:w="715" w:type="dxa"/>
            <w:gridSpan w:val="2"/>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□是□否</w:t>
            </w:r>
          </w:p>
        </w:tc>
        <w:tc>
          <w:tcPr>
            <w:tcW w:w="707" w:type="dxa"/>
            <w:gridSpan w:val="3"/>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单亲</w:t>
            </w:r>
          </w:p>
        </w:tc>
        <w:tc>
          <w:tcPr>
            <w:tcW w:w="703" w:type="dxa"/>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□是□否</w:t>
            </w:r>
          </w:p>
        </w:tc>
        <w:tc>
          <w:tcPr>
            <w:tcW w:w="714" w:type="dxa"/>
            <w:gridSpan w:val="2"/>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低保家庭</w:t>
            </w:r>
          </w:p>
        </w:tc>
        <w:tc>
          <w:tcPr>
            <w:tcW w:w="710" w:type="dxa"/>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□是□否</w:t>
            </w:r>
          </w:p>
        </w:tc>
        <w:tc>
          <w:tcPr>
            <w:tcW w:w="887" w:type="dxa"/>
            <w:gridSpan w:val="2"/>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农村建档立卡贫困户</w:t>
            </w:r>
          </w:p>
        </w:tc>
        <w:tc>
          <w:tcPr>
            <w:tcW w:w="708" w:type="dxa"/>
            <w:gridSpan w:val="2"/>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□是□否</w:t>
            </w:r>
          </w:p>
        </w:tc>
        <w:tc>
          <w:tcPr>
            <w:tcW w:w="709" w:type="dxa"/>
            <w:gridSpan w:val="3"/>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烈士子女</w:t>
            </w:r>
          </w:p>
        </w:tc>
        <w:tc>
          <w:tcPr>
            <w:tcW w:w="735" w:type="dxa"/>
            <w:gridSpan w:val="2"/>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□是□否</w:t>
            </w:r>
          </w:p>
        </w:tc>
        <w:tc>
          <w:tcPr>
            <w:tcW w:w="691" w:type="dxa"/>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优抚对象</w:t>
            </w:r>
          </w:p>
        </w:tc>
        <w:tc>
          <w:tcPr>
            <w:tcW w:w="671" w:type="dxa"/>
            <w:vAlign w:val="center"/>
          </w:tcPr>
          <w:p>
            <w:pPr>
              <w:pageBreakBefore w:val="0"/>
              <w:kinsoku/>
              <w:overflowPunct/>
              <w:topLinePunct w:val="0"/>
              <w:bidi w:val="0"/>
              <w:spacing w:line="240" w:lineRule="exact"/>
              <w:jc w:val="center"/>
              <w:outlineLvl w:val="9"/>
              <w:rPr>
                <w:rFonts w:ascii="新宋体" w:hAnsi="新宋体" w:eastAsia="新宋体"/>
                <w:sz w:val="21"/>
                <w:szCs w:val="21"/>
              </w:rPr>
            </w:pPr>
            <w:r>
              <w:rPr>
                <w:rFonts w:hint="eastAsia" w:ascii="新宋体" w:hAnsi="新宋体" w:eastAsia="新宋体"/>
                <w:sz w:val="21"/>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continue"/>
            <w:shd w:val="clear" w:color="auto" w:fill="auto"/>
            <w:vAlign w:val="center"/>
          </w:tcPr>
          <w:p>
            <w:pPr>
              <w:pageBreakBefore w:val="0"/>
              <w:kinsoku/>
              <w:overflowPunct/>
              <w:topLinePunct w:val="0"/>
              <w:bidi w:val="0"/>
              <w:spacing w:line="240" w:lineRule="exact"/>
              <w:ind w:right="420"/>
              <w:jc w:val="center"/>
              <w:outlineLvl w:val="9"/>
              <w:rPr>
                <w:rFonts w:ascii="宋体" w:hAnsi="宋体"/>
                <w:sz w:val="21"/>
                <w:szCs w:val="21"/>
              </w:rPr>
            </w:pPr>
          </w:p>
        </w:tc>
        <w:tc>
          <w:tcPr>
            <w:tcW w:w="10052" w:type="dxa"/>
            <w:gridSpan w:val="25"/>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家庭基本情况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continue"/>
            <w:shd w:val="clear" w:color="auto" w:fill="auto"/>
            <w:vAlign w:val="center"/>
          </w:tcPr>
          <w:p>
            <w:pPr>
              <w:pageBreakBefore w:val="0"/>
              <w:kinsoku/>
              <w:overflowPunct/>
              <w:topLinePunct w:val="0"/>
              <w:bidi w:val="0"/>
              <w:spacing w:line="240" w:lineRule="exact"/>
              <w:ind w:right="420"/>
              <w:jc w:val="center"/>
              <w:outlineLvl w:val="9"/>
              <w:rPr>
                <w:rFonts w:ascii="宋体" w:hAnsi="宋体"/>
                <w:sz w:val="21"/>
                <w:szCs w:val="21"/>
              </w:rPr>
            </w:pPr>
          </w:p>
        </w:tc>
        <w:tc>
          <w:tcPr>
            <w:tcW w:w="1391" w:type="dxa"/>
            <w:gridSpan w:val="3"/>
            <w:vAlign w:val="center"/>
          </w:tcPr>
          <w:p>
            <w:pPr>
              <w:pageBreakBefore w:val="0"/>
              <w:kinsoku/>
              <w:overflowPunct/>
              <w:topLinePunct w:val="0"/>
              <w:bidi w:val="0"/>
              <w:spacing w:line="240" w:lineRule="exact"/>
              <w:jc w:val="center"/>
              <w:outlineLvl w:val="9"/>
              <w:rPr>
                <w:sz w:val="21"/>
                <w:szCs w:val="21"/>
              </w:rPr>
            </w:pPr>
            <w:r>
              <w:rPr>
                <w:rFonts w:hint="eastAsia"/>
                <w:sz w:val="21"/>
                <w:szCs w:val="21"/>
              </w:rPr>
              <w:t>姓名</w:t>
            </w:r>
          </w:p>
        </w:tc>
        <w:tc>
          <w:tcPr>
            <w:tcW w:w="760" w:type="dxa"/>
            <w:gridSpan w:val="3"/>
            <w:vAlign w:val="center"/>
          </w:tcPr>
          <w:p>
            <w:pPr>
              <w:pageBreakBefore w:val="0"/>
              <w:kinsoku/>
              <w:overflowPunct/>
              <w:topLinePunct w:val="0"/>
              <w:bidi w:val="0"/>
              <w:spacing w:line="240" w:lineRule="exact"/>
              <w:jc w:val="center"/>
              <w:outlineLvl w:val="9"/>
              <w:rPr>
                <w:sz w:val="21"/>
                <w:szCs w:val="21"/>
              </w:rPr>
            </w:pPr>
            <w:r>
              <w:rPr>
                <w:rFonts w:hint="eastAsia"/>
                <w:sz w:val="21"/>
                <w:szCs w:val="21"/>
              </w:rPr>
              <w:t>年龄</w:t>
            </w:r>
          </w:p>
        </w:tc>
        <w:tc>
          <w:tcPr>
            <w:tcW w:w="1336" w:type="dxa"/>
            <w:gridSpan w:val="3"/>
            <w:vAlign w:val="center"/>
          </w:tcPr>
          <w:p>
            <w:pPr>
              <w:pageBreakBefore w:val="0"/>
              <w:kinsoku/>
              <w:overflowPunct/>
              <w:topLinePunct w:val="0"/>
              <w:bidi w:val="0"/>
              <w:spacing w:line="240" w:lineRule="exact"/>
              <w:jc w:val="center"/>
              <w:outlineLvl w:val="9"/>
              <w:rPr>
                <w:sz w:val="21"/>
                <w:szCs w:val="21"/>
              </w:rPr>
            </w:pPr>
            <w:r>
              <w:rPr>
                <w:rFonts w:hint="eastAsia"/>
                <w:sz w:val="21"/>
                <w:szCs w:val="21"/>
              </w:rPr>
              <w:t>与本人关系</w:t>
            </w:r>
          </w:p>
        </w:tc>
        <w:tc>
          <w:tcPr>
            <w:tcW w:w="4336" w:type="dxa"/>
            <w:gridSpan w:val="11"/>
            <w:vAlign w:val="center"/>
          </w:tcPr>
          <w:p>
            <w:pPr>
              <w:pageBreakBefore w:val="0"/>
              <w:kinsoku/>
              <w:overflowPunct/>
              <w:topLinePunct w:val="0"/>
              <w:bidi w:val="0"/>
              <w:spacing w:line="240" w:lineRule="exact"/>
              <w:jc w:val="center"/>
              <w:outlineLvl w:val="9"/>
              <w:rPr>
                <w:sz w:val="21"/>
                <w:szCs w:val="21"/>
              </w:rPr>
            </w:pPr>
            <w:r>
              <w:rPr>
                <w:rFonts w:hint="eastAsia"/>
                <w:sz w:val="21"/>
                <w:szCs w:val="21"/>
              </w:rPr>
              <w:t>在何处工作或学习</w:t>
            </w:r>
          </w:p>
        </w:tc>
        <w:tc>
          <w:tcPr>
            <w:tcW w:w="2229" w:type="dxa"/>
            <w:gridSpan w:val="5"/>
            <w:vAlign w:val="center"/>
          </w:tcPr>
          <w:p>
            <w:pPr>
              <w:pageBreakBefore w:val="0"/>
              <w:kinsoku/>
              <w:overflowPunct/>
              <w:topLinePunct w:val="0"/>
              <w:bidi w:val="0"/>
              <w:spacing w:line="240" w:lineRule="exact"/>
              <w:jc w:val="center"/>
              <w:outlineLvl w:val="9"/>
              <w:rPr>
                <w:sz w:val="21"/>
                <w:szCs w:val="21"/>
              </w:rPr>
            </w:pPr>
            <w:r>
              <w:rPr>
                <w:rFonts w:hint="eastAsia"/>
                <w:sz w:val="21"/>
                <w:szCs w:val="21"/>
              </w:rPr>
              <w:t>月收入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continue"/>
            <w:shd w:val="clear" w:color="auto" w:fill="auto"/>
            <w:vAlign w:val="center"/>
          </w:tcPr>
          <w:p>
            <w:pPr>
              <w:pageBreakBefore w:val="0"/>
              <w:kinsoku/>
              <w:overflowPunct/>
              <w:topLinePunct w:val="0"/>
              <w:bidi w:val="0"/>
              <w:spacing w:line="240" w:lineRule="exact"/>
              <w:ind w:right="420"/>
              <w:jc w:val="center"/>
              <w:outlineLvl w:val="9"/>
              <w:rPr>
                <w:rFonts w:ascii="宋体" w:hAnsi="宋体"/>
                <w:sz w:val="21"/>
                <w:szCs w:val="21"/>
              </w:rPr>
            </w:pPr>
          </w:p>
        </w:tc>
        <w:tc>
          <w:tcPr>
            <w:tcW w:w="1391"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760"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1336"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4336" w:type="dxa"/>
            <w:gridSpan w:val="11"/>
            <w:vAlign w:val="center"/>
          </w:tcPr>
          <w:p>
            <w:pPr>
              <w:pageBreakBefore w:val="0"/>
              <w:kinsoku/>
              <w:overflowPunct/>
              <w:topLinePunct w:val="0"/>
              <w:bidi w:val="0"/>
              <w:spacing w:line="240" w:lineRule="exact"/>
              <w:jc w:val="center"/>
              <w:outlineLvl w:val="9"/>
              <w:rPr>
                <w:rFonts w:ascii="宋体" w:hAnsi="宋体"/>
                <w:sz w:val="21"/>
                <w:szCs w:val="21"/>
              </w:rPr>
            </w:pPr>
          </w:p>
        </w:tc>
        <w:tc>
          <w:tcPr>
            <w:tcW w:w="2229" w:type="dxa"/>
            <w:gridSpan w:val="5"/>
            <w:vAlign w:val="center"/>
          </w:tcPr>
          <w:p>
            <w:pPr>
              <w:pageBreakBefore w:val="0"/>
              <w:kinsoku/>
              <w:overflowPunct/>
              <w:topLinePunct w:val="0"/>
              <w:bidi w:val="0"/>
              <w:spacing w:line="240" w:lineRule="exact"/>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continue"/>
            <w:shd w:val="clear" w:color="auto" w:fill="auto"/>
            <w:vAlign w:val="center"/>
          </w:tcPr>
          <w:p>
            <w:pPr>
              <w:pageBreakBefore w:val="0"/>
              <w:kinsoku/>
              <w:overflowPunct/>
              <w:topLinePunct w:val="0"/>
              <w:bidi w:val="0"/>
              <w:spacing w:line="240" w:lineRule="exact"/>
              <w:ind w:right="420"/>
              <w:jc w:val="center"/>
              <w:outlineLvl w:val="9"/>
              <w:rPr>
                <w:rFonts w:ascii="宋体" w:hAnsi="宋体"/>
                <w:sz w:val="21"/>
                <w:szCs w:val="21"/>
              </w:rPr>
            </w:pPr>
          </w:p>
        </w:tc>
        <w:tc>
          <w:tcPr>
            <w:tcW w:w="1391"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760"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1336"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4336" w:type="dxa"/>
            <w:gridSpan w:val="11"/>
            <w:vAlign w:val="center"/>
          </w:tcPr>
          <w:p>
            <w:pPr>
              <w:pageBreakBefore w:val="0"/>
              <w:kinsoku/>
              <w:overflowPunct/>
              <w:topLinePunct w:val="0"/>
              <w:bidi w:val="0"/>
              <w:spacing w:line="240" w:lineRule="exact"/>
              <w:jc w:val="center"/>
              <w:outlineLvl w:val="9"/>
              <w:rPr>
                <w:rFonts w:ascii="宋体" w:hAnsi="宋体"/>
                <w:sz w:val="21"/>
                <w:szCs w:val="21"/>
              </w:rPr>
            </w:pPr>
          </w:p>
        </w:tc>
        <w:tc>
          <w:tcPr>
            <w:tcW w:w="2229" w:type="dxa"/>
            <w:gridSpan w:val="5"/>
            <w:vAlign w:val="center"/>
          </w:tcPr>
          <w:p>
            <w:pPr>
              <w:pageBreakBefore w:val="0"/>
              <w:kinsoku/>
              <w:overflowPunct/>
              <w:topLinePunct w:val="0"/>
              <w:bidi w:val="0"/>
              <w:spacing w:line="240" w:lineRule="exact"/>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Merge w:val="continue"/>
            <w:shd w:val="clear" w:color="auto" w:fill="auto"/>
            <w:vAlign w:val="center"/>
          </w:tcPr>
          <w:p>
            <w:pPr>
              <w:pageBreakBefore w:val="0"/>
              <w:kinsoku/>
              <w:overflowPunct/>
              <w:topLinePunct w:val="0"/>
              <w:bidi w:val="0"/>
              <w:spacing w:line="240" w:lineRule="exact"/>
              <w:ind w:right="420"/>
              <w:jc w:val="center"/>
              <w:outlineLvl w:val="9"/>
              <w:rPr>
                <w:rFonts w:ascii="宋体" w:hAnsi="宋体"/>
                <w:sz w:val="21"/>
                <w:szCs w:val="21"/>
              </w:rPr>
            </w:pPr>
          </w:p>
        </w:tc>
        <w:tc>
          <w:tcPr>
            <w:tcW w:w="1391"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760"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1336" w:type="dxa"/>
            <w:gridSpan w:val="3"/>
            <w:vAlign w:val="center"/>
          </w:tcPr>
          <w:p>
            <w:pPr>
              <w:pageBreakBefore w:val="0"/>
              <w:kinsoku/>
              <w:overflowPunct/>
              <w:topLinePunct w:val="0"/>
              <w:bidi w:val="0"/>
              <w:spacing w:line="240" w:lineRule="exact"/>
              <w:jc w:val="center"/>
              <w:outlineLvl w:val="9"/>
              <w:rPr>
                <w:rFonts w:ascii="宋体" w:hAnsi="宋体"/>
                <w:sz w:val="21"/>
                <w:szCs w:val="21"/>
              </w:rPr>
            </w:pPr>
          </w:p>
        </w:tc>
        <w:tc>
          <w:tcPr>
            <w:tcW w:w="4336" w:type="dxa"/>
            <w:gridSpan w:val="11"/>
            <w:vAlign w:val="center"/>
          </w:tcPr>
          <w:p>
            <w:pPr>
              <w:pageBreakBefore w:val="0"/>
              <w:kinsoku/>
              <w:overflowPunct/>
              <w:topLinePunct w:val="0"/>
              <w:bidi w:val="0"/>
              <w:spacing w:line="240" w:lineRule="exact"/>
              <w:jc w:val="center"/>
              <w:outlineLvl w:val="9"/>
              <w:rPr>
                <w:rFonts w:ascii="宋体" w:hAnsi="宋体"/>
                <w:sz w:val="21"/>
                <w:szCs w:val="21"/>
              </w:rPr>
            </w:pPr>
          </w:p>
        </w:tc>
        <w:tc>
          <w:tcPr>
            <w:tcW w:w="2229" w:type="dxa"/>
            <w:gridSpan w:val="5"/>
            <w:vAlign w:val="center"/>
          </w:tcPr>
          <w:p>
            <w:pPr>
              <w:pageBreakBefore w:val="0"/>
              <w:kinsoku/>
              <w:overflowPunct/>
              <w:topLinePunct w:val="0"/>
              <w:bidi w:val="0"/>
              <w:spacing w:line="240" w:lineRule="exact"/>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当年受助</w:t>
            </w:r>
            <w:r>
              <w:rPr>
                <w:rFonts w:hint="eastAsia" w:ascii="宋体" w:hAnsi="宋体" w:cs="仿宋_GB2312"/>
                <w:sz w:val="21"/>
                <w:szCs w:val="21"/>
              </w:rPr>
              <w:t>情况</w:t>
            </w:r>
          </w:p>
        </w:tc>
        <w:tc>
          <w:tcPr>
            <w:tcW w:w="1843" w:type="dxa"/>
            <w:gridSpan w:val="4"/>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申请助学贷款</w:t>
            </w:r>
          </w:p>
          <w:p>
            <w:pPr>
              <w:pageBreakBefore w:val="0"/>
              <w:kinsoku/>
              <w:overflowPunct/>
              <w:topLinePunct w:val="0"/>
              <w:bidi w:val="0"/>
              <w:spacing w:line="240" w:lineRule="exact"/>
              <w:jc w:val="center"/>
              <w:outlineLvl w:val="9"/>
              <w:rPr>
                <w:rFonts w:ascii="宋体" w:hAnsi="宋体"/>
                <w:sz w:val="21"/>
                <w:szCs w:val="21"/>
              </w:rPr>
            </w:pPr>
            <w:r>
              <w:rPr>
                <w:rFonts w:hint="eastAsia" w:ascii="新宋体" w:hAnsi="新宋体" w:eastAsia="新宋体"/>
                <w:sz w:val="21"/>
                <w:szCs w:val="21"/>
              </w:rPr>
              <w:t>□是□否</w:t>
            </w:r>
          </w:p>
        </w:tc>
        <w:tc>
          <w:tcPr>
            <w:tcW w:w="1644" w:type="dxa"/>
            <w:gridSpan w:val="5"/>
            <w:vAlign w:val="center"/>
          </w:tcPr>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sz w:val="21"/>
                <w:szCs w:val="21"/>
              </w:rPr>
              <w:t>勤工助学</w:t>
            </w:r>
          </w:p>
          <w:p>
            <w:pPr>
              <w:pageBreakBefore w:val="0"/>
              <w:kinsoku/>
              <w:overflowPunct/>
              <w:topLinePunct w:val="0"/>
              <w:bidi w:val="0"/>
              <w:spacing w:line="240" w:lineRule="exact"/>
              <w:jc w:val="center"/>
              <w:outlineLvl w:val="9"/>
              <w:rPr>
                <w:rFonts w:ascii="宋体" w:hAnsi="宋体"/>
                <w:sz w:val="21"/>
                <w:szCs w:val="21"/>
              </w:rPr>
            </w:pPr>
            <w:r>
              <w:rPr>
                <w:rFonts w:hint="eastAsia" w:ascii="新宋体" w:hAnsi="新宋体" w:eastAsia="新宋体"/>
                <w:sz w:val="21"/>
                <w:szCs w:val="21"/>
              </w:rPr>
              <w:t>□是□否</w:t>
            </w:r>
          </w:p>
        </w:tc>
        <w:tc>
          <w:tcPr>
            <w:tcW w:w="6565" w:type="dxa"/>
            <w:gridSpan w:val="16"/>
            <w:vAlign w:val="center"/>
          </w:tcPr>
          <w:p>
            <w:pPr>
              <w:pageBreakBefore w:val="0"/>
              <w:kinsoku/>
              <w:overflowPunct/>
              <w:topLinePunct w:val="0"/>
              <w:bidi w:val="0"/>
              <w:spacing w:line="240" w:lineRule="exact"/>
              <w:jc w:val="center"/>
              <w:outlineLvl w:val="9"/>
              <w:rPr>
                <w:rFonts w:ascii="宋体" w:hAnsi="宋体"/>
                <w:sz w:val="21"/>
                <w:szCs w:val="21"/>
                <w:u w:val="single"/>
              </w:rPr>
            </w:pPr>
            <w:r>
              <w:rPr>
                <w:rFonts w:hint="eastAsia" w:ascii="宋体" w:hAnsi="宋体"/>
                <w:sz w:val="21"/>
                <w:szCs w:val="21"/>
              </w:rPr>
              <w:t>当年已获助学金情况</w:t>
            </w:r>
          </w:p>
          <w:p>
            <w:pPr>
              <w:pageBreakBefore w:val="0"/>
              <w:kinsoku/>
              <w:overflowPunct/>
              <w:topLinePunct w:val="0"/>
              <w:bidi w:val="0"/>
              <w:spacing w:line="240" w:lineRule="exact"/>
              <w:jc w:val="center"/>
              <w:outlineLvl w:val="9"/>
              <w:rPr>
                <w:rFonts w:ascii="宋体" w:hAnsi="宋体"/>
                <w:sz w:val="21"/>
                <w:szCs w:val="21"/>
                <w:u w:val="single"/>
              </w:rPr>
            </w:pPr>
            <w:r>
              <w:rPr>
                <w:rFonts w:hint="eastAsia" w:ascii="新宋体" w:hAnsi="新宋体" w:eastAsia="新宋体"/>
                <w:sz w:val="21"/>
                <w:szCs w:val="21"/>
              </w:rPr>
              <w:t>□国家一等助学金  □国家二等助学金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shd w:val="clear" w:color="auto" w:fill="auto"/>
            <w:vAlign w:val="center"/>
          </w:tcPr>
          <w:p>
            <w:pPr>
              <w:pageBreakBefore w:val="0"/>
              <w:kinsoku/>
              <w:overflowPunct/>
              <w:topLinePunct w:val="0"/>
              <w:bidi w:val="0"/>
              <w:adjustRightInd w:val="0"/>
              <w:snapToGrid w:val="0"/>
              <w:spacing w:line="240" w:lineRule="exact"/>
              <w:jc w:val="center"/>
              <w:outlineLvl w:val="9"/>
              <w:rPr>
                <w:sz w:val="21"/>
                <w:szCs w:val="21"/>
              </w:rPr>
            </w:pPr>
            <w:r>
              <w:rPr>
                <w:rFonts w:hint="eastAsia"/>
                <w:sz w:val="21"/>
                <w:szCs w:val="21"/>
              </w:rPr>
              <w:t>在校期间获奖情况</w:t>
            </w:r>
          </w:p>
        </w:tc>
        <w:tc>
          <w:tcPr>
            <w:tcW w:w="10052" w:type="dxa"/>
            <w:gridSpan w:val="25"/>
            <w:shd w:val="clear" w:color="auto" w:fill="auto"/>
            <w:vAlign w:val="center"/>
          </w:tcPr>
          <w:p>
            <w:pPr>
              <w:pageBreakBefore w:val="0"/>
              <w:kinsoku/>
              <w:overflowPunct/>
              <w:topLinePunct w:val="0"/>
              <w:bidi w:val="0"/>
              <w:spacing w:line="240" w:lineRule="exact"/>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shd w:val="clear" w:color="auto" w:fill="auto"/>
            <w:vAlign w:val="center"/>
          </w:tcPr>
          <w:p>
            <w:pPr>
              <w:pageBreakBefore w:val="0"/>
              <w:kinsoku/>
              <w:overflowPunct/>
              <w:topLinePunct w:val="0"/>
              <w:bidi w:val="0"/>
              <w:adjustRightInd w:val="0"/>
              <w:snapToGrid w:val="0"/>
              <w:spacing w:line="240" w:lineRule="exact"/>
              <w:jc w:val="center"/>
              <w:outlineLvl w:val="9"/>
              <w:rPr>
                <w:sz w:val="21"/>
                <w:szCs w:val="21"/>
              </w:rPr>
            </w:pPr>
            <w:r>
              <w:rPr>
                <w:rFonts w:hint="eastAsia"/>
                <w:sz w:val="21"/>
                <w:szCs w:val="21"/>
              </w:rPr>
              <w:t>申请理由</w:t>
            </w:r>
          </w:p>
          <w:p>
            <w:pPr>
              <w:pageBreakBefore w:val="0"/>
              <w:kinsoku/>
              <w:overflowPunct/>
              <w:topLinePunct w:val="0"/>
              <w:bidi w:val="0"/>
              <w:adjustRightInd w:val="0"/>
              <w:snapToGrid w:val="0"/>
              <w:spacing w:line="240" w:lineRule="exact"/>
              <w:jc w:val="center"/>
              <w:outlineLvl w:val="9"/>
              <w:rPr>
                <w:rFonts w:ascii="宋体" w:hAnsi="宋体"/>
                <w:sz w:val="21"/>
                <w:szCs w:val="21"/>
              </w:rPr>
            </w:pPr>
            <w:r>
              <w:rPr>
                <w:rFonts w:hint="eastAsia"/>
                <w:sz w:val="21"/>
                <w:szCs w:val="21"/>
              </w:rPr>
              <w:t>（可另附纸）</w:t>
            </w:r>
          </w:p>
        </w:tc>
        <w:tc>
          <w:tcPr>
            <w:tcW w:w="10052" w:type="dxa"/>
            <w:gridSpan w:val="25"/>
            <w:shd w:val="clear" w:color="auto" w:fill="auto"/>
            <w:vAlign w:val="center"/>
          </w:tcPr>
          <w:p>
            <w:pPr>
              <w:pageBreakBefore w:val="0"/>
              <w:kinsoku/>
              <w:overflowPunct/>
              <w:topLinePunct w:val="0"/>
              <w:bidi w:val="0"/>
              <w:spacing w:line="240" w:lineRule="exact"/>
              <w:outlineLvl w:val="9"/>
              <w:rPr>
                <w:rFonts w:ascii="宋体" w:hAnsi="宋体"/>
                <w:sz w:val="21"/>
                <w:szCs w:val="21"/>
              </w:rPr>
            </w:pPr>
          </w:p>
          <w:p>
            <w:pPr>
              <w:pageBreakBefore w:val="0"/>
              <w:kinsoku/>
              <w:overflowPunct/>
              <w:topLinePunct w:val="0"/>
              <w:bidi w:val="0"/>
              <w:spacing w:line="240" w:lineRule="exact"/>
              <w:outlineLvl w:val="9"/>
              <w:rPr>
                <w:rFonts w:ascii="宋体" w:hAnsi="宋体"/>
                <w:sz w:val="21"/>
                <w:szCs w:val="21"/>
              </w:rPr>
            </w:pPr>
          </w:p>
          <w:p>
            <w:pPr>
              <w:pageBreakBefore w:val="0"/>
              <w:kinsoku/>
              <w:overflowPunct/>
              <w:topLinePunct w:val="0"/>
              <w:bidi w:val="0"/>
              <w:spacing w:line="240" w:lineRule="exact"/>
              <w:ind w:firstLine="6825" w:firstLineChars="3250"/>
              <w:outlineLvl w:val="9"/>
              <w:rPr>
                <w:rFonts w:ascii="宋体" w:hAnsi="宋体"/>
                <w:sz w:val="21"/>
                <w:szCs w:val="21"/>
              </w:rPr>
            </w:pPr>
            <w:r>
              <w:rPr>
                <w:rFonts w:hint="eastAsia" w:ascii="宋体" w:hAnsi="宋体"/>
                <w:sz w:val="21"/>
                <w:szCs w:val="21"/>
              </w:rPr>
              <w:t>申请人签名：</w:t>
            </w:r>
          </w:p>
          <w:p>
            <w:pPr>
              <w:pageBreakBefore w:val="0"/>
              <w:kinsoku/>
              <w:overflowPunct/>
              <w:topLinePunct w:val="0"/>
              <w:bidi w:val="0"/>
              <w:spacing w:line="240" w:lineRule="exact"/>
              <w:outlineLvl w:val="9"/>
              <w:rPr>
                <w:rFonts w:ascii="宋体" w:hAnsi="宋体"/>
                <w:sz w:val="21"/>
                <w:szCs w:val="21"/>
              </w:rPr>
            </w:pPr>
          </w:p>
          <w:p>
            <w:pPr>
              <w:pageBreakBefore w:val="0"/>
              <w:kinsoku/>
              <w:overflowPunct/>
              <w:topLinePunct w:val="0"/>
              <w:bidi w:val="0"/>
              <w:spacing w:line="240" w:lineRule="exact"/>
              <w:outlineLvl w:val="9"/>
              <w:rPr>
                <w:rFonts w:ascii="宋体" w:hAnsi="宋体"/>
                <w:sz w:val="21"/>
                <w:szCs w:val="21"/>
              </w:rPr>
            </w:pPr>
            <w:r>
              <w:rPr>
                <w:rFonts w:hint="eastAsia" w:ascii="宋体" w:hAnsi="宋体"/>
                <w:sz w:val="21"/>
                <w:szCs w:val="21"/>
              </w:rPr>
              <w:t xml:space="preserve">本人承诺上述内容真实无误。                                                年    月    </w:t>
            </w:r>
            <w:r>
              <w:rPr>
                <w:rFonts w:hint="eastAsia"/>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Align w:val="center"/>
          </w:tcPr>
          <w:p>
            <w:pPr>
              <w:pageBreakBefore w:val="0"/>
              <w:kinsoku/>
              <w:overflowPunct/>
              <w:topLinePunct w:val="0"/>
              <w:bidi w:val="0"/>
              <w:spacing w:line="240" w:lineRule="exact"/>
              <w:ind w:firstLine="630" w:firstLineChars="300"/>
              <w:outlineLvl w:val="9"/>
              <w:rPr>
                <w:rFonts w:ascii="宋体" w:hAnsi="宋体" w:cs="仿宋_GB2312"/>
                <w:sz w:val="21"/>
                <w:szCs w:val="21"/>
              </w:rPr>
            </w:pPr>
          </w:p>
          <w:p>
            <w:pPr>
              <w:pageBreakBefore w:val="0"/>
              <w:kinsoku/>
              <w:overflowPunct/>
              <w:topLinePunct w:val="0"/>
              <w:bidi w:val="0"/>
              <w:spacing w:line="240" w:lineRule="exact"/>
              <w:jc w:val="center"/>
              <w:outlineLvl w:val="9"/>
              <w:rPr>
                <w:rFonts w:ascii="宋体" w:hAnsi="宋体"/>
                <w:sz w:val="21"/>
                <w:szCs w:val="21"/>
              </w:rPr>
            </w:pPr>
            <w:r>
              <w:rPr>
                <w:rFonts w:hint="eastAsia" w:ascii="宋体" w:hAnsi="宋体" w:cs="仿宋_GB2312"/>
                <w:sz w:val="21"/>
                <w:szCs w:val="21"/>
              </w:rPr>
              <w:t>班级意见</w:t>
            </w:r>
          </w:p>
        </w:tc>
        <w:tc>
          <w:tcPr>
            <w:tcW w:w="10052" w:type="dxa"/>
            <w:gridSpan w:val="25"/>
            <w:vAlign w:val="center"/>
          </w:tcPr>
          <w:p>
            <w:pPr>
              <w:pageBreakBefore w:val="0"/>
              <w:kinsoku/>
              <w:overflowPunct/>
              <w:topLinePunct w:val="0"/>
              <w:bidi w:val="0"/>
              <w:spacing w:line="240" w:lineRule="exact"/>
              <w:ind w:right="840"/>
              <w:outlineLvl w:val="9"/>
              <w:rPr>
                <w:rFonts w:ascii="宋体" w:hAnsi="宋体" w:cs="仿宋_GB2312"/>
                <w:sz w:val="21"/>
                <w:szCs w:val="21"/>
              </w:rPr>
            </w:pPr>
          </w:p>
          <w:p>
            <w:pPr>
              <w:pageBreakBefore w:val="0"/>
              <w:kinsoku/>
              <w:overflowPunct/>
              <w:topLinePunct w:val="0"/>
              <w:bidi w:val="0"/>
              <w:spacing w:line="240" w:lineRule="exact"/>
              <w:ind w:right="840"/>
              <w:outlineLvl w:val="9"/>
              <w:rPr>
                <w:rFonts w:ascii="宋体" w:hAnsi="宋体" w:cs="仿宋_GB2312"/>
                <w:sz w:val="21"/>
                <w:szCs w:val="21"/>
              </w:rPr>
            </w:pPr>
          </w:p>
          <w:p>
            <w:pPr>
              <w:pageBreakBefore w:val="0"/>
              <w:kinsoku/>
              <w:overflowPunct/>
              <w:topLinePunct w:val="0"/>
              <w:bidi w:val="0"/>
              <w:spacing w:line="240" w:lineRule="exact"/>
              <w:jc w:val="center"/>
              <w:outlineLvl w:val="9"/>
              <w:rPr>
                <w:rFonts w:ascii="宋体" w:hAnsi="宋体" w:cs="仿宋_GB2312"/>
                <w:sz w:val="21"/>
                <w:szCs w:val="21"/>
              </w:rPr>
            </w:pPr>
            <w:r>
              <w:rPr>
                <w:rFonts w:hint="eastAsia" w:ascii="宋体" w:hAnsi="宋体" w:cs="仿宋_GB2312"/>
                <w:sz w:val="21"/>
                <w:szCs w:val="21"/>
              </w:rPr>
              <w:t xml:space="preserve">           辅导员签名：                                                        </w:t>
            </w:r>
          </w:p>
          <w:p>
            <w:pPr>
              <w:pageBreakBefore w:val="0"/>
              <w:kinsoku/>
              <w:overflowPunct/>
              <w:topLinePunct w:val="0"/>
              <w:bidi w:val="0"/>
              <w:spacing w:line="240" w:lineRule="exact"/>
              <w:jc w:val="center"/>
              <w:outlineLvl w:val="9"/>
              <w:rPr>
                <w:rFonts w:ascii="宋体" w:hAnsi="宋体"/>
                <w:sz w:val="21"/>
                <w:szCs w:val="21"/>
                <w:u w:val="single"/>
              </w:rPr>
            </w:pPr>
            <w:r>
              <w:rPr>
                <w:rFonts w:hint="eastAsia" w:ascii="宋体" w:hAnsi="宋体" w:cs="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Align w:val="center"/>
          </w:tcPr>
          <w:p>
            <w:pPr>
              <w:pageBreakBefore w:val="0"/>
              <w:kinsoku/>
              <w:overflowPunct/>
              <w:topLinePunct w:val="0"/>
              <w:bidi w:val="0"/>
              <w:adjustRightInd w:val="0"/>
              <w:snapToGrid w:val="0"/>
              <w:spacing w:line="240" w:lineRule="exact"/>
              <w:jc w:val="center"/>
              <w:outlineLvl w:val="9"/>
              <w:rPr>
                <w:rFonts w:ascii="宋体" w:hAnsi="宋体" w:cs="仿宋_GB2312"/>
                <w:sz w:val="21"/>
                <w:szCs w:val="21"/>
              </w:rPr>
            </w:pPr>
            <w:r>
              <w:rPr>
                <w:rFonts w:hint="eastAsia" w:ascii="宋体" w:hAnsi="宋体" w:cs="仿宋_GB2312"/>
                <w:sz w:val="21"/>
                <w:szCs w:val="21"/>
              </w:rPr>
              <w:t>二级学院初审意见</w:t>
            </w:r>
          </w:p>
        </w:tc>
        <w:tc>
          <w:tcPr>
            <w:tcW w:w="10052" w:type="dxa"/>
            <w:gridSpan w:val="25"/>
          </w:tcPr>
          <w:p>
            <w:pPr>
              <w:pageBreakBefore w:val="0"/>
              <w:widowControl/>
              <w:kinsoku/>
              <w:overflowPunct/>
              <w:topLinePunct w:val="0"/>
              <w:bidi w:val="0"/>
              <w:spacing w:line="240" w:lineRule="exact"/>
              <w:jc w:val="left"/>
              <w:outlineLvl w:val="9"/>
              <w:rPr>
                <w:rFonts w:ascii="宋体" w:hAnsi="宋体" w:cs="仿宋_GB2312"/>
                <w:sz w:val="21"/>
                <w:szCs w:val="21"/>
              </w:rPr>
            </w:pPr>
          </w:p>
          <w:p>
            <w:pPr>
              <w:pageBreakBefore w:val="0"/>
              <w:widowControl/>
              <w:kinsoku/>
              <w:overflowPunct/>
              <w:topLinePunct w:val="0"/>
              <w:bidi w:val="0"/>
              <w:spacing w:line="240" w:lineRule="exact"/>
              <w:jc w:val="left"/>
              <w:outlineLvl w:val="9"/>
              <w:rPr>
                <w:rFonts w:ascii="宋体" w:hAnsi="宋体" w:cs="仿宋_GB2312"/>
                <w:sz w:val="21"/>
                <w:szCs w:val="21"/>
              </w:rPr>
            </w:pPr>
          </w:p>
          <w:p>
            <w:pPr>
              <w:pageBreakBefore w:val="0"/>
              <w:kinsoku/>
              <w:overflowPunct/>
              <w:topLinePunct w:val="0"/>
              <w:bidi w:val="0"/>
              <w:spacing w:line="240" w:lineRule="exact"/>
              <w:ind w:right="1260"/>
              <w:jc w:val="right"/>
              <w:outlineLvl w:val="9"/>
              <w:rPr>
                <w:rFonts w:ascii="宋体" w:hAnsi="宋体" w:cs="仿宋_GB2312"/>
                <w:sz w:val="21"/>
                <w:szCs w:val="21"/>
              </w:rPr>
            </w:pPr>
          </w:p>
          <w:p>
            <w:pPr>
              <w:pageBreakBefore w:val="0"/>
              <w:kinsoku/>
              <w:overflowPunct/>
              <w:topLinePunct w:val="0"/>
              <w:bidi w:val="0"/>
              <w:spacing w:line="240" w:lineRule="exact"/>
              <w:ind w:left="4145"/>
              <w:jc w:val="center"/>
              <w:outlineLvl w:val="9"/>
              <w:rPr>
                <w:rFonts w:ascii="宋体" w:hAnsi="宋体" w:cs="仿宋_GB2312"/>
                <w:sz w:val="21"/>
                <w:szCs w:val="21"/>
              </w:rPr>
            </w:pPr>
            <w:r>
              <w:rPr>
                <w:rFonts w:hint="eastAsia" w:ascii="宋体" w:hAnsi="宋体" w:cs="仿宋_GB2312"/>
                <w:sz w:val="21"/>
                <w:szCs w:val="21"/>
              </w:rPr>
              <w:t xml:space="preserve">学院主管学生工作领导签名：         （盖章）  </w:t>
            </w:r>
          </w:p>
          <w:p>
            <w:pPr>
              <w:pageBreakBefore w:val="0"/>
              <w:kinsoku/>
              <w:overflowPunct/>
              <w:topLinePunct w:val="0"/>
              <w:bidi w:val="0"/>
              <w:spacing w:line="240" w:lineRule="exact"/>
              <w:ind w:right="315"/>
              <w:jc w:val="right"/>
              <w:outlineLvl w:val="9"/>
              <w:rPr>
                <w:rFonts w:ascii="宋体" w:hAnsi="宋体" w:cs="仿宋_GB2312"/>
                <w:sz w:val="21"/>
                <w:szCs w:val="21"/>
              </w:rPr>
            </w:pPr>
            <w:r>
              <w:rPr>
                <w:rFonts w:hint="eastAsia" w:ascii="宋体" w:hAnsi="宋体" w:cs="仿宋_GB2312"/>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Align w:val="center"/>
          </w:tcPr>
          <w:p>
            <w:pPr>
              <w:pageBreakBefore w:val="0"/>
              <w:kinsoku/>
              <w:overflowPunct/>
              <w:topLinePunct w:val="0"/>
              <w:bidi w:val="0"/>
              <w:spacing w:line="240" w:lineRule="exact"/>
              <w:jc w:val="center"/>
              <w:outlineLvl w:val="9"/>
              <w:rPr>
                <w:rFonts w:ascii="宋体" w:hAnsi="宋体" w:cs="仿宋_GB2312"/>
                <w:sz w:val="21"/>
                <w:szCs w:val="21"/>
              </w:rPr>
            </w:pPr>
            <w:r>
              <w:rPr>
                <w:rFonts w:hint="eastAsia" w:ascii="宋体" w:hAnsi="宋体" w:cs="仿宋_GB2312"/>
                <w:sz w:val="21"/>
                <w:szCs w:val="21"/>
              </w:rPr>
              <w:t>学校</w:t>
            </w:r>
          </w:p>
          <w:p>
            <w:pPr>
              <w:pageBreakBefore w:val="0"/>
              <w:kinsoku/>
              <w:overflowPunct/>
              <w:topLinePunct w:val="0"/>
              <w:bidi w:val="0"/>
              <w:spacing w:line="240" w:lineRule="exact"/>
              <w:jc w:val="center"/>
              <w:outlineLvl w:val="9"/>
              <w:rPr>
                <w:rFonts w:ascii="宋体" w:hAnsi="宋体" w:cs="仿宋_GB2312"/>
                <w:sz w:val="21"/>
                <w:szCs w:val="21"/>
              </w:rPr>
            </w:pPr>
            <w:r>
              <w:rPr>
                <w:rFonts w:hint="eastAsia" w:ascii="宋体" w:hAnsi="宋体" w:cs="仿宋_GB2312"/>
                <w:sz w:val="21"/>
                <w:szCs w:val="21"/>
              </w:rPr>
              <w:t>审核意见</w:t>
            </w:r>
          </w:p>
        </w:tc>
        <w:tc>
          <w:tcPr>
            <w:tcW w:w="10052" w:type="dxa"/>
            <w:gridSpan w:val="25"/>
          </w:tcPr>
          <w:p>
            <w:pPr>
              <w:pageBreakBefore w:val="0"/>
              <w:kinsoku/>
              <w:overflowPunct/>
              <w:topLinePunct w:val="0"/>
              <w:bidi w:val="0"/>
              <w:spacing w:line="240" w:lineRule="exact"/>
              <w:jc w:val="right"/>
              <w:outlineLvl w:val="9"/>
              <w:rPr>
                <w:rFonts w:ascii="宋体" w:hAnsi="宋体" w:cs="仿宋_GB2312"/>
                <w:sz w:val="21"/>
                <w:szCs w:val="21"/>
              </w:rPr>
            </w:pPr>
          </w:p>
          <w:p>
            <w:pPr>
              <w:pageBreakBefore w:val="0"/>
              <w:kinsoku/>
              <w:overflowPunct/>
              <w:topLinePunct w:val="0"/>
              <w:bidi w:val="0"/>
              <w:spacing w:line="240" w:lineRule="exact"/>
              <w:ind w:left="7628"/>
              <w:jc w:val="center"/>
              <w:outlineLvl w:val="9"/>
              <w:rPr>
                <w:rFonts w:ascii="宋体" w:hAnsi="宋体" w:cs="仿宋_GB2312"/>
                <w:sz w:val="21"/>
                <w:szCs w:val="21"/>
              </w:rPr>
            </w:pPr>
          </w:p>
          <w:p>
            <w:pPr>
              <w:pageBreakBefore w:val="0"/>
              <w:kinsoku/>
              <w:overflowPunct/>
              <w:topLinePunct w:val="0"/>
              <w:bidi w:val="0"/>
              <w:spacing w:line="240" w:lineRule="exact"/>
              <w:ind w:left="7628"/>
              <w:jc w:val="center"/>
              <w:outlineLvl w:val="9"/>
              <w:rPr>
                <w:rFonts w:ascii="宋体" w:hAnsi="宋体" w:cs="仿宋_GB2312"/>
                <w:sz w:val="21"/>
                <w:szCs w:val="21"/>
              </w:rPr>
            </w:pPr>
            <w:r>
              <w:rPr>
                <w:rFonts w:hint="eastAsia" w:ascii="宋体" w:hAnsi="宋体" w:cs="仿宋_GB2312"/>
                <w:sz w:val="21"/>
                <w:szCs w:val="21"/>
              </w:rPr>
              <w:t xml:space="preserve">    （公章）</w:t>
            </w:r>
          </w:p>
          <w:p>
            <w:pPr>
              <w:pageBreakBefore w:val="0"/>
              <w:kinsoku/>
              <w:overflowPunct/>
              <w:topLinePunct w:val="0"/>
              <w:bidi w:val="0"/>
              <w:spacing w:line="240" w:lineRule="exact"/>
              <w:ind w:left="7628"/>
              <w:jc w:val="center"/>
              <w:outlineLvl w:val="9"/>
              <w:rPr>
                <w:rFonts w:ascii="宋体" w:hAnsi="宋体" w:cs="仿宋_GB2312"/>
                <w:sz w:val="21"/>
                <w:szCs w:val="21"/>
              </w:rPr>
            </w:pPr>
            <w:r>
              <w:rPr>
                <w:rFonts w:hint="eastAsia" w:ascii="宋体" w:hAnsi="宋体" w:cs="仿宋_GB2312"/>
                <w:sz w:val="21"/>
                <w:szCs w:val="21"/>
              </w:rPr>
              <w:t xml:space="preserve">  年   月   日</w:t>
            </w:r>
          </w:p>
        </w:tc>
      </w:tr>
    </w:tbl>
    <w:p>
      <w:pPr>
        <w:pageBreakBefore w:val="0"/>
        <w:kinsoku/>
        <w:overflowPunct/>
        <w:topLinePunct w:val="0"/>
        <w:bidi w:val="0"/>
        <w:spacing w:line="240" w:lineRule="exact"/>
        <w:outlineLvl w:val="9"/>
        <w:rPr>
          <w:rFonts w:ascii="仿宋_GB2312" w:eastAsia="仿宋_GB2312"/>
          <w:spacing w:val="-2"/>
          <w:sz w:val="21"/>
          <w:szCs w:val="21"/>
        </w:rPr>
      </w:pPr>
      <w:r>
        <w:rPr>
          <w:rFonts w:hint="eastAsia"/>
          <w:sz w:val="20"/>
          <w:szCs w:val="21"/>
        </w:rPr>
        <w:t>注：</w:t>
      </w:r>
      <w:r>
        <w:rPr>
          <w:rFonts w:hint="eastAsia"/>
          <w:spacing w:val="-2"/>
          <w:sz w:val="20"/>
          <w:szCs w:val="21"/>
        </w:rPr>
        <w:t>本表需附带学生所在乡镇（街道）民政部门、村（居）委会证明或申请理由中所提到的其他相关证明等材料，本学年度家庭经济困难认定时已交证明材料的只需上交新增的证明材料，没有新增的无需上交。</w:t>
      </w:r>
    </w:p>
    <w:p>
      <w:pPr>
        <w:pageBreakBefore w:val="0"/>
        <w:kinsoku/>
        <w:overflowPunct/>
        <w:topLinePunct w:val="0"/>
        <w:bidi w:val="0"/>
        <w:outlineLvl w:val="9"/>
      </w:pPr>
      <w:r>
        <w:rPr>
          <w:rFonts w:hint="eastAsia" w:ascii="仿宋_GB2312" w:eastAsia="仿宋_GB2312"/>
          <w:b w:val="0"/>
          <w:bCs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b/>
          <w:color w:val="000000"/>
          <w:sz w:val="36"/>
          <w:szCs w:val="36"/>
        </w:rPr>
      </w:pPr>
      <w:bookmarkStart w:id="639" w:name="_Toc28401_WPSOffice_Level1"/>
      <w:bookmarkStart w:id="640" w:name="_Toc31470"/>
      <w:bookmarkStart w:id="641" w:name="_Toc24266"/>
      <w:bookmarkStart w:id="642" w:name="_Toc29068"/>
      <w:bookmarkStart w:id="643" w:name="_Toc5487"/>
      <w:bookmarkStart w:id="644" w:name="_Toc13355"/>
      <w:bookmarkStart w:id="645" w:name="_Toc28137"/>
      <w:r>
        <w:rPr>
          <w:rFonts w:hint="eastAsia"/>
          <w:b/>
          <w:color w:val="000000"/>
          <w:sz w:val="36"/>
          <w:szCs w:val="36"/>
        </w:rPr>
        <w:t>柳州职业技术学院学生违纪处分规定</w:t>
      </w:r>
      <w:bookmarkEnd w:id="639"/>
      <w:bookmarkEnd w:id="640"/>
      <w:bookmarkEnd w:id="641"/>
      <w:bookmarkEnd w:id="642"/>
      <w:bookmarkEnd w:id="643"/>
      <w:bookmarkEnd w:id="644"/>
      <w:bookmarkEnd w:id="645"/>
    </w:p>
    <w:p>
      <w:pPr>
        <w:pageBreakBefore w:val="0"/>
        <w:kinsoku/>
        <w:overflowPunct/>
        <w:topLinePunct w:val="0"/>
        <w:bidi w:val="0"/>
        <w:spacing w:line="580" w:lineRule="exact"/>
        <w:jc w:val="center"/>
        <w:outlineLvl w:val="9"/>
        <w:rPr>
          <w:rFonts w:hint="eastAsia" w:ascii="仿宋_GB2312" w:eastAsia="仿宋_GB2312"/>
          <w:b w:val="0"/>
          <w:bCs/>
          <w:sz w:val="32"/>
          <w:szCs w:val="32"/>
          <w:lang w:eastAsia="zh-CN"/>
        </w:rPr>
      </w:pPr>
      <w:r>
        <w:rPr>
          <w:rFonts w:hint="eastAsia" w:ascii="仿宋_GB2312" w:eastAsia="仿宋_GB2312"/>
          <w:b w:val="0"/>
          <w:bCs/>
          <w:sz w:val="32"/>
          <w:szCs w:val="32"/>
          <w:lang w:eastAsia="zh-CN"/>
        </w:rPr>
        <w:t>（</w:t>
      </w:r>
      <w:r>
        <w:rPr>
          <w:rFonts w:hint="eastAsia" w:ascii="仿宋_GB2312" w:eastAsia="仿宋_GB2312"/>
          <w:b w:val="0"/>
          <w:bCs/>
          <w:sz w:val="32"/>
          <w:szCs w:val="32"/>
        </w:rPr>
        <w:t>柳职院学字〔2019〕60号</w:t>
      </w:r>
      <w:r>
        <w:rPr>
          <w:rFonts w:hint="eastAsia" w:ascii="仿宋_GB2312" w:eastAsia="仿宋_GB2312"/>
          <w:b w:val="0"/>
          <w:bCs/>
          <w:sz w:val="32"/>
          <w:szCs w:val="32"/>
          <w:lang w:eastAsia="zh-CN"/>
        </w:rPr>
        <w:t>）</w:t>
      </w:r>
    </w:p>
    <w:p>
      <w:pPr>
        <w:pageBreakBefore w:val="0"/>
        <w:kinsoku/>
        <w:overflowPunct/>
        <w:topLinePunct w:val="0"/>
        <w:bidi w:val="0"/>
        <w:spacing w:line="580" w:lineRule="exact"/>
        <w:jc w:val="center"/>
        <w:outlineLvl w:val="9"/>
        <w:rPr>
          <w:rFonts w:hint="eastAsia" w:ascii="仿宋_GB2312" w:eastAsia="仿宋_GB2312"/>
          <w:b w:val="0"/>
          <w:bCs/>
          <w:sz w:val="32"/>
          <w:szCs w:val="32"/>
          <w:lang w:eastAsia="zh-CN"/>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46" w:name="_Toc23173_WPSOffice_Level1"/>
      <w:r>
        <w:rPr>
          <w:rFonts w:hint="eastAsia" w:ascii="黑体" w:hAnsi="黑体" w:eastAsia="黑体"/>
          <w:b/>
          <w:sz w:val="32"/>
          <w:szCs w:val="32"/>
        </w:rPr>
        <w:t>第一章   总  则</w:t>
      </w:r>
      <w:bookmarkEnd w:id="646"/>
    </w:p>
    <w:p>
      <w:pPr>
        <w:pageBreakBefore w:val="0"/>
        <w:kinsoku/>
        <w:overflowPunct/>
        <w:topLinePunct w:val="0"/>
        <w:bidi w:val="0"/>
        <w:spacing w:line="596" w:lineRule="exact"/>
        <w:ind w:firstLine="643" w:firstLineChars="200"/>
        <w:outlineLvl w:val="9"/>
        <w:rPr>
          <w:rFonts w:hint="eastAsia" w:ascii="仿宋_GB2312" w:hAnsi="宋体" w:eastAsia="仿宋_GB2312" w:cs="方正黑体简体"/>
          <w:bCs/>
          <w:sz w:val="32"/>
          <w:szCs w:val="32"/>
        </w:rPr>
      </w:pPr>
      <w:r>
        <w:rPr>
          <w:rFonts w:hint="eastAsia" w:ascii="仿宋_GB2312" w:hAnsi="宋体" w:eastAsia="仿宋_GB2312" w:cs="方正黑体简体"/>
          <w:b/>
          <w:bCs/>
          <w:sz w:val="32"/>
          <w:szCs w:val="32"/>
        </w:rPr>
        <w:t>第一条</w:t>
      </w:r>
      <w:r>
        <w:rPr>
          <w:rFonts w:hint="eastAsia" w:ascii="仿宋_GB2312" w:hAnsi="宋体" w:eastAsia="仿宋_GB2312" w:cs="方正黑体简体"/>
          <w:bCs/>
          <w:sz w:val="32"/>
          <w:szCs w:val="32"/>
        </w:rPr>
        <w:t xml:space="preserve">  为了维护学校正常的教学和生活秩序，建设优良的学习、生活环境，规范管理、依法治校，保障学生身心健康，促进学生德、智、体、美全面发展，根据《中华人民共和国教育法》、《中华人民共和国高等教育法》、《普通高等学院学生管理规定》、《高等学院校园秩序管理若干规定》、《高等学院学生行为准则》、《公民道德建设实施纲要》以及其他有关规定，结合我校实际，制定本规定。</w:t>
      </w:r>
    </w:p>
    <w:p>
      <w:pPr>
        <w:pageBreakBefore w:val="0"/>
        <w:kinsoku/>
        <w:overflowPunct/>
        <w:topLinePunct w:val="0"/>
        <w:bidi w:val="0"/>
        <w:spacing w:line="596" w:lineRule="exact"/>
        <w:ind w:firstLine="643" w:firstLineChars="200"/>
        <w:outlineLvl w:val="9"/>
        <w:rPr>
          <w:rFonts w:hint="eastAsia" w:ascii="仿宋_GB2312" w:hAnsi="宋体" w:eastAsia="仿宋_GB2312" w:cs="方正黑体简体"/>
          <w:bCs/>
          <w:sz w:val="32"/>
          <w:szCs w:val="32"/>
        </w:rPr>
      </w:pPr>
      <w:r>
        <w:rPr>
          <w:rFonts w:hint="eastAsia" w:ascii="仿宋_GB2312" w:hAnsi="宋体" w:eastAsia="仿宋_GB2312" w:cs="方正黑体简体"/>
          <w:b/>
          <w:bCs/>
          <w:sz w:val="32"/>
          <w:szCs w:val="32"/>
        </w:rPr>
        <w:t xml:space="preserve">第二条  </w:t>
      </w:r>
      <w:r>
        <w:rPr>
          <w:rFonts w:hint="eastAsia" w:ascii="仿宋_GB2312" w:hAnsi="宋体" w:eastAsia="仿宋_GB2312" w:cs="方正黑体简体"/>
          <w:bCs/>
          <w:sz w:val="32"/>
          <w:szCs w:val="32"/>
        </w:rPr>
        <w:t>本办法适用于我院全日制普通高职学生。成人高等教育、委托培养的学生参照本规定实施。</w:t>
      </w:r>
    </w:p>
    <w:p>
      <w:pPr>
        <w:pageBreakBefore w:val="0"/>
        <w:kinsoku/>
        <w:overflowPunct/>
        <w:topLinePunct w:val="0"/>
        <w:bidi w:val="0"/>
        <w:spacing w:line="596" w:lineRule="exact"/>
        <w:ind w:firstLine="643" w:firstLineChars="200"/>
        <w:outlineLvl w:val="9"/>
        <w:rPr>
          <w:rFonts w:hint="eastAsia" w:ascii="仿宋_GB2312" w:hAnsi="宋体" w:eastAsia="仿宋_GB2312" w:cs="方正黑体简体"/>
          <w:bCs/>
          <w:sz w:val="32"/>
          <w:szCs w:val="32"/>
        </w:rPr>
      </w:pPr>
      <w:r>
        <w:rPr>
          <w:rFonts w:hint="eastAsia" w:ascii="仿宋_GB2312" w:hAnsi="宋体" w:eastAsia="仿宋_GB2312" w:cs="方正黑体简体"/>
          <w:b/>
          <w:bCs/>
          <w:sz w:val="32"/>
          <w:szCs w:val="32"/>
        </w:rPr>
        <w:t>第三条</w:t>
      </w:r>
      <w:r>
        <w:rPr>
          <w:rFonts w:hint="eastAsia" w:ascii="仿宋_GB2312" w:hAnsi="宋体" w:eastAsia="仿宋_GB2312" w:cs="方正黑体简体"/>
          <w:bCs/>
          <w:sz w:val="32"/>
          <w:szCs w:val="32"/>
        </w:rPr>
        <w:t xml:space="preserve">  学生在校内有违纪行为的，依照本办法给予纪律处分。学生在校外参加教学实习、考察、社会实践等社会活动有违纪行为，参照本办法给予纪律处分。</w:t>
      </w:r>
    </w:p>
    <w:p>
      <w:pPr>
        <w:pageBreakBefore w:val="0"/>
        <w:kinsoku/>
        <w:overflowPunct/>
        <w:topLinePunct w:val="0"/>
        <w:bidi w:val="0"/>
        <w:spacing w:line="596" w:lineRule="exact"/>
        <w:ind w:firstLine="643" w:firstLineChars="200"/>
        <w:outlineLvl w:val="9"/>
        <w:rPr>
          <w:rFonts w:hint="eastAsia" w:ascii="仿宋_GB2312" w:hAnsi="宋体" w:eastAsia="仿宋_GB2312" w:cs="方正黑体简体"/>
          <w:bCs/>
          <w:sz w:val="32"/>
          <w:szCs w:val="32"/>
        </w:rPr>
      </w:pPr>
      <w:r>
        <w:rPr>
          <w:rFonts w:hint="eastAsia" w:ascii="仿宋_GB2312" w:hAnsi="宋体" w:eastAsia="仿宋_GB2312" w:cs="方正黑体简体"/>
          <w:b/>
          <w:bCs/>
          <w:sz w:val="32"/>
          <w:szCs w:val="32"/>
        </w:rPr>
        <w:t>第四条</w:t>
      </w:r>
      <w:r>
        <w:rPr>
          <w:rFonts w:hint="eastAsia" w:ascii="仿宋_GB2312" w:hAnsi="宋体" w:eastAsia="仿宋_GB2312" w:cs="方正黑体简体"/>
          <w:bCs/>
          <w:sz w:val="32"/>
          <w:szCs w:val="32"/>
        </w:rPr>
        <w:t xml:space="preserve">  违纪处分坚持公平、公开、公正原则；坚持教育与处分相结合原则；坚持学生的申诉权保障原则。</w:t>
      </w:r>
    </w:p>
    <w:p>
      <w:pPr>
        <w:pageBreakBefore w:val="0"/>
        <w:kinsoku/>
        <w:overflowPunct/>
        <w:topLinePunct w:val="0"/>
        <w:bidi w:val="0"/>
        <w:spacing w:line="596" w:lineRule="exact"/>
        <w:ind w:firstLine="640" w:firstLineChars="200"/>
        <w:outlineLvl w:val="9"/>
        <w:rPr>
          <w:rFonts w:hint="eastAsia" w:ascii="仿宋_GB2312" w:hAnsi="宋体" w:eastAsia="仿宋_GB2312" w:cs="方正黑体简体"/>
          <w:bCs/>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47" w:name="_Toc2899_WPSOffice_Level1"/>
      <w:r>
        <w:rPr>
          <w:rFonts w:hint="eastAsia" w:ascii="黑体" w:hAnsi="黑体" w:eastAsia="黑体"/>
          <w:b/>
          <w:sz w:val="32"/>
          <w:szCs w:val="32"/>
        </w:rPr>
        <w:t>第二章  处分的种类和运用</w:t>
      </w:r>
      <w:bookmarkEnd w:id="647"/>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第五条</w:t>
      </w:r>
      <w:r>
        <w:rPr>
          <w:rFonts w:hint="eastAsia" w:ascii="仿宋_GB2312" w:hAnsi="宋体" w:eastAsia="仿宋_GB2312"/>
          <w:sz w:val="32"/>
          <w:szCs w:val="32"/>
        </w:rPr>
        <w:t xml:space="preserve">  对有违法、违规、违纪行为的学生，学</w:t>
      </w:r>
      <w:r>
        <w:rPr>
          <w:rFonts w:hint="eastAsia" w:ascii="仿宋_GB2312" w:hAnsi="宋体" w:eastAsia="仿宋_GB2312"/>
          <w:bCs/>
          <w:sz w:val="32"/>
          <w:szCs w:val="32"/>
        </w:rPr>
        <w:t>校</w:t>
      </w:r>
      <w:r>
        <w:rPr>
          <w:rFonts w:hint="eastAsia" w:ascii="仿宋_GB2312" w:hAnsi="宋体" w:eastAsia="仿宋_GB2312"/>
          <w:sz w:val="32"/>
          <w:szCs w:val="32"/>
        </w:rPr>
        <w:t>视其情节轻重，认错态度，悔改表现等，给予下列处分: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（一）警告；（二）严重警告；（三）记过；（四）留校察看；（五）开除学籍。</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学生有违反校规校纪的行为，但情节轻微不足以给予行政处分的，应由学生所在二级学院给予通报批评，督促其改正错误。</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第六条</w:t>
      </w:r>
      <w:r>
        <w:rPr>
          <w:rFonts w:hint="eastAsia" w:ascii="仿宋_GB2312" w:hAnsi="宋体" w:eastAsia="仿宋_GB2312"/>
          <w:sz w:val="32"/>
          <w:szCs w:val="32"/>
        </w:rPr>
        <w:t xml:space="preserve">  违反校纪者，有下列情形之一，且危害后果轻微，可以从轻处分：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（一）能主动承认错误，如实交代错误事实，检查认真深刻，有悔改表现；</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（二）确系他人胁迫，认错态度好；</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（三）其他可从轻处分的情形。</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第七条</w:t>
      </w:r>
      <w:r>
        <w:rPr>
          <w:rFonts w:hint="eastAsia" w:ascii="仿宋_GB2312" w:hAnsi="宋体" w:eastAsia="仿宋_GB2312"/>
          <w:sz w:val="32"/>
          <w:szCs w:val="32"/>
        </w:rPr>
        <w:t xml:space="preserve">  违反校纪者，有下列情形之一，应从重处分：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（一）认错态度不好者；</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（二）故意给调查造成困难者；</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（三）制造障碍，妨碍调查取证者；</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（四）在校期间已受过处分者；</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（五）对检举揭发人、证人或工作人员威胁恐吓，打击报复者；</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（六）其他应予从重处分的情形。</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第八条</w:t>
      </w:r>
      <w:r>
        <w:rPr>
          <w:rFonts w:hint="eastAsia" w:ascii="仿宋_GB2312" w:hAnsi="宋体" w:eastAsia="仿宋_GB2312"/>
          <w:sz w:val="32"/>
          <w:szCs w:val="32"/>
        </w:rPr>
        <w:t xml:space="preserve">  受处分者，附加给予下列限制：</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（一）受处分者（除开除学籍处分外），在处分未解除前不得评定奖学金及各种荣誉称号。</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sz w:val="32"/>
          <w:szCs w:val="32"/>
        </w:rPr>
        <w:t>（二）</w:t>
      </w:r>
      <w:r>
        <w:rPr>
          <w:rFonts w:hint="eastAsia" w:ascii="仿宋_GB2312" w:hAnsi="宋体" w:eastAsia="仿宋_GB2312"/>
          <w:bCs/>
          <w:sz w:val="32"/>
          <w:szCs w:val="32"/>
        </w:rPr>
        <w:t>被开除学籍的学生，由学校发给学习证明。学生按学校规定期限离校，档案由学校退回其家庭所在地，户口按照国家相关规定迁回原户籍地或者家庭户籍所在地。</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48" w:name="_Toc16637_WPSOffice_Level1"/>
      <w:r>
        <w:rPr>
          <w:rFonts w:hint="eastAsia" w:ascii="黑体" w:hAnsi="黑体" w:eastAsia="黑体"/>
          <w:b/>
          <w:sz w:val="32"/>
          <w:szCs w:val="32"/>
        </w:rPr>
        <w:t>第三章</w:t>
      </w:r>
      <w:r>
        <w:rPr>
          <w:rFonts w:hint="eastAsia" w:ascii="黑体" w:hAnsi="黑体" w:eastAsia="黑体"/>
          <w:b/>
          <w:sz w:val="32"/>
          <w:szCs w:val="32"/>
          <w:lang w:val="en-US" w:eastAsia="zh-CN"/>
        </w:rPr>
        <w:t xml:space="preserve">  </w:t>
      </w:r>
      <w:r>
        <w:rPr>
          <w:rFonts w:hint="eastAsia" w:ascii="黑体" w:hAnsi="黑体" w:eastAsia="黑体"/>
          <w:b/>
          <w:sz w:val="32"/>
          <w:szCs w:val="32"/>
        </w:rPr>
        <w:t>违纪行为和处分</w:t>
      </w:r>
      <w:bookmarkEnd w:id="648"/>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第九条</w:t>
      </w:r>
      <w:r>
        <w:rPr>
          <w:rFonts w:hint="eastAsia" w:ascii="仿宋_GB2312" w:hAnsi="宋体" w:eastAsia="仿宋_GB2312"/>
          <w:bCs/>
          <w:sz w:val="32"/>
          <w:szCs w:val="32"/>
        </w:rPr>
        <w:t xml:space="preserve">  学生违反国家法律、法规、法令，受司法部门处罚者，视其情节轻重给予以下处分：</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（一）违反治安管理处罚条例的视情节轻重给予警告至开除学籍处分；</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（二）被刑事处罚者，给予开除学籍处分。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第十条</w:t>
      </w:r>
      <w:r>
        <w:rPr>
          <w:rFonts w:hint="eastAsia" w:ascii="仿宋_GB2312" w:hAnsi="宋体" w:eastAsia="仿宋_GB2312"/>
          <w:bCs/>
          <w:sz w:val="32"/>
          <w:szCs w:val="32"/>
        </w:rPr>
        <w:t xml:space="preserve">  有违反宪法，反对四项基本原则的言论和行为，破坏安定团结，扰乱正常的教学秩序和生活秩序，煽动和组织闹事者，视其情节轻重给予以下处分：</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（一）非法集会、游行、示威、罢课等，对策划、组织者给予留校察看至开除学籍处分；对骨干分子，视其情节轻重给予记过至开除学籍处分；</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（二）公开发表反对四项基本原则的文章、演讲、宣言、声明，经教育仍坚持不改者，给予开除学籍处分；经教育能改正者，可酌情减轻处分；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（三）制作、印刷、书写、张贴、散发有损安定团结的标语、传单、大小字报、图片等，视情节轻重，给予严重警告至开除学籍处分；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（四）制造或散布谣言煽动群众，制造混乱，视其情节轻重，给予严重警告至开除学籍处分。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第十一条</w:t>
      </w:r>
      <w:r>
        <w:rPr>
          <w:rFonts w:hint="eastAsia" w:ascii="仿宋_GB2312" w:hAnsi="宋体" w:eastAsia="仿宋_GB2312"/>
          <w:bCs/>
          <w:sz w:val="32"/>
          <w:szCs w:val="32"/>
        </w:rPr>
        <w:t xml:space="preserve">  组织、成立、加入非法社会团体，从事非法活动，出版非法刊物，给予严重警告至开除学籍处分。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第十二条</w:t>
      </w:r>
      <w:r>
        <w:rPr>
          <w:rFonts w:hint="eastAsia" w:ascii="仿宋_GB2312" w:hAnsi="宋体" w:eastAsia="仿宋_GB2312"/>
          <w:bCs/>
          <w:sz w:val="32"/>
          <w:szCs w:val="32"/>
        </w:rPr>
        <w:t xml:space="preserve">  泄露国家机密，造成严重后果者，给予记过至开除学籍处分。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第十三条</w:t>
      </w:r>
      <w:r>
        <w:rPr>
          <w:rFonts w:hint="eastAsia" w:ascii="仿宋_GB2312" w:hAnsi="宋体" w:eastAsia="仿宋_GB2312"/>
          <w:bCs/>
          <w:sz w:val="32"/>
          <w:szCs w:val="32"/>
        </w:rPr>
        <w:t xml:space="preserve">  剽窃、抄袭他人研究成果者，给予记过至开除学籍处分。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第十四条</w:t>
      </w:r>
      <w:r>
        <w:rPr>
          <w:rFonts w:hint="eastAsia" w:ascii="仿宋_GB2312" w:hAnsi="宋体" w:eastAsia="仿宋_GB2312"/>
          <w:bCs/>
          <w:sz w:val="32"/>
          <w:szCs w:val="32"/>
        </w:rPr>
        <w:t xml:space="preserve">  违反国家、自治区和学校计算机信息系统管理规定，从事下列危害计算机信息网络安全的活动，视其情节轻重给予以下处分：</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（一）未经允许，进入计算机信息网络或使用计算机信息网络资源者，给予严重警告至开除学籍处分；</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（二）未经允许，对计算机信息网络功能或存储、处理、传输的数据和应用程序进行删除、修改、添加、干扰者，给予留校察看至开除学籍处分；</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（三）故意制作、传播计算机病毒等破坏性程序，影响计算机网络正常运作者，给予留校察看至开除学籍处分；</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（四）盗用计算机网络资源，影响计算机系统正常运作，或侵犯他人通讯自由，通讯秘密或其他合法权益者，给予警告至开除学籍处分；</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（五）未经批准擅自连接计算机网络集成器、交换机、双头网络线，经批评教育仍不改者，给予警告至留校察看处分。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第十五条</w:t>
      </w:r>
      <w:r>
        <w:rPr>
          <w:rFonts w:hint="eastAsia" w:ascii="仿宋_GB2312" w:hAnsi="宋体" w:eastAsia="仿宋_GB2312"/>
          <w:bCs/>
          <w:sz w:val="32"/>
          <w:szCs w:val="32"/>
        </w:rPr>
        <w:t xml:space="preserve">  诈骗、盗窃、损毁公私财物者，除追回赃款、赃物或赔偿损失外，根据下列情形给予相应处分：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（一）价值不满五百元者，给予警告至记过处分；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（二）价值五百元以上未达一千元者，给予留校察看处分；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（三）价值一千元以上者，给予开除学籍处分；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（四）经公安部门确认为盗窃行为，但未窃得财物者，给予警告处分；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（五）冒领他人存款、汇款或其他财物者，参照本条（一）至（三）款处罚。</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第十六条</w:t>
      </w:r>
      <w:r>
        <w:rPr>
          <w:rFonts w:hint="eastAsia" w:ascii="仿宋_GB2312" w:hAnsi="宋体" w:eastAsia="仿宋_GB2312"/>
          <w:bCs/>
          <w:sz w:val="32"/>
          <w:szCs w:val="32"/>
        </w:rPr>
        <w:t xml:space="preserve">  凡以财物作赌注比输赢的活动，都是赌博行为。任何形式的赌博都是违法行为，必须严厉禁止。以各种形式在校内进行赌博或提供赌博条件者，除没收赌资、赌具外，视其情节轻重给予下列处分：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（一）初次参加赌博者，给予警告处分；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 xml:space="preserve">（二）聚众赌博者，给予记过处分； </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（三）屡次参加赌博者，给予记过至留校察看处分；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（四）屡次聚众赌博者，给予留校察看至开除学籍处分。</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第十七条</w:t>
      </w:r>
      <w:r>
        <w:rPr>
          <w:rFonts w:hint="eastAsia" w:ascii="仿宋_GB2312" w:hAnsi="宋体" w:eastAsia="仿宋_GB2312"/>
          <w:sz w:val="32"/>
          <w:szCs w:val="32"/>
        </w:rPr>
        <w:t xml:space="preserve">  对打架斗殴者，除承担受害者必要的费用外（医疗费、医药费、损失费）作如下处理：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（一）对策划者：策划他人打架者给予记过处分，造成严重后果者，给予留校察看以上处分；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（二）对打架者：动手打人者视其情节给予记过以上处分，造成伤害者视其情节及后果给予留校察看以上的处分；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（三）对参与者：以“劝架”为名偏袒一方，促使斗殴事态发展造成后果者，给予严重警告至记过处分；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（四）对作伪证者：在场目击者而故意为他人作伪证，给调查造成困难者，给予严重警告至记过处分；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（五）对犯有下列行为之一者，加重处分：1.参与二次以上打架者；2.纠集校内校外人员结伙打架者；3.持械打架者；4.故意为他人打架提供凶器者；5.侮辱殴打教师者；6.报复打人者；7.寻衅肇事打架者。</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第十八条</w:t>
      </w:r>
      <w:r>
        <w:rPr>
          <w:rFonts w:hint="eastAsia" w:ascii="仿宋_GB2312" w:hAnsi="宋体" w:eastAsia="仿宋_GB2312"/>
          <w:bCs/>
          <w:sz w:val="32"/>
          <w:szCs w:val="32"/>
        </w:rPr>
        <w:t xml:space="preserve">  涂改、撕毁正在发生效力的文告、视其情节轻重给予警告至记过处分。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第十九条</w:t>
      </w:r>
      <w:r>
        <w:rPr>
          <w:rFonts w:hint="eastAsia" w:ascii="仿宋_GB2312" w:hAnsi="宋体" w:eastAsia="仿宋_GB2312"/>
          <w:bCs/>
          <w:sz w:val="32"/>
          <w:szCs w:val="32"/>
        </w:rPr>
        <w:t xml:space="preserve">  违反社会公德，扰乱正常教学秩序、生活秩序及公共秩序，视其情节轻重，给予以下处分：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（一）违反社会公德及社会管理秩序，给予严重警告处分，情节特别严重者，给予记过至开除学籍处分；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（二）在学生宿舍、教室及公共场所哄闹、酗酒、猜码、砸酒瓶或者其它扰乱公共秩序，不听劝阻者给予警告至记过处分，情节特别严重，造成恶劣影响者，给予留校察看至开除学籍处分；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（三）践踏墙壁，或在建筑物及各类公共设施上乱涂乱画或随地乱丢杂物，污染环境者，给予警告处分；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（四）未经批准，在学生宿舍、教室及公共场所私拉私接电线不听劝告者；在宿舍违章使用超功率电器不听劝告者，给予警告至开除学籍处分；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 xml:space="preserve">（五）未经学校有关部门批准，在学生宿舍留宿外来人员，经教育不改者，给予警告处分；情节特别严重者给予留校察看处分； </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（六）在学生宿舍推销国家法律法规禁止物品或从事传销等活动，经教育不改者，给予警告至留校察看处分；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（七）在宿舍内唱歌、打牌、玩游戏、使用音响等影响他人休息、学习，经教育不改者，给予警告至记过处分；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八）晚上熄灯时，学生须按时就寝。内宿生晚归不听劝告、无理取闹，或晚归爬墙、爬门进入学生宿舍者，给予警告处分；一学期晚归达三次者，给予警告处分；一学期晚归超过三次者，给予严重警告至记过处分；晚归后冒名登记者，给予警告至记过处分；内宿生未经批准，一学期在外留宿或者通宵未归达二次者，给予警告处分；超过二次的给予记过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（九）携带或存放易燃、易爆、剧毒、放射等危险物品进入学生宿舍不听劝阻者，给予开除学籍处分；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（十）在校学生未经批准，擅自外宿，经批评教育仍不回校住宿的，将视情节经重给予警告至严重警告处分；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（十一）为达到个人或他人目的，采取伪造、变造有关证件（或印章），或者伪造、涂改相关材料的，给予记过至开除学籍处分。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（十二）违反《教育部关于在全国各级各类学校禁烟有关事项的通知》、《柳州职业技术学院控烟管理办法》规定精神，在校内禁烟区吸烟的，视程度给予下列处分：</w:t>
      </w:r>
    </w:p>
    <w:p>
      <w:pPr>
        <w:pageBreakBefore w:val="0"/>
        <w:tabs>
          <w:tab w:val="left" w:pos="312"/>
        </w:tabs>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1.一学期内在禁烟区（含学生宿舍内）吸烟达三次的，给予警告处分；超过三次的给予严重警告处分；</w:t>
      </w:r>
    </w:p>
    <w:p>
      <w:pPr>
        <w:pageBreakBefore w:val="0"/>
        <w:tabs>
          <w:tab w:val="left" w:pos="312"/>
        </w:tabs>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2.学生在校内禁烟区吸烟受处分后一直不改正的，视情节、危害的范围、人数及影响给予记过至留校察看处分。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第二十条</w:t>
      </w:r>
      <w:r>
        <w:rPr>
          <w:rFonts w:hint="eastAsia" w:ascii="仿宋_GB2312" w:hAnsi="宋体" w:eastAsia="仿宋_GB2312"/>
          <w:bCs/>
          <w:sz w:val="32"/>
          <w:szCs w:val="32"/>
        </w:rPr>
        <w:t xml:space="preserve">  一学期内无故旷课（含实验、实训、实习）达20学时以上者（含20学时）视情节轻重，给予以下处分：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（一）旷课达20-29学时者，给予警告处分；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（二）旷课达30-39学时者，给予严重警告处分；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（三）旷课达40-49学时者，给予记过处分；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（四）旷课达50-59学时者，给予留校察看处分；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（五）旷课达60学时以上者，给予留校察看至开除学籍处分；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（六）连续旷课达60学时且未参加学校规定的教学活动者，给予开除学籍处分。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第二十一条</w:t>
      </w:r>
      <w:r>
        <w:rPr>
          <w:rFonts w:hint="eastAsia" w:ascii="仿宋_GB2312" w:hAnsi="宋体" w:eastAsia="仿宋_GB2312"/>
          <w:bCs/>
          <w:sz w:val="32"/>
          <w:szCs w:val="32"/>
        </w:rPr>
        <w:t xml:space="preserve">  考试（含考查、测验）作弊者，视情节轻重给予以下处分：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夹（携）带与考试课程内容相关内容的纸条（或书本、笔记本，在考试用桌上、身体上涂写任何与考试课程内容有关的文字和符号）、夹（携）带具有发送或者接收信息功能的设备、抄袭他人试卷或有意将自己试卷让他人抄袭、报对答案及传递纸条者（或试卷）、交换试卷或考位、借故暂离考场或用其他手段进行舞弊行为者、使用刷课软件获取网络课程成绩者，视情节轻重，给予记过处分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2.由他人代替考试、替他人参加考试、组织作弊、使用通讯设备作弊及其他作弊行为严重的，可给予留校察看至开除学籍处分。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3.违反其他考试纪律者，视情节轻重，给予相应的处分。</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第二十二条</w:t>
      </w:r>
      <w:r>
        <w:rPr>
          <w:rFonts w:hint="eastAsia" w:ascii="仿宋_GB2312" w:hAnsi="宋体" w:eastAsia="仿宋_GB2312"/>
          <w:sz w:val="32"/>
          <w:szCs w:val="32"/>
        </w:rPr>
        <w:t xml:space="preserve">  未经允许在宿舍内使用大于300W（含300W）电器，作以下处理：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第一次被查处者，给予警告以上处分，扣诚信银行分300分；宿舍定为不合格待整改宿舍（如果不能确认违规电器使用者，宿舍成员集体承担以上责任，分别给予相应违纪处分）；第二次被查处者，视违纪情节给予记过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2.对于违规使用的电器，由学</w:t>
      </w:r>
      <w:r>
        <w:rPr>
          <w:rFonts w:hint="eastAsia" w:ascii="仿宋_GB2312" w:hAnsi="宋体" w:eastAsia="仿宋_GB2312"/>
          <w:bCs/>
          <w:sz w:val="32"/>
          <w:szCs w:val="32"/>
        </w:rPr>
        <w:t>校</w:t>
      </w:r>
      <w:r>
        <w:rPr>
          <w:rFonts w:hint="eastAsia" w:ascii="仿宋_GB2312" w:hAnsi="宋体" w:eastAsia="仿宋_GB2312"/>
          <w:sz w:val="32"/>
          <w:szCs w:val="32"/>
        </w:rPr>
        <w:t>统一收集代为保管，在校学习期满，由电器拥有者凭查处时的收据领回。</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第二十三条</w:t>
      </w:r>
      <w:r>
        <w:rPr>
          <w:rFonts w:hint="eastAsia" w:ascii="仿宋_GB2312" w:hAnsi="宋体" w:eastAsia="仿宋_GB2312"/>
          <w:sz w:val="32"/>
          <w:szCs w:val="32"/>
        </w:rPr>
        <w:t xml:space="preserve">  凡是星期日至星期四23：30以后，星期五至星期六24：00以后晚归者，一经查处，每次扣除诚信银行分50分。</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第二十四条</w:t>
      </w:r>
      <w:r>
        <w:rPr>
          <w:rFonts w:hint="eastAsia" w:ascii="仿宋_GB2312" w:hAnsi="宋体" w:eastAsia="仿宋_GB2312"/>
          <w:sz w:val="32"/>
          <w:szCs w:val="32"/>
        </w:rPr>
        <w:t xml:space="preserve">  关于学生电子信息档案资料的维护与更新的规定：</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学生注册后，电子信息档案个人基本资料不准确或虚假。不及时更新、维护并造成严重后果者，一次性扣除诚信分50分。</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bCs/>
          <w:sz w:val="32"/>
          <w:szCs w:val="32"/>
        </w:rPr>
        <w:t>第二十五条</w:t>
      </w:r>
      <w:r>
        <w:rPr>
          <w:rFonts w:hint="eastAsia" w:ascii="仿宋_GB2312" w:hAnsi="宋体" w:eastAsia="仿宋_GB2312"/>
          <w:sz w:val="32"/>
          <w:szCs w:val="32"/>
        </w:rPr>
        <w:t xml:space="preserve">  盗用他人信息进行担保借款的，一经查处，给予严重警告至开除学籍处分。</w:t>
      </w:r>
    </w:p>
    <w:p>
      <w:pPr>
        <w:pageBreakBefore w:val="0"/>
        <w:kinsoku/>
        <w:overflowPunct/>
        <w:topLinePunct w:val="0"/>
        <w:bidi w:val="0"/>
        <w:spacing w:line="596" w:lineRule="exact"/>
        <w:ind w:firstLine="640" w:firstLineChars="200"/>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49" w:name="_Toc8110_WPSOffice_Level1"/>
      <w:r>
        <w:rPr>
          <w:rFonts w:hint="eastAsia" w:ascii="黑体" w:hAnsi="黑体" w:eastAsia="黑体"/>
          <w:b/>
          <w:sz w:val="32"/>
          <w:szCs w:val="32"/>
        </w:rPr>
        <w:t>第四章  处分的解除</w:t>
      </w:r>
      <w:bookmarkEnd w:id="649"/>
    </w:p>
    <w:p>
      <w:pPr>
        <w:pageBreakBefore w:val="0"/>
        <w:kinsoku/>
        <w:overflowPunct/>
        <w:topLinePunct w:val="0"/>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b/>
          <w:bCs/>
          <w:sz w:val="32"/>
          <w:szCs w:val="32"/>
        </w:rPr>
        <w:t xml:space="preserve">第二十六条  </w:t>
      </w:r>
      <w:r>
        <w:rPr>
          <w:rFonts w:hint="eastAsia" w:ascii="仿宋_GB2312" w:hAnsi="宋体" w:eastAsia="仿宋_GB2312" w:cs="宋体"/>
          <w:kern w:val="0"/>
          <w:sz w:val="32"/>
          <w:szCs w:val="32"/>
        </w:rPr>
        <w:t>除开除学籍处分以外，受警告、严重警告处分的学生，从处分下文之日起，</w:t>
      </w:r>
      <w:r>
        <w:rPr>
          <w:rFonts w:hint="eastAsia" w:ascii="仿宋_GB2312" w:hAnsi="宋体" w:eastAsia="仿宋_GB2312"/>
          <w:sz w:val="32"/>
          <w:szCs w:val="32"/>
        </w:rPr>
        <w:t>有显著进步表现的，</w:t>
      </w:r>
      <w:r>
        <w:rPr>
          <w:rFonts w:hint="eastAsia" w:ascii="仿宋_GB2312" w:hAnsi="宋体" w:eastAsia="仿宋_GB2312" w:cs="宋体"/>
          <w:kern w:val="0"/>
          <w:sz w:val="32"/>
          <w:szCs w:val="32"/>
        </w:rPr>
        <w:t>满6个月后，经本人申请，二级学院审核，校学生工作处批准，可以解除处分；受记过、留校察看处分的同学，从处分下文之日起，</w:t>
      </w:r>
      <w:r>
        <w:rPr>
          <w:rFonts w:hint="eastAsia" w:ascii="仿宋_GB2312" w:hAnsi="宋体" w:eastAsia="仿宋_GB2312"/>
          <w:sz w:val="32"/>
          <w:szCs w:val="32"/>
        </w:rPr>
        <w:t>有显著进步表现的，</w:t>
      </w:r>
      <w:r>
        <w:rPr>
          <w:rFonts w:hint="eastAsia" w:ascii="仿宋_GB2312" w:hAnsi="宋体" w:eastAsia="仿宋_GB2312" w:cs="宋体"/>
          <w:kern w:val="0"/>
          <w:sz w:val="32"/>
          <w:szCs w:val="32"/>
        </w:rPr>
        <w:t>满12个月后，经本人申请，二级学院审核，校长办公会或学生工作领导小组批准，可以解除处分。</w:t>
      </w:r>
    </w:p>
    <w:p>
      <w:pPr>
        <w:pageBreakBefore w:val="0"/>
        <w:kinsoku/>
        <w:overflowPunct/>
        <w:topLinePunct w:val="0"/>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学生在处分期内，</w:t>
      </w:r>
      <w:r>
        <w:rPr>
          <w:rFonts w:hint="eastAsia" w:ascii="仿宋_GB2312" w:hAnsi="宋体" w:eastAsia="仿宋_GB2312"/>
          <w:sz w:val="32"/>
          <w:szCs w:val="32"/>
        </w:rPr>
        <w:t>经教育不改或犯有新的错误并达到警告处分及以上者，不予解除处分。</w:t>
      </w:r>
    </w:p>
    <w:p>
      <w:pPr>
        <w:pageBreakBefore w:val="0"/>
        <w:widowControl/>
        <w:kinsoku/>
        <w:overflowPunct/>
        <w:topLinePunct w:val="0"/>
        <w:bidi w:val="0"/>
        <w:spacing w:line="596" w:lineRule="exact"/>
        <w:ind w:firstLine="800" w:firstLineChars="250"/>
        <w:jc w:val="left"/>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解除处分后，学生获得表彰、奖励及其他权益，不再受原处分的影响。</w:t>
      </w:r>
    </w:p>
    <w:p>
      <w:pPr>
        <w:pageBreakBefore w:val="0"/>
        <w:kinsoku/>
        <w:overflowPunct/>
        <w:topLinePunct w:val="0"/>
        <w:bidi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bCs/>
          <w:sz w:val="32"/>
          <w:szCs w:val="32"/>
        </w:rPr>
        <w:t xml:space="preserve">第二十七条  </w:t>
      </w:r>
      <w:r>
        <w:rPr>
          <w:rFonts w:hint="eastAsia" w:ascii="仿宋_GB2312" w:hAnsi="宋体" w:eastAsia="仿宋_GB2312"/>
          <w:sz w:val="32"/>
          <w:szCs w:val="32"/>
        </w:rPr>
        <w:t>留校察看的期限为一年。毕业班学生不给予留校察看处分，但其违纪行为达到此处分时，给予记过处分，并不准予毕业，作结业处理；离校后，</w:t>
      </w:r>
      <w:r>
        <w:rPr>
          <w:rFonts w:hint="eastAsia" w:ascii="仿宋_GB2312" w:hAnsi="宋体" w:eastAsia="仿宋_GB2312" w:cs="宋体"/>
          <w:kern w:val="0"/>
          <w:sz w:val="32"/>
          <w:szCs w:val="32"/>
        </w:rPr>
        <w:t>从处分下文之日算起，</w:t>
      </w:r>
      <w:r>
        <w:rPr>
          <w:rFonts w:hint="eastAsia" w:ascii="仿宋_GB2312" w:hAnsi="宋体" w:eastAsia="仿宋_GB2312"/>
          <w:sz w:val="32"/>
          <w:szCs w:val="32"/>
        </w:rPr>
        <w:t>满12个月后，经本人申请，所在单位（社区）审核盖章，</w:t>
      </w:r>
      <w:r>
        <w:rPr>
          <w:rFonts w:hint="eastAsia" w:ascii="仿宋_GB2312" w:hAnsi="宋体" w:eastAsia="仿宋_GB2312"/>
          <w:bCs/>
          <w:sz w:val="32"/>
          <w:szCs w:val="32"/>
        </w:rPr>
        <w:t>校长办公会或校学生工作领导小组</w:t>
      </w:r>
      <w:r>
        <w:rPr>
          <w:rFonts w:hint="eastAsia" w:ascii="仿宋_GB2312" w:hAnsi="宋体" w:eastAsia="仿宋_GB2312"/>
          <w:sz w:val="32"/>
          <w:szCs w:val="32"/>
        </w:rPr>
        <w:t>复审同意后，方可准予毕业。</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第二十八条</w:t>
      </w:r>
      <w:r>
        <w:rPr>
          <w:rFonts w:hint="eastAsia" w:ascii="仿宋_GB2312" w:hAnsi="宋体" w:eastAsia="仿宋_GB2312"/>
          <w:bCs/>
          <w:sz w:val="32"/>
          <w:szCs w:val="32"/>
        </w:rPr>
        <w:t xml:space="preserve">  本规定没有列举的违纪行为，而确实需要给予处分的，可以参照以上相关条款，给予处分。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第二十九条</w:t>
      </w:r>
      <w:r>
        <w:rPr>
          <w:rFonts w:hint="eastAsia" w:ascii="仿宋_GB2312" w:hAnsi="宋体" w:eastAsia="仿宋_GB2312"/>
          <w:bCs/>
          <w:sz w:val="32"/>
          <w:szCs w:val="32"/>
        </w:rPr>
        <w:t xml:space="preserve">  凡在校学习期间，因违纪已受到一次处分，第二次违纪又达到处分者按相关条款加重处分；第三次违纪达到处分规定者，给予开除学籍处分。</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第三十条</w:t>
      </w:r>
      <w:r>
        <w:rPr>
          <w:rFonts w:hint="eastAsia" w:ascii="仿宋_GB2312" w:hAnsi="宋体" w:eastAsia="仿宋_GB2312"/>
          <w:bCs/>
          <w:sz w:val="32"/>
          <w:szCs w:val="32"/>
        </w:rPr>
        <w:t xml:space="preserve">  处理、 处分决定以及处分告知书应当由学生本人签收，学生拒绝签收的，可以以留置方式送达；已离校的，由二级学院采取邮寄方式送达；难于联系的，可以利用学校网站、新闻媒体等以公告方式送达。</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学生处分材料存入学生本人档案，同时要在校内张榜公布。</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 xml:space="preserve">第三十一条  </w:t>
      </w:r>
      <w:r>
        <w:rPr>
          <w:rFonts w:hint="eastAsia" w:ascii="仿宋_GB2312" w:hAnsi="宋体" w:eastAsia="仿宋_GB2312"/>
          <w:bCs/>
          <w:sz w:val="32"/>
          <w:szCs w:val="32"/>
        </w:rPr>
        <w:t>对学生处理、处分及解除处分材料，各二级学院及校学生工作处应当真实完整地归入学校文书档案和本人档案。</w:t>
      </w:r>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50" w:name="_Toc15548_WPSOffice_Level1"/>
      <w:r>
        <w:rPr>
          <w:rFonts w:hint="eastAsia" w:ascii="黑体" w:hAnsi="黑体" w:eastAsia="黑体"/>
          <w:b/>
          <w:sz w:val="32"/>
          <w:szCs w:val="32"/>
        </w:rPr>
        <w:t>第五章   处分的权限和程序</w:t>
      </w:r>
      <w:bookmarkEnd w:id="650"/>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bookmarkStart w:id="651" w:name="_Toc20899_WPSOffice_Level1"/>
      <w:r>
        <w:rPr>
          <w:rFonts w:hint="eastAsia" w:ascii="仿宋_GB2312" w:hAnsi="宋体" w:eastAsia="仿宋_GB2312"/>
          <w:b/>
          <w:bCs/>
          <w:sz w:val="32"/>
          <w:szCs w:val="32"/>
        </w:rPr>
        <w:t>第三十二条</w:t>
      </w:r>
      <w:r>
        <w:rPr>
          <w:rFonts w:hint="eastAsia" w:ascii="仿宋_GB2312" w:hAnsi="宋体" w:eastAsia="仿宋_GB2312"/>
          <w:bCs/>
          <w:sz w:val="32"/>
          <w:szCs w:val="32"/>
        </w:rPr>
        <w:t xml:space="preserve">  处分的权限和程序：</w:t>
      </w:r>
      <w:bookmarkEnd w:id="651"/>
    </w:p>
    <w:p>
      <w:pPr>
        <w:pageBreakBefore w:val="0"/>
        <w:kinsoku/>
        <w:overflowPunct/>
        <w:topLinePunct w:val="0"/>
        <w:bidi w:val="0"/>
        <w:spacing w:line="596"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（一）给予学生警告、严重警告处分，由二级学院提出处理意见，报学生工作处审批。特殊情况下，可由主管部门提出处理意见，报校学生工作处审批。</w:t>
      </w:r>
    </w:p>
    <w:p>
      <w:pPr>
        <w:pageBreakBefore w:val="0"/>
        <w:kinsoku/>
        <w:overflowPunct/>
        <w:topLinePunct w:val="0"/>
        <w:bidi w:val="0"/>
        <w:spacing w:line="596" w:lineRule="exact"/>
        <w:ind w:firstLine="480" w:firstLineChars="150"/>
        <w:outlineLvl w:val="9"/>
        <w:rPr>
          <w:rFonts w:hint="eastAsia" w:ascii="仿宋_GB2312" w:hAnsi="宋体" w:eastAsia="仿宋_GB2312"/>
          <w:bCs/>
          <w:sz w:val="32"/>
          <w:szCs w:val="32"/>
        </w:rPr>
      </w:pPr>
      <w:r>
        <w:rPr>
          <w:rFonts w:hint="eastAsia" w:ascii="仿宋_GB2312" w:hAnsi="宋体" w:eastAsia="仿宋_GB2312"/>
          <w:bCs/>
          <w:sz w:val="32"/>
          <w:szCs w:val="32"/>
        </w:rPr>
        <w:t>（二）给予学生记过、留校察看处分，须由二级学院或主管部门提出处理意见，经校学生工作领导小组讨论决定，并报院主管领导审批。</w:t>
      </w:r>
    </w:p>
    <w:p>
      <w:pPr>
        <w:pageBreakBefore w:val="0"/>
        <w:widowControl/>
        <w:kinsoku/>
        <w:overflowPunct/>
        <w:topLinePunct w:val="0"/>
        <w:bidi w:val="0"/>
        <w:spacing w:line="596" w:lineRule="exact"/>
        <w:ind w:firstLine="480" w:firstLineChars="150"/>
        <w:jc w:val="left"/>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三）对学生作出取消入学资格、取消学籍、退学、开除学籍或者其他涉及学生重大利益的处理或者处分决定的，要提交校长办公会或者由校长授权的学生工作领导小组会议研究决定。并应当事先进行合法性审查。</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 xml:space="preserve">第三十三条  </w:t>
      </w:r>
      <w:r>
        <w:rPr>
          <w:rFonts w:hint="eastAsia" w:ascii="仿宋_GB2312" w:hAnsi="宋体" w:eastAsia="仿宋_GB2312"/>
          <w:bCs/>
          <w:sz w:val="32"/>
          <w:szCs w:val="32"/>
        </w:rPr>
        <w:t>给予学生处分，应当坚持教育与惩戒相结合，与学生违法、违纪行为的性质和过错的严重程度相适应。对学生的处分，应当做到证据充分、依据明确、定性准确、程序正当、处分适当，处理结果要同本人见面。</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 xml:space="preserve">第三十四条  </w:t>
      </w:r>
      <w:r>
        <w:rPr>
          <w:rFonts w:hint="eastAsia" w:ascii="仿宋_GB2312" w:hAnsi="宋体" w:eastAsia="仿宋_GB2312"/>
          <w:bCs/>
          <w:sz w:val="32"/>
          <w:szCs w:val="32"/>
        </w:rPr>
        <w:t>在对学生作出处分或者其他不利决定之前，应当告知学生作出决定的事实、理由及依据，并告知学生享有陈述和申辩的权利，听取学生的陈述和申辩。</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 xml:space="preserve">第三十五条  </w:t>
      </w:r>
      <w:r>
        <w:rPr>
          <w:rFonts w:hint="eastAsia" w:ascii="仿宋_GB2312" w:hAnsi="宋体" w:eastAsia="仿宋_GB2312"/>
          <w:bCs/>
          <w:sz w:val="32"/>
          <w:szCs w:val="32"/>
        </w:rPr>
        <w:t>学生对学校的处理或者处分决定有异议的，可以在接到学校处理或者处分决定书之日起10日内，向学校学生申诉处理委员会提出书面申诉;学生申诉处理委员会对学生提出的申诉进行复查，并在接到书面申诉之日起15日内作出复查结论并告知申诉人。学生对复查决定有异议的，在接到学校复查决定书之日起15日内，可以向广西壮族自治区教育厅提出书面申诉。</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52" w:name="_Toc18535_WPSOffice_Level1"/>
      <w:r>
        <w:rPr>
          <w:rFonts w:hint="eastAsia" w:ascii="黑体" w:hAnsi="黑体" w:eastAsia="黑体"/>
          <w:b/>
          <w:sz w:val="32"/>
          <w:szCs w:val="32"/>
        </w:rPr>
        <w:t>第六章  附   则</w:t>
      </w:r>
      <w:bookmarkEnd w:id="652"/>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bCs/>
          <w:sz w:val="32"/>
          <w:szCs w:val="32"/>
        </w:rPr>
        <w:t xml:space="preserve">第三十六条  </w:t>
      </w:r>
      <w:r>
        <w:rPr>
          <w:rFonts w:hint="eastAsia" w:ascii="仿宋_GB2312" w:hAnsi="宋体" w:eastAsia="仿宋_GB2312"/>
          <w:bCs/>
          <w:sz w:val="32"/>
          <w:szCs w:val="32"/>
        </w:rPr>
        <w:t>本规定自2019年9月1日起施行，原《柳州职业技术学院学生违纪处理办法》同时废止。</w:t>
      </w:r>
    </w:p>
    <w:p>
      <w:pPr>
        <w:pageBreakBefore w:val="0"/>
        <w:kinsoku/>
        <w:overflowPunct/>
        <w:topLinePunct w:val="0"/>
        <w:bidi w:val="0"/>
        <w:spacing w:line="596" w:lineRule="exact"/>
        <w:ind w:firstLine="643" w:firstLineChars="200"/>
        <w:outlineLvl w:val="9"/>
        <w:rPr>
          <w:rFonts w:hint="eastAsia" w:ascii="仿宋_GB2312" w:hAnsi="宋体" w:eastAsia="仿宋_GB2312"/>
          <w:bCs/>
          <w:sz w:val="32"/>
          <w:szCs w:val="32"/>
        </w:rPr>
      </w:pPr>
      <w:bookmarkStart w:id="653" w:name="_Toc5795_WPSOffice_Level1"/>
      <w:r>
        <w:rPr>
          <w:rFonts w:hint="eastAsia" w:ascii="仿宋_GB2312" w:hAnsi="宋体" w:eastAsia="仿宋_GB2312"/>
          <w:b/>
          <w:bCs/>
          <w:sz w:val="32"/>
          <w:szCs w:val="32"/>
        </w:rPr>
        <w:t xml:space="preserve">第三十七条  </w:t>
      </w:r>
      <w:r>
        <w:rPr>
          <w:rFonts w:hint="eastAsia" w:ascii="仿宋_GB2312" w:hAnsi="宋体" w:eastAsia="仿宋_GB2312"/>
          <w:bCs/>
          <w:sz w:val="32"/>
          <w:szCs w:val="32"/>
        </w:rPr>
        <w:t>本规定由学生工作处负责解释。</w:t>
      </w:r>
      <w:bookmarkEnd w:id="653"/>
    </w:p>
    <w:p>
      <w:pPr>
        <w:pageBreakBefore w:val="0"/>
        <w:kinsoku/>
        <w:overflowPunct/>
        <w:topLinePunct w:val="0"/>
        <w:bidi w:val="0"/>
        <w:outlineLvl w:val="9"/>
        <w:rPr>
          <w:rFonts w:hint="eastAsia" w:ascii="仿宋_GB2312" w:eastAsia="仿宋_GB2312"/>
          <w:b w:val="0"/>
          <w:bCs/>
          <w:sz w:val="32"/>
          <w:szCs w:val="32"/>
          <w:lang w:eastAsia="zh-CN"/>
        </w:rPr>
      </w:pPr>
      <w:r>
        <w:rPr>
          <w:rFonts w:hint="eastAsia" w:ascii="仿宋_GB2312" w:eastAsia="仿宋_GB2312"/>
          <w:b w:val="0"/>
          <w:bCs/>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b/>
          <w:color w:val="000000"/>
          <w:sz w:val="36"/>
          <w:szCs w:val="36"/>
        </w:rPr>
      </w:pPr>
      <w:bookmarkStart w:id="654" w:name="_Toc19760"/>
      <w:bookmarkStart w:id="655" w:name="_Toc22968"/>
      <w:bookmarkStart w:id="656" w:name="_Toc10095"/>
      <w:bookmarkStart w:id="657" w:name="_Toc9226"/>
      <w:bookmarkStart w:id="658" w:name="_Toc28523"/>
      <w:bookmarkStart w:id="659" w:name="_Toc23431_WPSOffice_Level1"/>
      <w:bookmarkStart w:id="660" w:name="_Toc23234"/>
      <w:r>
        <w:rPr>
          <w:rFonts w:hint="eastAsia"/>
          <w:b/>
          <w:color w:val="000000"/>
          <w:sz w:val="36"/>
          <w:szCs w:val="36"/>
        </w:rPr>
        <w:t>柳州职业技术学院学生资助工作管理办法（修订）</w:t>
      </w:r>
      <w:bookmarkEnd w:id="654"/>
      <w:bookmarkEnd w:id="655"/>
      <w:bookmarkEnd w:id="656"/>
      <w:bookmarkEnd w:id="657"/>
      <w:bookmarkEnd w:id="658"/>
      <w:bookmarkEnd w:id="659"/>
      <w:bookmarkEnd w:id="660"/>
    </w:p>
    <w:p>
      <w:pPr>
        <w:pageBreakBefore w:val="0"/>
        <w:kinsoku/>
        <w:overflowPunct/>
        <w:topLinePunct w:val="0"/>
        <w:bidi w:val="0"/>
        <w:spacing w:line="580" w:lineRule="exact"/>
        <w:jc w:val="center"/>
        <w:outlineLvl w:val="9"/>
        <w:rPr>
          <w:rFonts w:hint="eastAsia" w:ascii="仿宋_GB2312" w:eastAsia="仿宋_GB2312"/>
          <w:b w:val="0"/>
          <w:bCs/>
          <w:sz w:val="32"/>
          <w:szCs w:val="32"/>
          <w:lang w:eastAsia="zh-CN"/>
        </w:rPr>
      </w:pPr>
      <w:r>
        <w:rPr>
          <w:rFonts w:hint="eastAsia" w:ascii="仿宋_GB2312" w:eastAsia="仿宋_GB2312"/>
          <w:b w:val="0"/>
          <w:bCs/>
          <w:sz w:val="32"/>
          <w:szCs w:val="32"/>
          <w:lang w:eastAsia="zh-CN"/>
        </w:rPr>
        <w:t>（</w:t>
      </w:r>
      <w:r>
        <w:rPr>
          <w:rFonts w:hint="eastAsia" w:ascii="仿宋_GB2312" w:eastAsia="仿宋_GB2312"/>
          <w:b w:val="0"/>
          <w:bCs/>
          <w:sz w:val="32"/>
          <w:szCs w:val="32"/>
        </w:rPr>
        <w:t>柳职院学字〔2019〕61号</w:t>
      </w:r>
      <w:r>
        <w:rPr>
          <w:rFonts w:hint="eastAsia" w:ascii="仿宋_GB2312" w:eastAsia="仿宋_GB2312"/>
          <w:b w:val="0"/>
          <w:bCs/>
          <w:sz w:val="32"/>
          <w:szCs w:val="32"/>
          <w:lang w:eastAsia="zh-CN"/>
        </w:rPr>
        <w:t>）</w:t>
      </w:r>
    </w:p>
    <w:p>
      <w:pPr>
        <w:pageBreakBefore w:val="0"/>
        <w:kinsoku/>
        <w:overflowPunct/>
        <w:topLinePunct w:val="0"/>
        <w:bidi w:val="0"/>
        <w:spacing w:line="580" w:lineRule="exact"/>
        <w:jc w:val="center"/>
        <w:outlineLvl w:val="9"/>
        <w:rPr>
          <w:rFonts w:hint="eastAsia" w:ascii="仿宋_GB2312" w:eastAsia="仿宋_GB2312"/>
          <w:b w:val="0"/>
          <w:bCs/>
          <w:sz w:val="32"/>
          <w:szCs w:val="32"/>
          <w:lang w:eastAsia="zh-CN"/>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61" w:name="_Toc26755_WPSOffice_Level1"/>
      <w:r>
        <w:rPr>
          <w:rFonts w:hint="eastAsia" w:ascii="黑体" w:hAnsi="黑体" w:eastAsia="黑体"/>
          <w:b/>
          <w:sz w:val="32"/>
          <w:szCs w:val="32"/>
        </w:rPr>
        <w:t>第一章  总则</w:t>
      </w:r>
      <w:bookmarkEnd w:id="661"/>
    </w:p>
    <w:p>
      <w:pPr>
        <w:pageBreakBefore w:val="0"/>
        <w:kinsoku/>
        <w:overflowPunct/>
        <w:topLinePunct w:val="0"/>
        <w:bidi w:val="0"/>
        <w:adjustRightInd w:val="0"/>
        <w:snapToGrid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第一条  </w:t>
      </w:r>
      <w:r>
        <w:rPr>
          <w:rFonts w:hint="eastAsia" w:ascii="仿宋_GB2312" w:hAnsi="宋体" w:eastAsia="仿宋_GB2312"/>
          <w:sz w:val="32"/>
          <w:szCs w:val="32"/>
        </w:rPr>
        <w:t>为贯彻党的教育方针，落实国家家庭经济困难学生相关资助政策，切实帮助我校家庭经济困难学生顺利完成学业，更好地促进他们成长成才，根据《广西壮族自治区人民政府关于建立健全普通本科高校高等职业学校和中等职业学校家庭经济困难学生资助政策体系的实施意见》（桂政发〔2007〕27号）、《广西壮族自治区人民政府关于进一步完善高等学校家庭经济困难学生资助政策体系的实施意见》（桂政发〔2017〕49号）、《广西壮族自治区教育厅广西壮族自治区财政厅关于印发广西高等学校助困资助经费管理办法的通知》（桂教规范〔2018〕5号）、《自治区教育厅等8部门关于印发&lt;广西壮族自治区家庭经济困难学生认定实施办法&gt;的通知》（桂教规范〔2019〕13号）等文件精神，特制定本办法。</w:t>
      </w:r>
    </w:p>
    <w:p>
      <w:pPr>
        <w:pageBreakBefore w:val="0"/>
        <w:kinsoku/>
        <w:overflowPunct/>
        <w:topLinePunct w:val="0"/>
        <w:bidi w:val="0"/>
        <w:adjustRightInd w:val="0"/>
        <w:snapToGrid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第二条</w:t>
      </w:r>
      <w:r>
        <w:rPr>
          <w:rFonts w:hint="eastAsia" w:ascii="仿宋_GB2312" w:hAnsi="宋体" w:eastAsia="仿宋_GB2312"/>
          <w:sz w:val="32"/>
          <w:szCs w:val="32"/>
        </w:rPr>
        <w:t xml:space="preserve">  学校对家庭经济困难学生的资助工作遵循帮困助学与工作育人相结合，坚持公开、公平、公正的原则。</w:t>
      </w:r>
    </w:p>
    <w:p>
      <w:pPr>
        <w:pageBreakBefore w:val="0"/>
        <w:kinsoku/>
        <w:overflowPunct/>
        <w:topLinePunct w:val="0"/>
        <w:bidi w:val="0"/>
        <w:adjustRightInd w:val="0"/>
        <w:snapToGrid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第三条</w:t>
      </w:r>
      <w:r>
        <w:rPr>
          <w:rFonts w:hint="eastAsia" w:ascii="仿宋_GB2312" w:hAnsi="宋体" w:eastAsia="仿宋_GB2312"/>
          <w:sz w:val="32"/>
          <w:szCs w:val="32"/>
        </w:rPr>
        <w:t xml:space="preserve">  本办法所指家庭经济困难学生是指学生本人及其家庭的经济能力难以满足在校期间的学习、生活基本支出的学生。家庭经济困难学生认定细则详见《柳州职业技术学院家庭经济困难学生认定办法》。</w:t>
      </w:r>
    </w:p>
    <w:p>
      <w:pPr>
        <w:pageBreakBefore w:val="0"/>
        <w:kinsoku/>
        <w:overflowPunct/>
        <w:topLinePunct w:val="0"/>
        <w:bidi w:val="0"/>
        <w:adjustRightInd w:val="0"/>
        <w:snapToGrid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第四条</w:t>
      </w:r>
      <w:r>
        <w:rPr>
          <w:rFonts w:hint="eastAsia" w:ascii="仿宋_GB2312" w:hAnsi="宋体" w:eastAsia="仿宋_GB2312"/>
          <w:sz w:val="32"/>
          <w:szCs w:val="32"/>
        </w:rPr>
        <w:t xml:space="preserve">  本办法适用于我校被认定为家庭经济困难的全日制学生。</w:t>
      </w:r>
    </w:p>
    <w:p>
      <w:pPr>
        <w:pageBreakBefore w:val="0"/>
        <w:kinsoku/>
        <w:overflowPunct/>
        <w:topLinePunct w:val="0"/>
        <w:bidi w:val="0"/>
        <w:adjustRightInd w:val="0"/>
        <w:snapToGrid w:val="0"/>
        <w:spacing w:line="596" w:lineRule="exact"/>
        <w:ind w:firstLine="640" w:firstLineChars="200"/>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62" w:name="_Toc12101_WPSOffice_Level1"/>
      <w:r>
        <w:rPr>
          <w:rFonts w:hint="eastAsia" w:ascii="黑体" w:hAnsi="黑体" w:eastAsia="黑体"/>
          <w:b/>
          <w:sz w:val="32"/>
          <w:szCs w:val="32"/>
        </w:rPr>
        <w:t>第二章  组织领导</w:t>
      </w:r>
      <w:bookmarkEnd w:id="662"/>
    </w:p>
    <w:p>
      <w:pPr>
        <w:pageBreakBefore w:val="0"/>
        <w:kinsoku/>
        <w:overflowPunct/>
        <w:topLinePunct w:val="0"/>
        <w:bidi w:val="0"/>
        <w:adjustRightInd w:val="0"/>
        <w:snapToGrid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第五条</w:t>
      </w:r>
      <w:r>
        <w:rPr>
          <w:rFonts w:hint="eastAsia" w:ascii="仿宋_GB2312" w:hAnsi="宋体" w:eastAsia="仿宋_GB2312"/>
          <w:sz w:val="32"/>
          <w:szCs w:val="32"/>
        </w:rPr>
        <w:t xml:space="preserve">  学校成立学生资助工作领导小组，全面领导学校学生资助工作，研究制定学校学生资助政策和办法，定期检查和监督学校资助经费使用情况。</w:t>
      </w:r>
    </w:p>
    <w:p>
      <w:pPr>
        <w:pageBreakBefore w:val="0"/>
        <w:kinsoku/>
        <w:overflowPunct/>
        <w:topLinePunct w:val="0"/>
        <w:bidi w:val="0"/>
        <w:adjustRightInd w:val="0"/>
        <w:snapToGrid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第六条</w:t>
      </w:r>
      <w:r>
        <w:rPr>
          <w:rFonts w:hint="eastAsia" w:ascii="仿宋_GB2312" w:hAnsi="宋体" w:eastAsia="仿宋_GB2312"/>
          <w:sz w:val="32"/>
          <w:szCs w:val="32"/>
        </w:rPr>
        <w:t xml:space="preserve">  学校成立学生资助管理中心，学生资助管理中心办公室设在学生工作处，具体负责学校学生资助工作日常管理，及家庭经济困难学生认定、国家奖学金、国家励志奖学金、自治区人民政府奖学金、国家助学金、国家助学贷款生源地信用助学贷款、应征入伍服义务兵役高等学校学生学费补偿国家助学贷款代偿及学费资助、中职毕业生升入高职学校就读的家庭经济困难学生学费补助、绿色通道、特殊困难补助、学费减免、勤工助学等资助管理工作。</w:t>
      </w:r>
    </w:p>
    <w:p>
      <w:pPr>
        <w:pageBreakBefore w:val="0"/>
        <w:kinsoku/>
        <w:overflowPunct/>
        <w:topLinePunct w:val="0"/>
        <w:bidi w:val="0"/>
        <w:adjustRightInd w:val="0"/>
        <w:snapToGrid w:val="0"/>
        <w:spacing w:line="596"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第七条</w:t>
      </w:r>
      <w:r>
        <w:rPr>
          <w:rFonts w:hint="eastAsia" w:ascii="仿宋_GB2312" w:hAnsi="宋体" w:eastAsia="仿宋_GB2312"/>
          <w:sz w:val="32"/>
          <w:szCs w:val="32"/>
        </w:rPr>
        <w:t xml:space="preserve">  各二级学院成立学生资助领导小组，贯彻落实上级文件精神和学校相关政策，组织开展本学院家庭经济困难学生认定，奖助学金申请和初审，资助政策宣传，资助育人等学生资助工作。</w:t>
      </w:r>
    </w:p>
    <w:p>
      <w:pPr>
        <w:pageBreakBefore w:val="0"/>
        <w:kinsoku/>
        <w:overflowPunct/>
        <w:topLinePunct w:val="0"/>
        <w:bidi w:val="0"/>
        <w:adjustRightInd w:val="0"/>
        <w:snapToGrid w:val="0"/>
        <w:spacing w:line="596" w:lineRule="exact"/>
        <w:ind w:firstLine="640" w:firstLineChars="200"/>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63" w:name="_Toc20426_WPSOffice_Level1"/>
      <w:r>
        <w:rPr>
          <w:rFonts w:hint="eastAsia" w:ascii="黑体" w:hAnsi="黑体" w:eastAsia="黑体"/>
          <w:b/>
          <w:sz w:val="32"/>
          <w:szCs w:val="32"/>
        </w:rPr>
        <w:t>第三章  资助内容</w:t>
      </w:r>
      <w:bookmarkEnd w:id="663"/>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 xml:space="preserve">第八条  </w:t>
      </w:r>
      <w:r>
        <w:rPr>
          <w:rFonts w:hint="eastAsia" w:ascii="仿宋_GB2312" w:hAnsi="宋体" w:eastAsia="仿宋_GB2312"/>
          <w:sz w:val="32"/>
          <w:szCs w:val="32"/>
        </w:rPr>
        <w:t>学校以“奖、助、贷、补、减、免、勤”七位一体的资助政策为家庭经济困难学生顺利完成学业提供保障。</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第九条</w:t>
      </w:r>
      <w:r>
        <w:rPr>
          <w:rFonts w:hint="eastAsia" w:ascii="仿宋_GB2312" w:hAnsi="宋体" w:eastAsia="仿宋_GB2312"/>
          <w:sz w:val="32"/>
          <w:szCs w:val="32"/>
        </w:rPr>
        <w:t xml:space="preserve">  国家励志奖学金</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（一）国家励志奖学金用于奖励资助高校全日制本专科（含高职、第二学士学位）学生中品学兼优的家庭经济困难学生，资助标准为每生每年5000元。</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（二）国家励志奖学金的申请与评审细则详见《柳州职业技术学院国家励志奖学金评选管理办法》。</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 xml:space="preserve">第十条 </w:t>
      </w:r>
      <w:r>
        <w:rPr>
          <w:rFonts w:hint="eastAsia" w:ascii="仿宋_GB2312" w:hAnsi="宋体" w:eastAsia="仿宋_GB2312"/>
          <w:sz w:val="32"/>
          <w:szCs w:val="32"/>
        </w:rPr>
        <w:t xml:space="preserve"> 国家助学金</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（一）国家助学金用于资助高校全日制本专科（含高职、第二学士学位）在校生中的家庭经济困难学生。资助标准分两档执行：</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一等国家助学金，补助标准为每生每年4000元，主要用于补助家庭经济特别困难的学生（特困生）。</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二等国家助学金，补助标准为每生每年2000元，主要用于补助家庭经济困难的学生（贫困生）。</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（二）国家助学金的申请与评审细则详见《柳州职业技术学院国家助学评选管理办法》。</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第十一条</w:t>
      </w:r>
      <w:r>
        <w:rPr>
          <w:rFonts w:hint="eastAsia" w:ascii="仿宋_GB2312" w:hAnsi="宋体" w:eastAsia="仿宋_GB2312"/>
          <w:sz w:val="32"/>
          <w:szCs w:val="32"/>
        </w:rPr>
        <w:t xml:space="preserve">  国家助学贷款生源地信用助学贷款</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（一）生源地信用助学贷款是指国家开发银行向符合条件的家庭经济困难的普通高校新生和在校生发放的、在学生入学前户籍所在县（市、区）办理的助学贷款。</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（二）全日制普通本专科学生（含第二学士学位、高职学生）每人每年申请贷款的额度不超过8000元，不低于1000元。</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三）国家助学贷款生源地信用助学贷款是学校帮困助学的重要途径。各二级学院在学生就读期间做好宣传工作，让学生们真正了解助学贷款的真正含义，让真正贫困家庭的学生到助学贷款的帮助，更应杜绝不符合条件的学生借机骗贷；在学生即将毕业期间做好还贷指引，让贷款学生按照贷款合同履行还贷义务。（具体按《国家开发银行广西壮族自治区生源地信用助学贷款贷后管理暂行办法》执行）</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第十二条</w:t>
      </w:r>
      <w:r>
        <w:rPr>
          <w:rFonts w:hint="eastAsia" w:ascii="仿宋_GB2312" w:hAnsi="宋体" w:eastAsia="仿宋_GB2312"/>
          <w:sz w:val="32"/>
          <w:szCs w:val="32"/>
        </w:rPr>
        <w:t xml:space="preserve">  中等职业学校毕业生升入高等职业学校就读的家庭经济困难学生学费补助（以下简称“中升高学费补助”）</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（一）中升高学费补助用于资助从中等职业学校毕业升入高等学校就读且家庭经济困难的学生，补助标准为每生每年2000元。</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（二）中升高学费补助的申请与评审细则具体按照《柳州职业技术学院中职升高职学费补助评选管理办法》执行。</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第十三条</w:t>
      </w:r>
      <w:r>
        <w:rPr>
          <w:rFonts w:hint="eastAsia" w:ascii="仿宋_GB2312" w:hAnsi="宋体" w:eastAsia="仿宋_GB2312"/>
          <w:sz w:val="32"/>
          <w:szCs w:val="32"/>
        </w:rPr>
        <w:t xml:space="preserve">  绿色通道</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绿色通道”是确保普通高校家庭经济困难新生顺利入学的最直接、最有效的措施。每年在新生报到时，对家庭经济困难学生，一律先办理入学手续，再视学生经济困难程度给予相应的资助。确保每一个学生都无障碍地顺利入学，保障他们能安心学习、顺利完成学业。具体按照《柳州职业技术学院新生“绿色通道”实施方案》执行。</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 xml:space="preserve">第十四条 </w:t>
      </w:r>
      <w:r>
        <w:rPr>
          <w:rFonts w:hint="eastAsia" w:ascii="仿宋_GB2312" w:hAnsi="宋体" w:eastAsia="仿宋_GB2312"/>
          <w:sz w:val="32"/>
          <w:szCs w:val="32"/>
        </w:rPr>
        <w:t xml:space="preserve"> 特殊困难补助</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color w:val="FF0000"/>
          <w:sz w:val="32"/>
          <w:szCs w:val="32"/>
        </w:rPr>
      </w:pPr>
      <w:r>
        <w:rPr>
          <w:rFonts w:hint="eastAsia" w:ascii="仿宋_GB2312" w:hAnsi="宋体" w:eastAsia="仿宋_GB2312"/>
          <w:sz w:val="32"/>
          <w:szCs w:val="32"/>
        </w:rPr>
        <w:t>（一）特殊困难补助用于资助学生在校期间发生特殊情况，如因重大疾病、严重意外伤害事故、家庭突发事件等造成经济困难，无法维持正常学习和生活费用而支付给学生个人的助学补助。</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（二）特殊困难补助标准分为两档：一等特殊困难补助4000元，二等特殊困难补助2000元。具体按照《柳州职业技术学院学生特殊困难补助实施办法》执行。</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 xml:space="preserve">第十五条 </w:t>
      </w:r>
      <w:r>
        <w:rPr>
          <w:rFonts w:hint="eastAsia" w:ascii="仿宋_GB2312" w:hAnsi="宋体" w:eastAsia="仿宋_GB2312"/>
          <w:sz w:val="32"/>
          <w:szCs w:val="32"/>
        </w:rPr>
        <w:t xml:space="preserve"> 学费减免</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color w:val="FF0000"/>
          <w:sz w:val="32"/>
          <w:szCs w:val="32"/>
        </w:rPr>
      </w:pPr>
      <w:r>
        <w:rPr>
          <w:rFonts w:hint="eastAsia" w:ascii="仿宋_GB2312" w:hAnsi="宋体" w:eastAsia="仿宋_GB2312"/>
          <w:sz w:val="32"/>
          <w:szCs w:val="32"/>
        </w:rPr>
        <w:t>学费减免用于资助因家庭经济困难而无法交纳学费的学生，特别是孤、残学生；农村建档立卡贫困户子女；烈士子女、优抚家庭子女；家庭遭遇重大疾病、重大自然灾害或重大事故等突发性事件，造成家庭经济特别困难，交付学费存在困难的学生等。具体按照《柳州职业技术学院学生学费减免实施办法》执行。</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第十六条</w:t>
      </w:r>
      <w:r>
        <w:rPr>
          <w:rFonts w:hint="eastAsia" w:ascii="仿宋_GB2312" w:hAnsi="宋体" w:eastAsia="仿宋_GB2312"/>
          <w:sz w:val="32"/>
          <w:szCs w:val="32"/>
        </w:rPr>
        <w:t xml:space="preserve">  勤工助学</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勤工助学是指学有余力的学生利用课余时间通过自己的劳动，取得一定报酬以改善学习和生活条件，同时增长才干，全面提升素质的社会实践活动。家庭经济困难学生入学后可以通过勤工助学方式减轻经济压力，以顺利完成学业。勤工助学活动由学校统一组织和管理，具体按《柳州职业技术学院学生勤工助学活动管理办法》执行。</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64" w:name="_Toc5640_WPSOffice_Level1"/>
      <w:r>
        <w:rPr>
          <w:rFonts w:hint="eastAsia" w:ascii="黑体" w:hAnsi="黑体" w:eastAsia="黑体"/>
          <w:b/>
          <w:sz w:val="32"/>
          <w:szCs w:val="32"/>
        </w:rPr>
        <w:t>第四章  资助经费管理、监督与发放</w:t>
      </w:r>
      <w:bookmarkEnd w:id="664"/>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b/>
          <w:sz w:val="32"/>
          <w:szCs w:val="32"/>
        </w:rPr>
      </w:pPr>
      <w:r>
        <w:rPr>
          <w:rFonts w:hint="eastAsia" w:ascii="仿宋_GB2312" w:hAnsi="宋体" w:eastAsia="仿宋_GB2312"/>
          <w:b/>
          <w:sz w:val="32"/>
          <w:szCs w:val="32"/>
        </w:rPr>
        <w:t>第十七条  资助经费的管理与监督</w:t>
      </w:r>
    </w:p>
    <w:p>
      <w:pPr>
        <w:pageBreakBefore w:val="0"/>
        <w:kinsoku/>
        <w:overflowPunct/>
        <w:topLinePunct w:val="0"/>
        <w:bidi w:val="0"/>
        <w:adjustRightInd w:val="0"/>
        <w:snapToGrid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学生资助管理中心、财务处必须严格执行国家相关财经法规的规定，对由中央和地方下达的专项经费（如国家励志奖学金专项经费、自治区人民政府奖学金专项经费、国家助学金专项经费等）建立专款账户，实行分账核算，专款专用，不得截留、挤占、挪用，同时应接受审计、纪检监察及主管部门的检查和监督。</w:t>
      </w:r>
    </w:p>
    <w:p>
      <w:pPr>
        <w:pageBreakBefore w:val="0"/>
        <w:kinsoku/>
        <w:overflowPunct/>
        <w:topLinePunct w:val="0"/>
        <w:bidi w:val="0"/>
        <w:adjustRightInd w:val="0"/>
        <w:snapToGrid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二）学校按4%的比例，从教育事业收入总额中提取助困资助经费，专项用于学费减免、国家助学贷款风险补偿、勤工助学、校内无息借款、校内奖助学金、特殊困难补助、贫困学生家庭慰问和资助育人及宣传，以及贫困生参加求职考研、创新创业、社会实践、专业技能培训、外出实习、访学交流等活动支出。</w:t>
      </w:r>
    </w:p>
    <w:p>
      <w:pPr>
        <w:pageBreakBefore w:val="0"/>
        <w:kinsoku/>
        <w:overflowPunct/>
        <w:topLinePunct w:val="0"/>
        <w:bidi w:val="0"/>
        <w:adjustRightInd w:val="0"/>
        <w:snapToGrid w:val="0"/>
        <w:spacing w:line="596" w:lineRule="exact"/>
        <w:ind w:firstLine="640" w:firstLineChars="200"/>
        <w:outlineLvl w:val="9"/>
        <w:rPr>
          <w:rFonts w:hint="eastAsia" w:ascii="仿宋_GB2312" w:hAnsi="宋体" w:eastAsia="仿宋_GB2312"/>
          <w:b/>
          <w:sz w:val="32"/>
          <w:szCs w:val="32"/>
        </w:rPr>
      </w:pPr>
      <w:r>
        <w:rPr>
          <w:rFonts w:hint="eastAsia" w:ascii="仿宋_GB2312" w:hAnsi="宋体" w:eastAsia="仿宋_GB2312"/>
          <w:sz w:val="32"/>
          <w:szCs w:val="32"/>
        </w:rPr>
        <w:t>（三）严格按照学校助困经费制度执行，助困资助经费的使用必须符合国家和自治区的现行资助政策，坚持“公平、公正、公开”的原则，专款专用，确保所提取的助困资助经费完全用于符合资助条件的学生。不得挤占、挪用、截留、虚列、套取专项资金；不得随意扩大、改变资金用途。</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b/>
          <w:sz w:val="32"/>
          <w:szCs w:val="32"/>
        </w:rPr>
      </w:pPr>
      <w:r>
        <w:rPr>
          <w:rFonts w:hint="eastAsia" w:ascii="仿宋_GB2312" w:hAnsi="宋体" w:eastAsia="仿宋_GB2312"/>
          <w:b/>
          <w:sz w:val="32"/>
          <w:szCs w:val="32"/>
        </w:rPr>
        <w:t>第十八条  资助经费的发放</w:t>
      </w:r>
    </w:p>
    <w:p>
      <w:pPr>
        <w:pageBreakBefore w:val="0"/>
        <w:kinsoku/>
        <w:overflowPunct/>
        <w:topLinePunct w:val="0"/>
        <w:bidi w:val="0"/>
        <w:adjustRightInd w:val="0"/>
        <w:snapToGrid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学校发放给家庭经济困难学生的所有贫困补助由我校财务处发放到受助学生银行卡中，不得随意扣发、不按照规定方式等发放。其中：</w:t>
      </w:r>
    </w:p>
    <w:p>
      <w:pPr>
        <w:pageBreakBefore w:val="0"/>
        <w:kinsoku/>
        <w:overflowPunct/>
        <w:topLinePunct w:val="0"/>
        <w:bidi w:val="0"/>
        <w:adjustRightInd w:val="0"/>
        <w:snapToGrid w:val="0"/>
        <w:spacing w:line="596"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（一）在接到上级主管部门的批复，并下拨专项经费后，由学校财务处将国家励志奖学金、中升高学费补助一次性发放到获奖学生银行卡中；国家助学金按月或按学期发放到受助学生银行卡中。</w:t>
      </w:r>
    </w:p>
    <w:p>
      <w:pPr>
        <w:pageBreakBefore w:val="0"/>
        <w:kinsoku/>
        <w:overflowPunct/>
        <w:topLinePunct w:val="0"/>
        <w:bidi w:val="0"/>
        <w:adjustRightInd w:val="0"/>
        <w:snapToGrid w:val="0"/>
        <w:spacing w:line="596" w:lineRule="exact"/>
        <w:ind w:firstLine="640" w:firstLineChars="200"/>
        <w:outlineLvl w:val="9"/>
        <w:rPr>
          <w:rFonts w:hint="eastAsia" w:ascii="仿宋_GB2312" w:hAnsi="宋体" w:eastAsia="仿宋_GB2312"/>
          <w:color w:val="FF0000"/>
          <w:sz w:val="32"/>
          <w:szCs w:val="32"/>
        </w:rPr>
      </w:pPr>
      <w:r>
        <w:rPr>
          <w:rFonts w:hint="eastAsia" w:ascii="仿宋_GB2312" w:hAnsi="宋体" w:eastAsia="仿宋_GB2312"/>
          <w:sz w:val="32"/>
          <w:szCs w:val="32"/>
        </w:rPr>
        <w:t>（二）获特殊（临时）困难补助及学费减免等校内资助学生的补助，将从我校助困经费支出。在学校公示无异议后，由学校财务处通过银行卡（或校园卡）的方式，将补助按月（或按学期）发放给获助学生。</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（三）勤工助学按月计酬（原则上每月不能超过40个工时），发放到学生银行卡中。</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65" w:name="_Toc31065_WPSOffice_Level1"/>
      <w:r>
        <w:rPr>
          <w:rFonts w:hint="eastAsia" w:ascii="黑体" w:hAnsi="黑体" w:eastAsia="黑体"/>
          <w:b/>
          <w:sz w:val="32"/>
          <w:szCs w:val="32"/>
        </w:rPr>
        <w:t>第五章  资助育人</w:t>
      </w:r>
      <w:bookmarkEnd w:id="665"/>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 xml:space="preserve">第十九条 </w:t>
      </w:r>
      <w:r>
        <w:rPr>
          <w:rFonts w:hint="eastAsia" w:ascii="仿宋_GB2312" w:hAnsi="宋体" w:eastAsia="仿宋_GB2312"/>
          <w:sz w:val="32"/>
          <w:szCs w:val="32"/>
        </w:rPr>
        <w:t xml:space="preserve"> 学校学生资助工作的根本目的不是简单的助困或扶贫，而是助学和育人。国家推行政府贴息助学贷款，无需抵押，如期还贷，靠的正是学生的诚信。各二级学院要把开展诚信教育作为整个学生资助工作的一项核心内容，建立学生资助与育人有机结合的工作机制，使学生资助工作成为激励学生成才、提高教育质量和办学水平的强有力的保障手段。</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66" w:name="_Toc25848_WPSOffice_Level1"/>
      <w:r>
        <w:rPr>
          <w:rFonts w:hint="eastAsia" w:ascii="黑体" w:hAnsi="黑体" w:eastAsia="黑体"/>
          <w:b/>
          <w:sz w:val="32"/>
          <w:szCs w:val="32"/>
        </w:rPr>
        <w:t>第六章  奖惩机制</w:t>
      </w:r>
      <w:bookmarkEnd w:id="666"/>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第二十条</w:t>
      </w:r>
      <w:r>
        <w:rPr>
          <w:rFonts w:hint="eastAsia" w:ascii="仿宋_GB2312" w:hAnsi="宋体" w:eastAsia="仿宋_GB2312"/>
          <w:b/>
          <w:color w:val="FF0000"/>
          <w:sz w:val="32"/>
          <w:szCs w:val="32"/>
        </w:rPr>
        <w:t xml:space="preserve">  </w:t>
      </w:r>
      <w:r>
        <w:rPr>
          <w:rFonts w:hint="eastAsia" w:ascii="仿宋_GB2312" w:hAnsi="宋体" w:eastAsia="仿宋_GB2312"/>
          <w:sz w:val="32"/>
          <w:szCs w:val="32"/>
        </w:rPr>
        <w:t>我校不定期对各二级学院学生资助工作进行检查。检查结果将作为有关方面工作的评优等的重要参考和依据。</w:t>
      </w:r>
    </w:p>
    <w:p>
      <w:pPr>
        <w:pageBreakBefore w:val="0"/>
        <w:kinsoku/>
        <w:overflowPunct/>
        <w:topLinePunct w:val="0"/>
        <w:bidi w:val="0"/>
        <w:adjustRightInd w:val="0"/>
        <w:snapToGrid w:val="0"/>
        <w:spacing w:line="596" w:lineRule="exact"/>
        <w:ind w:firstLine="643" w:firstLineChars="200"/>
        <w:jc w:val="left"/>
        <w:outlineLvl w:val="9"/>
        <w:rPr>
          <w:rFonts w:hint="eastAsia" w:ascii="仿宋_GB2312" w:hAnsi="宋体" w:eastAsia="仿宋_GB2312"/>
          <w:sz w:val="32"/>
          <w:szCs w:val="32"/>
        </w:rPr>
      </w:pPr>
      <w:r>
        <w:rPr>
          <w:rFonts w:hint="eastAsia" w:ascii="仿宋_GB2312" w:hAnsi="宋体" w:eastAsia="仿宋_GB2312"/>
          <w:b/>
          <w:sz w:val="32"/>
          <w:szCs w:val="32"/>
        </w:rPr>
        <w:t>第二十一条</w:t>
      </w:r>
      <w:r>
        <w:rPr>
          <w:rFonts w:hint="eastAsia" w:ascii="仿宋_GB2312" w:hAnsi="宋体" w:eastAsia="仿宋_GB2312"/>
          <w:sz w:val="32"/>
          <w:szCs w:val="32"/>
        </w:rPr>
        <w:t xml:space="preserve">  各二级学院应根据学校有关规定，结合自身实际，制定切实可行的学生资助工作管理实施办法，加强和规范对学生资助工作管理，使之正真成为促进教育公平、维护社会公正的重要手段，成为学校提高教育质量和办学水平的重要保障。</w:t>
      </w:r>
    </w:p>
    <w:p>
      <w:pPr>
        <w:pageBreakBefore w:val="0"/>
        <w:kinsoku/>
        <w:overflowPunct/>
        <w:topLinePunct w:val="0"/>
        <w:bidi w:val="0"/>
        <w:adjustRightInd w:val="0"/>
        <w:snapToGrid w:val="0"/>
        <w:spacing w:line="596" w:lineRule="exact"/>
        <w:ind w:firstLine="640" w:firstLineChars="200"/>
        <w:jc w:val="left"/>
        <w:outlineLvl w:val="9"/>
        <w:rPr>
          <w:rFonts w:hint="eastAsia" w:ascii="仿宋_GB2312" w:hAnsi="宋体" w:eastAsia="仿宋_GB2312"/>
          <w:sz w:val="32"/>
          <w:szCs w:val="32"/>
        </w:rPr>
      </w:pP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667" w:name="_Toc31319_WPSOffice_Level1"/>
      <w:r>
        <w:rPr>
          <w:rFonts w:hint="eastAsia" w:ascii="黑体" w:hAnsi="黑体" w:eastAsia="黑体"/>
          <w:b/>
          <w:sz w:val="32"/>
          <w:szCs w:val="32"/>
        </w:rPr>
        <w:t>第七章  附则</w:t>
      </w:r>
      <w:bookmarkEnd w:id="667"/>
    </w:p>
    <w:p>
      <w:pPr>
        <w:pageBreakBefore w:val="0"/>
        <w:kinsoku/>
        <w:overflowPunct/>
        <w:topLinePunct w:val="0"/>
        <w:bidi w:val="0"/>
        <w:adjustRightInd w:val="0"/>
        <w:snapToGrid w:val="0"/>
        <w:spacing w:line="596" w:lineRule="exact"/>
        <w:ind w:firstLine="643" w:firstLineChars="200"/>
        <w:outlineLvl w:val="9"/>
        <w:rPr>
          <w:rFonts w:hint="eastAsia" w:ascii="仿宋_GB2312" w:hAnsi="宋体" w:eastAsia="仿宋_GB2312"/>
          <w:b/>
          <w:sz w:val="32"/>
          <w:szCs w:val="32"/>
        </w:rPr>
      </w:pPr>
      <w:r>
        <w:rPr>
          <w:rFonts w:hint="eastAsia" w:ascii="仿宋_GB2312" w:hAnsi="宋体" w:eastAsia="仿宋_GB2312"/>
          <w:b/>
          <w:sz w:val="32"/>
          <w:szCs w:val="32"/>
        </w:rPr>
        <w:t xml:space="preserve">第二十二条  </w:t>
      </w:r>
      <w:r>
        <w:rPr>
          <w:rFonts w:hint="eastAsia" w:ascii="仿宋_GB2312" w:hAnsi="宋体" w:eastAsia="仿宋_GB2312"/>
          <w:sz w:val="32"/>
          <w:szCs w:val="32"/>
        </w:rPr>
        <w:t>本办法自公布之日起施行。原《柳州职业技术学院家庭经济困难学生资助实施细则》（柳职院学字〔2008〕3 号）同时废止。</w:t>
      </w:r>
    </w:p>
    <w:p>
      <w:pPr>
        <w:pageBreakBefore w:val="0"/>
        <w:kinsoku/>
        <w:overflowPunct/>
        <w:topLinePunct w:val="0"/>
        <w:bidi w:val="0"/>
        <w:outlineLvl w:val="9"/>
      </w:pPr>
      <w:r>
        <w:rPr>
          <w:rFonts w:hint="eastAsia" w:ascii="仿宋_GB2312" w:hAnsi="宋体" w:eastAsia="仿宋_GB2312"/>
          <w:b/>
          <w:sz w:val="32"/>
          <w:szCs w:val="32"/>
        </w:rPr>
        <w:t xml:space="preserve">第二十三条  </w:t>
      </w:r>
      <w:r>
        <w:rPr>
          <w:rFonts w:hint="eastAsia" w:ascii="仿宋_GB2312" w:hAnsi="宋体" w:eastAsia="仿宋_GB2312"/>
          <w:sz w:val="32"/>
          <w:szCs w:val="32"/>
        </w:rPr>
        <w:t>本办法由校学生工作部（处）负责解释。</w:t>
      </w:r>
    </w:p>
    <w:p>
      <w:pPr>
        <w:pageBreakBefore w:val="0"/>
        <w:kinsoku/>
        <w:overflowPunct/>
        <w:topLinePunct w:val="0"/>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asciiTheme="minorEastAsia" w:hAnsiTheme="minorEastAsia" w:eastAsiaTheme="minorEastAsia" w:cstheme="minorEastAsia"/>
          <w:b/>
          <w:sz w:val="36"/>
          <w:szCs w:val="36"/>
        </w:rPr>
      </w:pPr>
      <w:bookmarkStart w:id="668" w:name="_Toc15800"/>
      <w:bookmarkStart w:id="669" w:name="_Toc10063"/>
      <w:bookmarkStart w:id="670" w:name="_Toc9911_WPSOffice_Level1"/>
      <w:bookmarkStart w:id="671" w:name="_Toc15137"/>
      <w:bookmarkStart w:id="672" w:name="_Toc13482"/>
      <w:r>
        <w:rPr>
          <w:rFonts w:hint="eastAsia" w:asciiTheme="minorEastAsia" w:hAnsiTheme="minorEastAsia" w:eastAsiaTheme="minorEastAsia" w:cstheme="minorEastAsia"/>
          <w:b/>
          <w:sz w:val="36"/>
          <w:szCs w:val="36"/>
        </w:rPr>
        <w:t>柳州职业技术学院新疆籍家庭经济困难学生资助实施办法</w:t>
      </w:r>
      <w:bookmarkEnd w:id="668"/>
      <w:bookmarkEnd w:id="669"/>
      <w:bookmarkEnd w:id="670"/>
      <w:bookmarkEnd w:id="671"/>
      <w:bookmarkEnd w:id="672"/>
    </w:p>
    <w:p>
      <w:pPr>
        <w:pageBreakBefore w:val="0"/>
        <w:kinsoku/>
        <w:overflowPunct/>
        <w:topLinePunct w:val="0"/>
        <w:bidi w:val="0"/>
        <w:jc w:val="center"/>
        <w:outlineLvl w:val="9"/>
        <w:rPr>
          <w:rFonts w:ascii="仿宋_GB2312" w:eastAsia="仿宋_GB2312"/>
          <w:b/>
          <w:szCs w:val="28"/>
        </w:rPr>
      </w:pPr>
      <w:r>
        <w:rPr>
          <w:rFonts w:hint="eastAsia" w:ascii="仿宋_GB2312" w:eastAsia="仿宋_GB2312"/>
          <w:b/>
          <w:szCs w:val="28"/>
        </w:rPr>
        <w:t>柳职院学字〔</w:t>
      </w:r>
      <w:r>
        <w:rPr>
          <w:rFonts w:ascii="仿宋_GB2312" w:eastAsia="仿宋_GB2312"/>
          <w:b/>
          <w:szCs w:val="28"/>
        </w:rPr>
        <w:t>2020</w:t>
      </w:r>
      <w:r>
        <w:rPr>
          <w:rFonts w:hint="eastAsia" w:ascii="仿宋_GB2312" w:eastAsia="仿宋_GB2312"/>
          <w:b/>
          <w:szCs w:val="28"/>
        </w:rPr>
        <w:t>〕</w:t>
      </w:r>
      <w:r>
        <w:rPr>
          <w:rFonts w:ascii="仿宋_GB2312" w:eastAsia="仿宋_GB2312"/>
          <w:b/>
          <w:szCs w:val="28"/>
        </w:rPr>
        <w:t>1</w:t>
      </w:r>
      <w:r>
        <w:rPr>
          <w:rFonts w:hint="eastAsia" w:ascii="仿宋_GB2312" w:eastAsia="仿宋_GB2312"/>
          <w:b/>
          <w:szCs w:val="28"/>
        </w:rPr>
        <w:t>号</w:t>
      </w: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673" w:name="_Toc15501_WPSOffice_Level1"/>
      <w:r>
        <w:rPr>
          <w:rFonts w:hint="eastAsia" w:ascii="黑体" w:hAnsi="仿宋_GB2312" w:eastAsia="黑体" w:cs="仿宋_GB2312"/>
          <w:b/>
          <w:kern w:val="0"/>
          <w:sz w:val="32"/>
          <w:szCs w:val="32"/>
        </w:rPr>
        <w:t>第一章</w:t>
      </w:r>
      <w:r>
        <w:rPr>
          <w:rFonts w:ascii="黑体" w:hAnsi="仿宋_GB2312" w:eastAsia="黑体" w:cs="仿宋_GB2312"/>
          <w:b/>
          <w:kern w:val="0"/>
          <w:sz w:val="32"/>
          <w:szCs w:val="32"/>
        </w:rPr>
        <w:t xml:space="preserve">  </w:t>
      </w:r>
      <w:r>
        <w:rPr>
          <w:rFonts w:hint="eastAsia" w:ascii="黑体" w:hAnsi="仿宋_GB2312" w:eastAsia="黑体" w:cs="仿宋_GB2312"/>
          <w:b/>
          <w:kern w:val="0"/>
          <w:sz w:val="32"/>
          <w:szCs w:val="32"/>
        </w:rPr>
        <w:t>总则</w:t>
      </w:r>
      <w:bookmarkEnd w:id="673"/>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第一条</w:t>
      </w:r>
      <w:r>
        <w:rPr>
          <w:rFonts w:ascii="仿宋_GB2312" w:hAnsi="宋体" w:eastAsia="仿宋_GB2312"/>
          <w:sz w:val="32"/>
          <w:szCs w:val="32"/>
        </w:rPr>
        <w:t xml:space="preserve">  </w:t>
      </w:r>
      <w:r>
        <w:rPr>
          <w:rFonts w:hint="eastAsia" w:ascii="仿宋_GB2312" w:hAnsi="宋体" w:eastAsia="仿宋_GB2312"/>
          <w:sz w:val="32"/>
          <w:szCs w:val="32"/>
        </w:rPr>
        <w:t>为贯彻落实国家有关内地高校新疆籍家庭经济困难学生资助政策，确保在我校学习的品学兼优、家庭经济困难的新疆籍学生顺利完成学业，根据《内地高校新疆籍少数民族家庭经济困难学生资助金管理办法》（新教内学〔</w:t>
      </w:r>
      <w:r>
        <w:rPr>
          <w:rFonts w:ascii="仿宋_GB2312" w:hAnsi="宋体" w:eastAsia="仿宋_GB2312"/>
          <w:sz w:val="32"/>
          <w:szCs w:val="32"/>
        </w:rPr>
        <w:t>2014</w:t>
      </w:r>
      <w:r>
        <w:rPr>
          <w:rFonts w:hint="eastAsia" w:ascii="仿宋_GB2312" w:hAnsi="宋体" w:eastAsia="仿宋_GB2312"/>
          <w:sz w:val="32"/>
          <w:szCs w:val="32"/>
        </w:rPr>
        <w:t>〕</w:t>
      </w:r>
      <w:r>
        <w:rPr>
          <w:rFonts w:ascii="仿宋_GB2312" w:hAnsi="宋体" w:eastAsia="仿宋_GB2312"/>
          <w:sz w:val="32"/>
          <w:szCs w:val="32"/>
        </w:rPr>
        <w:t>18</w:t>
      </w:r>
      <w:r>
        <w:rPr>
          <w:rFonts w:hint="eastAsia" w:ascii="仿宋_GB2312" w:hAnsi="宋体" w:eastAsia="仿宋_GB2312"/>
          <w:sz w:val="32"/>
          <w:szCs w:val="32"/>
        </w:rPr>
        <w:t>号）等文件精神，结合我校实际，特制定本办法。</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第二条</w:t>
      </w:r>
      <w:r>
        <w:rPr>
          <w:rFonts w:ascii="仿宋_GB2312" w:hAnsi="宋体" w:eastAsia="仿宋_GB2312"/>
          <w:sz w:val="32"/>
          <w:szCs w:val="32"/>
        </w:rPr>
        <w:t xml:space="preserve">  </w:t>
      </w:r>
      <w:r>
        <w:rPr>
          <w:rFonts w:hint="eastAsia" w:ascii="仿宋_GB2312" w:hAnsi="宋体" w:eastAsia="仿宋_GB2312"/>
          <w:sz w:val="32"/>
          <w:szCs w:val="32"/>
        </w:rPr>
        <w:t>新疆籍家庭经济困难学生指在我校就读的新疆籍各民族家庭经济困难学生。</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第三条</w:t>
      </w:r>
      <w:r>
        <w:rPr>
          <w:rFonts w:ascii="仿宋_GB2312" w:hAnsi="宋体" w:eastAsia="仿宋_GB2312"/>
          <w:sz w:val="32"/>
          <w:szCs w:val="32"/>
        </w:rPr>
        <w:t xml:space="preserve">  </w:t>
      </w:r>
      <w:r>
        <w:rPr>
          <w:rFonts w:hint="eastAsia" w:ascii="仿宋_GB2312" w:hAnsi="宋体" w:eastAsia="仿宋_GB2312"/>
          <w:sz w:val="32"/>
          <w:szCs w:val="32"/>
        </w:rPr>
        <w:t>资助经费从内地高校新疆籍家庭经济困难学生资助专项经费支出。</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674" w:name="_Toc18644_WPSOffice_Level1"/>
      <w:r>
        <w:rPr>
          <w:rFonts w:hint="eastAsia" w:ascii="黑体" w:hAnsi="仿宋_GB2312" w:eastAsia="黑体" w:cs="仿宋_GB2312"/>
          <w:b/>
          <w:kern w:val="0"/>
          <w:sz w:val="32"/>
          <w:szCs w:val="32"/>
        </w:rPr>
        <w:t>第二章</w:t>
      </w:r>
      <w:r>
        <w:rPr>
          <w:rFonts w:ascii="黑体" w:hAnsi="仿宋_GB2312" w:eastAsia="黑体" w:cs="仿宋_GB2312"/>
          <w:b/>
          <w:kern w:val="0"/>
          <w:sz w:val="32"/>
          <w:szCs w:val="32"/>
        </w:rPr>
        <w:t xml:space="preserve">  </w:t>
      </w:r>
      <w:r>
        <w:rPr>
          <w:rFonts w:hint="eastAsia" w:ascii="黑体" w:hAnsi="仿宋_GB2312" w:eastAsia="黑体" w:cs="仿宋_GB2312"/>
          <w:b/>
          <w:kern w:val="0"/>
          <w:sz w:val="32"/>
          <w:szCs w:val="32"/>
        </w:rPr>
        <w:t>组织机构</w:t>
      </w:r>
      <w:bookmarkEnd w:id="674"/>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第四条</w:t>
      </w:r>
      <w:r>
        <w:rPr>
          <w:rFonts w:ascii="仿宋_GB2312" w:hAnsi="宋体" w:eastAsia="仿宋_GB2312"/>
          <w:sz w:val="32"/>
          <w:szCs w:val="32"/>
        </w:rPr>
        <w:t xml:space="preserve">  </w:t>
      </w:r>
      <w:r>
        <w:rPr>
          <w:rFonts w:hint="eastAsia" w:ascii="仿宋_GB2312" w:hAnsi="宋体" w:eastAsia="仿宋_GB2312"/>
          <w:sz w:val="32"/>
          <w:szCs w:val="32"/>
        </w:rPr>
        <w:t>成立学校新疆籍学生资助工作领导小组，负责学校新疆籍家庭经济困难学生资助实施办法的制定、修改以及最终评议审核、批准。</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第五条</w:t>
      </w:r>
      <w:r>
        <w:rPr>
          <w:rFonts w:ascii="仿宋_GB2312" w:hAnsi="宋体" w:eastAsia="仿宋_GB2312"/>
          <w:sz w:val="32"/>
          <w:szCs w:val="32"/>
        </w:rPr>
        <w:t xml:space="preserve">  </w:t>
      </w:r>
      <w:r>
        <w:rPr>
          <w:rFonts w:hint="eastAsia" w:ascii="仿宋_GB2312" w:hAnsi="宋体" w:eastAsia="仿宋_GB2312"/>
          <w:sz w:val="32"/>
          <w:szCs w:val="32"/>
        </w:rPr>
        <w:t>学校学生资助管理中心具体负责组织实施全校的新疆籍家庭经济困难学生资助工作。</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第六条</w:t>
      </w:r>
      <w:r>
        <w:rPr>
          <w:rFonts w:ascii="仿宋_GB2312" w:hAnsi="宋体" w:eastAsia="仿宋_GB2312"/>
          <w:sz w:val="32"/>
          <w:szCs w:val="32"/>
        </w:rPr>
        <w:t xml:space="preserve">  </w:t>
      </w:r>
      <w:r>
        <w:rPr>
          <w:rFonts w:hint="eastAsia" w:ascii="仿宋_GB2312" w:hAnsi="宋体" w:eastAsia="仿宋_GB2312"/>
          <w:sz w:val="32"/>
          <w:szCs w:val="32"/>
        </w:rPr>
        <w:t>各二级学院以分管学生工作的院领导为组长、学生资助干事、学生辅导员等担任成员的资助工作评审小组，负责本院学新疆籍家庭经济困难学生资助的具体组织和初审工作。</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675" w:name="_Toc7832_WPSOffice_Level1"/>
      <w:r>
        <w:rPr>
          <w:rFonts w:hint="eastAsia" w:ascii="黑体" w:hAnsi="仿宋_GB2312" w:eastAsia="黑体" w:cs="仿宋_GB2312"/>
          <w:b/>
          <w:kern w:val="0"/>
          <w:sz w:val="32"/>
          <w:szCs w:val="32"/>
        </w:rPr>
        <w:t>第三章</w:t>
      </w:r>
      <w:r>
        <w:rPr>
          <w:rFonts w:ascii="黑体" w:hAnsi="仿宋_GB2312" w:eastAsia="黑体" w:cs="仿宋_GB2312"/>
          <w:b/>
          <w:kern w:val="0"/>
          <w:sz w:val="32"/>
          <w:szCs w:val="32"/>
        </w:rPr>
        <w:t xml:space="preserve">  </w:t>
      </w:r>
      <w:r>
        <w:rPr>
          <w:rFonts w:hint="eastAsia" w:ascii="黑体" w:hAnsi="仿宋_GB2312" w:eastAsia="黑体" w:cs="仿宋_GB2312"/>
          <w:b/>
          <w:kern w:val="0"/>
          <w:sz w:val="32"/>
          <w:szCs w:val="32"/>
        </w:rPr>
        <w:t>新疆籍困难学生资助对象与条件</w:t>
      </w:r>
      <w:bookmarkEnd w:id="675"/>
    </w:p>
    <w:p>
      <w:pPr>
        <w:pageBreakBefore w:val="0"/>
        <w:kinsoku/>
        <w:overflowPunct/>
        <w:topLinePunct w:val="0"/>
        <w:bidi w:val="0"/>
        <w:spacing w:line="596" w:lineRule="exact"/>
        <w:ind w:firstLine="643" w:firstLineChars="200"/>
        <w:jc w:val="left"/>
        <w:outlineLvl w:val="9"/>
        <w:rPr>
          <w:rFonts w:ascii="仿宋_GB2312" w:hAnsi="宋体" w:eastAsia="仿宋_GB2312"/>
          <w:sz w:val="32"/>
          <w:szCs w:val="32"/>
        </w:rPr>
      </w:pPr>
      <w:r>
        <w:rPr>
          <w:rFonts w:hint="eastAsia" w:ascii="仿宋_GB2312" w:hAnsi="宋体" w:eastAsia="仿宋_GB2312"/>
          <w:b/>
          <w:sz w:val="32"/>
          <w:szCs w:val="32"/>
        </w:rPr>
        <w:t>第七条</w:t>
      </w:r>
      <w:r>
        <w:rPr>
          <w:rFonts w:ascii="仿宋_GB2312" w:hAnsi="宋体" w:eastAsia="仿宋_GB2312"/>
          <w:sz w:val="32"/>
          <w:szCs w:val="32"/>
        </w:rPr>
        <w:t xml:space="preserve">  </w:t>
      </w:r>
      <w:r>
        <w:rPr>
          <w:rFonts w:hint="eastAsia" w:ascii="仿宋_GB2312" w:hAnsi="宋体" w:eastAsia="仿宋_GB2312"/>
          <w:sz w:val="32"/>
          <w:szCs w:val="32"/>
        </w:rPr>
        <w:t>新疆籍家庭经济困难学生资助对象为当年在我校通过贫困认定的新疆籍各民族在校生。</w:t>
      </w:r>
    </w:p>
    <w:p>
      <w:pPr>
        <w:pageBreakBefore w:val="0"/>
        <w:kinsoku/>
        <w:overflowPunct/>
        <w:topLinePunct w:val="0"/>
        <w:bidi w:val="0"/>
        <w:spacing w:line="596" w:lineRule="exact"/>
        <w:ind w:firstLine="643" w:firstLineChars="200"/>
        <w:jc w:val="left"/>
        <w:outlineLvl w:val="9"/>
        <w:rPr>
          <w:rFonts w:ascii="仿宋_GB2312" w:hAnsi="宋体" w:eastAsia="仿宋_GB2312"/>
          <w:sz w:val="32"/>
          <w:szCs w:val="32"/>
        </w:rPr>
      </w:pPr>
      <w:r>
        <w:rPr>
          <w:rFonts w:hint="eastAsia" w:ascii="仿宋_GB2312" w:hAnsi="宋体" w:eastAsia="仿宋_GB2312"/>
          <w:b/>
          <w:sz w:val="32"/>
          <w:szCs w:val="32"/>
        </w:rPr>
        <w:t>第八条</w:t>
      </w:r>
      <w:r>
        <w:rPr>
          <w:rFonts w:ascii="仿宋_GB2312" w:hAnsi="宋体" w:eastAsia="仿宋_GB2312"/>
          <w:sz w:val="32"/>
          <w:szCs w:val="32"/>
        </w:rPr>
        <w:t xml:space="preserve">  </w:t>
      </w:r>
      <w:r>
        <w:rPr>
          <w:rFonts w:hint="eastAsia" w:ascii="仿宋_GB2312" w:hAnsi="宋体" w:eastAsia="仿宋_GB2312"/>
          <w:sz w:val="32"/>
          <w:szCs w:val="32"/>
        </w:rPr>
        <w:t>申请新疆籍家庭经济困难学生资助的基本条件：</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（一）热爱社会主义祖国，拥护中国共产党的领导，坚持“五个认同”；</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（二）遵守宪法和法律，遵守学校规章制度；</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（三）诚实守信，道德品质优良；</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（四）在校期间学习刻苦，社会实践、创新能力、综合素质等方面突出；</w:t>
      </w:r>
      <w:r>
        <w:rPr>
          <w:rFonts w:ascii="仿宋_GB2312" w:hAnsi="宋体" w:eastAsia="仿宋_GB2312"/>
          <w:sz w:val="32"/>
          <w:szCs w:val="32"/>
        </w:rPr>
        <w:t xml:space="preserve"> </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（五）家庭经济困难，生活俭朴，无不良嗜好，如抽烟、酗酒、赌博等</w:t>
      </w:r>
      <w:r>
        <w:rPr>
          <w:rFonts w:ascii="仿宋_GB2312" w:hAnsi="宋体" w:eastAsia="仿宋_GB2312"/>
          <w:sz w:val="32"/>
          <w:szCs w:val="32"/>
        </w:rPr>
        <w:t xml:space="preserve">, </w:t>
      </w:r>
      <w:r>
        <w:rPr>
          <w:rFonts w:hint="eastAsia" w:ascii="仿宋_GB2312" w:hAnsi="宋体" w:eastAsia="仿宋_GB2312"/>
          <w:sz w:val="32"/>
          <w:szCs w:val="32"/>
        </w:rPr>
        <w:t>无不良消费行为，无不良校园网贷等。</w:t>
      </w:r>
    </w:p>
    <w:p>
      <w:pPr>
        <w:pageBreakBefore w:val="0"/>
        <w:kinsoku/>
        <w:overflowPunct/>
        <w:topLinePunct w:val="0"/>
        <w:bidi w:val="0"/>
        <w:spacing w:line="596" w:lineRule="exact"/>
        <w:ind w:firstLine="643" w:firstLineChars="200"/>
        <w:jc w:val="left"/>
        <w:outlineLvl w:val="9"/>
        <w:rPr>
          <w:rFonts w:ascii="仿宋_GB2312" w:hAnsi="宋体" w:eastAsia="仿宋_GB2312"/>
          <w:sz w:val="32"/>
          <w:szCs w:val="32"/>
        </w:rPr>
      </w:pPr>
      <w:r>
        <w:rPr>
          <w:rFonts w:hint="eastAsia" w:ascii="仿宋_GB2312" w:hAnsi="宋体" w:eastAsia="仿宋_GB2312"/>
          <w:b/>
          <w:sz w:val="32"/>
          <w:szCs w:val="32"/>
        </w:rPr>
        <w:t>第九条</w:t>
      </w:r>
      <w:r>
        <w:rPr>
          <w:rFonts w:ascii="仿宋_GB2312" w:hAnsi="宋体" w:eastAsia="仿宋_GB2312"/>
          <w:sz w:val="32"/>
          <w:szCs w:val="32"/>
        </w:rPr>
        <w:t xml:space="preserve">  </w:t>
      </w:r>
      <w:r>
        <w:rPr>
          <w:rFonts w:hint="eastAsia" w:ascii="仿宋_GB2312" w:hAnsi="宋体" w:eastAsia="仿宋_GB2312"/>
          <w:sz w:val="32"/>
          <w:szCs w:val="32"/>
        </w:rPr>
        <w:t>凡具有下列情况之一者，将取消、暂停或减少相关资助：</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触犯国家法律法规，违反学校规章制度，受到处分者；</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学习上主观不努力，有两门必修课程不及格者；</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3.</w:t>
      </w:r>
      <w:r>
        <w:rPr>
          <w:rFonts w:hint="eastAsia" w:ascii="仿宋_GB2312" w:hAnsi="宋体" w:eastAsia="仿宋_GB2312"/>
          <w:sz w:val="32"/>
          <w:szCs w:val="32"/>
        </w:rPr>
        <w:t>虽未受到处分、但日常行为表现不好者；</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4.</w:t>
      </w:r>
      <w:r>
        <w:rPr>
          <w:rFonts w:hint="eastAsia" w:ascii="仿宋_GB2312" w:hAnsi="宋体" w:eastAsia="仿宋_GB2312"/>
          <w:sz w:val="32"/>
          <w:szCs w:val="32"/>
        </w:rPr>
        <w:t>休学或保留入学资格期间；</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5.</w:t>
      </w:r>
      <w:r>
        <w:rPr>
          <w:rFonts w:hint="eastAsia" w:ascii="仿宋_GB2312" w:hAnsi="宋体" w:eastAsia="仿宋_GB2312"/>
          <w:sz w:val="32"/>
          <w:szCs w:val="32"/>
        </w:rPr>
        <w:t>谎报家庭经济状况或个人生活状况者；</w:t>
      </w:r>
      <w:r>
        <w:rPr>
          <w:rFonts w:ascii="仿宋_GB2312" w:hAnsi="宋体" w:eastAsia="仿宋_GB2312"/>
          <w:sz w:val="32"/>
          <w:szCs w:val="32"/>
        </w:rPr>
        <w:t xml:space="preserve"> </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6.</w:t>
      </w:r>
      <w:r>
        <w:rPr>
          <w:rFonts w:hint="eastAsia" w:ascii="仿宋_GB2312" w:hAnsi="宋体" w:eastAsia="仿宋_GB2312"/>
          <w:sz w:val="32"/>
          <w:szCs w:val="32"/>
        </w:rPr>
        <w:t>生活铺张浪费、有奢侈消费行为、不良网贷等情况者；</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7</w:t>
      </w:r>
      <w:r>
        <w:rPr>
          <w:rFonts w:ascii="仿宋_GB2312" w:hAnsi="宋体" w:eastAsia="仿宋_GB2312"/>
          <w:kern w:val="0"/>
          <w:sz w:val="32"/>
          <w:szCs w:val="32"/>
        </w:rPr>
        <w:t>.</w:t>
      </w:r>
      <w:r>
        <w:rPr>
          <w:rFonts w:hint="eastAsia" w:ascii="仿宋_GB2312" w:hAnsi="宋体" w:eastAsia="仿宋_GB2312"/>
          <w:kern w:val="0"/>
          <w:sz w:val="32"/>
          <w:szCs w:val="32"/>
        </w:rPr>
        <w:t>有其他不符合大学生行为规范言行的</w:t>
      </w:r>
      <w:r>
        <w:rPr>
          <w:rFonts w:hint="eastAsia" w:ascii="仿宋_GB2312" w:hAnsi="宋体" w:eastAsia="仿宋_GB2312"/>
          <w:sz w:val="32"/>
          <w:szCs w:val="32"/>
        </w:rPr>
        <w:t>；</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676" w:name="_Toc16821_WPSOffice_Level1"/>
      <w:r>
        <w:rPr>
          <w:rFonts w:hint="eastAsia" w:ascii="黑体" w:hAnsi="仿宋_GB2312" w:eastAsia="黑体" w:cs="仿宋_GB2312"/>
          <w:b/>
          <w:kern w:val="0"/>
          <w:sz w:val="32"/>
          <w:szCs w:val="32"/>
        </w:rPr>
        <w:t>第四章</w:t>
      </w:r>
      <w:r>
        <w:rPr>
          <w:rFonts w:ascii="黑体" w:hAnsi="仿宋_GB2312" w:eastAsia="黑体" w:cs="仿宋_GB2312"/>
          <w:b/>
          <w:kern w:val="0"/>
          <w:sz w:val="32"/>
          <w:szCs w:val="32"/>
        </w:rPr>
        <w:t xml:space="preserve">  </w:t>
      </w:r>
      <w:r>
        <w:rPr>
          <w:rFonts w:hint="eastAsia" w:ascii="黑体" w:hAnsi="仿宋_GB2312" w:eastAsia="黑体" w:cs="仿宋_GB2312"/>
          <w:b/>
          <w:kern w:val="0"/>
          <w:sz w:val="32"/>
          <w:szCs w:val="32"/>
        </w:rPr>
        <w:t>新疆籍家庭经济困难学生资助额度</w:t>
      </w:r>
      <w:bookmarkEnd w:id="676"/>
    </w:p>
    <w:p>
      <w:pPr>
        <w:pageBreakBefore w:val="0"/>
        <w:kinsoku/>
        <w:overflowPunct/>
        <w:topLinePunct w:val="0"/>
        <w:bidi w:val="0"/>
        <w:spacing w:line="596" w:lineRule="exact"/>
        <w:ind w:firstLine="643" w:firstLineChars="200"/>
        <w:jc w:val="left"/>
        <w:outlineLvl w:val="9"/>
        <w:rPr>
          <w:rFonts w:ascii="仿宋_GB2312" w:hAnsi="宋体" w:eastAsia="仿宋_GB2312"/>
          <w:sz w:val="32"/>
          <w:szCs w:val="32"/>
        </w:rPr>
      </w:pPr>
      <w:r>
        <w:rPr>
          <w:rFonts w:hint="eastAsia" w:ascii="仿宋_GB2312" w:hAnsi="宋体" w:eastAsia="仿宋_GB2312"/>
          <w:b/>
          <w:sz w:val="32"/>
          <w:szCs w:val="32"/>
        </w:rPr>
        <w:t>第十条</w:t>
      </w:r>
      <w:r>
        <w:rPr>
          <w:rFonts w:ascii="仿宋_GB2312" w:hAnsi="宋体" w:eastAsia="仿宋_GB2312"/>
          <w:sz w:val="32"/>
          <w:szCs w:val="32"/>
        </w:rPr>
        <w:t xml:space="preserve">  </w:t>
      </w:r>
      <w:r>
        <w:rPr>
          <w:rFonts w:hint="eastAsia" w:ascii="仿宋_GB2312" w:hAnsi="宋体" w:eastAsia="仿宋_GB2312"/>
          <w:sz w:val="32"/>
          <w:szCs w:val="32"/>
        </w:rPr>
        <w:t>我校根据当年新疆教育厅经费划拨情况以及新疆籍家庭经济困难学生的具体情况制定、调整资助标准。</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677" w:name="_Toc28305_WPSOffice_Level1"/>
      <w:r>
        <w:rPr>
          <w:rFonts w:hint="eastAsia" w:ascii="黑体" w:hAnsi="仿宋_GB2312" w:eastAsia="黑体" w:cs="仿宋_GB2312"/>
          <w:b/>
          <w:kern w:val="0"/>
          <w:sz w:val="32"/>
          <w:szCs w:val="32"/>
        </w:rPr>
        <w:t>第五章</w:t>
      </w:r>
      <w:r>
        <w:rPr>
          <w:rFonts w:ascii="黑体" w:hAnsi="仿宋_GB2312" w:eastAsia="黑体" w:cs="仿宋_GB2312"/>
          <w:b/>
          <w:kern w:val="0"/>
          <w:sz w:val="32"/>
          <w:szCs w:val="32"/>
        </w:rPr>
        <w:t xml:space="preserve">  </w:t>
      </w:r>
      <w:r>
        <w:rPr>
          <w:rFonts w:hint="eastAsia" w:ascii="黑体" w:hAnsi="仿宋_GB2312" w:eastAsia="黑体" w:cs="仿宋_GB2312"/>
          <w:b/>
          <w:kern w:val="0"/>
          <w:sz w:val="32"/>
          <w:szCs w:val="32"/>
        </w:rPr>
        <w:t>新疆籍家庭经济困难学生资助申请的时间与程序</w:t>
      </w:r>
      <w:bookmarkEnd w:id="677"/>
    </w:p>
    <w:p>
      <w:pPr>
        <w:pageBreakBefore w:val="0"/>
        <w:kinsoku/>
        <w:overflowPunct/>
        <w:topLinePunct w:val="0"/>
        <w:bidi w:val="0"/>
        <w:spacing w:line="596" w:lineRule="exact"/>
        <w:ind w:firstLine="643" w:firstLineChars="200"/>
        <w:jc w:val="left"/>
        <w:outlineLvl w:val="9"/>
        <w:rPr>
          <w:rFonts w:ascii="仿宋_GB2312" w:hAnsi="宋体" w:eastAsia="仿宋_GB2312"/>
          <w:color w:val="FF0000"/>
          <w:sz w:val="32"/>
          <w:szCs w:val="32"/>
        </w:rPr>
      </w:pPr>
      <w:r>
        <w:rPr>
          <w:rFonts w:hint="eastAsia" w:ascii="仿宋_GB2312" w:hAnsi="宋体" w:eastAsia="仿宋_GB2312"/>
          <w:b/>
          <w:sz w:val="32"/>
          <w:szCs w:val="32"/>
        </w:rPr>
        <w:t>第十一条</w:t>
      </w:r>
      <w:r>
        <w:rPr>
          <w:rFonts w:ascii="仿宋_GB2312" w:hAnsi="宋体" w:eastAsia="仿宋_GB2312"/>
          <w:sz w:val="32"/>
          <w:szCs w:val="32"/>
        </w:rPr>
        <w:t xml:space="preserve">  </w:t>
      </w:r>
      <w:r>
        <w:rPr>
          <w:rFonts w:hint="eastAsia" w:ascii="仿宋_GB2312" w:hAnsi="宋体" w:eastAsia="仿宋_GB2312"/>
          <w:sz w:val="32"/>
          <w:szCs w:val="32"/>
        </w:rPr>
        <w:t>新疆籍家庭经济困难学生资助每生每学年申请一次，原则上在每学年奖、助学金评审工作结束后进行。每年根据上级文件下达时间，学生资助管理中心集中受理各二级学院经审核、公示无异议的学生材料，完成审核、报批等工作。</w:t>
      </w:r>
    </w:p>
    <w:p>
      <w:pPr>
        <w:pageBreakBefore w:val="0"/>
        <w:kinsoku/>
        <w:overflowPunct/>
        <w:topLinePunct w:val="0"/>
        <w:bidi w:val="0"/>
        <w:spacing w:line="596" w:lineRule="exact"/>
        <w:ind w:firstLine="643" w:firstLineChars="200"/>
        <w:jc w:val="left"/>
        <w:outlineLvl w:val="9"/>
        <w:rPr>
          <w:rFonts w:ascii="仿宋_GB2312" w:hAnsi="宋体" w:eastAsia="仿宋_GB2312"/>
          <w:sz w:val="32"/>
          <w:szCs w:val="32"/>
        </w:rPr>
      </w:pPr>
      <w:r>
        <w:rPr>
          <w:rFonts w:hint="eastAsia" w:ascii="仿宋_GB2312" w:hAnsi="宋体" w:eastAsia="仿宋_GB2312"/>
          <w:b/>
          <w:sz w:val="32"/>
          <w:szCs w:val="32"/>
        </w:rPr>
        <w:t>第十二条</w:t>
      </w:r>
      <w:r>
        <w:rPr>
          <w:rFonts w:ascii="仿宋_GB2312" w:hAnsi="宋体" w:eastAsia="仿宋_GB2312"/>
          <w:sz w:val="32"/>
          <w:szCs w:val="32"/>
        </w:rPr>
        <w:t xml:space="preserve">  </w:t>
      </w:r>
      <w:r>
        <w:rPr>
          <w:rFonts w:hint="eastAsia" w:ascii="仿宋_GB2312" w:hAnsi="宋体" w:eastAsia="仿宋_GB2312"/>
          <w:sz w:val="32"/>
          <w:szCs w:val="32"/>
        </w:rPr>
        <w:t>新疆籍家庭经济困难学生资助申请程序</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（一）本人申请</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申请新疆籍家庭经济困难学生资助的学生，向所在二级学院提出书面申请，如实提供家庭人均收入情况和有关材料，填写《柳州职业技术学院新疆籍家庭经济困难学生资助申请表》。</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（二）二级学院初审</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辅导员综合各方面情况和意见，审核相关材料后，提出初审意见并报二级学院学生资助工作评审小组讨论、审批。</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二级学院资助工作评审小组在确定初审名单后，在院内公示</w:t>
      </w:r>
      <w:r>
        <w:rPr>
          <w:rFonts w:ascii="仿宋_GB2312" w:hAnsi="宋体" w:eastAsia="仿宋_GB2312"/>
          <w:sz w:val="32"/>
          <w:szCs w:val="32"/>
        </w:rPr>
        <w:t>3</w:t>
      </w:r>
      <w:r>
        <w:rPr>
          <w:rFonts w:hint="eastAsia" w:ascii="仿宋_GB2312" w:hAnsi="宋体" w:eastAsia="仿宋_GB2312"/>
          <w:sz w:val="32"/>
          <w:szCs w:val="32"/>
        </w:rPr>
        <w:t>个工作日，公示无异议后，将初审推荐名单及相关材料报学校学生资助管理中心。</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（三）学校审核</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学生资助管理中心对二级学院上报的新疆籍家庭经济困难学生资助初审结果进行审查，并将拟资助名单上报学生资助工作领导小组进行最终审核，确定学校当年新疆籍家庭经济困难学生资助名单，并在校内公示</w:t>
      </w:r>
      <w:r>
        <w:rPr>
          <w:rFonts w:ascii="仿宋_GB2312" w:hAnsi="宋体" w:eastAsia="仿宋_GB2312"/>
          <w:sz w:val="32"/>
          <w:szCs w:val="32"/>
        </w:rPr>
        <w:t>5</w:t>
      </w:r>
      <w:r>
        <w:rPr>
          <w:rFonts w:hint="eastAsia" w:ascii="仿宋_GB2312" w:hAnsi="宋体" w:eastAsia="仿宋_GB2312"/>
          <w:sz w:val="32"/>
          <w:szCs w:val="32"/>
        </w:rPr>
        <w:t>个工作日。</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学生个人对新疆籍家庭经济困难学生资助审定结果如有异议，可在公示期间向学生资助管理中心提起申诉。学生资助管理中心经过调查核实，并由学生资助工作领导小组裁决后，通知学生本人及所在二级学院。</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678" w:name="_Toc23320_WPSOffice_Level1"/>
      <w:r>
        <w:rPr>
          <w:rFonts w:hint="eastAsia" w:ascii="黑体" w:hAnsi="仿宋_GB2312" w:eastAsia="黑体" w:cs="仿宋_GB2312"/>
          <w:b/>
          <w:kern w:val="0"/>
          <w:sz w:val="32"/>
          <w:szCs w:val="32"/>
        </w:rPr>
        <w:t>第六章</w:t>
      </w:r>
      <w:r>
        <w:rPr>
          <w:rFonts w:ascii="黑体" w:hAnsi="仿宋_GB2312" w:eastAsia="黑体" w:cs="仿宋_GB2312"/>
          <w:b/>
          <w:kern w:val="0"/>
          <w:sz w:val="32"/>
          <w:szCs w:val="32"/>
        </w:rPr>
        <w:t xml:space="preserve"> </w:t>
      </w:r>
      <w:r>
        <w:rPr>
          <w:rFonts w:hint="eastAsia" w:ascii="黑体" w:hAnsi="仿宋_GB2312" w:eastAsia="黑体" w:cs="仿宋_GB2312"/>
          <w:b/>
          <w:kern w:val="0"/>
          <w:sz w:val="32"/>
          <w:szCs w:val="32"/>
        </w:rPr>
        <w:t>新疆籍家庭经济困难学生资助金的发放</w:t>
      </w:r>
      <w:bookmarkEnd w:id="678"/>
    </w:p>
    <w:p>
      <w:pPr>
        <w:pageBreakBefore w:val="0"/>
        <w:kinsoku/>
        <w:overflowPunct/>
        <w:topLinePunct w:val="0"/>
        <w:bidi w:val="0"/>
        <w:spacing w:line="596" w:lineRule="exact"/>
        <w:ind w:firstLine="643" w:firstLineChars="200"/>
        <w:jc w:val="left"/>
        <w:outlineLvl w:val="9"/>
        <w:rPr>
          <w:rFonts w:ascii="仿宋_GB2312" w:hAnsi="宋体" w:eastAsia="仿宋_GB2312"/>
          <w:sz w:val="32"/>
          <w:szCs w:val="32"/>
        </w:rPr>
      </w:pPr>
      <w:r>
        <w:rPr>
          <w:rFonts w:hint="eastAsia" w:ascii="仿宋_GB2312" w:hAnsi="宋体" w:eastAsia="仿宋_GB2312"/>
          <w:b/>
          <w:sz w:val="32"/>
          <w:szCs w:val="32"/>
        </w:rPr>
        <w:t>第十三条</w:t>
      </w:r>
      <w:r>
        <w:rPr>
          <w:rFonts w:ascii="仿宋_GB2312" w:hAnsi="宋体" w:eastAsia="仿宋_GB2312"/>
          <w:sz w:val="32"/>
          <w:szCs w:val="32"/>
        </w:rPr>
        <w:t xml:space="preserve">  </w:t>
      </w:r>
      <w:r>
        <w:rPr>
          <w:rFonts w:hint="eastAsia" w:ascii="仿宋_GB2312" w:hAnsi="宋体" w:eastAsia="仿宋_GB2312"/>
          <w:sz w:val="32"/>
          <w:szCs w:val="32"/>
        </w:rPr>
        <w:t>在学校公示无异议后，由学校财务处通过银行卡的方式，将新疆籍家庭经济困难学生资助金一次性发放给获资助学生。</w:t>
      </w:r>
    </w:p>
    <w:p>
      <w:pPr>
        <w:pageBreakBefore w:val="0"/>
        <w:kinsoku/>
        <w:overflowPunct/>
        <w:topLinePunct w:val="0"/>
        <w:bidi w:val="0"/>
        <w:spacing w:line="596" w:lineRule="exact"/>
        <w:ind w:firstLine="640" w:firstLineChars="200"/>
        <w:jc w:val="left"/>
        <w:outlineLvl w:val="9"/>
        <w:rPr>
          <w:rFonts w:ascii="仿宋_GB2312" w:hAnsi="宋体" w:eastAsia="仿宋_GB2312"/>
          <w:sz w:val="32"/>
          <w:szCs w:val="32"/>
        </w:rPr>
      </w:pPr>
    </w:p>
    <w:p>
      <w:pPr>
        <w:pageBreakBefore w:val="0"/>
        <w:kinsoku/>
        <w:overflowPunct/>
        <w:topLinePunct w:val="0"/>
        <w:bidi w:val="0"/>
        <w:spacing w:line="550" w:lineRule="exact"/>
        <w:jc w:val="center"/>
        <w:outlineLvl w:val="9"/>
        <w:rPr>
          <w:rFonts w:ascii="黑体" w:hAnsi="仿宋_GB2312" w:eastAsia="黑体" w:cs="仿宋_GB2312"/>
          <w:b/>
          <w:kern w:val="0"/>
          <w:sz w:val="32"/>
          <w:szCs w:val="32"/>
        </w:rPr>
      </w:pPr>
      <w:bookmarkStart w:id="679" w:name="_Toc27997_WPSOffice_Level1"/>
      <w:r>
        <w:rPr>
          <w:rFonts w:hint="eastAsia" w:ascii="黑体" w:hAnsi="仿宋_GB2312" w:eastAsia="黑体" w:cs="仿宋_GB2312"/>
          <w:b/>
          <w:kern w:val="0"/>
          <w:sz w:val="32"/>
          <w:szCs w:val="32"/>
        </w:rPr>
        <w:t>第七章</w:t>
      </w:r>
      <w:r>
        <w:rPr>
          <w:rFonts w:ascii="黑体" w:hAnsi="仿宋_GB2312" w:eastAsia="黑体" w:cs="仿宋_GB2312"/>
          <w:b/>
          <w:kern w:val="0"/>
          <w:sz w:val="32"/>
          <w:szCs w:val="32"/>
        </w:rPr>
        <w:t xml:space="preserve">  </w:t>
      </w:r>
      <w:r>
        <w:rPr>
          <w:rFonts w:hint="eastAsia" w:ascii="黑体" w:hAnsi="仿宋_GB2312" w:eastAsia="黑体" w:cs="仿宋_GB2312"/>
          <w:b/>
          <w:kern w:val="0"/>
          <w:sz w:val="32"/>
          <w:szCs w:val="32"/>
        </w:rPr>
        <w:t>附则</w:t>
      </w:r>
      <w:bookmarkEnd w:id="679"/>
    </w:p>
    <w:p>
      <w:pPr>
        <w:pageBreakBefore w:val="0"/>
        <w:kinsoku/>
        <w:overflowPunct/>
        <w:topLinePunct w:val="0"/>
        <w:bidi w:val="0"/>
        <w:spacing w:line="596" w:lineRule="exact"/>
        <w:ind w:firstLine="643" w:firstLineChars="200"/>
        <w:jc w:val="left"/>
        <w:outlineLvl w:val="9"/>
        <w:rPr>
          <w:rFonts w:ascii="仿宋_GB2312" w:hAnsi="宋体" w:eastAsia="仿宋_GB2312"/>
          <w:sz w:val="32"/>
          <w:szCs w:val="32"/>
        </w:rPr>
      </w:pPr>
      <w:r>
        <w:rPr>
          <w:rFonts w:hint="eastAsia" w:ascii="仿宋_GB2312" w:hAnsi="宋体" w:eastAsia="仿宋_GB2312"/>
          <w:b/>
          <w:sz w:val="32"/>
          <w:szCs w:val="32"/>
        </w:rPr>
        <w:t>第十四条</w:t>
      </w:r>
      <w:r>
        <w:rPr>
          <w:rFonts w:ascii="仿宋_GB2312" w:hAnsi="宋体" w:eastAsia="仿宋_GB2312"/>
          <w:sz w:val="32"/>
          <w:szCs w:val="32"/>
        </w:rPr>
        <w:t xml:space="preserve">  </w:t>
      </w:r>
      <w:r>
        <w:rPr>
          <w:rFonts w:hint="eastAsia" w:ascii="仿宋_GB2312" w:hAnsi="宋体" w:eastAsia="仿宋_GB2312"/>
          <w:sz w:val="32"/>
          <w:szCs w:val="32"/>
        </w:rPr>
        <w:t>本办法自公布之日起施行。</w:t>
      </w:r>
    </w:p>
    <w:p>
      <w:pPr>
        <w:pageBreakBefore w:val="0"/>
        <w:kinsoku/>
        <w:overflowPunct/>
        <w:topLinePunct w:val="0"/>
        <w:bidi w:val="0"/>
        <w:spacing w:line="596" w:lineRule="exact"/>
        <w:ind w:firstLine="643" w:firstLineChars="200"/>
        <w:jc w:val="left"/>
        <w:outlineLvl w:val="9"/>
        <w:rPr>
          <w:rFonts w:ascii="仿宋_GB2312" w:eastAsia="仿宋_GB2312"/>
          <w:sz w:val="32"/>
          <w:szCs w:val="32"/>
        </w:rPr>
      </w:pPr>
      <w:r>
        <w:rPr>
          <w:rFonts w:hint="eastAsia" w:ascii="仿宋_GB2312" w:hAnsi="宋体" w:eastAsia="仿宋_GB2312"/>
          <w:b/>
          <w:sz w:val="32"/>
          <w:szCs w:val="32"/>
        </w:rPr>
        <w:t>第十五条</w:t>
      </w:r>
      <w:r>
        <w:rPr>
          <w:rFonts w:ascii="仿宋_GB2312" w:hAnsi="宋体" w:eastAsia="仿宋_GB2312"/>
          <w:sz w:val="32"/>
          <w:szCs w:val="32"/>
        </w:rPr>
        <w:t xml:space="preserve">  </w:t>
      </w:r>
      <w:r>
        <w:rPr>
          <w:rFonts w:hint="eastAsia" w:ascii="仿宋_GB2312" w:hAnsi="宋体" w:eastAsia="仿宋_GB2312"/>
          <w:sz w:val="32"/>
          <w:szCs w:val="32"/>
        </w:rPr>
        <w:t>本办法由校学生工作部（处）负责解释。</w:t>
      </w:r>
    </w:p>
    <w:p>
      <w:pPr>
        <w:pageBreakBefore w:val="0"/>
        <w:kinsoku/>
        <w:overflowPunct/>
        <w:topLinePunct w:val="0"/>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0" w:lineRule="exact"/>
        <w:ind w:firstLine="708" w:firstLineChars="196"/>
        <w:jc w:val="center"/>
        <w:textAlignment w:val="auto"/>
        <w:outlineLvl w:val="9"/>
        <w:rPr>
          <w:b/>
          <w:color w:val="000000"/>
          <w:sz w:val="36"/>
          <w:szCs w:val="36"/>
        </w:rPr>
      </w:pPr>
      <w:bookmarkStart w:id="680" w:name="_Toc2702"/>
      <w:bookmarkStart w:id="681" w:name="_Toc8439"/>
      <w:bookmarkStart w:id="682" w:name="_Toc17864"/>
      <w:bookmarkStart w:id="683" w:name="_Toc5662_WPSOffice_Level1"/>
      <w:bookmarkStart w:id="684" w:name="_Toc10195"/>
      <w:r>
        <w:rPr>
          <w:rFonts w:hint="eastAsia"/>
          <w:b/>
          <w:color w:val="000000"/>
          <w:sz w:val="36"/>
          <w:szCs w:val="36"/>
        </w:rPr>
        <w:t>柳州职业技术学院疫情防控期间学生每日健康打卡管理规定</w:t>
      </w:r>
      <w:bookmarkEnd w:id="680"/>
      <w:bookmarkEnd w:id="681"/>
      <w:bookmarkEnd w:id="682"/>
      <w:bookmarkEnd w:id="683"/>
      <w:bookmarkEnd w:id="684"/>
    </w:p>
    <w:p>
      <w:pPr>
        <w:pageBreakBefore w:val="0"/>
        <w:kinsoku/>
        <w:overflowPunct/>
        <w:topLinePunct w:val="0"/>
        <w:bidi w:val="0"/>
        <w:jc w:val="center"/>
        <w:outlineLvl w:val="9"/>
        <w:rPr>
          <w:rFonts w:ascii="仿宋_GB2312" w:eastAsia="仿宋_GB2312"/>
          <w:b/>
          <w:szCs w:val="28"/>
        </w:rPr>
      </w:pPr>
      <w:r>
        <w:rPr>
          <w:rFonts w:hint="eastAsia" w:ascii="仿宋_GB2312" w:eastAsia="仿宋_GB2312"/>
          <w:b/>
          <w:szCs w:val="28"/>
        </w:rPr>
        <w:t>柳职院学字〔</w:t>
      </w:r>
      <w:r>
        <w:rPr>
          <w:rFonts w:ascii="仿宋_GB2312" w:eastAsia="仿宋_GB2312"/>
          <w:b/>
          <w:szCs w:val="28"/>
        </w:rPr>
        <w:t>2020</w:t>
      </w:r>
      <w:r>
        <w:rPr>
          <w:rFonts w:hint="eastAsia" w:ascii="仿宋_GB2312" w:eastAsia="仿宋_GB2312"/>
          <w:b/>
          <w:szCs w:val="28"/>
        </w:rPr>
        <w:t>〕</w:t>
      </w:r>
      <w:r>
        <w:rPr>
          <w:rFonts w:ascii="仿宋_GB2312" w:eastAsia="仿宋_GB2312"/>
          <w:b/>
          <w:szCs w:val="28"/>
        </w:rPr>
        <w:t>9</w:t>
      </w:r>
      <w:r>
        <w:rPr>
          <w:rFonts w:hint="eastAsia" w:ascii="仿宋_GB2312" w:eastAsia="仿宋_GB2312"/>
          <w:b/>
          <w:szCs w:val="28"/>
        </w:rPr>
        <w:t>号</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根据《柳州职业技术学院新型冠状病毒感染的肺炎疫情防控工作应急预案》（柳职院字〔</w:t>
      </w:r>
      <w:r>
        <w:rPr>
          <w:rFonts w:ascii="仿宋_GB2312" w:hAnsi="宋体" w:eastAsia="仿宋_GB2312"/>
          <w:sz w:val="32"/>
          <w:szCs w:val="32"/>
        </w:rPr>
        <w:t>2020</w:t>
      </w:r>
      <w:r>
        <w:rPr>
          <w:rFonts w:hint="eastAsia" w:ascii="仿宋_GB2312" w:hAnsi="宋体" w:eastAsia="仿宋_GB2312"/>
          <w:sz w:val="32"/>
          <w:szCs w:val="32"/>
        </w:rPr>
        <w:t>〕</w:t>
      </w:r>
      <w:r>
        <w:rPr>
          <w:rFonts w:ascii="仿宋_GB2312" w:hAnsi="宋体" w:eastAsia="仿宋_GB2312"/>
          <w:sz w:val="32"/>
          <w:szCs w:val="32"/>
        </w:rPr>
        <w:t>2</w:t>
      </w:r>
      <w:r>
        <w:rPr>
          <w:rFonts w:hint="eastAsia" w:ascii="仿宋_GB2312" w:hAnsi="宋体" w:eastAsia="仿宋_GB2312"/>
          <w:sz w:val="32"/>
          <w:szCs w:val="32"/>
        </w:rPr>
        <w:t>号）、柳州职业技术学院新冠疫情防控领导小组《关于新型冠状病毒感染的肺炎疫情防控信息报送的通知》（柳职院疫情防控工作领导小组文件〔</w:t>
      </w:r>
      <w:r>
        <w:rPr>
          <w:rFonts w:ascii="仿宋_GB2312" w:hAnsi="宋体" w:eastAsia="仿宋_GB2312"/>
          <w:sz w:val="32"/>
          <w:szCs w:val="32"/>
        </w:rPr>
        <w:t>2020</w:t>
      </w:r>
      <w:r>
        <w:rPr>
          <w:rFonts w:hint="eastAsia" w:ascii="仿宋_GB2312" w:hAnsi="宋体" w:eastAsia="仿宋_GB2312"/>
          <w:sz w:val="32"/>
          <w:szCs w:val="32"/>
        </w:rPr>
        <w:t>〕</w:t>
      </w:r>
      <w:r>
        <w:rPr>
          <w:rFonts w:ascii="仿宋_GB2312" w:hAnsi="宋体" w:eastAsia="仿宋_GB2312"/>
          <w:sz w:val="32"/>
          <w:szCs w:val="32"/>
        </w:rPr>
        <w:t>3</w:t>
      </w:r>
      <w:r>
        <w:rPr>
          <w:rFonts w:hint="eastAsia" w:ascii="仿宋_GB2312" w:hAnsi="宋体" w:eastAsia="仿宋_GB2312"/>
          <w:sz w:val="32"/>
          <w:szCs w:val="32"/>
        </w:rPr>
        <w:t>号），以及《关于进一步规范每日健康打卡和外出离柳管理的通知》等文件，要求全校学生每日须按时完成健康打卡任务。疫情就是命令，防控就是责任，为进一步加强和规范疫情防控期间学生健康打卡，现就学生每日健康打卡管理规定如下：</w:t>
      </w:r>
    </w:p>
    <w:p>
      <w:pPr>
        <w:pageBreakBefore w:val="0"/>
        <w:kinsoku/>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一、每日健康打卡要求</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bookmarkStart w:id="685" w:name="_Toc31268_WPSOffice_Level1"/>
      <w:r>
        <w:rPr>
          <w:rFonts w:hint="eastAsia" w:ascii="仿宋_GB2312" w:hAnsi="宋体" w:eastAsia="仿宋_GB2312"/>
          <w:sz w:val="32"/>
          <w:szCs w:val="32"/>
        </w:rPr>
        <w:t>（一）学生每日</w:t>
      </w:r>
      <w:r>
        <w:rPr>
          <w:rFonts w:ascii="仿宋_GB2312" w:hAnsi="宋体" w:eastAsia="仿宋_GB2312"/>
          <w:sz w:val="32"/>
          <w:szCs w:val="32"/>
        </w:rPr>
        <w:t>18</w:t>
      </w:r>
      <w:r>
        <w:rPr>
          <w:rFonts w:hint="eastAsia" w:ascii="仿宋_GB2312" w:hAnsi="宋体" w:eastAsia="仿宋_GB2312"/>
          <w:sz w:val="32"/>
          <w:szCs w:val="32"/>
        </w:rPr>
        <w:t>时前完成健康打卡；</w:t>
      </w:r>
      <w:bookmarkEnd w:id="685"/>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bookmarkStart w:id="686" w:name="_Toc32036_WPSOffice_Level1"/>
      <w:r>
        <w:rPr>
          <w:rFonts w:hint="eastAsia" w:ascii="仿宋_GB2312" w:hAnsi="宋体" w:eastAsia="仿宋_GB2312"/>
          <w:sz w:val="32"/>
          <w:szCs w:val="32"/>
        </w:rPr>
        <w:t>（二）学生每日健康打卡信息要真实、准确、完整。</w:t>
      </w:r>
      <w:bookmarkEnd w:id="686"/>
    </w:p>
    <w:p>
      <w:pPr>
        <w:pageBreakBefore w:val="0"/>
        <w:kinsoku/>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二、未完成打卡处分规定</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针对未按要求完成打卡任务的学生将给予相应处分，现将具体处分规定如下：</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（一）处分依据</w:t>
      </w:r>
      <w:r>
        <w:rPr>
          <w:rFonts w:hint="eastAsia" w:ascii="仿宋_GB2312" w:hAnsi="宋体" w:eastAsia="仿宋_GB2312"/>
          <w:sz w:val="32"/>
          <w:szCs w:val="32"/>
        </w:rPr>
        <w:t>：《柳州职业技术学院学生管理规定》第五十一条：对有违反法律法规、本规定以及学校纪律行为的学生，给予批评教育，并可视情节轻重，给予如下纪律处分：</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警告；</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严重警告；</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3.</w:t>
      </w:r>
      <w:r>
        <w:rPr>
          <w:rFonts w:hint="eastAsia" w:ascii="仿宋_GB2312" w:hAnsi="宋体" w:eastAsia="仿宋_GB2312"/>
          <w:sz w:val="32"/>
          <w:szCs w:val="32"/>
        </w:rPr>
        <w:t>记过；</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4.</w:t>
      </w:r>
      <w:r>
        <w:rPr>
          <w:rFonts w:hint="eastAsia" w:ascii="仿宋_GB2312" w:hAnsi="宋体" w:eastAsia="仿宋_GB2312"/>
          <w:sz w:val="32"/>
          <w:szCs w:val="32"/>
        </w:rPr>
        <w:t>留校察看；</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5.</w:t>
      </w:r>
      <w:r>
        <w:rPr>
          <w:rFonts w:hint="eastAsia" w:ascii="仿宋_GB2312" w:hAnsi="宋体" w:eastAsia="仿宋_GB2312"/>
          <w:sz w:val="32"/>
          <w:szCs w:val="32"/>
        </w:rPr>
        <w:t>开除学籍。</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（二）处分办法</w:t>
      </w:r>
      <w:r>
        <w:rPr>
          <w:rFonts w:hint="eastAsia" w:ascii="仿宋_GB2312" w:hAnsi="宋体" w:eastAsia="仿宋_GB2312"/>
          <w:sz w:val="32"/>
          <w:szCs w:val="32"/>
        </w:rPr>
        <w:t>：学生在疫情防控期间未按学校要求每日完成健康打卡任务，学校将给予扣除诚信分和相应处分的处罚。</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按照每缺少一次健康打卡则扣除诚信分</w:t>
      </w:r>
      <w:r>
        <w:rPr>
          <w:rFonts w:ascii="仿宋_GB2312" w:hAnsi="宋体" w:eastAsia="仿宋_GB2312"/>
          <w:sz w:val="32"/>
          <w:szCs w:val="32"/>
        </w:rPr>
        <w:t>20</w:t>
      </w:r>
      <w:r>
        <w:rPr>
          <w:rFonts w:hint="eastAsia" w:ascii="仿宋_GB2312" w:hAnsi="宋体" w:eastAsia="仿宋_GB2312"/>
          <w:sz w:val="32"/>
          <w:szCs w:val="32"/>
        </w:rPr>
        <w:t>分，可累计扣分，不设上限。</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在疫情防控期间，经辅导员提醒、督促后仍多次未完成打卡，按如下规定给予处分：</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w:t>
      </w:r>
      <w:r>
        <w:rPr>
          <w:rFonts w:ascii="仿宋_GB2312" w:hAnsi="宋体" w:eastAsia="仿宋_GB2312"/>
          <w:sz w:val="32"/>
          <w:szCs w:val="32"/>
        </w:rPr>
        <w:t>1</w:t>
      </w:r>
      <w:r>
        <w:rPr>
          <w:rFonts w:hint="eastAsia" w:ascii="仿宋_GB2312" w:hAnsi="宋体" w:eastAsia="仿宋_GB2312"/>
          <w:sz w:val="32"/>
          <w:szCs w:val="32"/>
        </w:rPr>
        <w:t>）学生累计无故不打卡达</w:t>
      </w:r>
      <w:r>
        <w:rPr>
          <w:rFonts w:ascii="仿宋_GB2312" w:hAnsi="宋体" w:eastAsia="仿宋_GB2312"/>
          <w:sz w:val="32"/>
          <w:szCs w:val="32"/>
        </w:rPr>
        <w:t>5</w:t>
      </w:r>
      <w:r>
        <w:rPr>
          <w:rFonts w:hint="eastAsia" w:ascii="仿宋_GB2312" w:hAnsi="宋体" w:eastAsia="仿宋_GB2312"/>
          <w:sz w:val="32"/>
          <w:szCs w:val="32"/>
        </w:rPr>
        <w:t>次（含</w:t>
      </w:r>
      <w:r>
        <w:rPr>
          <w:rFonts w:ascii="仿宋_GB2312" w:hAnsi="宋体" w:eastAsia="仿宋_GB2312"/>
          <w:sz w:val="32"/>
          <w:szCs w:val="32"/>
        </w:rPr>
        <w:t>5</w:t>
      </w:r>
      <w:r>
        <w:rPr>
          <w:rFonts w:hint="eastAsia" w:ascii="仿宋_GB2312" w:hAnsi="宋体" w:eastAsia="仿宋_GB2312"/>
          <w:sz w:val="32"/>
          <w:szCs w:val="32"/>
        </w:rPr>
        <w:t>次）以上，则记警告处分；</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w:t>
      </w:r>
      <w:r>
        <w:rPr>
          <w:rFonts w:ascii="仿宋_GB2312" w:hAnsi="宋体" w:eastAsia="仿宋_GB2312"/>
          <w:sz w:val="32"/>
          <w:szCs w:val="32"/>
        </w:rPr>
        <w:t>2</w:t>
      </w:r>
      <w:r>
        <w:rPr>
          <w:rFonts w:hint="eastAsia" w:ascii="仿宋_GB2312" w:hAnsi="宋体" w:eastAsia="仿宋_GB2312"/>
          <w:sz w:val="32"/>
          <w:szCs w:val="32"/>
        </w:rPr>
        <w:t>）学生累计无故不打卡达</w:t>
      </w:r>
      <w:r>
        <w:rPr>
          <w:rFonts w:ascii="仿宋_GB2312" w:hAnsi="宋体" w:eastAsia="仿宋_GB2312"/>
          <w:sz w:val="32"/>
          <w:szCs w:val="32"/>
        </w:rPr>
        <w:t>10</w:t>
      </w:r>
      <w:r>
        <w:rPr>
          <w:rFonts w:hint="eastAsia" w:ascii="仿宋_GB2312" w:hAnsi="宋体" w:eastAsia="仿宋_GB2312"/>
          <w:sz w:val="32"/>
          <w:szCs w:val="32"/>
        </w:rPr>
        <w:t>次</w:t>
      </w:r>
      <w:r>
        <w:rPr>
          <w:rFonts w:ascii="仿宋_GB2312" w:hAnsi="宋体" w:eastAsia="仿宋_GB2312"/>
          <w:sz w:val="32"/>
          <w:szCs w:val="32"/>
        </w:rPr>
        <w:t>(</w:t>
      </w:r>
      <w:r>
        <w:rPr>
          <w:rFonts w:hint="eastAsia" w:ascii="仿宋_GB2312" w:hAnsi="宋体" w:eastAsia="仿宋_GB2312"/>
          <w:sz w:val="32"/>
          <w:szCs w:val="32"/>
        </w:rPr>
        <w:t>含</w:t>
      </w:r>
      <w:r>
        <w:rPr>
          <w:rFonts w:ascii="仿宋_GB2312" w:hAnsi="宋体" w:eastAsia="仿宋_GB2312"/>
          <w:sz w:val="32"/>
          <w:szCs w:val="32"/>
        </w:rPr>
        <w:t>10</w:t>
      </w:r>
      <w:r>
        <w:rPr>
          <w:rFonts w:hint="eastAsia" w:ascii="仿宋_GB2312" w:hAnsi="宋体" w:eastAsia="仿宋_GB2312"/>
          <w:sz w:val="32"/>
          <w:szCs w:val="32"/>
        </w:rPr>
        <w:t>次）以上，则记严重警告处分。</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3.</w:t>
      </w:r>
      <w:r>
        <w:rPr>
          <w:rFonts w:hint="eastAsia" w:ascii="仿宋_GB2312" w:hAnsi="宋体" w:eastAsia="仿宋_GB2312"/>
          <w:sz w:val="32"/>
          <w:szCs w:val="32"/>
        </w:rPr>
        <w:t>在开学返校前未能连续</w:t>
      </w:r>
      <w:r>
        <w:rPr>
          <w:rFonts w:ascii="仿宋_GB2312" w:hAnsi="宋体" w:eastAsia="仿宋_GB2312"/>
          <w:sz w:val="32"/>
          <w:szCs w:val="32"/>
        </w:rPr>
        <w:t>14</w:t>
      </w:r>
      <w:r>
        <w:rPr>
          <w:rFonts w:hint="eastAsia" w:ascii="仿宋_GB2312" w:hAnsi="宋体" w:eastAsia="仿宋_GB2312"/>
          <w:sz w:val="32"/>
          <w:szCs w:val="32"/>
        </w:rPr>
        <w:t>天完成健康打卡的学生，学校将有权延迟该生的返校时间。</w:t>
      </w:r>
    </w:p>
    <w:p>
      <w:pPr>
        <w:pageBreakBefore w:val="0"/>
        <w:kinsoku/>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三、未打卡时间节点的认定</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学生每日健康打卡要求在当日</w:t>
      </w:r>
      <w:r>
        <w:rPr>
          <w:rFonts w:ascii="仿宋_GB2312" w:hAnsi="宋体" w:eastAsia="仿宋_GB2312"/>
          <w:sz w:val="32"/>
          <w:szCs w:val="32"/>
        </w:rPr>
        <w:t>0</w:t>
      </w:r>
      <w:r>
        <w:rPr>
          <w:rFonts w:hint="eastAsia" w:ascii="仿宋_GB2312" w:hAnsi="宋体" w:eastAsia="仿宋_GB2312"/>
          <w:sz w:val="32"/>
          <w:szCs w:val="32"/>
        </w:rPr>
        <w:t>时至</w:t>
      </w:r>
      <w:r>
        <w:rPr>
          <w:rFonts w:ascii="仿宋_GB2312" w:hAnsi="宋体" w:eastAsia="仿宋_GB2312"/>
          <w:sz w:val="32"/>
          <w:szCs w:val="32"/>
        </w:rPr>
        <w:t>18</w:t>
      </w:r>
      <w:r>
        <w:rPr>
          <w:rFonts w:hint="eastAsia" w:ascii="仿宋_GB2312" w:hAnsi="宋体" w:eastAsia="仿宋_GB2312"/>
          <w:sz w:val="32"/>
          <w:szCs w:val="32"/>
        </w:rPr>
        <w:t>时完成，学生当日未完成打卡即可作为处分根据。学生未打卡数据以学校疫情联防联控工作领导小组指挥部办公室数据小组统计的数据为准。</w:t>
      </w:r>
    </w:p>
    <w:p>
      <w:pPr>
        <w:pageBreakBefore w:val="0"/>
        <w:kinsoku/>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四、处分流程</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各二级学院负责学生因未完成每日健康打卡诚信分扣除工作，对达到处分条件的学生，由二级学院按照学生处分办理流程提交处分申请，学生工作处负责审核处分申请事宜，出具处分决定书。</w:t>
      </w:r>
    </w:p>
    <w:p>
      <w:pPr>
        <w:pageBreakBefore w:val="0"/>
        <w:kinsoku/>
        <w:overflowPunct/>
        <w:topLinePunct w:val="0"/>
        <w:bidi w:val="0"/>
        <w:spacing w:line="596" w:lineRule="exact"/>
        <w:ind w:firstLine="602" w:firstLineChars="200"/>
        <w:outlineLvl w:val="9"/>
        <w:rPr>
          <w:rFonts w:ascii="黑体" w:hAnsi="黑体" w:eastAsia="黑体"/>
          <w:b/>
          <w:sz w:val="30"/>
          <w:szCs w:val="30"/>
        </w:rPr>
        <w:sectPr>
          <w:pgSz w:w="11906" w:h="16838"/>
          <w:pgMar w:top="2098" w:right="1474" w:bottom="1984" w:left="1587" w:header="851" w:footer="992" w:gutter="0"/>
          <w:pgNumType w:fmt="decimal"/>
          <w:cols w:space="720" w:num="1"/>
          <w:docGrid w:linePitch="312" w:charSpace="0"/>
        </w:sectPr>
      </w:pPr>
      <w:r>
        <w:rPr>
          <w:rFonts w:hint="eastAsia" w:ascii="黑体" w:hAnsi="黑体" w:eastAsia="黑体"/>
          <w:b/>
          <w:sz w:val="30"/>
          <w:szCs w:val="30"/>
        </w:rPr>
        <w:t>五、本规定从</w:t>
      </w:r>
      <w:r>
        <w:rPr>
          <w:rFonts w:ascii="黑体" w:hAnsi="黑体" w:eastAsia="黑体"/>
          <w:b/>
          <w:sz w:val="30"/>
          <w:szCs w:val="30"/>
        </w:rPr>
        <w:t>2020</w:t>
      </w:r>
      <w:r>
        <w:rPr>
          <w:rFonts w:hint="eastAsia" w:ascii="黑体" w:hAnsi="黑体" w:eastAsia="黑体"/>
          <w:b/>
          <w:sz w:val="30"/>
          <w:szCs w:val="30"/>
        </w:rPr>
        <w:t>年</w:t>
      </w:r>
      <w:r>
        <w:rPr>
          <w:rFonts w:ascii="黑体" w:hAnsi="黑体" w:eastAsia="黑体"/>
          <w:b/>
          <w:sz w:val="30"/>
          <w:szCs w:val="30"/>
        </w:rPr>
        <w:t>3</w:t>
      </w:r>
      <w:r>
        <w:rPr>
          <w:rFonts w:hint="eastAsia" w:ascii="黑体" w:hAnsi="黑体" w:eastAsia="黑体"/>
          <w:b/>
          <w:sz w:val="30"/>
          <w:szCs w:val="30"/>
        </w:rPr>
        <w:t>月</w:t>
      </w:r>
      <w:r>
        <w:rPr>
          <w:rFonts w:ascii="黑体" w:hAnsi="黑体" w:eastAsia="黑体"/>
          <w:b/>
          <w:sz w:val="30"/>
          <w:szCs w:val="30"/>
        </w:rPr>
        <w:t>2</w:t>
      </w:r>
      <w:r>
        <w:rPr>
          <w:rFonts w:hint="eastAsia" w:ascii="黑体" w:hAnsi="黑体" w:eastAsia="黑体"/>
          <w:b/>
          <w:sz w:val="30"/>
          <w:szCs w:val="30"/>
        </w:rPr>
        <w:t>日起执行。根据疫情控制情况，停止执行时间另行通知。</w:t>
      </w:r>
    </w:p>
    <w:p>
      <w:pPr>
        <w:pageBreakBefore w:val="0"/>
        <w:kinsoku/>
        <w:overflowPunct/>
        <w:topLinePunct w:val="0"/>
        <w:bidi w:val="0"/>
        <w:spacing w:line="596" w:lineRule="exact"/>
        <w:outlineLvl w:val="9"/>
        <w:rPr>
          <w:rFonts w:ascii="宋体" w:hAnsi="宋体"/>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b/>
          <w:color w:val="000000"/>
          <w:sz w:val="36"/>
          <w:szCs w:val="36"/>
        </w:rPr>
      </w:pPr>
      <w:bookmarkStart w:id="687" w:name="_Toc8635"/>
      <w:bookmarkStart w:id="688" w:name="_Toc26813"/>
      <w:bookmarkStart w:id="689" w:name="_Toc18715_WPSOffice_Level1"/>
      <w:bookmarkStart w:id="690" w:name="_Toc11005"/>
      <w:bookmarkStart w:id="691" w:name="_Toc18184"/>
      <w:r>
        <w:rPr>
          <w:rFonts w:hint="eastAsia"/>
          <w:b/>
          <w:color w:val="000000"/>
          <w:sz w:val="36"/>
          <w:szCs w:val="36"/>
        </w:rPr>
        <w:t>柳州职业技术学院疫情防控期间学生每日晨午间体温检测打卡管理规定</w:t>
      </w:r>
      <w:bookmarkEnd w:id="687"/>
      <w:bookmarkEnd w:id="688"/>
      <w:bookmarkEnd w:id="689"/>
      <w:bookmarkEnd w:id="690"/>
      <w:bookmarkEnd w:id="691"/>
    </w:p>
    <w:p>
      <w:pPr>
        <w:pageBreakBefore w:val="0"/>
        <w:kinsoku/>
        <w:overflowPunct/>
        <w:topLinePunct w:val="0"/>
        <w:bidi w:val="0"/>
        <w:jc w:val="center"/>
        <w:outlineLvl w:val="9"/>
        <w:rPr>
          <w:rFonts w:hint="eastAsia" w:ascii="仿宋_GB2312" w:eastAsia="仿宋_GB2312"/>
          <w:b/>
          <w:szCs w:val="28"/>
        </w:rPr>
      </w:pPr>
      <w:r>
        <w:rPr>
          <w:rFonts w:hint="eastAsia" w:ascii="仿宋_GB2312" w:eastAsia="仿宋_GB2312"/>
          <w:b/>
          <w:szCs w:val="28"/>
        </w:rPr>
        <w:t>柳职院学字〔</w:t>
      </w:r>
      <w:r>
        <w:rPr>
          <w:rFonts w:ascii="仿宋_GB2312" w:eastAsia="仿宋_GB2312"/>
          <w:b/>
          <w:szCs w:val="28"/>
        </w:rPr>
        <w:t>2020</w:t>
      </w:r>
      <w:r>
        <w:rPr>
          <w:rFonts w:hint="eastAsia" w:ascii="仿宋_GB2312" w:eastAsia="仿宋_GB2312"/>
          <w:b/>
          <w:szCs w:val="28"/>
        </w:rPr>
        <w:t>〕</w:t>
      </w:r>
      <w:r>
        <w:rPr>
          <w:rFonts w:ascii="仿宋_GB2312" w:eastAsia="仿宋_GB2312"/>
          <w:b/>
          <w:szCs w:val="28"/>
        </w:rPr>
        <w:t>10</w:t>
      </w:r>
      <w:r>
        <w:rPr>
          <w:rFonts w:hint="eastAsia" w:ascii="仿宋_GB2312" w:eastAsia="仿宋_GB2312"/>
          <w:b/>
          <w:szCs w:val="28"/>
        </w:rPr>
        <w:t>号</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根据《柳州职业技术学院新型冠状病毒感染的肺炎疫情防控工作应急预案》（柳职院字</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w:t>
      </w:r>
      <w:r>
        <w:rPr>
          <w:rFonts w:ascii="仿宋_GB2312" w:hAnsi="宋体" w:eastAsia="仿宋_GB2312"/>
          <w:sz w:val="32"/>
          <w:szCs w:val="32"/>
        </w:rPr>
        <w:t>2</w:t>
      </w:r>
      <w:r>
        <w:rPr>
          <w:rFonts w:hint="eastAsia" w:ascii="仿宋_GB2312" w:hAnsi="宋体" w:eastAsia="仿宋_GB2312"/>
          <w:sz w:val="32"/>
          <w:szCs w:val="32"/>
        </w:rPr>
        <w:t>号）、柳州职业技术学院新冠疫情防控领导小组《关于新型冠状病毒感染的肺炎疫情防控信息报送的通知》（柳职院疫情防控工作领导小组文件</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w:t>
      </w:r>
      <w:r>
        <w:rPr>
          <w:rFonts w:ascii="仿宋_GB2312" w:hAnsi="宋体" w:eastAsia="仿宋_GB2312"/>
          <w:sz w:val="32"/>
          <w:szCs w:val="32"/>
        </w:rPr>
        <w:t>3</w:t>
      </w:r>
      <w:r>
        <w:rPr>
          <w:rFonts w:hint="eastAsia" w:ascii="仿宋_GB2312" w:hAnsi="宋体" w:eastAsia="仿宋_GB2312"/>
          <w:sz w:val="32"/>
          <w:szCs w:val="32"/>
        </w:rPr>
        <w:t>号）等文件，以及学校相关学生返校疫情防控工作规定，为进一步加强和规范疫情防控期间学生每日体温检测打卡管理工作，在校学生每日需及时、如实、准确完成晨间体温检测打卡、午间体温检测打卡。现就学生每日晨午间体温检测打卡管理规定如下：</w:t>
      </w:r>
    </w:p>
    <w:p>
      <w:pPr>
        <w:pageBreakBefore w:val="0"/>
        <w:kinsoku/>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一、每日晨午间体温检测打卡要求</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（一）学生每日</w:t>
      </w:r>
      <w:r>
        <w:rPr>
          <w:rFonts w:ascii="仿宋_GB2312" w:hAnsi="宋体" w:eastAsia="仿宋_GB2312"/>
          <w:sz w:val="32"/>
          <w:szCs w:val="32"/>
        </w:rPr>
        <w:t>6</w:t>
      </w:r>
      <w:r>
        <w:rPr>
          <w:rFonts w:hint="eastAsia" w:ascii="仿宋_GB2312" w:hAnsi="宋体" w:eastAsia="仿宋_GB2312"/>
          <w:sz w:val="32"/>
          <w:szCs w:val="32"/>
        </w:rPr>
        <w:t>：</w:t>
      </w:r>
      <w:r>
        <w:rPr>
          <w:rFonts w:ascii="仿宋_GB2312" w:hAnsi="宋体" w:eastAsia="仿宋_GB2312"/>
          <w:sz w:val="32"/>
          <w:szCs w:val="32"/>
        </w:rPr>
        <w:t>00-8</w:t>
      </w:r>
      <w:r>
        <w:rPr>
          <w:rFonts w:hint="eastAsia" w:ascii="仿宋_GB2312" w:hAnsi="宋体" w:eastAsia="仿宋_GB2312"/>
          <w:sz w:val="32"/>
          <w:szCs w:val="32"/>
        </w:rPr>
        <w:t>：</w:t>
      </w:r>
      <w:r>
        <w:rPr>
          <w:rFonts w:ascii="仿宋_GB2312" w:hAnsi="宋体" w:eastAsia="仿宋_GB2312"/>
          <w:sz w:val="32"/>
          <w:szCs w:val="32"/>
        </w:rPr>
        <w:t>00</w:t>
      </w:r>
      <w:r>
        <w:rPr>
          <w:rFonts w:hint="eastAsia" w:ascii="仿宋_GB2312" w:hAnsi="宋体" w:eastAsia="仿宋_GB2312"/>
          <w:sz w:val="32"/>
          <w:szCs w:val="32"/>
        </w:rPr>
        <w:t>完成晨间体温检测打卡；</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（二）学生每日</w:t>
      </w:r>
      <w:r>
        <w:rPr>
          <w:rFonts w:ascii="仿宋_GB2312" w:hAnsi="宋体" w:eastAsia="仿宋_GB2312"/>
          <w:sz w:val="32"/>
          <w:szCs w:val="32"/>
        </w:rPr>
        <w:t>12</w:t>
      </w:r>
      <w:r>
        <w:rPr>
          <w:rFonts w:hint="eastAsia" w:ascii="仿宋_GB2312" w:hAnsi="宋体" w:eastAsia="仿宋_GB2312"/>
          <w:sz w:val="32"/>
          <w:szCs w:val="32"/>
        </w:rPr>
        <w:t>：</w:t>
      </w:r>
      <w:r>
        <w:rPr>
          <w:rFonts w:ascii="仿宋_GB2312" w:hAnsi="宋体" w:eastAsia="仿宋_GB2312"/>
          <w:sz w:val="32"/>
          <w:szCs w:val="32"/>
        </w:rPr>
        <w:t>00-14</w:t>
      </w:r>
      <w:r>
        <w:rPr>
          <w:rFonts w:hint="eastAsia" w:ascii="仿宋_GB2312" w:hAnsi="宋体" w:eastAsia="仿宋_GB2312"/>
          <w:sz w:val="32"/>
          <w:szCs w:val="32"/>
        </w:rPr>
        <w:t>：</w:t>
      </w:r>
      <w:r>
        <w:rPr>
          <w:rFonts w:ascii="仿宋_GB2312" w:hAnsi="宋体" w:eastAsia="仿宋_GB2312"/>
          <w:sz w:val="32"/>
          <w:szCs w:val="32"/>
        </w:rPr>
        <w:t>00</w:t>
      </w:r>
      <w:r>
        <w:rPr>
          <w:rFonts w:hint="eastAsia" w:ascii="仿宋_GB2312" w:hAnsi="宋体" w:eastAsia="仿宋_GB2312"/>
          <w:sz w:val="32"/>
          <w:szCs w:val="32"/>
        </w:rPr>
        <w:t>完成午间体温检测打卡；</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（三）</w:t>
      </w:r>
      <w:r>
        <w:rPr>
          <w:rFonts w:ascii="仿宋_GB2312" w:hAnsi="宋体" w:eastAsia="仿宋_GB2312"/>
          <w:sz w:val="32"/>
          <w:szCs w:val="32"/>
        </w:rPr>
        <w:t>2017</w:t>
      </w:r>
      <w:r>
        <w:rPr>
          <w:rFonts w:hint="eastAsia" w:ascii="仿宋_GB2312" w:hAnsi="宋体" w:eastAsia="仿宋_GB2312"/>
          <w:sz w:val="32"/>
          <w:szCs w:val="32"/>
        </w:rPr>
        <w:t>级学生使用学校统一配发的体温计测量体温，</w:t>
      </w:r>
      <w:r>
        <w:rPr>
          <w:rFonts w:ascii="仿宋_GB2312" w:hAnsi="宋体" w:eastAsia="仿宋_GB2312"/>
          <w:sz w:val="32"/>
          <w:szCs w:val="32"/>
        </w:rPr>
        <w:t>2018</w:t>
      </w:r>
      <w:r>
        <w:rPr>
          <w:rFonts w:hint="eastAsia" w:ascii="仿宋_GB2312" w:hAnsi="宋体" w:eastAsia="仿宋_GB2312"/>
          <w:sz w:val="32"/>
          <w:szCs w:val="32"/>
        </w:rPr>
        <w:t>级、</w:t>
      </w:r>
      <w:r>
        <w:rPr>
          <w:rFonts w:ascii="仿宋_GB2312" w:hAnsi="宋体" w:eastAsia="仿宋_GB2312"/>
          <w:sz w:val="32"/>
          <w:szCs w:val="32"/>
        </w:rPr>
        <w:t>2019</w:t>
      </w:r>
      <w:r>
        <w:rPr>
          <w:rFonts w:hint="eastAsia" w:ascii="仿宋_GB2312" w:hAnsi="宋体" w:eastAsia="仿宋_GB2312"/>
          <w:sz w:val="32"/>
          <w:szCs w:val="32"/>
        </w:rPr>
        <w:t>级学生采用楼层长组织宿舍长使用学校配发的体温枪测量体温的方式，鼓励学生自备体温计自行测量体温；</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（四）学生每日晨午间体温检测打卡信息要及时、准确、真实、完整。</w:t>
      </w:r>
    </w:p>
    <w:p>
      <w:pPr>
        <w:pageBreakBefore w:val="0"/>
        <w:kinsoku/>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二、未完成打卡处分规定</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针对未按要求完成打卡任务的学生将给予相应处分，现将具体处分规定如下：</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（一）处分依据：《柳州职业技术学院学生管理规定》第五十一条：对有违反法律法规、本规定以及学校纪律行为的学生，给予批评教育，并可视情节轻重，给予如下纪律处分：</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警告；</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严重警告；</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3.</w:t>
      </w:r>
      <w:r>
        <w:rPr>
          <w:rFonts w:hint="eastAsia" w:ascii="仿宋_GB2312" w:hAnsi="宋体" w:eastAsia="仿宋_GB2312"/>
          <w:sz w:val="32"/>
          <w:szCs w:val="32"/>
        </w:rPr>
        <w:t>记过；</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4.</w:t>
      </w:r>
      <w:r>
        <w:rPr>
          <w:rFonts w:hint="eastAsia" w:ascii="仿宋_GB2312" w:hAnsi="宋体" w:eastAsia="仿宋_GB2312"/>
          <w:sz w:val="32"/>
          <w:szCs w:val="32"/>
        </w:rPr>
        <w:t>留校察看；</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5.</w:t>
      </w:r>
      <w:r>
        <w:rPr>
          <w:rFonts w:hint="eastAsia" w:ascii="仿宋_GB2312" w:hAnsi="宋体" w:eastAsia="仿宋_GB2312"/>
          <w:sz w:val="32"/>
          <w:szCs w:val="32"/>
        </w:rPr>
        <w:t>开除学籍。</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（二）处分办法：学生在疫情防控期间未按学校要求每日完成晨午间体温检测打卡任务，学校将给予扣除诚信分和相应处分的处罚。</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按照每缺少一次晨午间体温检测打卡则扣除诚信分</w:t>
      </w:r>
      <w:r>
        <w:rPr>
          <w:rFonts w:ascii="仿宋_GB2312" w:hAnsi="宋体" w:eastAsia="仿宋_GB2312"/>
          <w:sz w:val="32"/>
          <w:szCs w:val="32"/>
        </w:rPr>
        <w:t>20</w:t>
      </w:r>
      <w:r>
        <w:rPr>
          <w:rFonts w:hint="eastAsia" w:ascii="仿宋_GB2312" w:hAnsi="宋体" w:eastAsia="仿宋_GB2312"/>
          <w:sz w:val="32"/>
          <w:szCs w:val="32"/>
        </w:rPr>
        <w:t>分，可累计扣分，不设上限。</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在疫情防控期间，经辅导员提醒、督促后仍多次未完成打卡，按如下规定给予处分：</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w:t>
      </w:r>
      <w:r>
        <w:rPr>
          <w:rFonts w:ascii="仿宋_GB2312" w:hAnsi="宋体" w:eastAsia="仿宋_GB2312"/>
          <w:sz w:val="32"/>
          <w:szCs w:val="32"/>
        </w:rPr>
        <w:t>1</w:t>
      </w:r>
      <w:r>
        <w:rPr>
          <w:rFonts w:hint="eastAsia" w:ascii="仿宋_GB2312" w:hAnsi="宋体" w:eastAsia="仿宋_GB2312"/>
          <w:sz w:val="32"/>
          <w:szCs w:val="32"/>
        </w:rPr>
        <w:t>）学生累计无故不打卡达</w:t>
      </w:r>
      <w:r>
        <w:rPr>
          <w:rFonts w:ascii="仿宋_GB2312" w:hAnsi="宋体" w:eastAsia="仿宋_GB2312"/>
          <w:sz w:val="32"/>
          <w:szCs w:val="32"/>
        </w:rPr>
        <w:t>5</w:t>
      </w:r>
      <w:r>
        <w:rPr>
          <w:rFonts w:hint="eastAsia" w:ascii="仿宋_GB2312" w:hAnsi="宋体" w:eastAsia="仿宋_GB2312"/>
          <w:sz w:val="32"/>
          <w:szCs w:val="32"/>
        </w:rPr>
        <w:t>次（含</w:t>
      </w:r>
      <w:r>
        <w:rPr>
          <w:rFonts w:ascii="仿宋_GB2312" w:hAnsi="宋体" w:eastAsia="仿宋_GB2312"/>
          <w:sz w:val="32"/>
          <w:szCs w:val="32"/>
        </w:rPr>
        <w:t>5</w:t>
      </w:r>
      <w:r>
        <w:rPr>
          <w:rFonts w:hint="eastAsia" w:ascii="仿宋_GB2312" w:hAnsi="宋体" w:eastAsia="仿宋_GB2312"/>
          <w:sz w:val="32"/>
          <w:szCs w:val="32"/>
        </w:rPr>
        <w:t>次）以上，则记警告处分；</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w:t>
      </w:r>
      <w:r>
        <w:rPr>
          <w:rFonts w:ascii="仿宋_GB2312" w:hAnsi="宋体" w:eastAsia="仿宋_GB2312"/>
          <w:sz w:val="32"/>
          <w:szCs w:val="32"/>
        </w:rPr>
        <w:t>2</w:t>
      </w:r>
      <w:r>
        <w:rPr>
          <w:rFonts w:hint="eastAsia" w:ascii="仿宋_GB2312" w:hAnsi="宋体" w:eastAsia="仿宋_GB2312"/>
          <w:sz w:val="32"/>
          <w:szCs w:val="32"/>
        </w:rPr>
        <w:t>）学生累计无故不打卡达</w:t>
      </w:r>
      <w:r>
        <w:rPr>
          <w:rFonts w:ascii="仿宋_GB2312" w:hAnsi="宋体" w:eastAsia="仿宋_GB2312"/>
          <w:sz w:val="32"/>
          <w:szCs w:val="32"/>
        </w:rPr>
        <w:t>10</w:t>
      </w:r>
      <w:r>
        <w:rPr>
          <w:rFonts w:hint="eastAsia" w:ascii="仿宋_GB2312" w:hAnsi="宋体" w:eastAsia="仿宋_GB2312"/>
          <w:sz w:val="32"/>
          <w:szCs w:val="32"/>
        </w:rPr>
        <w:t>次</w:t>
      </w:r>
      <w:r>
        <w:rPr>
          <w:rFonts w:ascii="仿宋_GB2312" w:hAnsi="宋体" w:eastAsia="仿宋_GB2312"/>
          <w:sz w:val="32"/>
          <w:szCs w:val="32"/>
        </w:rPr>
        <w:t>(</w:t>
      </w:r>
      <w:r>
        <w:rPr>
          <w:rFonts w:hint="eastAsia" w:ascii="仿宋_GB2312" w:hAnsi="宋体" w:eastAsia="仿宋_GB2312"/>
          <w:sz w:val="32"/>
          <w:szCs w:val="32"/>
        </w:rPr>
        <w:t>含</w:t>
      </w:r>
      <w:r>
        <w:rPr>
          <w:rFonts w:ascii="仿宋_GB2312" w:hAnsi="宋体" w:eastAsia="仿宋_GB2312"/>
          <w:sz w:val="32"/>
          <w:szCs w:val="32"/>
        </w:rPr>
        <w:t>10</w:t>
      </w:r>
      <w:r>
        <w:rPr>
          <w:rFonts w:hint="eastAsia" w:ascii="仿宋_GB2312" w:hAnsi="宋体" w:eastAsia="仿宋_GB2312"/>
          <w:sz w:val="32"/>
          <w:szCs w:val="32"/>
        </w:rPr>
        <w:t>次）以上，则记严重警告处分。</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3.</w:t>
      </w:r>
      <w:r>
        <w:rPr>
          <w:rFonts w:hint="eastAsia" w:ascii="仿宋_GB2312" w:hAnsi="宋体" w:eastAsia="仿宋_GB2312"/>
          <w:sz w:val="32"/>
          <w:szCs w:val="32"/>
        </w:rPr>
        <w:t>预就业实习在校住宿学生未按规定完成每日晨午间体温检测打卡达</w:t>
      </w:r>
      <w:r>
        <w:rPr>
          <w:rFonts w:ascii="仿宋_GB2312" w:hAnsi="宋体" w:eastAsia="仿宋_GB2312"/>
          <w:sz w:val="32"/>
          <w:szCs w:val="32"/>
        </w:rPr>
        <w:t>5</w:t>
      </w:r>
      <w:r>
        <w:rPr>
          <w:rFonts w:hint="eastAsia" w:ascii="仿宋_GB2312" w:hAnsi="宋体" w:eastAsia="仿宋_GB2312"/>
          <w:sz w:val="32"/>
          <w:szCs w:val="32"/>
        </w:rPr>
        <w:t>次（含</w:t>
      </w:r>
      <w:r>
        <w:rPr>
          <w:rFonts w:ascii="仿宋_GB2312" w:hAnsi="宋体" w:eastAsia="仿宋_GB2312"/>
          <w:sz w:val="32"/>
          <w:szCs w:val="32"/>
        </w:rPr>
        <w:t>5</w:t>
      </w:r>
      <w:r>
        <w:rPr>
          <w:rFonts w:hint="eastAsia" w:ascii="仿宋_GB2312" w:hAnsi="宋体" w:eastAsia="仿宋_GB2312"/>
          <w:sz w:val="32"/>
          <w:szCs w:val="32"/>
        </w:rPr>
        <w:t>次）以上，不配合学校管理规定，学校有权限制其进出校园。</w:t>
      </w:r>
    </w:p>
    <w:p>
      <w:pPr>
        <w:pageBreakBefore w:val="0"/>
        <w:kinsoku/>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三、未打卡时间节点的认定</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学生每日晨午间体温检测打卡系统将在规定的打卡时间结束后自行关闭，逾时学生将不能打卡。学生未打卡数据以学校疫情联防联控工作领导小组指挥部办公室数据小组统计的数据为准。</w:t>
      </w:r>
    </w:p>
    <w:p>
      <w:pPr>
        <w:pageBreakBefore w:val="0"/>
        <w:kinsoku/>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四、处分流程</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各二级学院负责学生未完成每日晨午间体温检测打卡诚信分扣除工作，对达到处分条件的学生，由二级学院按照学生处分办理流程提交处分申请，学生工作处负责审核处分申请事宜，出具处分决定书。</w:t>
      </w:r>
    </w:p>
    <w:p>
      <w:pPr>
        <w:pageBreakBefore w:val="0"/>
        <w:kinsoku/>
        <w:overflowPunct/>
        <w:topLinePunct w:val="0"/>
        <w:bidi w:val="0"/>
        <w:spacing w:line="596" w:lineRule="exact"/>
        <w:ind w:firstLine="640" w:firstLineChars="200"/>
        <w:outlineLvl w:val="9"/>
        <w:rPr>
          <w:rFonts w:hint="eastAsia" w:ascii="黑体" w:hAnsi="黑体" w:eastAsia="黑体"/>
          <w:b w:val="0"/>
          <w:bCs/>
          <w:sz w:val="32"/>
          <w:szCs w:val="32"/>
        </w:rPr>
      </w:pPr>
      <w:r>
        <w:rPr>
          <w:rFonts w:hint="eastAsia" w:ascii="黑体" w:hAnsi="黑体" w:eastAsia="黑体"/>
          <w:b w:val="0"/>
          <w:bCs/>
          <w:sz w:val="32"/>
          <w:szCs w:val="32"/>
        </w:rPr>
        <w:t>五、本规定从</w:t>
      </w:r>
      <w:r>
        <w:rPr>
          <w:rFonts w:ascii="黑体" w:hAnsi="黑体" w:eastAsia="黑体"/>
          <w:b w:val="0"/>
          <w:bCs/>
          <w:sz w:val="32"/>
          <w:szCs w:val="32"/>
        </w:rPr>
        <w:t>2020</w:t>
      </w:r>
      <w:r>
        <w:rPr>
          <w:rFonts w:hint="eastAsia" w:ascii="黑体" w:hAnsi="黑体" w:eastAsia="黑体"/>
          <w:b w:val="0"/>
          <w:bCs/>
          <w:sz w:val="32"/>
          <w:szCs w:val="32"/>
        </w:rPr>
        <w:t>年</w:t>
      </w:r>
      <w:r>
        <w:rPr>
          <w:rFonts w:ascii="黑体" w:hAnsi="黑体" w:eastAsia="黑体"/>
          <w:b w:val="0"/>
          <w:bCs/>
          <w:sz w:val="32"/>
          <w:szCs w:val="32"/>
        </w:rPr>
        <w:t>4</w:t>
      </w:r>
      <w:r>
        <w:rPr>
          <w:rFonts w:hint="eastAsia" w:ascii="黑体" w:hAnsi="黑体" w:eastAsia="黑体"/>
          <w:b w:val="0"/>
          <w:bCs/>
          <w:sz w:val="32"/>
          <w:szCs w:val="32"/>
        </w:rPr>
        <w:t>月</w:t>
      </w:r>
      <w:r>
        <w:rPr>
          <w:rFonts w:ascii="黑体" w:hAnsi="黑体" w:eastAsia="黑体"/>
          <w:b w:val="0"/>
          <w:bCs/>
          <w:sz w:val="32"/>
          <w:szCs w:val="32"/>
        </w:rPr>
        <w:t>23</w:t>
      </w:r>
      <w:r>
        <w:rPr>
          <w:rFonts w:hint="eastAsia" w:ascii="黑体" w:hAnsi="黑体" w:eastAsia="黑体"/>
          <w:b w:val="0"/>
          <w:bCs/>
          <w:sz w:val="32"/>
          <w:szCs w:val="32"/>
        </w:rPr>
        <w:t>日起执行。根据疫情控制情况，停止执行时间另行通知。</w:t>
      </w:r>
      <w:r>
        <w:rPr>
          <w:rFonts w:ascii="黑体" w:hAnsi="黑体" w:eastAsia="黑体"/>
          <w:b w:val="0"/>
          <w:bCs/>
          <w:sz w:val="32"/>
          <w:szCs w:val="32"/>
        </w:rPr>
        <w:t xml:space="preserve"> </w:t>
      </w:r>
    </w:p>
    <w:p>
      <w:pPr>
        <w:pageBreakBefore w:val="0"/>
        <w:kinsoku/>
        <w:overflowPunct/>
        <w:topLinePunct w:val="0"/>
        <w:bidi w:val="0"/>
        <w:spacing w:line="596" w:lineRule="exact"/>
        <w:ind w:firstLine="643" w:firstLineChars="200"/>
        <w:outlineLvl w:val="9"/>
        <w:rPr>
          <w:rFonts w:ascii="黑体" w:hAnsi="黑体" w:eastAsia="黑体"/>
          <w:b/>
          <w:sz w:val="32"/>
          <w:szCs w:val="32"/>
        </w:rPr>
      </w:pP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Style w:val="3"/>
        <w:outlineLvl w:val="9"/>
        <w:rPr>
          <w:rFonts w:ascii="仿宋_GB2312" w:hAnsi="宋体" w:eastAsia="仿宋_GB2312"/>
          <w:sz w:val="32"/>
          <w:szCs w:val="32"/>
        </w:rPr>
      </w:pPr>
    </w:p>
    <w:p>
      <w:pPr>
        <w:rPr>
          <w:rFonts w:ascii="仿宋_GB2312" w:hAnsi="宋体" w:eastAsia="仿宋_GB2312"/>
          <w:sz w:val="32"/>
          <w:szCs w:val="32"/>
        </w:rPr>
      </w:pPr>
    </w:p>
    <w:p>
      <w:pPr>
        <w:pStyle w:val="3"/>
        <w:outlineLvl w:val="9"/>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b/>
          <w:color w:val="000000"/>
          <w:sz w:val="36"/>
          <w:szCs w:val="36"/>
        </w:rPr>
      </w:pPr>
      <w:bookmarkStart w:id="692" w:name="_Toc11706"/>
      <w:bookmarkStart w:id="693" w:name="_Toc24339"/>
      <w:bookmarkStart w:id="694" w:name="_Toc13413"/>
      <w:bookmarkStart w:id="695" w:name="_Toc24346"/>
      <w:bookmarkStart w:id="696" w:name="_Toc32704_WPSOffice_Level1"/>
      <w:r>
        <w:rPr>
          <w:rFonts w:hint="eastAsia"/>
          <w:b/>
          <w:color w:val="000000"/>
          <w:sz w:val="36"/>
          <w:szCs w:val="36"/>
        </w:rPr>
        <w:t>柳州职业技术学院学生特殊困难补助实施办法</w:t>
      </w:r>
      <w:bookmarkEnd w:id="692"/>
      <w:bookmarkEnd w:id="693"/>
      <w:bookmarkEnd w:id="694"/>
      <w:bookmarkEnd w:id="695"/>
      <w:bookmarkEnd w:id="696"/>
    </w:p>
    <w:p>
      <w:pPr>
        <w:pageBreakBefore w:val="0"/>
        <w:kinsoku/>
        <w:overflowPunct/>
        <w:topLinePunct w:val="0"/>
        <w:bidi w:val="0"/>
        <w:jc w:val="center"/>
        <w:outlineLvl w:val="9"/>
        <w:rPr>
          <w:rFonts w:hint="eastAsia" w:ascii="仿宋_GB2312" w:eastAsia="仿宋_GB2312"/>
          <w:b/>
          <w:szCs w:val="28"/>
        </w:rPr>
      </w:pPr>
      <w:r>
        <w:rPr>
          <w:rFonts w:hint="eastAsia" w:ascii="仿宋_GB2312" w:eastAsia="仿宋_GB2312"/>
          <w:b/>
          <w:szCs w:val="28"/>
        </w:rPr>
        <w:t>（修订）</w:t>
      </w:r>
    </w:p>
    <w:p>
      <w:pPr>
        <w:pageBreakBefore w:val="0"/>
        <w:kinsoku/>
        <w:overflowPunct/>
        <w:topLinePunct w:val="0"/>
        <w:bidi w:val="0"/>
        <w:jc w:val="center"/>
        <w:outlineLvl w:val="9"/>
        <w:rPr>
          <w:rFonts w:ascii="仿宋_GB2312" w:eastAsia="仿宋_GB2312"/>
          <w:b/>
          <w:szCs w:val="28"/>
        </w:rPr>
      </w:pPr>
      <w:r>
        <w:rPr>
          <w:rFonts w:hint="eastAsia" w:ascii="仿宋_GB2312" w:eastAsia="仿宋_GB2312"/>
          <w:b/>
          <w:szCs w:val="28"/>
        </w:rPr>
        <w:t>柳职院学字〔</w:t>
      </w:r>
      <w:r>
        <w:rPr>
          <w:rFonts w:ascii="仿宋_GB2312" w:eastAsia="仿宋_GB2312"/>
          <w:b/>
          <w:szCs w:val="28"/>
        </w:rPr>
        <w:t>2020</w:t>
      </w:r>
      <w:r>
        <w:rPr>
          <w:rFonts w:hint="eastAsia" w:ascii="仿宋_GB2312" w:eastAsia="仿宋_GB2312"/>
          <w:b/>
          <w:szCs w:val="28"/>
        </w:rPr>
        <w:t>〕</w:t>
      </w:r>
      <w:r>
        <w:rPr>
          <w:rFonts w:ascii="仿宋_GB2312" w:eastAsia="仿宋_GB2312"/>
          <w:b/>
          <w:szCs w:val="28"/>
        </w:rPr>
        <w:t>13</w:t>
      </w:r>
      <w:r>
        <w:rPr>
          <w:rFonts w:hint="eastAsia" w:ascii="仿宋_GB2312" w:eastAsia="仿宋_GB2312"/>
          <w:b/>
          <w:szCs w:val="28"/>
        </w:rPr>
        <w:t>号</w:t>
      </w:r>
    </w:p>
    <w:p>
      <w:pPr>
        <w:pageBreakBefore w:val="0"/>
        <w:kinsoku/>
        <w:overflowPunct/>
        <w:topLinePunct w:val="0"/>
        <w:bidi w:val="0"/>
        <w:spacing w:line="596" w:lineRule="exact"/>
        <w:jc w:val="center"/>
        <w:outlineLvl w:val="9"/>
        <w:rPr>
          <w:rFonts w:ascii="黑体" w:hAnsi="黑体" w:eastAsia="黑体"/>
          <w:b/>
          <w:sz w:val="32"/>
          <w:szCs w:val="32"/>
        </w:rPr>
      </w:pPr>
      <w:bookmarkStart w:id="697" w:name="_Toc32742_WPSOffice_Level1"/>
      <w:r>
        <w:rPr>
          <w:rFonts w:hint="eastAsia" w:ascii="黑体" w:hAnsi="黑体" w:eastAsia="黑体"/>
          <w:b/>
          <w:sz w:val="32"/>
          <w:szCs w:val="32"/>
        </w:rPr>
        <w:t>第一章</w:t>
      </w:r>
      <w:r>
        <w:rPr>
          <w:rFonts w:ascii="黑体" w:hAnsi="黑体" w:eastAsia="黑体"/>
          <w:b/>
          <w:sz w:val="32"/>
          <w:szCs w:val="32"/>
        </w:rPr>
        <w:t xml:space="preserve">  </w:t>
      </w:r>
      <w:r>
        <w:rPr>
          <w:rFonts w:hint="eastAsia" w:ascii="黑体" w:hAnsi="黑体" w:eastAsia="黑体"/>
          <w:b/>
          <w:sz w:val="32"/>
          <w:szCs w:val="32"/>
        </w:rPr>
        <w:t>总则</w:t>
      </w:r>
      <w:bookmarkEnd w:id="697"/>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第一条</w:t>
      </w:r>
      <w:r>
        <w:rPr>
          <w:rFonts w:ascii="仿宋_GB2312" w:hAnsi="宋体" w:eastAsia="仿宋_GB2312"/>
          <w:sz w:val="32"/>
          <w:szCs w:val="32"/>
        </w:rPr>
        <w:t xml:space="preserve">  </w:t>
      </w:r>
      <w:r>
        <w:rPr>
          <w:rFonts w:hint="eastAsia" w:ascii="仿宋_GB2312" w:hAnsi="宋体" w:eastAsia="仿宋_GB2312"/>
          <w:sz w:val="32"/>
          <w:szCs w:val="32"/>
        </w:rPr>
        <w:t>为贯彻落实国家有关家庭经济困难学生资助政策，完善我校家庭经济困难学生的资助体系，帮助和鼓励家庭经济困难学生克服困难，勤奋学习，完成学业，根据《国务院关于建立健全普通本科高校高等职业学校和中等职业学校家庭经济困难学生资助政策体系的意见》（国发〔</w:t>
      </w:r>
      <w:r>
        <w:rPr>
          <w:rFonts w:ascii="仿宋_GB2312" w:hAnsi="宋体" w:eastAsia="仿宋_GB2312"/>
          <w:sz w:val="32"/>
          <w:szCs w:val="32"/>
        </w:rPr>
        <w:t>2007</w:t>
      </w:r>
      <w:r>
        <w:rPr>
          <w:rFonts w:hint="eastAsia" w:ascii="仿宋_GB2312" w:hAnsi="宋体" w:eastAsia="仿宋_GB2312"/>
          <w:sz w:val="32"/>
          <w:szCs w:val="32"/>
        </w:rPr>
        <w:t>〕</w:t>
      </w:r>
      <w:r>
        <w:rPr>
          <w:rFonts w:ascii="仿宋_GB2312" w:hAnsi="宋体" w:eastAsia="仿宋_GB2312"/>
          <w:sz w:val="32"/>
          <w:szCs w:val="32"/>
        </w:rPr>
        <w:t>13</w:t>
      </w:r>
      <w:r>
        <w:rPr>
          <w:rFonts w:hint="eastAsia" w:ascii="仿宋_GB2312" w:hAnsi="宋体" w:eastAsia="仿宋_GB2312"/>
          <w:sz w:val="32"/>
          <w:szCs w:val="32"/>
        </w:rPr>
        <w:t>号）、《广西壮族自治区人民政府关于进一步完善高等学校家庭经济困难学生资助政策体系的实施意见》（桂政发〔</w:t>
      </w:r>
      <w:r>
        <w:rPr>
          <w:rFonts w:ascii="仿宋_GB2312" w:hAnsi="宋体" w:eastAsia="仿宋_GB2312"/>
          <w:sz w:val="32"/>
          <w:szCs w:val="32"/>
        </w:rPr>
        <w:t>2017</w:t>
      </w:r>
      <w:r>
        <w:rPr>
          <w:rFonts w:hint="eastAsia" w:ascii="仿宋_GB2312" w:hAnsi="宋体" w:eastAsia="仿宋_GB2312"/>
          <w:sz w:val="32"/>
          <w:szCs w:val="32"/>
        </w:rPr>
        <w:t>〕</w:t>
      </w:r>
      <w:r>
        <w:rPr>
          <w:rFonts w:ascii="仿宋_GB2312" w:hAnsi="宋体" w:eastAsia="仿宋_GB2312"/>
          <w:sz w:val="32"/>
          <w:szCs w:val="32"/>
        </w:rPr>
        <w:t>49</w:t>
      </w:r>
      <w:r>
        <w:rPr>
          <w:rFonts w:hint="eastAsia" w:ascii="仿宋_GB2312" w:hAnsi="宋体" w:eastAsia="仿宋_GB2312"/>
          <w:sz w:val="32"/>
          <w:szCs w:val="32"/>
        </w:rPr>
        <w:t>号）、《广西壮族自治区财政厅等五部门关于印发广西壮族自治区学生资助资金管理办法的通知》（桂财规〔</w:t>
      </w:r>
      <w:r>
        <w:rPr>
          <w:rFonts w:ascii="仿宋_GB2312" w:hAnsi="宋体" w:eastAsia="仿宋_GB2312"/>
          <w:sz w:val="32"/>
          <w:szCs w:val="32"/>
        </w:rPr>
        <w:t>2019</w:t>
      </w:r>
      <w:r>
        <w:rPr>
          <w:rFonts w:hint="eastAsia" w:ascii="仿宋_GB2312" w:hAnsi="宋体" w:eastAsia="仿宋_GB2312"/>
          <w:sz w:val="32"/>
          <w:szCs w:val="32"/>
        </w:rPr>
        <w:t>〕</w:t>
      </w:r>
      <w:r>
        <w:rPr>
          <w:rFonts w:ascii="仿宋_GB2312" w:hAnsi="宋体" w:eastAsia="仿宋_GB2312"/>
          <w:sz w:val="32"/>
          <w:szCs w:val="32"/>
        </w:rPr>
        <w:t>3</w:t>
      </w:r>
      <w:r>
        <w:rPr>
          <w:rFonts w:hint="eastAsia" w:ascii="仿宋_GB2312" w:hAnsi="宋体" w:eastAsia="仿宋_GB2312"/>
          <w:sz w:val="32"/>
          <w:szCs w:val="32"/>
        </w:rPr>
        <w:t>号）文件精神，结合我校实际，特制定本办法。</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第二条</w:t>
      </w:r>
      <w:r>
        <w:rPr>
          <w:rFonts w:ascii="仿宋_GB2312" w:hAnsi="宋体" w:eastAsia="仿宋_GB2312"/>
          <w:b/>
          <w:sz w:val="32"/>
          <w:szCs w:val="32"/>
        </w:rPr>
        <w:t xml:space="preserve"> </w:t>
      </w:r>
      <w:r>
        <w:rPr>
          <w:rFonts w:ascii="仿宋_GB2312" w:hAnsi="宋体" w:eastAsia="仿宋_GB2312"/>
          <w:sz w:val="32"/>
          <w:szCs w:val="32"/>
        </w:rPr>
        <w:t xml:space="preserve"> </w:t>
      </w:r>
      <w:r>
        <w:rPr>
          <w:rFonts w:hint="eastAsia" w:ascii="仿宋_GB2312" w:hAnsi="宋体" w:eastAsia="仿宋_GB2312"/>
          <w:sz w:val="32"/>
          <w:szCs w:val="32"/>
        </w:rPr>
        <w:t>特殊困难补助是学校资助学生在校期间因特殊原因造成家庭经济特别困难，无法维持正常学习和生活费用而发放给学生个人的生活补助。</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第三条</w:t>
      </w:r>
      <w:r>
        <w:rPr>
          <w:rFonts w:ascii="仿宋_GB2312" w:hAnsi="宋体" w:eastAsia="仿宋_GB2312"/>
          <w:b/>
          <w:sz w:val="32"/>
          <w:szCs w:val="32"/>
        </w:rPr>
        <w:t xml:space="preserve"> </w:t>
      </w:r>
      <w:r>
        <w:rPr>
          <w:rFonts w:ascii="仿宋_GB2312" w:hAnsi="宋体" w:eastAsia="仿宋_GB2312"/>
          <w:sz w:val="32"/>
          <w:szCs w:val="32"/>
        </w:rPr>
        <w:t xml:space="preserve"> </w:t>
      </w:r>
      <w:r>
        <w:rPr>
          <w:rFonts w:hint="eastAsia" w:ascii="仿宋_GB2312" w:hAnsi="宋体" w:eastAsia="仿宋_GB2312"/>
          <w:sz w:val="32"/>
          <w:szCs w:val="32"/>
        </w:rPr>
        <w:t>特殊困难补助经费从我校教育事业收入总额中提取的助困资助经费支出。</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698" w:name="_Toc30757_WPSOffice_Level1"/>
      <w:r>
        <w:rPr>
          <w:rFonts w:hint="eastAsia" w:ascii="黑体" w:hAnsi="黑体" w:eastAsia="黑体"/>
          <w:b/>
          <w:sz w:val="32"/>
          <w:szCs w:val="32"/>
        </w:rPr>
        <w:t>第二章</w:t>
      </w:r>
      <w:r>
        <w:rPr>
          <w:rFonts w:ascii="黑体" w:hAnsi="黑体" w:eastAsia="黑体"/>
          <w:b/>
          <w:sz w:val="32"/>
          <w:szCs w:val="32"/>
        </w:rPr>
        <w:t xml:space="preserve">  </w:t>
      </w:r>
      <w:r>
        <w:rPr>
          <w:rFonts w:hint="eastAsia" w:ascii="黑体" w:hAnsi="黑体" w:eastAsia="黑体"/>
          <w:b/>
          <w:sz w:val="32"/>
          <w:szCs w:val="32"/>
        </w:rPr>
        <w:t>组织机构</w:t>
      </w:r>
      <w:bookmarkEnd w:id="698"/>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第四条</w:t>
      </w:r>
      <w:r>
        <w:rPr>
          <w:rFonts w:ascii="仿宋_GB2312" w:hAnsi="宋体" w:eastAsia="仿宋_GB2312"/>
          <w:sz w:val="32"/>
          <w:szCs w:val="32"/>
        </w:rPr>
        <w:t xml:space="preserve">  </w:t>
      </w:r>
      <w:r>
        <w:rPr>
          <w:rFonts w:hint="eastAsia" w:ascii="仿宋_GB2312" w:hAnsi="宋体" w:eastAsia="仿宋_GB2312"/>
          <w:sz w:val="32"/>
          <w:szCs w:val="32"/>
        </w:rPr>
        <w:t>学校学生资助工作领导小组，负责学校特殊困难补助实施办法的制定、修改以及最终评议审核。</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第五条</w:t>
      </w:r>
      <w:r>
        <w:rPr>
          <w:rFonts w:ascii="仿宋_GB2312" w:hAnsi="宋体" w:eastAsia="仿宋_GB2312"/>
          <w:sz w:val="32"/>
          <w:szCs w:val="32"/>
        </w:rPr>
        <w:t xml:space="preserve">  </w:t>
      </w:r>
      <w:r>
        <w:rPr>
          <w:rFonts w:hint="eastAsia" w:ascii="仿宋_GB2312" w:hAnsi="宋体" w:eastAsia="仿宋_GB2312"/>
          <w:sz w:val="32"/>
          <w:szCs w:val="32"/>
        </w:rPr>
        <w:t>学生资助管理中心具体负责组织实施全校的特殊困难补助工作。</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第六条</w:t>
      </w:r>
      <w:r>
        <w:rPr>
          <w:rFonts w:ascii="仿宋_GB2312" w:hAnsi="宋体" w:eastAsia="仿宋_GB2312"/>
          <w:sz w:val="32"/>
          <w:szCs w:val="32"/>
        </w:rPr>
        <w:t xml:space="preserve">  </w:t>
      </w:r>
      <w:r>
        <w:rPr>
          <w:rFonts w:hint="eastAsia" w:ascii="仿宋_GB2312" w:hAnsi="宋体" w:eastAsia="仿宋_GB2312"/>
          <w:sz w:val="32"/>
          <w:szCs w:val="32"/>
        </w:rPr>
        <w:t>二级学院以分管学生工作的院领导为组长、学生资助干事、学生辅导员等担任成员的资助工作评审小组，负责本学院学生特殊困难补助的具体组织和初审工作。</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699" w:name="_Toc25684_WPSOffice_Level1"/>
      <w:r>
        <w:rPr>
          <w:rFonts w:hint="eastAsia" w:ascii="黑体" w:hAnsi="黑体" w:eastAsia="黑体"/>
          <w:b/>
          <w:sz w:val="32"/>
          <w:szCs w:val="32"/>
        </w:rPr>
        <w:t>第三章</w:t>
      </w:r>
      <w:r>
        <w:rPr>
          <w:rFonts w:ascii="黑体" w:hAnsi="黑体" w:eastAsia="黑体"/>
          <w:b/>
          <w:sz w:val="32"/>
          <w:szCs w:val="32"/>
        </w:rPr>
        <w:t xml:space="preserve">  </w:t>
      </w:r>
      <w:r>
        <w:rPr>
          <w:rFonts w:hint="eastAsia" w:ascii="黑体" w:hAnsi="黑体" w:eastAsia="黑体"/>
          <w:b/>
          <w:sz w:val="32"/>
          <w:szCs w:val="32"/>
        </w:rPr>
        <w:t>特殊困难补助对象与条件</w:t>
      </w:r>
      <w:bookmarkEnd w:id="699"/>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第七条</w:t>
      </w:r>
      <w:r>
        <w:rPr>
          <w:rFonts w:ascii="仿宋_GB2312" w:hAnsi="宋体" w:eastAsia="仿宋_GB2312"/>
          <w:sz w:val="32"/>
          <w:szCs w:val="32"/>
        </w:rPr>
        <w:t xml:space="preserve">  </w:t>
      </w:r>
      <w:r>
        <w:rPr>
          <w:rFonts w:hint="eastAsia" w:ascii="仿宋_GB2312" w:hAnsi="宋体" w:eastAsia="仿宋_GB2312"/>
          <w:sz w:val="32"/>
          <w:szCs w:val="32"/>
        </w:rPr>
        <w:t>特殊困难补助对象：</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（一）属于建档立卡贫困户家庭学生，且当年未享受国家一等助学金。</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（二）当年未享受国家助学金但因家庭遭遇突发事件造成经济特别困难的全日制在校生。</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（三）其他家庭经济特别困难的全日制在校生。</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第八条</w:t>
      </w:r>
      <w:r>
        <w:rPr>
          <w:rFonts w:ascii="仿宋_GB2312" w:hAnsi="宋体" w:eastAsia="仿宋_GB2312"/>
          <w:sz w:val="32"/>
          <w:szCs w:val="32"/>
        </w:rPr>
        <w:t xml:space="preserve">  </w:t>
      </w:r>
      <w:r>
        <w:rPr>
          <w:rFonts w:hint="eastAsia" w:ascii="仿宋_GB2312" w:hAnsi="宋体" w:eastAsia="仿宋_GB2312"/>
          <w:sz w:val="32"/>
          <w:szCs w:val="32"/>
        </w:rPr>
        <w:t>申请特殊困难补助的基本条件：</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（一）热爱祖国，拥护中国共产党领导，遵纪守法，无违法违纪行为；</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（二）关心集体，积极参加社会和学院举办的各项义务劳动和公益活动；</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（三）尊敬师长，诚实守信，团结同学，乐于助人，举止文明；</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（四）在校期间学习刻苦，成绩良好；</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（五）无不良嗜好，如抽烟、酗酒、赌博等</w:t>
      </w:r>
      <w:r>
        <w:rPr>
          <w:rFonts w:ascii="仿宋_GB2312" w:hAnsi="宋体" w:eastAsia="仿宋_GB2312"/>
          <w:sz w:val="32"/>
          <w:szCs w:val="32"/>
        </w:rPr>
        <w:t xml:space="preserve">, </w:t>
      </w:r>
      <w:r>
        <w:rPr>
          <w:rFonts w:hint="eastAsia" w:ascii="仿宋_GB2312" w:hAnsi="宋体" w:eastAsia="仿宋_GB2312"/>
          <w:sz w:val="32"/>
          <w:szCs w:val="32"/>
        </w:rPr>
        <w:t>无不良消费行为，无不良校园网贷等。</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（六）家庭经济特别困难，生活俭朴。</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第九条</w:t>
      </w:r>
      <w:r>
        <w:rPr>
          <w:rFonts w:ascii="仿宋_GB2312" w:hAnsi="宋体" w:eastAsia="仿宋_GB2312"/>
          <w:b/>
          <w:sz w:val="32"/>
          <w:szCs w:val="32"/>
        </w:rPr>
        <w:t xml:space="preserve"> </w:t>
      </w:r>
      <w:r>
        <w:rPr>
          <w:rFonts w:ascii="仿宋_GB2312" w:hAnsi="宋体" w:eastAsia="仿宋_GB2312"/>
          <w:sz w:val="32"/>
          <w:szCs w:val="32"/>
        </w:rPr>
        <w:t xml:space="preserve"> </w:t>
      </w:r>
      <w:r>
        <w:rPr>
          <w:rFonts w:hint="eastAsia" w:ascii="仿宋_GB2312" w:hAnsi="宋体" w:eastAsia="仿宋_GB2312"/>
          <w:sz w:val="32"/>
          <w:szCs w:val="32"/>
        </w:rPr>
        <w:t>凡具有下列情况之一者，取消特殊困难补助资格，并退回特殊困难补助：</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1</w:t>
      </w:r>
      <w:r>
        <w:rPr>
          <w:rFonts w:hint="eastAsia" w:ascii="仿宋_GB2312" w:hAnsi="宋体" w:eastAsia="仿宋_GB2312"/>
          <w:sz w:val="32"/>
          <w:szCs w:val="32"/>
        </w:rPr>
        <w:t>．违反国家法律、学校规章制度，受到处分者；</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2</w:t>
      </w:r>
      <w:r>
        <w:rPr>
          <w:rFonts w:hint="eastAsia" w:ascii="仿宋_GB2312" w:hAnsi="宋体" w:eastAsia="仿宋_GB2312"/>
          <w:sz w:val="32"/>
          <w:szCs w:val="32"/>
        </w:rPr>
        <w:t>．生活铺张浪费、有奢侈消费行为、不良网贷等情况者；</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3</w:t>
      </w:r>
      <w:r>
        <w:rPr>
          <w:rFonts w:hint="eastAsia" w:ascii="仿宋_GB2312" w:hAnsi="宋体" w:eastAsia="仿宋_GB2312"/>
          <w:sz w:val="32"/>
          <w:szCs w:val="32"/>
        </w:rPr>
        <w:t>．在申请资助项目中提供虚假材料者。</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700" w:name="_Toc13248_WPSOffice_Level1"/>
      <w:r>
        <w:rPr>
          <w:rFonts w:hint="eastAsia" w:ascii="黑体" w:hAnsi="黑体" w:eastAsia="黑体"/>
          <w:b/>
          <w:sz w:val="32"/>
          <w:szCs w:val="32"/>
        </w:rPr>
        <w:t>第四章</w:t>
      </w:r>
      <w:r>
        <w:rPr>
          <w:rFonts w:ascii="黑体" w:hAnsi="黑体" w:eastAsia="黑体"/>
          <w:b/>
          <w:sz w:val="32"/>
          <w:szCs w:val="32"/>
        </w:rPr>
        <w:t xml:space="preserve">  </w:t>
      </w:r>
      <w:r>
        <w:rPr>
          <w:rFonts w:hint="eastAsia" w:ascii="黑体" w:hAnsi="黑体" w:eastAsia="黑体"/>
          <w:b/>
          <w:sz w:val="32"/>
          <w:szCs w:val="32"/>
        </w:rPr>
        <w:t>特殊困难补助额度</w:t>
      </w:r>
      <w:bookmarkEnd w:id="700"/>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第十条</w:t>
      </w:r>
      <w:r>
        <w:rPr>
          <w:rFonts w:ascii="仿宋_GB2312" w:hAnsi="宋体" w:eastAsia="仿宋_GB2312"/>
          <w:sz w:val="32"/>
          <w:szCs w:val="32"/>
        </w:rPr>
        <w:t xml:space="preserve">  </w:t>
      </w:r>
      <w:r>
        <w:rPr>
          <w:rFonts w:hint="eastAsia" w:ascii="仿宋_GB2312" w:hAnsi="宋体" w:eastAsia="仿宋_GB2312"/>
          <w:sz w:val="32"/>
          <w:szCs w:val="32"/>
        </w:rPr>
        <w:t>特殊困难补助标准分为两档，资助标准参照当年国家助学金一学期资助标准适时调整。</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第十一条</w:t>
      </w:r>
      <w:r>
        <w:rPr>
          <w:rFonts w:ascii="仿宋_GB2312" w:hAnsi="宋体" w:eastAsia="仿宋_GB2312"/>
          <w:b/>
          <w:sz w:val="32"/>
          <w:szCs w:val="32"/>
        </w:rPr>
        <w:t xml:space="preserve"> </w:t>
      </w:r>
      <w:r>
        <w:rPr>
          <w:rFonts w:ascii="仿宋_GB2312" w:hAnsi="宋体" w:eastAsia="仿宋_GB2312"/>
          <w:sz w:val="32"/>
          <w:szCs w:val="32"/>
        </w:rPr>
        <w:t xml:space="preserve"> </w:t>
      </w:r>
      <w:r>
        <w:rPr>
          <w:rFonts w:hint="eastAsia" w:ascii="仿宋_GB2312" w:hAnsi="宋体" w:eastAsia="仿宋_GB2312"/>
          <w:sz w:val="32"/>
          <w:szCs w:val="32"/>
        </w:rPr>
        <w:t>根据申请人当年家庭经济困难情况确定特殊困难补助等级：</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（一）属于建档立卡贫困户家庭学生，且当年未享受国家助学金，享受一等特殊困难补助；</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（二）当年未享受国家助学金但因家庭遭遇突发事件造成经济特别困难学生，享受一等特殊困难补助；</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（三）属于建档立卡贫困户家庭学生，且当年已享受国家二等助学金，享受二等特殊困难补助。</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（四）其他家庭经济特别困难的学生，且当年已享受了国家助学金，享受二等特殊困难补助。</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701" w:name="_Toc29475_WPSOffice_Level1"/>
      <w:r>
        <w:rPr>
          <w:rFonts w:hint="eastAsia" w:ascii="黑体" w:hAnsi="黑体" w:eastAsia="黑体"/>
          <w:b/>
          <w:sz w:val="32"/>
          <w:szCs w:val="32"/>
        </w:rPr>
        <w:t>第五章</w:t>
      </w:r>
      <w:r>
        <w:rPr>
          <w:rFonts w:ascii="黑体" w:hAnsi="黑体" w:eastAsia="黑体"/>
          <w:b/>
          <w:sz w:val="32"/>
          <w:szCs w:val="32"/>
        </w:rPr>
        <w:t xml:space="preserve">  </w:t>
      </w:r>
      <w:r>
        <w:rPr>
          <w:rFonts w:hint="eastAsia" w:ascii="黑体" w:hAnsi="黑体" w:eastAsia="黑体"/>
          <w:b/>
          <w:sz w:val="32"/>
          <w:szCs w:val="32"/>
        </w:rPr>
        <w:t>特殊困难补助申请的时间与程序</w:t>
      </w:r>
      <w:bookmarkEnd w:id="701"/>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第十二条</w:t>
      </w:r>
      <w:r>
        <w:rPr>
          <w:rFonts w:ascii="仿宋_GB2312" w:hAnsi="宋体" w:eastAsia="仿宋_GB2312"/>
          <w:sz w:val="32"/>
          <w:szCs w:val="32"/>
        </w:rPr>
        <w:t xml:space="preserve">  </w:t>
      </w:r>
      <w:r>
        <w:rPr>
          <w:rFonts w:hint="eastAsia" w:ascii="仿宋_GB2312" w:hAnsi="宋体" w:eastAsia="仿宋_GB2312"/>
          <w:sz w:val="32"/>
          <w:szCs w:val="32"/>
        </w:rPr>
        <w:t>特殊困难补助每生每学期申请一次。每年</w:t>
      </w:r>
      <w:r>
        <w:rPr>
          <w:rFonts w:ascii="仿宋_GB2312" w:hAnsi="宋体" w:eastAsia="仿宋_GB2312"/>
          <w:sz w:val="32"/>
          <w:szCs w:val="32"/>
        </w:rPr>
        <w:t>12</w:t>
      </w:r>
      <w:r>
        <w:rPr>
          <w:rFonts w:hint="eastAsia" w:ascii="仿宋_GB2312" w:hAnsi="宋体" w:eastAsia="仿宋_GB2312"/>
          <w:sz w:val="32"/>
          <w:szCs w:val="32"/>
        </w:rPr>
        <w:t>月、</w:t>
      </w:r>
      <w:r>
        <w:rPr>
          <w:rFonts w:ascii="仿宋_GB2312" w:hAnsi="宋体" w:eastAsia="仿宋_GB2312"/>
          <w:sz w:val="32"/>
          <w:szCs w:val="32"/>
        </w:rPr>
        <w:t>5</w:t>
      </w:r>
      <w:r>
        <w:rPr>
          <w:rFonts w:hint="eastAsia" w:ascii="仿宋_GB2312" w:hAnsi="宋体" w:eastAsia="仿宋_GB2312"/>
          <w:sz w:val="32"/>
          <w:szCs w:val="32"/>
        </w:rPr>
        <w:t>月（特殊情况除外）学生资助管理中心集中受理各二级学院经审核、公示无异议的学生材料，完成审核、报批等工作。</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第十三条</w:t>
      </w:r>
      <w:r>
        <w:rPr>
          <w:rFonts w:ascii="仿宋_GB2312" w:hAnsi="宋体" w:eastAsia="仿宋_GB2312"/>
          <w:sz w:val="32"/>
          <w:szCs w:val="32"/>
        </w:rPr>
        <w:t xml:space="preserve">  </w:t>
      </w:r>
      <w:r>
        <w:rPr>
          <w:rFonts w:hint="eastAsia" w:ascii="仿宋_GB2312" w:hAnsi="宋体" w:eastAsia="仿宋_GB2312"/>
          <w:sz w:val="32"/>
          <w:szCs w:val="32"/>
        </w:rPr>
        <w:t>特殊困难补助申请程序</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（一）本人申请</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申请特殊困难补助的学生，向所在二级学院提出书面申请，如实提供家庭人均收入情况和有关证明材料，填写《柳州职业技术学院学生特殊困难补助申请表》。</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（二）二级学院初审</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 xml:space="preserve">1. </w:t>
      </w:r>
      <w:r>
        <w:rPr>
          <w:rFonts w:hint="eastAsia" w:ascii="仿宋_GB2312" w:hAnsi="宋体" w:eastAsia="仿宋_GB2312"/>
          <w:sz w:val="32"/>
          <w:szCs w:val="32"/>
        </w:rPr>
        <w:t>辅导员在班级采取个别谈话、民主评议等形式，综合各方面情况和意见，并审核相关材料后，提出初审意见报二级学院学生资助工作评审小组讨论。</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 xml:space="preserve">2. </w:t>
      </w:r>
      <w:r>
        <w:rPr>
          <w:rFonts w:hint="eastAsia" w:ascii="仿宋_GB2312" w:hAnsi="宋体" w:eastAsia="仿宋_GB2312"/>
          <w:sz w:val="32"/>
          <w:szCs w:val="32"/>
        </w:rPr>
        <w:t>二级学院资助工作评审小组在确定初审名单后，在院内公示</w:t>
      </w:r>
      <w:r>
        <w:rPr>
          <w:rFonts w:ascii="仿宋_GB2312" w:hAnsi="宋体" w:eastAsia="仿宋_GB2312"/>
          <w:sz w:val="32"/>
          <w:szCs w:val="32"/>
        </w:rPr>
        <w:t>3</w:t>
      </w:r>
      <w:r>
        <w:rPr>
          <w:rFonts w:hint="eastAsia" w:ascii="仿宋_GB2312" w:hAnsi="宋体" w:eastAsia="仿宋_GB2312"/>
          <w:sz w:val="32"/>
          <w:szCs w:val="32"/>
        </w:rPr>
        <w:t>个工作日，公示无异议后，将初审推荐名单及相关材料报学校学生资助管理中心。</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（三）学校审核</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 xml:space="preserve">1. </w:t>
      </w:r>
      <w:r>
        <w:rPr>
          <w:rFonts w:hint="eastAsia" w:ascii="仿宋_GB2312" w:hAnsi="宋体" w:eastAsia="仿宋_GB2312"/>
          <w:sz w:val="32"/>
          <w:szCs w:val="32"/>
        </w:rPr>
        <w:t>学生资助管理中心对二级学院上报的特殊困难补助初审结果进行审查，并将拟特殊困难补助名单上报学生资助工作领导小组进行最终审核，确定学校当年特殊困难补助学生名单，并在校内公示</w:t>
      </w:r>
      <w:r>
        <w:rPr>
          <w:rFonts w:ascii="仿宋_GB2312" w:hAnsi="宋体" w:eastAsia="仿宋_GB2312"/>
          <w:sz w:val="32"/>
          <w:szCs w:val="32"/>
        </w:rPr>
        <w:t>3</w:t>
      </w:r>
      <w:r>
        <w:rPr>
          <w:rFonts w:hint="eastAsia" w:ascii="仿宋_GB2312" w:hAnsi="宋体" w:eastAsia="仿宋_GB2312"/>
          <w:sz w:val="32"/>
          <w:szCs w:val="32"/>
        </w:rPr>
        <w:t>个工作日。</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ascii="仿宋_GB2312" w:hAnsi="宋体" w:eastAsia="仿宋_GB2312"/>
          <w:sz w:val="32"/>
          <w:szCs w:val="32"/>
        </w:rPr>
        <w:t xml:space="preserve">2. </w:t>
      </w:r>
      <w:r>
        <w:rPr>
          <w:rFonts w:hint="eastAsia" w:ascii="仿宋_GB2312" w:hAnsi="宋体" w:eastAsia="仿宋_GB2312"/>
          <w:sz w:val="32"/>
          <w:szCs w:val="32"/>
        </w:rPr>
        <w:t>学生个人对特殊困难补助审定结果如有异议，可在公示期间向学生资助管理中心提起申诉。学生资助管理中心经过调查核实，并由学生资助工作领导小组裁决后，通知学生本人及所在二级学院。</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702" w:name="_Toc4082_WPSOffice_Level1"/>
      <w:r>
        <w:rPr>
          <w:rFonts w:hint="eastAsia" w:ascii="黑体" w:hAnsi="黑体" w:eastAsia="黑体"/>
          <w:b/>
          <w:sz w:val="32"/>
          <w:szCs w:val="32"/>
        </w:rPr>
        <w:t>第六章</w:t>
      </w:r>
      <w:r>
        <w:rPr>
          <w:rFonts w:ascii="黑体" w:hAnsi="黑体" w:eastAsia="黑体"/>
          <w:b/>
          <w:sz w:val="32"/>
          <w:szCs w:val="32"/>
        </w:rPr>
        <w:t xml:space="preserve"> </w:t>
      </w:r>
      <w:r>
        <w:rPr>
          <w:rFonts w:hint="eastAsia" w:ascii="黑体" w:hAnsi="黑体" w:eastAsia="黑体"/>
          <w:b/>
          <w:sz w:val="32"/>
          <w:szCs w:val="32"/>
        </w:rPr>
        <w:t>特殊困难补助的发放</w:t>
      </w:r>
      <w:bookmarkEnd w:id="702"/>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第十四条</w:t>
      </w:r>
      <w:r>
        <w:rPr>
          <w:rFonts w:ascii="仿宋_GB2312" w:hAnsi="宋体" w:eastAsia="仿宋_GB2312"/>
          <w:sz w:val="32"/>
          <w:szCs w:val="32"/>
        </w:rPr>
        <w:t xml:space="preserve">  </w:t>
      </w:r>
      <w:r>
        <w:rPr>
          <w:rFonts w:hint="eastAsia" w:ascii="仿宋_GB2312" w:hAnsi="宋体" w:eastAsia="仿宋_GB2312"/>
          <w:sz w:val="32"/>
          <w:szCs w:val="32"/>
        </w:rPr>
        <w:t>在学校公示无异议后，由学校财务处通过银行卡的方式，将特殊困难补助一次性发放给获助学生。</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96" w:lineRule="exact"/>
        <w:jc w:val="center"/>
        <w:outlineLvl w:val="9"/>
        <w:rPr>
          <w:rFonts w:ascii="黑体" w:hAnsi="黑体" w:eastAsia="黑体"/>
          <w:b/>
          <w:sz w:val="32"/>
          <w:szCs w:val="32"/>
        </w:rPr>
      </w:pPr>
      <w:bookmarkStart w:id="703" w:name="_Toc15568_WPSOffice_Level1"/>
      <w:r>
        <w:rPr>
          <w:rFonts w:hint="eastAsia" w:ascii="黑体" w:hAnsi="黑体" w:eastAsia="黑体"/>
          <w:b/>
          <w:sz w:val="32"/>
          <w:szCs w:val="32"/>
        </w:rPr>
        <w:t>第七章</w:t>
      </w:r>
      <w:r>
        <w:rPr>
          <w:rFonts w:ascii="黑体" w:hAnsi="黑体" w:eastAsia="黑体"/>
          <w:b/>
          <w:sz w:val="32"/>
          <w:szCs w:val="32"/>
        </w:rPr>
        <w:t xml:space="preserve">  </w:t>
      </w:r>
      <w:r>
        <w:rPr>
          <w:rFonts w:hint="eastAsia" w:ascii="黑体" w:hAnsi="黑体" w:eastAsia="黑体"/>
          <w:b/>
          <w:sz w:val="32"/>
          <w:szCs w:val="32"/>
        </w:rPr>
        <w:t>附则</w:t>
      </w:r>
      <w:bookmarkEnd w:id="703"/>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第十五条</w:t>
      </w:r>
      <w:r>
        <w:rPr>
          <w:rFonts w:ascii="仿宋_GB2312" w:hAnsi="宋体" w:eastAsia="仿宋_GB2312"/>
          <w:sz w:val="32"/>
          <w:szCs w:val="32"/>
        </w:rPr>
        <w:t xml:space="preserve">  </w:t>
      </w:r>
      <w:r>
        <w:rPr>
          <w:rFonts w:hint="eastAsia" w:ascii="仿宋_GB2312" w:hAnsi="宋体" w:eastAsia="仿宋_GB2312"/>
          <w:sz w:val="32"/>
          <w:szCs w:val="32"/>
        </w:rPr>
        <w:t>本办法自公布之日起执行。原《柳州职业技术学院学生特殊困难补助实施办法（修订）》（柳职院学字〔</w:t>
      </w:r>
      <w:r>
        <w:rPr>
          <w:rFonts w:ascii="仿宋_GB2312" w:hAnsi="宋体" w:eastAsia="仿宋_GB2312"/>
          <w:sz w:val="32"/>
          <w:szCs w:val="32"/>
        </w:rPr>
        <w:t>2019</w:t>
      </w:r>
      <w:r>
        <w:rPr>
          <w:rFonts w:hint="eastAsia" w:ascii="仿宋_GB2312" w:hAnsi="宋体" w:eastAsia="仿宋_GB2312"/>
          <w:sz w:val="32"/>
          <w:szCs w:val="32"/>
        </w:rPr>
        <w:t>〕</w:t>
      </w:r>
      <w:r>
        <w:rPr>
          <w:rFonts w:ascii="仿宋_GB2312" w:hAnsi="宋体" w:eastAsia="仿宋_GB2312"/>
          <w:sz w:val="32"/>
          <w:szCs w:val="32"/>
        </w:rPr>
        <w:t>59</w:t>
      </w:r>
      <w:r>
        <w:rPr>
          <w:rFonts w:hint="eastAsia" w:ascii="仿宋_GB2312" w:hAnsi="宋体" w:eastAsia="仿宋_GB2312"/>
          <w:sz w:val="32"/>
          <w:szCs w:val="32"/>
        </w:rPr>
        <w:t>号）同时废止。</w:t>
      </w:r>
    </w:p>
    <w:p>
      <w:pPr>
        <w:pageBreakBefore w:val="0"/>
        <w:kinsoku/>
        <w:overflowPunct/>
        <w:topLinePunct w:val="0"/>
        <w:bidi w:val="0"/>
        <w:spacing w:line="596" w:lineRule="exact"/>
        <w:ind w:firstLine="643" w:firstLineChars="200"/>
        <w:outlineLvl w:val="9"/>
        <w:rPr>
          <w:rFonts w:ascii="仿宋_GB2312" w:hAnsi="宋体" w:eastAsia="仿宋_GB2312"/>
          <w:sz w:val="32"/>
          <w:szCs w:val="32"/>
        </w:rPr>
      </w:pPr>
      <w:r>
        <w:rPr>
          <w:rFonts w:hint="eastAsia" w:ascii="仿宋_GB2312" w:hAnsi="宋体" w:eastAsia="仿宋_GB2312"/>
          <w:b/>
          <w:sz w:val="32"/>
          <w:szCs w:val="32"/>
        </w:rPr>
        <w:t>第十六条</w:t>
      </w:r>
      <w:r>
        <w:rPr>
          <w:rFonts w:ascii="仿宋_GB2312" w:hAnsi="宋体" w:eastAsia="仿宋_GB2312"/>
          <w:b/>
          <w:sz w:val="32"/>
          <w:szCs w:val="32"/>
        </w:rPr>
        <w:t xml:space="preserve"> </w:t>
      </w:r>
      <w:r>
        <w:rPr>
          <w:rFonts w:ascii="仿宋_GB2312" w:hAnsi="宋体" w:eastAsia="仿宋_GB2312"/>
          <w:sz w:val="32"/>
          <w:szCs w:val="32"/>
        </w:rPr>
        <w:t xml:space="preserve"> </w:t>
      </w:r>
      <w:r>
        <w:rPr>
          <w:rFonts w:hint="eastAsia" w:ascii="仿宋_GB2312" w:hAnsi="宋体" w:eastAsia="仿宋_GB2312"/>
          <w:sz w:val="32"/>
          <w:szCs w:val="32"/>
        </w:rPr>
        <w:t>本办法由校学生工作部（处）负责解释。</w:t>
      </w: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p>
    <w:p>
      <w:pPr>
        <w:pageBreakBefore w:val="0"/>
        <w:kinsoku/>
        <w:overflowPunct/>
        <w:topLinePunct w:val="0"/>
        <w:bidi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附件：柳州职业技术学院学生特殊困难补助申请表</w:t>
      </w:r>
    </w:p>
    <w:p>
      <w:pPr>
        <w:pageBreakBefore w:val="0"/>
        <w:kinsoku/>
        <w:overflowPunct/>
        <w:topLinePunct w:val="0"/>
        <w:bidi w:val="0"/>
        <w:jc w:val="center"/>
        <w:outlineLvl w:val="9"/>
        <w:rPr>
          <w:sz w:val="25"/>
        </w:rPr>
      </w:pPr>
      <w:bookmarkStart w:id="704" w:name="_Toc12232_WPSOffice_Level1"/>
      <w:r>
        <w:rPr>
          <w:rFonts w:hint="eastAsia" w:ascii="黑体" w:hAnsi="宋体" w:eastAsia="黑体"/>
          <w:sz w:val="30"/>
          <w:szCs w:val="30"/>
        </w:rPr>
        <w:t>柳州职业技术学院学生特殊困难补助申请表</w:t>
      </w:r>
      <w:bookmarkEnd w:id="704"/>
    </w:p>
    <w:tbl>
      <w:tblPr>
        <w:tblStyle w:val="14"/>
        <w:tblW w:w="106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763"/>
        <w:gridCol w:w="521"/>
        <w:gridCol w:w="452"/>
        <w:gridCol w:w="308"/>
        <w:gridCol w:w="666"/>
        <w:gridCol w:w="328"/>
        <w:gridCol w:w="257"/>
        <w:gridCol w:w="25"/>
        <w:gridCol w:w="97"/>
        <w:gridCol w:w="709"/>
        <w:gridCol w:w="708"/>
        <w:gridCol w:w="710"/>
        <w:gridCol w:w="710"/>
        <w:gridCol w:w="850"/>
        <w:gridCol w:w="327"/>
        <w:gridCol w:w="285"/>
        <w:gridCol w:w="565"/>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restart"/>
            <w:noWrap w:val="0"/>
            <w:vAlign w:val="center"/>
          </w:tcPr>
          <w:p>
            <w:pPr>
              <w:pageBreakBefore w:val="0"/>
              <w:kinsoku/>
              <w:overflowPunct/>
              <w:topLinePunct w:val="0"/>
              <w:bidi w:val="0"/>
              <w:spacing w:line="260" w:lineRule="exact"/>
              <w:ind w:left="113" w:right="113"/>
              <w:jc w:val="center"/>
              <w:outlineLvl w:val="9"/>
              <w:rPr>
                <w:rFonts w:ascii="仿宋_GB2312" w:hAnsi="宋体" w:eastAsia="仿宋_GB2312"/>
                <w:sz w:val="21"/>
                <w:szCs w:val="21"/>
              </w:rPr>
            </w:pPr>
            <w:r>
              <w:rPr>
                <w:rFonts w:hint="eastAsia" w:ascii="仿宋_GB2312" w:hAnsi="宋体" w:eastAsia="仿宋_GB2312"/>
                <w:sz w:val="21"/>
                <w:szCs w:val="21"/>
              </w:rPr>
              <w:t>个人基本情况</w:t>
            </w:r>
          </w:p>
        </w:tc>
        <w:tc>
          <w:tcPr>
            <w:tcW w:w="763"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姓名</w:t>
            </w:r>
          </w:p>
        </w:tc>
        <w:tc>
          <w:tcPr>
            <w:tcW w:w="1281" w:type="dxa"/>
            <w:gridSpan w:val="3"/>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666"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性别</w:t>
            </w:r>
          </w:p>
        </w:tc>
        <w:tc>
          <w:tcPr>
            <w:tcW w:w="707" w:type="dxa"/>
            <w:gridSpan w:val="4"/>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709"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民族</w:t>
            </w:r>
          </w:p>
        </w:tc>
        <w:tc>
          <w:tcPr>
            <w:tcW w:w="708"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710"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学号</w:t>
            </w:r>
          </w:p>
        </w:tc>
        <w:tc>
          <w:tcPr>
            <w:tcW w:w="1560"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1177" w:type="dxa"/>
            <w:gridSpan w:val="3"/>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政治面貌</w:t>
            </w:r>
          </w:p>
        </w:tc>
        <w:tc>
          <w:tcPr>
            <w:tcW w:w="1641"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continue"/>
            <w:noWrap w:val="0"/>
            <w:vAlign w:val="center"/>
          </w:tcPr>
          <w:p>
            <w:pPr>
              <w:pageBreakBefore w:val="0"/>
              <w:kinsoku/>
              <w:overflowPunct/>
              <w:topLinePunct w:val="0"/>
              <w:bidi w:val="0"/>
              <w:spacing w:line="260" w:lineRule="exact"/>
              <w:ind w:left="113" w:right="113"/>
              <w:jc w:val="center"/>
              <w:outlineLvl w:val="9"/>
              <w:rPr>
                <w:rFonts w:ascii="仿宋_GB2312" w:hAnsi="宋体" w:eastAsia="仿宋_GB2312"/>
                <w:sz w:val="21"/>
                <w:szCs w:val="21"/>
              </w:rPr>
            </w:pPr>
          </w:p>
        </w:tc>
        <w:tc>
          <w:tcPr>
            <w:tcW w:w="763"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学院</w:t>
            </w:r>
          </w:p>
        </w:tc>
        <w:tc>
          <w:tcPr>
            <w:tcW w:w="1947" w:type="dxa"/>
            <w:gridSpan w:val="4"/>
            <w:noWrap w:val="0"/>
            <w:vAlign w:val="center"/>
          </w:tcPr>
          <w:p>
            <w:pPr>
              <w:pageBreakBefore w:val="0"/>
              <w:kinsoku/>
              <w:overflowPunct/>
              <w:topLinePunct w:val="0"/>
              <w:bidi w:val="0"/>
              <w:spacing w:line="260" w:lineRule="exact"/>
              <w:ind w:left="154"/>
              <w:jc w:val="center"/>
              <w:outlineLvl w:val="9"/>
              <w:rPr>
                <w:rFonts w:ascii="仿宋_GB2312" w:hAnsi="宋体" w:eastAsia="仿宋_GB2312"/>
                <w:sz w:val="21"/>
                <w:szCs w:val="21"/>
              </w:rPr>
            </w:pPr>
          </w:p>
        </w:tc>
        <w:tc>
          <w:tcPr>
            <w:tcW w:w="707" w:type="dxa"/>
            <w:gridSpan w:val="4"/>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年级</w:t>
            </w:r>
          </w:p>
        </w:tc>
        <w:tc>
          <w:tcPr>
            <w:tcW w:w="709"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1418"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napToGrid w:val="0"/>
                <w:kern w:val="0"/>
                <w:sz w:val="21"/>
                <w:szCs w:val="21"/>
              </w:rPr>
              <w:t>专业班级</w:t>
            </w:r>
          </w:p>
        </w:tc>
        <w:tc>
          <w:tcPr>
            <w:tcW w:w="1560"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1177" w:type="dxa"/>
            <w:gridSpan w:val="3"/>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本人联系电话</w:t>
            </w:r>
          </w:p>
        </w:tc>
        <w:tc>
          <w:tcPr>
            <w:tcW w:w="1641"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continue"/>
            <w:noWrap w:val="0"/>
            <w:vAlign w:val="center"/>
          </w:tcPr>
          <w:p>
            <w:pPr>
              <w:pageBreakBefore w:val="0"/>
              <w:kinsoku/>
              <w:overflowPunct/>
              <w:topLinePunct w:val="0"/>
              <w:bidi w:val="0"/>
              <w:spacing w:line="260" w:lineRule="exact"/>
              <w:ind w:left="113" w:right="113"/>
              <w:jc w:val="center"/>
              <w:outlineLvl w:val="9"/>
              <w:rPr>
                <w:rFonts w:ascii="仿宋_GB2312" w:hAnsi="宋体" w:eastAsia="仿宋_GB2312"/>
                <w:sz w:val="21"/>
                <w:szCs w:val="21"/>
              </w:rPr>
            </w:pPr>
          </w:p>
        </w:tc>
        <w:tc>
          <w:tcPr>
            <w:tcW w:w="763"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家庭</w:t>
            </w:r>
          </w:p>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地址</w:t>
            </w:r>
          </w:p>
        </w:tc>
        <w:tc>
          <w:tcPr>
            <w:tcW w:w="4781" w:type="dxa"/>
            <w:gridSpan w:val="11"/>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1560"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家庭电话</w:t>
            </w:r>
          </w:p>
        </w:tc>
        <w:tc>
          <w:tcPr>
            <w:tcW w:w="2818" w:type="dxa"/>
            <w:gridSpan w:val="4"/>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continue"/>
            <w:noWrap w:val="0"/>
            <w:textDirection w:val="tbRlV"/>
            <w:vAlign w:val="center"/>
          </w:tcPr>
          <w:p>
            <w:pPr>
              <w:pageBreakBefore w:val="0"/>
              <w:kinsoku/>
              <w:overflowPunct/>
              <w:topLinePunct w:val="0"/>
              <w:bidi w:val="0"/>
              <w:spacing w:line="260" w:lineRule="exact"/>
              <w:ind w:left="113" w:right="113"/>
              <w:jc w:val="center"/>
              <w:outlineLvl w:val="9"/>
              <w:rPr>
                <w:rFonts w:ascii="仿宋_GB2312" w:hAnsi="宋体" w:eastAsia="仿宋_GB2312"/>
                <w:sz w:val="21"/>
                <w:szCs w:val="21"/>
              </w:rPr>
            </w:pPr>
          </w:p>
        </w:tc>
        <w:tc>
          <w:tcPr>
            <w:tcW w:w="763"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家庭</w:t>
            </w:r>
          </w:p>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户口</w:t>
            </w:r>
          </w:p>
        </w:tc>
        <w:tc>
          <w:tcPr>
            <w:tcW w:w="1281" w:type="dxa"/>
            <w:gridSpan w:val="3"/>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城镇</w:t>
            </w:r>
            <w:r>
              <w:rPr>
                <w:rFonts w:ascii="仿宋_GB2312" w:hAnsi="宋体" w:eastAsia="仿宋_GB2312"/>
                <w:sz w:val="21"/>
                <w:szCs w:val="21"/>
              </w:rPr>
              <w:t xml:space="preserve"> </w:t>
            </w:r>
            <w:r>
              <w:rPr>
                <w:rFonts w:hint="eastAsia" w:ascii="仿宋_GB2312" w:hAnsi="新宋体" w:eastAsia="仿宋_GB2312"/>
                <w:sz w:val="21"/>
                <w:szCs w:val="21"/>
              </w:rPr>
              <w:t>□</w:t>
            </w:r>
          </w:p>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农村</w:t>
            </w:r>
            <w:r>
              <w:rPr>
                <w:rFonts w:ascii="仿宋_GB2312" w:hAnsi="宋体" w:eastAsia="仿宋_GB2312"/>
                <w:sz w:val="21"/>
                <w:szCs w:val="21"/>
              </w:rPr>
              <w:t xml:space="preserve"> </w:t>
            </w:r>
            <w:r>
              <w:rPr>
                <w:rFonts w:hint="eastAsia" w:ascii="仿宋_GB2312" w:hAnsi="新宋体" w:eastAsia="仿宋_GB2312"/>
                <w:sz w:val="21"/>
                <w:szCs w:val="21"/>
              </w:rPr>
              <w:t>□</w:t>
            </w:r>
          </w:p>
        </w:tc>
        <w:tc>
          <w:tcPr>
            <w:tcW w:w="994"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家庭总人口数</w:t>
            </w:r>
          </w:p>
        </w:tc>
        <w:tc>
          <w:tcPr>
            <w:tcW w:w="1796" w:type="dxa"/>
            <w:gridSpan w:val="5"/>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1420" w:type="dxa"/>
            <w:gridSpan w:val="2"/>
            <w:noWrap w:val="0"/>
            <w:vAlign w:val="center"/>
          </w:tcPr>
          <w:p>
            <w:pPr>
              <w:pageBreakBefore w:val="0"/>
              <w:kinsoku/>
              <w:overflowPunct/>
              <w:topLinePunct w:val="0"/>
              <w:bidi w:val="0"/>
              <w:spacing w:line="260" w:lineRule="exact"/>
              <w:ind w:right="-78"/>
              <w:jc w:val="center"/>
              <w:outlineLvl w:val="9"/>
              <w:rPr>
                <w:rFonts w:ascii="仿宋_GB2312" w:hAnsi="宋体" w:eastAsia="仿宋_GB2312"/>
                <w:sz w:val="21"/>
                <w:szCs w:val="21"/>
              </w:rPr>
            </w:pPr>
            <w:r>
              <w:rPr>
                <w:rFonts w:hint="eastAsia" w:ascii="仿宋_GB2312" w:hAnsi="宋体" w:eastAsia="仿宋_GB2312"/>
                <w:sz w:val="21"/>
                <w:szCs w:val="21"/>
              </w:rPr>
              <w:t>家庭</w:t>
            </w:r>
          </w:p>
          <w:p>
            <w:pPr>
              <w:pageBreakBefore w:val="0"/>
              <w:kinsoku/>
              <w:overflowPunct/>
              <w:topLinePunct w:val="0"/>
              <w:bidi w:val="0"/>
              <w:spacing w:line="260" w:lineRule="exact"/>
              <w:ind w:right="-78"/>
              <w:jc w:val="center"/>
              <w:outlineLvl w:val="9"/>
              <w:rPr>
                <w:rFonts w:ascii="仿宋_GB2312" w:hAnsi="宋体" w:eastAsia="仿宋_GB2312"/>
                <w:sz w:val="21"/>
                <w:szCs w:val="21"/>
              </w:rPr>
            </w:pPr>
            <w:r>
              <w:rPr>
                <w:rFonts w:hint="eastAsia" w:ascii="仿宋_GB2312" w:hAnsi="宋体" w:eastAsia="仿宋_GB2312"/>
                <w:sz w:val="21"/>
                <w:szCs w:val="21"/>
              </w:rPr>
              <w:t>月总收入</w:t>
            </w:r>
          </w:p>
        </w:tc>
        <w:tc>
          <w:tcPr>
            <w:tcW w:w="1177" w:type="dxa"/>
            <w:gridSpan w:val="2"/>
            <w:noWrap w:val="0"/>
            <w:vAlign w:val="center"/>
          </w:tcPr>
          <w:p>
            <w:pPr>
              <w:pageBreakBefore w:val="0"/>
              <w:widowControl/>
              <w:kinsoku/>
              <w:overflowPunct/>
              <w:topLinePunct w:val="0"/>
              <w:bidi w:val="0"/>
              <w:spacing w:line="260" w:lineRule="exact"/>
              <w:jc w:val="center"/>
              <w:outlineLvl w:val="9"/>
              <w:rPr>
                <w:rFonts w:ascii="仿宋_GB2312" w:hAnsi="宋体" w:eastAsia="仿宋_GB2312"/>
                <w:sz w:val="21"/>
                <w:szCs w:val="21"/>
              </w:rPr>
            </w:pPr>
          </w:p>
          <w:p>
            <w:pPr>
              <w:pageBreakBefore w:val="0"/>
              <w:kinsoku/>
              <w:overflowPunct/>
              <w:topLinePunct w:val="0"/>
              <w:bidi w:val="0"/>
              <w:spacing w:line="260" w:lineRule="exact"/>
              <w:ind w:right="840"/>
              <w:jc w:val="center"/>
              <w:outlineLvl w:val="9"/>
              <w:rPr>
                <w:rFonts w:ascii="仿宋_GB2312" w:hAnsi="宋体" w:eastAsia="仿宋_GB2312"/>
                <w:sz w:val="21"/>
                <w:szCs w:val="21"/>
              </w:rPr>
            </w:pPr>
          </w:p>
        </w:tc>
        <w:tc>
          <w:tcPr>
            <w:tcW w:w="850"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人均</w:t>
            </w:r>
          </w:p>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月收入</w:t>
            </w:r>
          </w:p>
        </w:tc>
        <w:tc>
          <w:tcPr>
            <w:tcW w:w="1641"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continue"/>
            <w:noWrap w:val="0"/>
            <w:vAlign w:val="center"/>
          </w:tcPr>
          <w:p>
            <w:pPr>
              <w:pageBreakBefore w:val="0"/>
              <w:kinsoku/>
              <w:overflowPunct/>
              <w:topLinePunct w:val="0"/>
              <w:bidi w:val="0"/>
              <w:spacing w:line="260" w:lineRule="exact"/>
              <w:ind w:right="420"/>
              <w:jc w:val="center"/>
              <w:outlineLvl w:val="9"/>
              <w:rPr>
                <w:rFonts w:ascii="仿宋_GB2312" w:hAnsi="宋体" w:eastAsia="仿宋_GB2312"/>
                <w:sz w:val="21"/>
                <w:szCs w:val="21"/>
              </w:rPr>
            </w:pPr>
          </w:p>
        </w:tc>
        <w:tc>
          <w:tcPr>
            <w:tcW w:w="9922" w:type="dxa"/>
            <w:gridSpan w:val="18"/>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家庭基本情况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continue"/>
            <w:noWrap w:val="0"/>
            <w:vAlign w:val="center"/>
          </w:tcPr>
          <w:p>
            <w:pPr>
              <w:pageBreakBefore w:val="0"/>
              <w:kinsoku/>
              <w:overflowPunct/>
              <w:topLinePunct w:val="0"/>
              <w:bidi w:val="0"/>
              <w:spacing w:line="260" w:lineRule="exact"/>
              <w:ind w:right="420"/>
              <w:jc w:val="center"/>
              <w:outlineLvl w:val="9"/>
              <w:rPr>
                <w:rFonts w:ascii="仿宋_GB2312" w:hAnsi="宋体" w:eastAsia="仿宋_GB2312"/>
                <w:sz w:val="21"/>
                <w:szCs w:val="21"/>
              </w:rPr>
            </w:pPr>
          </w:p>
        </w:tc>
        <w:tc>
          <w:tcPr>
            <w:tcW w:w="1284" w:type="dxa"/>
            <w:gridSpan w:val="2"/>
            <w:noWrap w:val="0"/>
            <w:vAlign w:val="center"/>
          </w:tcPr>
          <w:p>
            <w:pPr>
              <w:pageBreakBefore w:val="0"/>
              <w:kinsoku/>
              <w:overflowPunct/>
              <w:topLinePunct w:val="0"/>
              <w:bidi w:val="0"/>
              <w:spacing w:line="260" w:lineRule="exact"/>
              <w:jc w:val="center"/>
              <w:outlineLvl w:val="9"/>
              <w:rPr>
                <w:rFonts w:ascii="仿宋_GB2312" w:eastAsia="仿宋_GB2312"/>
                <w:sz w:val="21"/>
                <w:szCs w:val="21"/>
              </w:rPr>
            </w:pPr>
            <w:r>
              <w:rPr>
                <w:rFonts w:hint="eastAsia" w:ascii="仿宋_GB2312" w:eastAsia="仿宋_GB2312"/>
                <w:sz w:val="21"/>
                <w:szCs w:val="21"/>
              </w:rPr>
              <w:t>姓名</w:t>
            </w:r>
          </w:p>
        </w:tc>
        <w:tc>
          <w:tcPr>
            <w:tcW w:w="760" w:type="dxa"/>
            <w:gridSpan w:val="2"/>
            <w:noWrap w:val="0"/>
            <w:vAlign w:val="center"/>
          </w:tcPr>
          <w:p>
            <w:pPr>
              <w:pageBreakBefore w:val="0"/>
              <w:kinsoku/>
              <w:overflowPunct/>
              <w:topLinePunct w:val="0"/>
              <w:bidi w:val="0"/>
              <w:spacing w:line="260" w:lineRule="exact"/>
              <w:jc w:val="center"/>
              <w:outlineLvl w:val="9"/>
              <w:rPr>
                <w:rFonts w:ascii="仿宋_GB2312" w:eastAsia="仿宋_GB2312"/>
                <w:sz w:val="21"/>
                <w:szCs w:val="21"/>
              </w:rPr>
            </w:pPr>
            <w:r>
              <w:rPr>
                <w:rFonts w:hint="eastAsia" w:ascii="仿宋_GB2312" w:eastAsia="仿宋_GB2312"/>
                <w:sz w:val="21"/>
                <w:szCs w:val="21"/>
              </w:rPr>
              <w:t>年龄</w:t>
            </w:r>
          </w:p>
        </w:tc>
        <w:tc>
          <w:tcPr>
            <w:tcW w:w="1276" w:type="dxa"/>
            <w:gridSpan w:val="4"/>
            <w:noWrap w:val="0"/>
            <w:vAlign w:val="center"/>
          </w:tcPr>
          <w:p>
            <w:pPr>
              <w:pageBreakBefore w:val="0"/>
              <w:kinsoku/>
              <w:overflowPunct/>
              <w:topLinePunct w:val="0"/>
              <w:bidi w:val="0"/>
              <w:spacing w:line="260" w:lineRule="exact"/>
              <w:jc w:val="center"/>
              <w:outlineLvl w:val="9"/>
              <w:rPr>
                <w:rFonts w:ascii="仿宋_GB2312" w:eastAsia="仿宋_GB2312"/>
                <w:sz w:val="21"/>
                <w:szCs w:val="21"/>
              </w:rPr>
            </w:pPr>
            <w:r>
              <w:rPr>
                <w:rFonts w:hint="eastAsia" w:ascii="仿宋_GB2312" w:eastAsia="仿宋_GB2312"/>
                <w:sz w:val="21"/>
                <w:szCs w:val="21"/>
              </w:rPr>
              <w:t>与本人关系</w:t>
            </w:r>
          </w:p>
        </w:tc>
        <w:tc>
          <w:tcPr>
            <w:tcW w:w="4396" w:type="dxa"/>
            <w:gridSpan w:val="8"/>
            <w:noWrap w:val="0"/>
            <w:vAlign w:val="center"/>
          </w:tcPr>
          <w:p>
            <w:pPr>
              <w:pageBreakBefore w:val="0"/>
              <w:kinsoku/>
              <w:overflowPunct/>
              <w:topLinePunct w:val="0"/>
              <w:bidi w:val="0"/>
              <w:spacing w:line="260" w:lineRule="exact"/>
              <w:jc w:val="center"/>
              <w:outlineLvl w:val="9"/>
              <w:rPr>
                <w:rFonts w:ascii="仿宋_GB2312" w:eastAsia="仿宋_GB2312"/>
                <w:sz w:val="21"/>
                <w:szCs w:val="21"/>
              </w:rPr>
            </w:pPr>
            <w:r>
              <w:rPr>
                <w:rFonts w:hint="eastAsia" w:ascii="仿宋_GB2312" w:eastAsia="仿宋_GB2312"/>
                <w:sz w:val="21"/>
                <w:szCs w:val="21"/>
              </w:rPr>
              <w:t>在何处工作或学习</w:t>
            </w:r>
          </w:p>
        </w:tc>
        <w:tc>
          <w:tcPr>
            <w:tcW w:w="2206" w:type="dxa"/>
            <w:gridSpan w:val="2"/>
            <w:noWrap w:val="0"/>
            <w:vAlign w:val="center"/>
          </w:tcPr>
          <w:p>
            <w:pPr>
              <w:pageBreakBefore w:val="0"/>
              <w:kinsoku/>
              <w:overflowPunct/>
              <w:topLinePunct w:val="0"/>
              <w:bidi w:val="0"/>
              <w:spacing w:line="260" w:lineRule="exact"/>
              <w:jc w:val="center"/>
              <w:outlineLvl w:val="9"/>
              <w:rPr>
                <w:rFonts w:ascii="仿宋_GB2312" w:eastAsia="仿宋_GB2312"/>
                <w:sz w:val="21"/>
                <w:szCs w:val="21"/>
              </w:rPr>
            </w:pPr>
            <w:r>
              <w:rPr>
                <w:rFonts w:hint="eastAsia" w:ascii="仿宋_GB2312" w:eastAsia="仿宋_GB2312"/>
                <w:sz w:val="21"/>
                <w:szCs w:val="21"/>
              </w:rPr>
              <w:t>月收入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continue"/>
            <w:noWrap w:val="0"/>
            <w:vAlign w:val="center"/>
          </w:tcPr>
          <w:p>
            <w:pPr>
              <w:pageBreakBefore w:val="0"/>
              <w:kinsoku/>
              <w:overflowPunct/>
              <w:topLinePunct w:val="0"/>
              <w:bidi w:val="0"/>
              <w:spacing w:line="260" w:lineRule="exact"/>
              <w:ind w:right="420"/>
              <w:jc w:val="center"/>
              <w:outlineLvl w:val="9"/>
              <w:rPr>
                <w:rFonts w:ascii="仿宋_GB2312" w:hAnsi="宋体" w:eastAsia="仿宋_GB2312"/>
                <w:sz w:val="21"/>
                <w:szCs w:val="21"/>
              </w:rPr>
            </w:pPr>
          </w:p>
        </w:tc>
        <w:tc>
          <w:tcPr>
            <w:tcW w:w="1284"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760"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1276" w:type="dxa"/>
            <w:gridSpan w:val="4"/>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4396" w:type="dxa"/>
            <w:gridSpan w:val="8"/>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2206"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continue"/>
            <w:noWrap w:val="0"/>
            <w:vAlign w:val="center"/>
          </w:tcPr>
          <w:p>
            <w:pPr>
              <w:pageBreakBefore w:val="0"/>
              <w:kinsoku/>
              <w:overflowPunct/>
              <w:topLinePunct w:val="0"/>
              <w:bidi w:val="0"/>
              <w:spacing w:line="260" w:lineRule="exact"/>
              <w:ind w:right="420"/>
              <w:jc w:val="center"/>
              <w:outlineLvl w:val="9"/>
              <w:rPr>
                <w:rFonts w:ascii="仿宋_GB2312" w:hAnsi="宋体" w:eastAsia="仿宋_GB2312"/>
                <w:sz w:val="21"/>
                <w:szCs w:val="21"/>
              </w:rPr>
            </w:pPr>
          </w:p>
        </w:tc>
        <w:tc>
          <w:tcPr>
            <w:tcW w:w="1284"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760"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1276" w:type="dxa"/>
            <w:gridSpan w:val="4"/>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4396" w:type="dxa"/>
            <w:gridSpan w:val="8"/>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2206"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continue"/>
            <w:noWrap w:val="0"/>
            <w:vAlign w:val="center"/>
          </w:tcPr>
          <w:p>
            <w:pPr>
              <w:pageBreakBefore w:val="0"/>
              <w:kinsoku/>
              <w:overflowPunct/>
              <w:topLinePunct w:val="0"/>
              <w:bidi w:val="0"/>
              <w:spacing w:line="260" w:lineRule="exact"/>
              <w:ind w:right="420"/>
              <w:jc w:val="center"/>
              <w:outlineLvl w:val="9"/>
              <w:rPr>
                <w:rFonts w:ascii="仿宋_GB2312" w:hAnsi="宋体" w:eastAsia="仿宋_GB2312"/>
                <w:sz w:val="21"/>
                <w:szCs w:val="21"/>
              </w:rPr>
            </w:pPr>
          </w:p>
        </w:tc>
        <w:tc>
          <w:tcPr>
            <w:tcW w:w="1284"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760"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1276" w:type="dxa"/>
            <w:gridSpan w:val="4"/>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4396" w:type="dxa"/>
            <w:gridSpan w:val="8"/>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2206"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vMerge w:val="continue"/>
            <w:noWrap w:val="0"/>
            <w:vAlign w:val="center"/>
          </w:tcPr>
          <w:p>
            <w:pPr>
              <w:pageBreakBefore w:val="0"/>
              <w:kinsoku/>
              <w:overflowPunct/>
              <w:topLinePunct w:val="0"/>
              <w:bidi w:val="0"/>
              <w:spacing w:line="260" w:lineRule="exact"/>
              <w:ind w:right="420"/>
              <w:jc w:val="center"/>
              <w:outlineLvl w:val="9"/>
              <w:rPr>
                <w:rFonts w:ascii="仿宋_GB2312" w:hAnsi="宋体" w:eastAsia="仿宋_GB2312"/>
                <w:sz w:val="21"/>
                <w:szCs w:val="21"/>
              </w:rPr>
            </w:pPr>
          </w:p>
        </w:tc>
        <w:tc>
          <w:tcPr>
            <w:tcW w:w="1284"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760"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1276" w:type="dxa"/>
            <w:gridSpan w:val="4"/>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4396" w:type="dxa"/>
            <w:gridSpan w:val="8"/>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c>
          <w:tcPr>
            <w:tcW w:w="2206" w:type="dxa"/>
            <w:gridSpan w:val="2"/>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5"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家庭经济困难类型</w:t>
            </w:r>
          </w:p>
        </w:tc>
        <w:tc>
          <w:tcPr>
            <w:tcW w:w="9922" w:type="dxa"/>
            <w:gridSpan w:val="18"/>
            <w:noWrap w:val="0"/>
            <w:vAlign w:val="center"/>
          </w:tcPr>
          <w:p>
            <w:pPr>
              <w:pageBreakBefore w:val="0"/>
              <w:kinsoku/>
              <w:overflowPunct/>
              <w:topLinePunct w:val="0"/>
              <w:bidi w:val="0"/>
              <w:adjustRightInd w:val="0"/>
              <w:snapToGrid w:val="0"/>
              <w:spacing w:line="260" w:lineRule="exact"/>
              <w:ind w:left="370" w:leftChars="176"/>
              <w:outlineLvl w:val="9"/>
              <w:rPr>
                <w:rFonts w:ascii="仿宋_GB2312" w:hAnsi="宋体" w:eastAsia="仿宋_GB2312"/>
                <w:sz w:val="21"/>
                <w:szCs w:val="21"/>
              </w:rPr>
            </w:pPr>
            <w:r>
              <w:rPr>
                <w:rFonts w:hint="eastAsia" w:ascii="仿宋_GB2312" w:hAnsi="宋体" w:eastAsia="仿宋_GB2312"/>
                <w:sz w:val="21"/>
                <w:szCs w:val="21"/>
              </w:rPr>
              <w:t>□农村建档立卡</w:t>
            </w:r>
            <w:r>
              <w:rPr>
                <w:rFonts w:ascii="仿宋_GB2312" w:hAnsi="宋体" w:eastAsia="仿宋_GB2312"/>
                <w:sz w:val="21"/>
                <w:szCs w:val="21"/>
              </w:rPr>
              <w:t xml:space="preserve">        </w:t>
            </w:r>
            <w:r>
              <w:rPr>
                <w:rFonts w:hint="eastAsia" w:ascii="仿宋_GB2312" w:hAnsi="宋体" w:eastAsia="仿宋_GB2312"/>
                <w:sz w:val="21"/>
                <w:szCs w:val="21"/>
              </w:rPr>
              <w:t>□农村低保家庭</w:t>
            </w:r>
            <w:r>
              <w:rPr>
                <w:rFonts w:ascii="仿宋_GB2312" w:hAnsi="宋体" w:eastAsia="仿宋_GB2312"/>
                <w:sz w:val="21"/>
                <w:szCs w:val="21"/>
              </w:rPr>
              <w:t xml:space="preserve">     </w:t>
            </w:r>
            <w:r>
              <w:rPr>
                <w:rFonts w:hint="eastAsia" w:ascii="仿宋_GB2312" w:hAnsi="宋体" w:eastAsia="仿宋_GB2312"/>
                <w:sz w:val="21"/>
                <w:szCs w:val="21"/>
              </w:rPr>
              <w:t>□城市低保家庭</w:t>
            </w:r>
            <w:r>
              <w:rPr>
                <w:rFonts w:ascii="仿宋_GB2312" w:hAnsi="宋体" w:eastAsia="仿宋_GB2312"/>
                <w:sz w:val="21"/>
                <w:szCs w:val="21"/>
              </w:rPr>
              <w:t xml:space="preserve">      </w:t>
            </w:r>
            <w:r>
              <w:rPr>
                <w:rFonts w:hint="eastAsia" w:ascii="仿宋_GB2312" w:hAnsi="宋体" w:eastAsia="仿宋_GB2312"/>
                <w:sz w:val="21"/>
                <w:szCs w:val="21"/>
              </w:rPr>
              <w:t>□农村特困救助供养</w:t>
            </w:r>
          </w:p>
          <w:p>
            <w:pPr>
              <w:pageBreakBefore w:val="0"/>
              <w:kinsoku/>
              <w:overflowPunct/>
              <w:topLinePunct w:val="0"/>
              <w:bidi w:val="0"/>
              <w:adjustRightInd w:val="0"/>
              <w:snapToGrid w:val="0"/>
              <w:spacing w:line="260" w:lineRule="exact"/>
              <w:ind w:left="370" w:leftChars="176"/>
              <w:outlineLvl w:val="9"/>
              <w:rPr>
                <w:rFonts w:ascii="仿宋_GB2312" w:hAnsi="宋体" w:eastAsia="仿宋_GB2312"/>
                <w:sz w:val="21"/>
                <w:szCs w:val="21"/>
              </w:rPr>
            </w:pPr>
            <w:r>
              <w:rPr>
                <w:rFonts w:hint="eastAsia" w:ascii="仿宋_GB2312" w:hAnsi="宋体" w:eastAsia="仿宋_GB2312"/>
                <w:sz w:val="21"/>
                <w:szCs w:val="21"/>
              </w:rPr>
              <w:t>□城市特困救助供养</w:t>
            </w:r>
            <w:r>
              <w:rPr>
                <w:rFonts w:ascii="仿宋_GB2312" w:hAnsi="宋体" w:eastAsia="仿宋_GB2312"/>
                <w:sz w:val="21"/>
                <w:szCs w:val="21"/>
              </w:rPr>
              <w:t xml:space="preserve">    </w:t>
            </w:r>
            <w:r>
              <w:rPr>
                <w:rFonts w:hint="eastAsia" w:ascii="仿宋_GB2312" w:hAnsi="宋体" w:eastAsia="仿宋_GB2312"/>
                <w:sz w:val="21"/>
                <w:szCs w:val="21"/>
              </w:rPr>
              <w:t>□孤儿</w:t>
            </w:r>
            <w:r>
              <w:rPr>
                <w:rFonts w:ascii="仿宋_GB2312" w:hAnsi="宋体" w:eastAsia="仿宋_GB2312"/>
                <w:sz w:val="21"/>
                <w:szCs w:val="21"/>
              </w:rPr>
              <w:t xml:space="preserve">   </w:t>
            </w:r>
            <w:r>
              <w:rPr>
                <w:rFonts w:hint="eastAsia" w:ascii="仿宋_GB2312" w:hAnsi="宋体" w:eastAsia="仿宋_GB2312"/>
                <w:sz w:val="21"/>
                <w:szCs w:val="21"/>
              </w:rPr>
              <w:t>□家庭经济困难残疾学生□家庭经济困难残疾人子女</w:t>
            </w:r>
            <w:r>
              <w:rPr>
                <w:rFonts w:ascii="仿宋_GB2312" w:hAnsi="宋体" w:eastAsia="仿宋_GB2312"/>
                <w:sz w:val="21"/>
                <w:szCs w:val="21"/>
              </w:rPr>
              <w:t xml:space="preserve">    </w:t>
            </w:r>
          </w:p>
          <w:p>
            <w:pPr>
              <w:pageBreakBefore w:val="0"/>
              <w:kinsoku/>
              <w:overflowPunct/>
              <w:topLinePunct w:val="0"/>
              <w:bidi w:val="0"/>
              <w:adjustRightInd w:val="0"/>
              <w:snapToGrid w:val="0"/>
              <w:spacing w:line="260" w:lineRule="exact"/>
              <w:ind w:left="370" w:leftChars="176"/>
              <w:outlineLvl w:val="9"/>
              <w:rPr>
                <w:rFonts w:ascii="仿宋_GB2312" w:hAnsi="新宋体" w:eastAsia="仿宋_GB2312"/>
                <w:sz w:val="21"/>
                <w:szCs w:val="21"/>
              </w:rPr>
            </w:pPr>
            <w:r>
              <w:rPr>
                <w:rFonts w:hint="eastAsia" w:ascii="仿宋_GB2312" w:hAnsi="宋体" w:eastAsia="仿宋_GB2312"/>
                <w:sz w:val="21"/>
                <w:szCs w:val="21"/>
              </w:rPr>
              <w:t>□烈士子女</w:t>
            </w:r>
            <w:r>
              <w:rPr>
                <w:rFonts w:ascii="仿宋_GB2312" w:hAnsi="宋体" w:eastAsia="仿宋_GB2312"/>
                <w:sz w:val="21"/>
                <w:szCs w:val="21"/>
              </w:rPr>
              <w:t xml:space="preserve">            </w:t>
            </w:r>
            <w:r>
              <w:rPr>
                <w:rFonts w:hint="eastAsia" w:ascii="仿宋_GB2312" w:hAnsi="宋体" w:eastAsia="仿宋_GB2312"/>
                <w:sz w:val="21"/>
                <w:szCs w:val="21"/>
              </w:rPr>
              <w:t>□广西建档困难职工家庭学生</w:t>
            </w:r>
            <w:r>
              <w:rPr>
                <w:rFonts w:ascii="仿宋_GB2312" w:hAnsi="宋体" w:eastAsia="仿宋_GB2312"/>
                <w:sz w:val="21"/>
                <w:szCs w:val="21"/>
              </w:rPr>
              <w:t xml:space="preserve">   </w:t>
            </w:r>
            <w:r>
              <w:rPr>
                <w:rFonts w:hint="eastAsia" w:ascii="仿宋_GB2312" w:hAnsi="宋体" w:eastAsia="仿宋_GB2312"/>
                <w:sz w:val="21"/>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5"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认定档次</w:t>
            </w:r>
          </w:p>
        </w:tc>
        <w:tc>
          <w:tcPr>
            <w:tcW w:w="9922" w:type="dxa"/>
            <w:gridSpan w:val="18"/>
            <w:noWrap w:val="0"/>
            <w:vAlign w:val="center"/>
          </w:tcPr>
          <w:p>
            <w:pPr>
              <w:pageBreakBefore w:val="0"/>
              <w:kinsoku/>
              <w:overflowPunct/>
              <w:topLinePunct w:val="0"/>
              <w:bidi w:val="0"/>
              <w:adjustRightInd w:val="0"/>
              <w:snapToGrid w:val="0"/>
              <w:spacing w:line="260" w:lineRule="exact"/>
              <w:ind w:left="370" w:leftChars="176"/>
              <w:outlineLvl w:val="9"/>
              <w:rPr>
                <w:rFonts w:ascii="仿宋_GB2312" w:hAnsi="宋体" w:eastAsia="仿宋_GB2312"/>
                <w:sz w:val="21"/>
                <w:szCs w:val="21"/>
              </w:rPr>
            </w:pPr>
            <w:r>
              <w:rPr>
                <w:rFonts w:hint="eastAsia" w:ascii="仿宋_GB2312" w:hAnsi="Wingdings 2" w:eastAsia="仿宋_GB2312"/>
                <w:sz w:val="21"/>
                <w:szCs w:val="20"/>
              </w:rPr>
              <w:sym w:font="Wingdings 2" w:char="F0A3"/>
            </w:r>
            <w:r>
              <w:rPr>
                <w:rFonts w:hint="eastAsia" w:ascii="仿宋_GB2312" w:hAnsi="宋体" w:eastAsia="仿宋_GB2312"/>
                <w:sz w:val="21"/>
                <w:szCs w:val="21"/>
              </w:rPr>
              <w:t>特别困难</w:t>
            </w:r>
            <w:r>
              <w:rPr>
                <w:rFonts w:ascii="仿宋_GB2312" w:hAnsi="宋体" w:eastAsia="仿宋_GB2312"/>
                <w:sz w:val="21"/>
                <w:szCs w:val="21"/>
              </w:rPr>
              <w:t xml:space="preserve">  </w:t>
            </w:r>
            <w:r>
              <w:rPr>
                <w:rFonts w:hint="eastAsia" w:ascii="仿宋_GB2312" w:hAnsi="Wingdings 2" w:eastAsia="仿宋_GB2312"/>
                <w:sz w:val="21"/>
                <w:szCs w:val="20"/>
              </w:rPr>
              <w:sym w:font="Wingdings 2" w:char="F0A3"/>
            </w:r>
            <w:r>
              <w:rPr>
                <w:rFonts w:hint="eastAsia" w:ascii="仿宋_GB2312" w:hAnsi="宋体" w:eastAsia="仿宋_GB2312"/>
                <w:sz w:val="21"/>
                <w:szCs w:val="21"/>
              </w:rPr>
              <w:t>突发事件困难</w:t>
            </w:r>
            <w:r>
              <w:rPr>
                <w:rFonts w:ascii="仿宋_GB2312" w:hAnsi="宋体" w:eastAsia="仿宋_GB2312"/>
                <w:sz w:val="21"/>
                <w:szCs w:val="21"/>
              </w:rPr>
              <w:t xml:space="preserve">  </w:t>
            </w:r>
            <w:r>
              <w:rPr>
                <w:rFonts w:hint="eastAsia" w:ascii="仿宋_GB2312" w:hAnsi="Wingdings 2" w:eastAsia="仿宋_GB2312"/>
                <w:sz w:val="21"/>
                <w:szCs w:val="20"/>
              </w:rPr>
              <w:sym w:font="Wingdings 2" w:char="F0A3"/>
            </w:r>
            <w:r>
              <w:rPr>
                <w:rFonts w:hint="eastAsia" w:ascii="仿宋_GB2312" w:hAnsi="宋体" w:eastAsia="仿宋_GB2312"/>
                <w:sz w:val="21"/>
                <w:szCs w:val="21"/>
              </w:rPr>
              <w:t>比较困难</w:t>
            </w:r>
            <w:r>
              <w:rPr>
                <w:rFonts w:ascii="仿宋_GB2312" w:hAnsi="宋体" w:eastAsia="仿宋_GB2312"/>
                <w:sz w:val="21"/>
                <w:szCs w:val="21"/>
              </w:rPr>
              <w:t xml:space="preserve">  </w:t>
            </w:r>
            <w:r>
              <w:rPr>
                <w:rFonts w:hint="eastAsia" w:ascii="仿宋_GB2312" w:hAnsi="Wingdings 2" w:eastAsia="仿宋_GB2312"/>
                <w:sz w:val="21"/>
                <w:szCs w:val="20"/>
              </w:rPr>
              <w:sym w:font="Wingdings 2" w:char="F0A3"/>
            </w:r>
            <w:r>
              <w:rPr>
                <w:rFonts w:hint="eastAsia" w:ascii="仿宋_GB2312" w:hAnsi="宋体" w:eastAsia="仿宋_GB2312"/>
                <w:sz w:val="21"/>
                <w:szCs w:val="21"/>
              </w:rPr>
              <w:t>不困难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当年受助</w:t>
            </w:r>
            <w:r>
              <w:rPr>
                <w:rFonts w:hint="eastAsia" w:ascii="仿宋_GB2312" w:hAnsi="宋体" w:eastAsia="仿宋_GB2312" w:cs="仿宋_GB2312"/>
                <w:sz w:val="21"/>
                <w:szCs w:val="21"/>
              </w:rPr>
              <w:t>情况</w:t>
            </w:r>
          </w:p>
        </w:tc>
        <w:tc>
          <w:tcPr>
            <w:tcW w:w="1736" w:type="dxa"/>
            <w:gridSpan w:val="3"/>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申请助学贷款</w:t>
            </w:r>
          </w:p>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新宋体" w:eastAsia="仿宋_GB2312"/>
                <w:sz w:val="21"/>
                <w:szCs w:val="21"/>
              </w:rPr>
              <w:t>□是□否</w:t>
            </w:r>
          </w:p>
        </w:tc>
        <w:tc>
          <w:tcPr>
            <w:tcW w:w="1559" w:type="dxa"/>
            <w:gridSpan w:val="4"/>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勤工助学</w:t>
            </w:r>
          </w:p>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新宋体" w:eastAsia="仿宋_GB2312"/>
                <w:sz w:val="21"/>
                <w:szCs w:val="21"/>
              </w:rPr>
              <w:t>□是□否</w:t>
            </w:r>
          </w:p>
        </w:tc>
        <w:tc>
          <w:tcPr>
            <w:tcW w:w="6627" w:type="dxa"/>
            <w:gridSpan w:val="11"/>
            <w:noWrap w:val="0"/>
            <w:vAlign w:val="center"/>
          </w:tcPr>
          <w:p>
            <w:pPr>
              <w:pageBreakBefore w:val="0"/>
              <w:kinsoku/>
              <w:overflowPunct/>
              <w:topLinePunct w:val="0"/>
              <w:bidi w:val="0"/>
              <w:spacing w:line="260" w:lineRule="exact"/>
              <w:jc w:val="center"/>
              <w:outlineLvl w:val="9"/>
              <w:rPr>
                <w:rFonts w:ascii="仿宋_GB2312" w:hAnsi="宋体" w:eastAsia="仿宋_GB2312"/>
                <w:sz w:val="21"/>
                <w:szCs w:val="21"/>
                <w:u w:val="single"/>
              </w:rPr>
            </w:pPr>
            <w:r>
              <w:rPr>
                <w:rFonts w:hint="eastAsia" w:ascii="仿宋_GB2312" w:hAnsi="宋体" w:eastAsia="仿宋_GB2312"/>
                <w:sz w:val="21"/>
                <w:szCs w:val="21"/>
              </w:rPr>
              <w:t>当年已获助情况</w:t>
            </w:r>
          </w:p>
          <w:p>
            <w:pPr>
              <w:pageBreakBefore w:val="0"/>
              <w:kinsoku/>
              <w:overflowPunct/>
              <w:topLinePunct w:val="0"/>
              <w:bidi w:val="0"/>
              <w:spacing w:line="260" w:lineRule="exact"/>
              <w:jc w:val="center"/>
              <w:outlineLvl w:val="9"/>
              <w:rPr>
                <w:rFonts w:ascii="仿宋_GB2312" w:hAnsi="宋体" w:eastAsia="仿宋_GB2312"/>
                <w:sz w:val="21"/>
                <w:szCs w:val="21"/>
                <w:u w:val="single"/>
              </w:rPr>
            </w:pPr>
            <w:r>
              <w:rPr>
                <w:rFonts w:hint="eastAsia" w:ascii="仿宋_GB2312" w:hAnsi="新宋体" w:eastAsia="仿宋_GB2312"/>
                <w:sz w:val="21"/>
                <w:szCs w:val="21"/>
              </w:rPr>
              <w:t>□国家一等助学金</w:t>
            </w:r>
            <w:r>
              <w:rPr>
                <w:rFonts w:ascii="仿宋_GB2312" w:hAnsi="新宋体" w:eastAsia="仿宋_GB2312"/>
                <w:sz w:val="21"/>
                <w:szCs w:val="21"/>
              </w:rPr>
              <w:t xml:space="preserve">  </w:t>
            </w:r>
            <w:r>
              <w:rPr>
                <w:rFonts w:hint="eastAsia" w:ascii="仿宋_GB2312" w:hAnsi="新宋体" w:eastAsia="仿宋_GB2312"/>
                <w:sz w:val="21"/>
                <w:szCs w:val="21"/>
              </w:rPr>
              <w:t>□国家二等助学金</w:t>
            </w:r>
            <w:r>
              <w:rPr>
                <w:rFonts w:ascii="仿宋_GB2312" w:hAnsi="新宋体" w:eastAsia="仿宋_GB2312"/>
                <w:sz w:val="21"/>
                <w:szCs w:val="21"/>
              </w:rPr>
              <w:t xml:space="preserve">  </w:t>
            </w:r>
            <w:r>
              <w:rPr>
                <w:rFonts w:hint="eastAsia" w:ascii="仿宋_GB2312" w:hAnsi="新宋体" w:eastAsia="仿宋_GB2312"/>
                <w:sz w:val="21"/>
                <w:szCs w:val="21"/>
              </w:rPr>
              <w:t>□中升高学费补助</w:t>
            </w:r>
            <w:r>
              <w:rPr>
                <w:rFonts w:ascii="仿宋_GB2312" w:hAnsi="新宋体" w:eastAsia="仿宋_GB2312"/>
                <w:sz w:val="21"/>
                <w:szCs w:val="21"/>
              </w:rPr>
              <w:t xml:space="preserve">  </w:t>
            </w:r>
            <w:r>
              <w:rPr>
                <w:rFonts w:hint="eastAsia" w:ascii="仿宋_GB2312" w:hAnsi="新宋体" w:eastAsia="仿宋_GB2312"/>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noWrap w:val="0"/>
            <w:vAlign w:val="center"/>
          </w:tcPr>
          <w:p>
            <w:pPr>
              <w:pageBreakBefore w:val="0"/>
              <w:kinsoku/>
              <w:overflowPunct/>
              <w:topLinePunct w:val="0"/>
              <w:bidi w:val="0"/>
              <w:adjustRightInd w:val="0"/>
              <w:snapToGrid w:val="0"/>
              <w:spacing w:line="260" w:lineRule="exact"/>
              <w:jc w:val="center"/>
              <w:outlineLvl w:val="9"/>
              <w:rPr>
                <w:rFonts w:ascii="仿宋_GB2312" w:eastAsia="仿宋_GB2312"/>
                <w:sz w:val="21"/>
                <w:szCs w:val="21"/>
              </w:rPr>
            </w:pPr>
            <w:r>
              <w:rPr>
                <w:rFonts w:hint="eastAsia" w:ascii="仿宋_GB2312" w:eastAsia="仿宋_GB2312"/>
                <w:sz w:val="21"/>
                <w:szCs w:val="21"/>
              </w:rPr>
              <w:t>在校期间获奖情况</w:t>
            </w:r>
          </w:p>
        </w:tc>
        <w:tc>
          <w:tcPr>
            <w:tcW w:w="9922" w:type="dxa"/>
            <w:gridSpan w:val="18"/>
            <w:noWrap w:val="0"/>
            <w:vAlign w:val="center"/>
          </w:tcPr>
          <w:p>
            <w:pPr>
              <w:pageBreakBefore w:val="0"/>
              <w:kinsoku/>
              <w:overflowPunct/>
              <w:topLinePunct w:val="0"/>
              <w:bidi w:val="0"/>
              <w:spacing w:line="260" w:lineRule="exact"/>
              <w:outlineLvl w:val="9"/>
              <w:rPr>
                <w:rFonts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noWrap w:val="0"/>
            <w:vAlign w:val="center"/>
          </w:tcPr>
          <w:p>
            <w:pPr>
              <w:pageBreakBefore w:val="0"/>
              <w:kinsoku/>
              <w:overflowPunct/>
              <w:topLinePunct w:val="0"/>
              <w:bidi w:val="0"/>
              <w:adjustRightInd w:val="0"/>
              <w:snapToGrid w:val="0"/>
              <w:spacing w:line="260" w:lineRule="exact"/>
              <w:jc w:val="center"/>
              <w:outlineLvl w:val="9"/>
              <w:rPr>
                <w:rFonts w:ascii="仿宋_GB2312" w:eastAsia="仿宋_GB2312"/>
                <w:sz w:val="21"/>
                <w:szCs w:val="21"/>
              </w:rPr>
            </w:pPr>
            <w:r>
              <w:rPr>
                <w:rFonts w:hint="eastAsia" w:ascii="仿宋_GB2312" w:eastAsia="仿宋_GB2312"/>
                <w:sz w:val="21"/>
                <w:szCs w:val="21"/>
              </w:rPr>
              <w:t>申请理由</w:t>
            </w:r>
          </w:p>
          <w:p>
            <w:pPr>
              <w:pageBreakBefore w:val="0"/>
              <w:kinsoku/>
              <w:overflowPunct/>
              <w:topLinePunct w:val="0"/>
              <w:bidi w:val="0"/>
              <w:adjustRightInd w:val="0"/>
              <w:snapToGrid w:val="0"/>
              <w:spacing w:line="260" w:lineRule="exact"/>
              <w:jc w:val="center"/>
              <w:outlineLvl w:val="9"/>
              <w:rPr>
                <w:rFonts w:ascii="仿宋_GB2312" w:hAnsi="宋体" w:eastAsia="仿宋_GB2312"/>
                <w:sz w:val="21"/>
                <w:szCs w:val="21"/>
              </w:rPr>
            </w:pPr>
            <w:r>
              <w:rPr>
                <w:rFonts w:hint="eastAsia" w:ascii="仿宋_GB2312" w:eastAsia="仿宋_GB2312"/>
                <w:sz w:val="21"/>
                <w:szCs w:val="21"/>
              </w:rPr>
              <w:t>（可另附纸）</w:t>
            </w:r>
          </w:p>
        </w:tc>
        <w:tc>
          <w:tcPr>
            <w:tcW w:w="9922" w:type="dxa"/>
            <w:gridSpan w:val="18"/>
            <w:noWrap w:val="0"/>
            <w:vAlign w:val="bottom"/>
          </w:tcPr>
          <w:p>
            <w:pPr>
              <w:pageBreakBefore w:val="0"/>
              <w:kinsoku/>
              <w:overflowPunct/>
              <w:topLinePunct w:val="0"/>
              <w:bidi w:val="0"/>
              <w:spacing w:line="260" w:lineRule="exact"/>
              <w:jc w:val="center"/>
              <w:outlineLvl w:val="9"/>
              <w:rPr>
                <w:rFonts w:ascii="仿宋_GB2312" w:hAnsi="宋体" w:eastAsia="仿宋_GB2312"/>
                <w:sz w:val="21"/>
                <w:szCs w:val="21"/>
              </w:rPr>
            </w:pPr>
          </w:p>
          <w:p>
            <w:pPr>
              <w:pageBreakBefore w:val="0"/>
              <w:kinsoku/>
              <w:overflowPunct/>
              <w:topLinePunct w:val="0"/>
              <w:bidi w:val="0"/>
              <w:spacing w:line="260" w:lineRule="exact"/>
              <w:jc w:val="center"/>
              <w:outlineLvl w:val="9"/>
              <w:rPr>
                <w:rFonts w:ascii="仿宋_GB2312" w:hAnsi="宋体" w:eastAsia="仿宋_GB2312"/>
                <w:sz w:val="21"/>
                <w:szCs w:val="21"/>
              </w:rPr>
            </w:pPr>
          </w:p>
          <w:p>
            <w:pPr>
              <w:pageBreakBefore w:val="0"/>
              <w:kinsoku/>
              <w:overflowPunct/>
              <w:topLinePunct w:val="0"/>
              <w:bidi w:val="0"/>
              <w:spacing w:line="260" w:lineRule="exact"/>
              <w:ind w:firstLine="6825" w:firstLineChars="3250"/>
              <w:jc w:val="center"/>
              <w:outlineLvl w:val="9"/>
              <w:rPr>
                <w:rFonts w:ascii="仿宋_GB2312" w:hAnsi="宋体" w:eastAsia="仿宋_GB2312"/>
                <w:sz w:val="21"/>
                <w:szCs w:val="21"/>
              </w:rPr>
            </w:pPr>
            <w:r>
              <w:rPr>
                <w:rFonts w:hint="eastAsia" w:ascii="仿宋_GB2312" w:hAnsi="宋体" w:eastAsia="仿宋_GB2312"/>
                <w:sz w:val="21"/>
                <w:szCs w:val="21"/>
              </w:rPr>
              <w:t>申请人签名：</w:t>
            </w:r>
          </w:p>
          <w:p>
            <w:pPr>
              <w:pageBreakBefore w:val="0"/>
              <w:kinsoku/>
              <w:overflowPunct/>
              <w:topLinePunct w:val="0"/>
              <w:bidi w:val="0"/>
              <w:spacing w:line="260" w:lineRule="exact"/>
              <w:jc w:val="center"/>
              <w:outlineLvl w:val="9"/>
              <w:rPr>
                <w:rFonts w:ascii="仿宋_GB2312" w:hAnsi="宋体" w:eastAsia="仿宋_GB2312"/>
                <w:sz w:val="21"/>
                <w:szCs w:val="21"/>
              </w:rPr>
            </w:pPr>
          </w:p>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sz w:val="21"/>
                <w:szCs w:val="21"/>
              </w:rPr>
              <w:t>本人承诺上述内容真实无误。</w:t>
            </w:r>
            <w:r>
              <w:rPr>
                <w:rFonts w:ascii="仿宋_GB2312" w:hAnsi="宋体" w:eastAsia="仿宋_GB2312"/>
                <w:sz w:val="21"/>
                <w:szCs w:val="21"/>
              </w:rPr>
              <w:t xml:space="preserve">                                                </w:t>
            </w:r>
            <w:r>
              <w:rPr>
                <w:rFonts w:hint="eastAsia" w:ascii="仿宋_GB2312" w:hAnsi="宋体" w:eastAsia="仿宋_GB2312"/>
                <w:sz w:val="21"/>
                <w:szCs w:val="21"/>
              </w:rPr>
              <w:t>年</w:t>
            </w:r>
            <w:r>
              <w:rPr>
                <w:rFonts w:ascii="仿宋_GB2312" w:hAnsi="宋体" w:eastAsia="仿宋_GB2312"/>
                <w:sz w:val="21"/>
                <w:szCs w:val="21"/>
              </w:rPr>
              <w:t xml:space="preserve">    </w:t>
            </w:r>
            <w:r>
              <w:rPr>
                <w:rFonts w:hint="eastAsia" w:ascii="仿宋_GB2312" w:hAnsi="宋体" w:eastAsia="仿宋_GB2312"/>
                <w:sz w:val="21"/>
                <w:szCs w:val="21"/>
              </w:rPr>
              <w:t>月</w:t>
            </w:r>
            <w:r>
              <w:rPr>
                <w:rFonts w:ascii="仿宋_GB2312" w:hAnsi="宋体" w:eastAsia="仿宋_GB2312"/>
                <w:sz w:val="21"/>
                <w:szCs w:val="21"/>
              </w:rPr>
              <w:t xml:space="preserve">    </w:t>
            </w:r>
            <w:r>
              <w:rPr>
                <w:rFonts w:hint="eastAsia" w:ascii="仿宋_GB2312" w:eastAsia="仿宋_GB2312"/>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noWrap w:val="0"/>
            <w:vAlign w:val="center"/>
          </w:tcPr>
          <w:p>
            <w:pPr>
              <w:pageBreakBefore w:val="0"/>
              <w:kinsoku/>
              <w:overflowPunct/>
              <w:topLinePunct w:val="0"/>
              <w:bidi w:val="0"/>
              <w:spacing w:line="260" w:lineRule="exact"/>
              <w:ind w:firstLine="630" w:firstLineChars="300"/>
              <w:jc w:val="center"/>
              <w:outlineLvl w:val="9"/>
              <w:rPr>
                <w:rFonts w:ascii="仿宋_GB2312" w:hAnsi="宋体" w:eastAsia="仿宋_GB2312" w:cs="仿宋_GB2312"/>
                <w:sz w:val="21"/>
                <w:szCs w:val="21"/>
              </w:rPr>
            </w:pPr>
          </w:p>
          <w:p>
            <w:pPr>
              <w:pageBreakBefore w:val="0"/>
              <w:kinsoku/>
              <w:overflowPunct/>
              <w:topLinePunct w:val="0"/>
              <w:bidi w:val="0"/>
              <w:spacing w:line="260" w:lineRule="exact"/>
              <w:jc w:val="center"/>
              <w:outlineLvl w:val="9"/>
              <w:rPr>
                <w:rFonts w:ascii="仿宋_GB2312" w:hAnsi="宋体" w:eastAsia="仿宋_GB2312"/>
                <w:sz w:val="21"/>
                <w:szCs w:val="21"/>
              </w:rPr>
            </w:pPr>
            <w:r>
              <w:rPr>
                <w:rFonts w:hint="eastAsia" w:ascii="仿宋_GB2312" w:hAnsi="宋体" w:eastAsia="仿宋_GB2312" w:cs="仿宋_GB2312"/>
                <w:sz w:val="21"/>
                <w:szCs w:val="21"/>
              </w:rPr>
              <w:t>班级意见</w:t>
            </w:r>
          </w:p>
        </w:tc>
        <w:tc>
          <w:tcPr>
            <w:tcW w:w="9922" w:type="dxa"/>
            <w:gridSpan w:val="18"/>
            <w:noWrap w:val="0"/>
            <w:vAlign w:val="bottom"/>
          </w:tcPr>
          <w:p>
            <w:pPr>
              <w:pageBreakBefore w:val="0"/>
              <w:kinsoku/>
              <w:overflowPunct/>
              <w:topLinePunct w:val="0"/>
              <w:bidi w:val="0"/>
              <w:spacing w:line="260" w:lineRule="exact"/>
              <w:jc w:val="right"/>
              <w:outlineLvl w:val="9"/>
              <w:rPr>
                <w:rFonts w:ascii="仿宋_GB2312" w:hAnsi="宋体" w:eastAsia="仿宋_GB2312" w:cs="仿宋_GB2312"/>
                <w:sz w:val="21"/>
                <w:szCs w:val="21"/>
              </w:rPr>
            </w:pPr>
          </w:p>
          <w:p>
            <w:pPr>
              <w:pageBreakBefore w:val="0"/>
              <w:kinsoku/>
              <w:overflowPunct/>
              <w:topLinePunct w:val="0"/>
              <w:bidi w:val="0"/>
              <w:spacing w:line="260" w:lineRule="exact"/>
              <w:jc w:val="right"/>
              <w:outlineLvl w:val="9"/>
              <w:rPr>
                <w:rFonts w:ascii="仿宋_GB2312" w:hAnsi="宋体" w:eastAsia="仿宋_GB2312" w:cs="仿宋_GB2312"/>
                <w:sz w:val="21"/>
                <w:szCs w:val="21"/>
              </w:rPr>
            </w:pPr>
          </w:p>
          <w:p>
            <w:pPr>
              <w:pageBreakBefore w:val="0"/>
              <w:kinsoku/>
              <w:overflowPunct/>
              <w:topLinePunct w:val="0"/>
              <w:bidi w:val="0"/>
              <w:spacing w:line="260" w:lineRule="exact"/>
              <w:jc w:val="right"/>
              <w:outlineLvl w:val="9"/>
              <w:rPr>
                <w:rFonts w:ascii="仿宋_GB2312" w:hAnsi="宋体" w:eastAsia="仿宋_GB2312"/>
                <w:sz w:val="21"/>
                <w:szCs w:val="21"/>
                <w:u w:val="single"/>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辅导员签名：</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年</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noWrap w:val="0"/>
            <w:vAlign w:val="center"/>
          </w:tcPr>
          <w:p>
            <w:pPr>
              <w:pageBreakBefore w:val="0"/>
              <w:kinsoku/>
              <w:overflowPunct/>
              <w:topLinePunct w:val="0"/>
              <w:bidi w:val="0"/>
              <w:adjustRightInd w:val="0"/>
              <w:snapToGrid w:val="0"/>
              <w:spacing w:line="260" w:lineRule="exact"/>
              <w:jc w:val="center"/>
              <w:outlineLvl w:val="9"/>
              <w:rPr>
                <w:rFonts w:ascii="仿宋_GB2312" w:hAnsi="宋体" w:eastAsia="仿宋_GB2312" w:cs="仿宋_GB2312"/>
                <w:sz w:val="21"/>
                <w:szCs w:val="21"/>
              </w:rPr>
            </w:pPr>
            <w:r>
              <w:rPr>
                <w:rFonts w:hint="eastAsia" w:ascii="仿宋_GB2312" w:hAnsi="宋体" w:eastAsia="仿宋_GB2312" w:cs="仿宋_GB2312"/>
                <w:sz w:val="21"/>
                <w:szCs w:val="21"/>
              </w:rPr>
              <w:t>二级学院初审意见</w:t>
            </w:r>
          </w:p>
        </w:tc>
        <w:tc>
          <w:tcPr>
            <w:tcW w:w="9922" w:type="dxa"/>
            <w:gridSpan w:val="18"/>
            <w:noWrap w:val="0"/>
            <w:vAlign w:val="bottom"/>
          </w:tcPr>
          <w:p>
            <w:pPr>
              <w:pageBreakBefore w:val="0"/>
              <w:widowControl/>
              <w:kinsoku/>
              <w:overflowPunct/>
              <w:topLinePunct w:val="0"/>
              <w:bidi w:val="0"/>
              <w:spacing w:line="260" w:lineRule="exact"/>
              <w:jc w:val="right"/>
              <w:outlineLvl w:val="9"/>
              <w:rPr>
                <w:rFonts w:ascii="仿宋_GB2312" w:hAnsi="宋体" w:eastAsia="仿宋_GB2312" w:cs="仿宋_GB2312"/>
                <w:sz w:val="21"/>
                <w:szCs w:val="21"/>
              </w:rPr>
            </w:pPr>
          </w:p>
          <w:p>
            <w:pPr>
              <w:pageBreakBefore w:val="0"/>
              <w:kinsoku/>
              <w:overflowPunct/>
              <w:topLinePunct w:val="0"/>
              <w:bidi w:val="0"/>
              <w:spacing w:line="260" w:lineRule="exact"/>
              <w:ind w:right="1260"/>
              <w:jc w:val="right"/>
              <w:outlineLvl w:val="9"/>
              <w:rPr>
                <w:rFonts w:ascii="仿宋_GB2312" w:hAnsi="宋体" w:eastAsia="仿宋_GB2312" w:cs="仿宋_GB2312"/>
                <w:sz w:val="21"/>
                <w:szCs w:val="21"/>
              </w:rPr>
            </w:pPr>
          </w:p>
          <w:p>
            <w:pPr>
              <w:pageBreakBefore w:val="0"/>
              <w:kinsoku/>
              <w:overflowPunct/>
              <w:topLinePunct w:val="0"/>
              <w:bidi w:val="0"/>
              <w:spacing w:line="260" w:lineRule="exact"/>
              <w:ind w:left="4145"/>
              <w:jc w:val="right"/>
              <w:outlineLvl w:val="9"/>
              <w:rPr>
                <w:rFonts w:ascii="仿宋_GB2312" w:hAnsi="宋体" w:eastAsia="仿宋_GB2312" w:cs="仿宋_GB2312"/>
                <w:sz w:val="21"/>
                <w:szCs w:val="21"/>
              </w:rPr>
            </w:pPr>
            <w:r>
              <w:rPr>
                <w:rFonts w:hint="eastAsia" w:ascii="仿宋_GB2312" w:hAnsi="宋体" w:eastAsia="仿宋_GB2312" w:cs="仿宋_GB2312"/>
                <w:sz w:val="21"/>
                <w:szCs w:val="21"/>
              </w:rPr>
              <w:t>学院主管学生工作领导签名：</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（盖章）</w:t>
            </w:r>
          </w:p>
          <w:p>
            <w:pPr>
              <w:pageBreakBefore w:val="0"/>
              <w:kinsoku/>
              <w:overflowPunct/>
              <w:topLinePunct w:val="0"/>
              <w:bidi w:val="0"/>
              <w:spacing w:line="260" w:lineRule="exact"/>
              <w:ind w:right="315"/>
              <w:jc w:val="right"/>
              <w:outlineLvl w:val="9"/>
              <w:rPr>
                <w:rFonts w:ascii="仿宋_GB2312" w:hAnsi="宋体" w:eastAsia="仿宋_GB2312" w:cs="仿宋_GB2312"/>
                <w:sz w:val="21"/>
                <w:szCs w:val="21"/>
              </w:rPr>
            </w:pPr>
            <w:r>
              <w:rPr>
                <w:rFonts w:hint="eastAsia" w:ascii="仿宋_GB2312" w:hAnsi="宋体" w:eastAsia="仿宋_GB2312" w:cs="仿宋_GB2312"/>
                <w:sz w:val="21"/>
                <w:szCs w:val="21"/>
              </w:rPr>
              <w:t>年</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5" w:type="dxa"/>
            <w:noWrap w:val="0"/>
            <w:vAlign w:val="center"/>
          </w:tcPr>
          <w:p>
            <w:pPr>
              <w:pageBreakBefore w:val="0"/>
              <w:kinsoku/>
              <w:overflowPunct/>
              <w:topLinePunct w:val="0"/>
              <w:bidi w:val="0"/>
              <w:spacing w:line="260" w:lineRule="exact"/>
              <w:jc w:val="center"/>
              <w:outlineLvl w:val="9"/>
              <w:rPr>
                <w:rFonts w:ascii="仿宋_GB2312" w:hAnsi="宋体" w:eastAsia="仿宋_GB2312" w:cs="仿宋_GB2312"/>
                <w:sz w:val="21"/>
                <w:szCs w:val="21"/>
              </w:rPr>
            </w:pPr>
            <w:r>
              <w:rPr>
                <w:rFonts w:hint="eastAsia" w:ascii="仿宋_GB2312" w:hAnsi="宋体" w:eastAsia="仿宋_GB2312" w:cs="仿宋_GB2312"/>
                <w:sz w:val="21"/>
                <w:szCs w:val="21"/>
              </w:rPr>
              <w:t>学校</w:t>
            </w:r>
          </w:p>
          <w:p>
            <w:pPr>
              <w:pageBreakBefore w:val="0"/>
              <w:kinsoku/>
              <w:overflowPunct/>
              <w:topLinePunct w:val="0"/>
              <w:bidi w:val="0"/>
              <w:spacing w:line="260" w:lineRule="exact"/>
              <w:jc w:val="center"/>
              <w:outlineLvl w:val="9"/>
              <w:rPr>
                <w:rFonts w:ascii="仿宋_GB2312" w:hAnsi="宋体" w:eastAsia="仿宋_GB2312" w:cs="仿宋_GB2312"/>
                <w:sz w:val="21"/>
                <w:szCs w:val="21"/>
              </w:rPr>
            </w:pPr>
            <w:r>
              <w:rPr>
                <w:rFonts w:hint="eastAsia" w:ascii="仿宋_GB2312" w:hAnsi="宋体" w:eastAsia="仿宋_GB2312" w:cs="仿宋_GB2312"/>
                <w:sz w:val="21"/>
                <w:szCs w:val="21"/>
              </w:rPr>
              <w:t>审核意见</w:t>
            </w:r>
          </w:p>
        </w:tc>
        <w:tc>
          <w:tcPr>
            <w:tcW w:w="9922" w:type="dxa"/>
            <w:gridSpan w:val="18"/>
            <w:noWrap w:val="0"/>
            <w:vAlign w:val="top"/>
          </w:tcPr>
          <w:p>
            <w:pPr>
              <w:pageBreakBefore w:val="0"/>
              <w:kinsoku/>
              <w:overflowPunct/>
              <w:topLinePunct w:val="0"/>
              <w:bidi w:val="0"/>
              <w:spacing w:line="260" w:lineRule="exact"/>
              <w:jc w:val="left"/>
              <w:outlineLvl w:val="9"/>
              <w:rPr>
                <w:rFonts w:ascii="仿宋_GB2312" w:hAnsi="宋体" w:eastAsia="仿宋_GB2312" w:cs="仿宋_GB2312"/>
                <w:sz w:val="21"/>
                <w:szCs w:val="21"/>
              </w:rPr>
            </w:pPr>
            <w:r>
              <w:rPr>
                <w:rFonts w:hint="eastAsia" w:ascii="仿宋_GB2312" w:hAnsi="宋体" w:eastAsia="仿宋_GB2312"/>
                <w:color w:val="0D0D0D"/>
                <w:kern w:val="0"/>
                <w:sz w:val="21"/>
                <w:szCs w:val="21"/>
              </w:rPr>
              <w:t>经学校学生资助工作领导小组审查，并公示无异议，同意给予该生</w:t>
            </w:r>
            <w:r>
              <w:rPr>
                <w:rFonts w:ascii="仿宋_GB2312" w:hAnsi="宋体" w:eastAsia="仿宋_GB2312"/>
                <w:color w:val="0D0D0D"/>
                <w:kern w:val="0"/>
                <w:sz w:val="21"/>
                <w:szCs w:val="21"/>
                <w:u w:val="single"/>
              </w:rPr>
              <w:t xml:space="preserve">    </w:t>
            </w:r>
            <w:r>
              <w:rPr>
                <w:rFonts w:hint="eastAsia" w:ascii="仿宋_GB2312" w:hAnsi="宋体" w:eastAsia="仿宋_GB2312"/>
                <w:color w:val="0D0D0D"/>
                <w:kern w:val="0"/>
                <w:sz w:val="21"/>
                <w:szCs w:val="21"/>
              </w:rPr>
              <w:t>等特殊困难补助。</w:t>
            </w:r>
          </w:p>
          <w:p>
            <w:pPr>
              <w:pageBreakBefore w:val="0"/>
              <w:kinsoku/>
              <w:overflowPunct/>
              <w:topLinePunct w:val="0"/>
              <w:bidi w:val="0"/>
              <w:spacing w:line="260" w:lineRule="exact"/>
              <w:ind w:left="7628"/>
              <w:jc w:val="center"/>
              <w:outlineLvl w:val="9"/>
              <w:rPr>
                <w:rFonts w:ascii="仿宋_GB2312" w:hAnsi="宋体" w:eastAsia="仿宋_GB2312" w:cs="仿宋_GB2312"/>
                <w:sz w:val="21"/>
                <w:szCs w:val="21"/>
              </w:rPr>
            </w:pPr>
            <w:r>
              <w:rPr>
                <w:rFonts w:hint="eastAsia" w:ascii="仿宋_GB2312" w:hAnsi="宋体" w:eastAsia="仿宋_GB2312" w:cs="仿宋_GB2312"/>
                <w:sz w:val="21"/>
                <w:szCs w:val="21"/>
              </w:rPr>
              <w:t>（公章）</w:t>
            </w:r>
          </w:p>
          <w:p>
            <w:pPr>
              <w:pageBreakBefore w:val="0"/>
              <w:kinsoku/>
              <w:overflowPunct/>
              <w:topLinePunct w:val="0"/>
              <w:bidi w:val="0"/>
              <w:spacing w:line="260" w:lineRule="exact"/>
              <w:ind w:left="7628"/>
              <w:jc w:val="center"/>
              <w:outlineLvl w:val="9"/>
              <w:rPr>
                <w:rFonts w:ascii="仿宋_GB2312" w:hAnsi="宋体" w:eastAsia="仿宋_GB2312" w:cs="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年</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日</w:t>
            </w:r>
          </w:p>
        </w:tc>
      </w:tr>
    </w:tbl>
    <w:p>
      <w:pPr>
        <w:pageBreakBefore w:val="0"/>
        <w:widowControl/>
        <w:kinsoku/>
        <w:overflowPunct/>
        <w:topLinePunct w:val="0"/>
        <w:bidi w:val="0"/>
        <w:adjustRightInd w:val="0"/>
        <w:snapToGrid w:val="0"/>
        <w:jc w:val="left"/>
        <w:outlineLvl w:val="9"/>
        <w:rPr>
          <w:rFonts w:ascii="仿宋_GB2312" w:hAnsi="宋体" w:eastAsia="仿宋_GB2312"/>
          <w:sz w:val="32"/>
          <w:szCs w:val="32"/>
        </w:rPr>
      </w:pPr>
      <w:r>
        <w:rPr>
          <w:rFonts w:hint="eastAsia" w:ascii="仿宋_GB2312" w:eastAsia="仿宋_GB2312"/>
          <w:sz w:val="20"/>
          <w:szCs w:val="21"/>
        </w:rPr>
        <w:t>注：本表需附带家庭经济困难类型及申请理由中所提及的相关情况佐证材料复印件，本学年度家庭经济困难认定时已交佐证材料的只需上交新的佐证材料，没有新增的无需上交。</w:t>
      </w:r>
    </w:p>
    <w:p>
      <w:pPr>
        <w:keepNext/>
        <w:keepLines/>
        <w:pageBreakBefore w:val="0"/>
        <w:widowControl w:val="0"/>
        <w:kinsoku/>
        <w:overflowPunct/>
        <w:topLinePunct w:val="0"/>
        <w:bidi w:val="0"/>
        <w:spacing w:before="0" w:beforeAutospacing="0" w:after="0" w:afterAutospacing="0" w:line="600" w:lineRule="exact"/>
        <w:jc w:val="both"/>
        <w:outlineLvl w:val="9"/>
        <w:rPr>
          <w:rFonts w:hint="eastAsia" w:ascii="仿宋_GB2312" w:hAnsi="宋体"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b/>
          <w:color w:val="000000"/>
          <w:sz w:val="36"/>
          <w:szCs w:val="36"/>
        </w:rPr>
      </w:pPr>
      <w:bookmarkStart w:id="705" w:name="_Toc22148"/>
      <w:bookmarkStart w:id="706" w:name="_Toc25346"/>
      <w:bookmarkStart w:id="707" w:name="_Toc9892"/>
      <w:bookmarkStart w:id="708" w:name="_Toc20163"/>
      <w:bookmarkStart w:id="709" w:name="_Toc8156_WPSOffice_Level1"/>
      <w:r>
        <w:rPr>
          <w:rFonts w:hint="eastAsia"/>
          <w:b/>
          <w:color w:val="000000"/>
          <w:sz w:val="36"/>
          <w:szCs w:val="36"/>
        </w:rPr>
        <w:t>柳州职业技术学院学生心理危机干预方案</w:t>
      </w:r>
      <w:bookmarkEnd w:id="705"/>
      <w:bookmarkEnd w:id="706"/>
      <w:bookmarkEnd w:id="707"/>
      <w:bookmarkEnd w:id="708"/>
      <w:bookmarkEnd w:id="709"/>
    </w:p>
    <w:p>
      <w:pPr>
        <w:pageBreakBefore w:val="0"/>
        <w:kinsoku/>
        <w:overflowPunct/>
        <w:topLinePunct w:val="0"/>
        <w:bidi w:val="0"/>
        <w:spacing w:line="590" w:lineRule="exact"/>
        <w:jc w:val="center"/>
        <w:outlineLvl w:val="9"/>
        <w:rPr>
          <w:b/>
          <w:color w:val="000000"/>
          <w:sz w:val="36"/>
          <w:szCs w:val="36"/>
        </w:rPr>
      </w:pPr>
      <w:bookmarkStart w:id="710" w:name="_Toc5023_WPSOffice_Level1"/>
      <w:r>
        <w:rPr>
          <w:rFonts w:hint="eastAsia"/>
          <w:b/>
          <w:color w:val="000000"/>
          <w:sz w:val="36"/>
          <w:szCs w:val="36"/>
        </w:rPr>
        <w:t>（</w:t>
      </w:r>
      <w:r>
        <w:rPr>
          <w:b/>
          <w:color w:val="000000"/>
          <w:sz w:val="36"/>
          <w:szCs w:val="36"/>
        </w:rPr>
        <w:t>2020</w:t>
      </w:r>
      <w:r>
        <w:rPr>
          <w:rFonts w:hint="eastAsia"/>
          <w:b/>
          <w:color w:val="000000"/>
          <w:sz w:val="36"/>
          <w:szCs w:val="36"/>
        </w:rPr>
        <w:t>年版）</w:t>
      </w:r>
      <w:bookmarkEnd w:id="710"/>
    </w:p>
    <w:p>
      <w:pPr>
        <w:pageBreakBefore w:val="0"/>
        <w:kinsoku/>
        <w:overflowPunct/>
        <w:topLinePunct w:val="0"/>
        <w:bidi w:val="0"/>
        <w:jc w:val="center"/>
        <w:outlineLvl w:val="9"/>
        <w:rPr>
          <w:rFonts w:ascii="仿宋_GB2312" w:eastAsia="仿宋_GB2312"/>
          <w:b/>
          <w:sz w:val="32"/>
          <w:szCs w:val="32"/>
        </w:rPr>
      </w:pPr>
      <w:r>
        <w:rPr>
          <w:rFonts w:hint="eastAsia" w:ascii="仿宋_GB2312" w:eastAsia="仿宋_GB2312"/>
          <w:b/>
          <w:sz w:val="32"/>
          <w:szCs w:val="32"/>
        </w:rPr>
        <w:t>柳职院学字〔</w:t>
      </w:r>
      <w:r>
        <w:rPr>
          <w:rFonts w:ascii="仿宋_GB2312" w:eastAsia="仿宋_GB2312"/>
          <w:b/>
          <w:sz w:val="32"/>
          <w:szCs w:val="32"/>
        </w:rPr>
        <w:t>2020</w:t>
      </w:r>
      <w:r>
        <w:rPr>
          <w:rFonts w:hint="eastAsia" w:ascii="仿宋_GB2312" w:eastAsia="仿宋_GB2312"/>
          <w:b/>
          <w:sz w:val="32"/>
          <w:szCs w:val="32"/>
        </w:rPr>
        <w:t>〕</w:t>
      </w:r>
      <w:r>
        <w:rPr>
          <w:rFonts w:ascii="仿宋_GB2312" w:eastAsia="仿宋_GB2312"/>
          <w:b/>
          <w:sz w:val="32"/>
          <w:szCs w:val="32"/>
        </w:rPr>
        <w:t>98</w:t>
      </w:r>
      <w:r>
        <w:rPr>
          <w:rFonts w:hint="eastAsia" w:ascii="仿宋_GB2312" w:eastAsia="仿宋_GB2312"/>
          <w:b/>
          <w:sz w:val="32"/>
          <w:szCs w:val="32"/>
        </w:rPr>
        <w:t>号</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为加强我校大学生心理健康教育与指导工作，增强大学生心理危机干预的针对性、主动性和有效性，降低心理危机事件对学生的伤害，特制定本方案。</w:t>
      </w:r>
    </w:p>
    <w:p>
      <w:pPr>
        <w:pageBreakBefore w:val="0"/>
        <w:kinsoku/>
        <w:overflowPunct/>
        <w:topLinePunct w:val="0"/>
        <w:bidi w:val="0"/>
        <w:spacing w:line="596" w:lineRule="exact"/>
        <w:ind w:firstLine="643" w:firstLineChars="200"/>
        <w:outlineLvl w:val="9"/>
        <w:rPr>
          <w:rFonts w:ascii="黑体" w:hAnsi="黑体" w:eastAsia="黑体"/>
          <w:b/>
          <w:sz w:val="32"/>
          <w:szCs w:val="32"/>
        </w:rPr>
      </w:pPr>
      <w:bookmarkStart w:id="711" w:name="_Toc20360_WPSOffice_Level1"/>
      <w:r>
        <w:rPr>
          <w:rFonts w:hint="eastAsia" w:ascii="黑体" w:hAnsi="黑体" w:eastAsia="黑体"/>
          <w:b/>
          <w:sz w:val="32"/>
          <w:szCs w:val="32"/>
        </w:rPr>
        <w:t>一、成立学校心理危机干预领导小组</w:t>
      </w:r>
      <w:bookmarkEnd w:id="711"/>
    </w:p>
    <w:p>
      <w:pPr>
        <w:pageBreakBefore w:val="0"/>
        <w:kinsoku/>
        <w:overflowPunct/>
        <w:topLinePunct w:val="0"/>
        <w:bidi w:val="0"/>
        <w:spacing w:line="596" w:lineRule="exact"/>
        <w:ind w:firstLine="643" w:firstLineChars="200"/>
        <w:outlineLvl w:val="9"/>
        <w:rPr>
          <w:rFonts w:ascii="楷体_GB2312" w:hAnsi="仿宋" w:eastAsia="楷体_GB2312"/>
          <w:b/>
          <w:sz w:val="32"/>
          <w:szCs w:val="32"/>
        </w:rPr>
      </w:pPr>
      <w:r>
        <w:rPr>
          <w:rFonts w:hint="eastAsia" w:ascii="楷体_GB2312" w:hAnsi="仿宋" w:eastAsia="楷体_GB2312"/>
          <w:b/>
          <w:sz w:val="32"/>
          <w:szCs w:val="32"/>
        </w:rPr>
        <w:t>（一）人员组成</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组</w:t>
      </w:r>
      <w:r>
        <w:rPr>
          <w:rFonts w:ascii="仿宋_GB2312" w:hAnsi="仿宋" w:eastAsia="仿宋_GB2312"/>
          <w:sz w:val="32"/>
          <w:szCs w:val="32"/>
        </w:rPr>
        <w:t xml:space="preserve">  </w:t>
      </w:r>
      <w:r>
        <w:rPr>
          <w:rFonts w:hint="eastAsia" w:ascii="仿宋_GB2312" w:hAnsi="仿宋" w:eastAsia="仿宋_GB2312"/>
          <w:sz w:val="32"/>
          <w:szCs w:val="32"/>
        </w:rPr>
        <w:t>长：韦</w:t>
      </w:r>
      <w:r>
        <w:rPr>
          <w:rFonts w:ascii="仿宋_GB2312" w:hAnsi="仿宋" w:eastAsia="仿宋_GB2312"/>
          <w:sz w:val="32"/>
          <w:szCs w:val="32"/>
        </w:rPr>
        <w:t xml:space="preserve">  </w:t>
      </w:r>
      <w:r>
        <w:rPr>
          <w:rFonts w:hint="eastAsia" w:ascii="仿宋_GB2312" w:hAnsi="仿宋" w:eastAsia="仿宋_GB2312"/>
          <w:sz w:val="32"/>
          <w:szCs w:val="32"/>
        </w:rPr>
        <w:t>林</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副组长：王大红</w:t>
      </w:r>
      <w:r>
        <w:rPr>
          <w:rFonts w:ascii="仿宋_GB2312" w:hAnsi="仿宋" w:eastAsia="仿宋_GB2312"/>
          <w:sz w:val="32"/>
          <w:szCs w:val="32"/>
        </w:rPr>
        <w:t xml:space="preserve">  </w:t>
      </w:r>
      <w:r>
        <w:rPr>
          <w:rFonts w:hint="eastAsia" w:ascii="仿宋_GB2312" w:hAnsi="仿宋" w:eastAsia="仿宋_GB2312"/>
          <w:sz w:val="32"/>
          <w:szCs w:val="32"/>
        </w:rPr>
        <w:t>左妮红</w:t>
      </w:r>
      <w:r>
        <w:rPr>
          <w:rFonts w:ascii="仿宋_GB2312" w:hAnsi="仿宋" w:eastAsia="仿宋_GB2312"/>
          <w:sz w:val="32"/>
          <w:szCs w:val="32"/>
        </w:rPr>
        <w:t xml:space="preserve">  </w:t>
      </w:r>
      <w:r>
        <w:rPr>
          <w:rFonts w:hint="eastAsia" w:ascii="仿宋_GB2312" w:hAnsi="仿宋" w:eastAsia="仿宋_GB2312"/>
          <w:sz w:val="32"/>
          <w:szCs w:val="32"/>
        </w:rPr>
        <w:t>钟</w:t>
      </w:r>
      <w:r>
        <w:rPr>
          <w:rFonts w:ascii="仿宋_GB2312" w:hAnsi="仿宋" w:eastAsia="仿宋_GB2312"/>
          <w:sz w:val="32"/>
          <w:szCs w:val="32"/>
        </w:rPr>
        <w:t xml:space="preserve">  </w:t>
      </w:r>
      <w:r>
        <w:rPr>
          <w:rFonts w:hint="eastAsia" w:ascii="仿宋_GB2312" w:hAnsi="仿宋" w:eastAsia="仿宋_GB2312"/>
          <w:sz w:val="32"/>
          <w:szCs w:val="32"/>
        </w:rPr>
        <w:t>旭</w:t>
      </w:r>
      <w:r>
        <w:rPr>
          <w:rFonts w:ascii="仿宋_GB2312" w:hAnsi="仿宋" w:eastAsia="仿宋_GB2312"/>
          <w:sz w:val="32"/>
          <w:szCs w:val="32"/>
        </w:rPr>
        <w:t xml:space="preserve">  </w:t>
      </w:r>
      <w:r>
        <w:rPr>
          <w:rFonts w:hint="eastAsia" w:ascii="仿宋_GB2312" w:hAnsi="仿宋" w:eastAsia="仿宋_GB2312"/>
          <w:sz w:val="32"/>
          <w:szCs w:val="32"/>
        </w:rPr>
        <w:t>崔智慧</w:t>
      </w:r>
      <w:r>
        <w:rPr>
          <w:rFonts w:ascii="仿宋_GB2312" w:hAnsi="仿宋" w:eastAsia="仿宋_GB2312"/>
          <w:sz w:val="32"/>
          <w:szCs w:val="32"/>
        </w:rPr>
        <w:t xml:space="preserve">  </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成</w:t>
      </w:r>
      <w:r>
        <w:rPr>
          <w:rFonts w:ascii="仿宋_GB2312" w:hAnsi="仿宋" w:eastAsia="仿宋_GB2312"/>
          <w:sz w:val="32"/>
          <w:szCs w:val="32"/>
        </w:rPr>
        <w:t xml:space="preserve">  </w:t>
      </w:r>
      <w:r>
        <w:rPr>
          <w:rFonts w:hint="eastAsia" w:ascii="仿宋_GB2312" w:hAnsi="仿宋" w:eastAsia="仿宋_GB2312"/>
          <w:sz w:val="32"/>
          <w:szCs w:val="32"/>
        </w:rPr>
        <w:t>员：吴</w:t>
      </w:r>
      <w:r>
        <w:rPr>
          <w:rFonts w:ascii="仿宋_GB2312" w:hAnsi="仿宋" w:eastAsia="仿宋_GB2312"/>
          <w:sz w:val="32"/>
          <w:szCs w:val="32"/>
        </w:rPr>
        <w:t xml:space="preserve">  </w:t>
      </w:r>
      <w:r>
        <w:rPr>
          <w:rFonts w:hint="eastAsia" w:ascii="仿宋_GB2312" w:hAnsi="仿宋" w:eastAsia="仿宋_GB2312"/>
          <w:sz w:val="32"/>
          <w:szCs w:val="32"/>
        </w:rPr>
        <w:t>坤</w:t>
      </w:r>
      <w:r>
        <w:rPr>
          <w:rFonts w:ascii="仿宋_GB2312" w:hAnsi="仿宋" w:eastAsia="仿宋_GB2312"/>
          <w:sz w:val="32"/>
          <w:szCs w:val="32"/>
        </w:rPr>
        <w:t xml:space="preserve">  </w:t>
      </w:r>
      <w:r>
        <w:rPr>
          <w:rFonts w:hint="eastAsia" w:ascii="仿宋_GB2312" w:hAnsi="仿宋" w:eastAsia="仿宋_GB2312"/>
          <w:sz w:val="32"/>
          <w:szCs w:val="32"/>
        </w:rPr>
        <w:t>韦耀业</w:t>
      </w:r>
      <w:r>
        <w:rPr>
          <w:rFonts w:ascii="仿宋_GB2312" w:hAnsi="仿宋" w:eastAsia="仿宋_GB2312"/>
          <w:sz w:val="32"/>
          <w:szCs w:val="32"/>
        </w:rPr>
        <w:t xml:space="preserve">  </w:t>
      </w:r>
      <w:r>
        <w:rPr>
          <w:rFonts w:hint="eastAsia" w:ascii="仿宋_GB2312" w:hAnsi="仿宋" w:eastAsia="仿宋_GB2312"/>
          <w:sz w:val="32"/>
          <w:szCs w:val="32"/>
        </w:rPr>
        <w:t>唐述荣</w:t>
      </w:r>
      <w:r>
        <w:rPr>
          <w:rFonts w:ascii="仿宋_GB2312" w:hAnsi="仿宋" w:eastAsia="仿宋_GB2312"/>
          <w:sz w:val="32"/>
          <w:szCs w:val="32"/>
        </w:rPr>
        <w:t xml:space="preserve">  </w:t>
      </w:r>
      <w:r>
        <w:rPr>
          <w:rFonts w:hint="eastAsia" w:ascii="仿宋_GB2312" w:hAnsi="仿宋" w:eastAsia="仿宋_GB2312"/>
          <w:sz w:val="32"/>
          <w:szCs w:val="32"/>
        </w:rPr>
        <w:t>黄</w:t>
      </w:r>
      <w:r>
        <w:rPr>
          <w:rFonts w:ascii="仿宋_GB2312" w:hAnsi="仿宋" w:eastAsia="仿宋_GB2312"/>
          <w:sz w:val="32"/>
          <w:szCs w:val="32"/>
        </w:rPr>
        <w:t xml:space="preserve">  </w:t>
      </w:r>
      <w:r>
        <w:rPr>
          <w:rFonts w:hint="eastAsia" w:ascii="仿宋_GB2312" w:hAnsi="仿宋" w:eastAsia="仿宋_GB2312"/>
          <w:sz w:val="32"/>
          <w:szCs w:val="32"/>
        </w:rPr>
        <w:t>宁</w:t>
      </w:r>
      <w:r>
        <w:rPr>
          <w:rFonts w:ascii="仿宋_GB2312" w:hAnsi="仿宋" w:eastAsia="仿宋_GB2312"/>
          <w:sz w:val="32"/>
          <w:szCs w:val="32"/>
        </w:rPr>
        <w:t xml:space="preserve">  </w:t>
      </w:r>
      <w:r>
        <w:rPr>
          <w:rFonts w:hint="eastAsia" w:ascii="仿宋_GB2312" w:hAnsi="仿宋" w:eastAsia="仿宋_GB2312"/>
          <w:sz w:val="32"/>
          <w:szCs w:val="32"/>
        </w:rPr>
        <w:t>周继春</w:t>
      </w:r>
      <w:r>
        <w:rPr>
          <w:rFonts w:ascii="仿宋_GB2312" w:hAnsi="仿宋" w:eastAsia="仿宋_GB2312"/>
          <w:sz w:val="32"/>
          <w:szCs w:val="32"/>
        </w:rPr>
        <w:t xml:space="preserve">  </w:t>
      </w:r>
    </w:p>
    <w:p>
      <w:pPr>
        <w:pageBreakBefore w:val="0"/>
        <w:kinsoku/>
        <w:overflowPunct/>
        <w:topLinePunct w:val="0"/>
        <w:bidi w:val="0"/>
        <w:spacing w:line="596" w:lineRule="exact"/>
        <w:ind w:firstLine="1920" w:firstLineChars="600"/>
        <w:outlineLvl w:val="9"/>
        <w:rPr>
          <w:rFonts w:ascii="仿宋_GB2312" w:hAnsi="仿宋" w:eastAsia="仿宋_GB2312"/>
          <w:sz w:val="32"/>
          <w:szCs w:val="32"/>
        </w:rPr>
      </w:pPr>
      <w:r>
        <w:rPr>
          <w:rFonts w:hint="eastAsia" w:ascii="仿宋_GB2312" w:hAnsi="仿宋" w:eastAsia="仿宋_GB2312"/>
          <w:sz w:val="32"/>
          <w:szCs w:val="32"/>
        </w:rPr>
        <w:t>郭</w:t>
      </w:r>
      <w:r>
        <w:rPr>
          <w:rFonts w:ascii="仿宋_GB2312" w:hAnsi="仿宋" w:eastAsia="仿宋_GB2312"/>
          <w:sz w:val="32"/>
          <w:szCs w:val="32"/>
        </w:rPr>
        <w:t xml:space="preserve">  </w:t>
      </w:r>
      <w:r>
        <w:rPr>
          <w:rFonts w:hint="eastAsia" w:ascii="仿宋_GB2312" w:hAnsi="仿宋" w:eastAsia="仿宋_GB2312"/>
          <w:sz w:val="32"/>
          <w:szCs w:val="32"/>
        </w:rPr>
        <w:t>莉</w:t>
      </w:r>
      <w:r>
        <w:rPr>
          <w:rFonts w:ascii="仿宋_GB2312" w:hAnsi="仿宋" w:eastAsia="仿宋_GB2312"/>
          <w:sz w:val="32"/>
          <w:szCs w:val="32"/>
        </w:rPr>
        <w:t xml:space="preserve">  </w:t>
      </w:r>
      <w:r>
        <w:rPr>
          <w:rFonts w:hint="eastAsia" w:ascii="仿宋_GB2312" w:hAnsi="仿宋" w:eastAsia="仿宋_GB2312"/>
          <w:sz w:val="32"/>
          <w:szCs w:val="32"/>
        </w:rPr>
        <w:t>王</w:t>
      </w:r>
      <w:r>
        <w:rPr>
          <w:rFonts w:ascii="仿宋_GB2312" w:hAnsi="仿宋" w:eastAsia="仿宋_GB2312"/>
          <w:sz w:val="32"/>
          <w:szCs w:val="32"/>
        </w:rPr>
        <w:t xml:space="preserve">  </w:t>
      </w:r>
      <w:r>
        <w:rPr>
          <w:rFonts w:hint="eastAsia" w:ascii="仿宋_GB2312" w:hAnsi="仿宋" w:eastAsia="仿宋_GB2312"/>
          <w:sz w:val="32"/>
          <w:szCs w:val="32"/>
        </w:rPr>
        <w:t>慧</w:t>
      </w:r>
      <w:r>
        <w:rPr>
          <w:rFonts w:ascii="仿宋_GB2312" w:hAnsi="仿宋" w:eastAsia="仿宋_GB2312"/>
          <w:sz w:val="32"/>
          <w:szCs w:val="32"/>
        </w:rPr>
        <w:t xml:space="preserve">  </w:t>
      </w:r>
      <w:r>
        <w:rPr>
          <w:rFonts w:hint="eastAsia" w:ascii="仿宋_GB2312" w:hAnsi="仿宋" w:eastAsia="仿宋_GB2312"/>
          <w:sz w:val="32"/>
          <w:szCs w:val="32"/>
        </w:rPr>
        <w:t>韦</w:t>
      </w:r>
      <w:r>
        <w:rPr>
          <w:rFonts w:ascii="仿宋_GB2312" w:hAnsi="仿宋" w:eastAsia="仿宋_GB2312"/>
          <w:sz w:val="32"/>
          <w:szCs w:val="32"/>
        </w:rPr>
        <w:t xml:space="preserve">  </w:t>
      </w:r>
      <w:r>
        <w:rPr>
          <w:rFonts w:hint="eastAsia" w:ascii="仿宋_GB2312" w:hAnsi="仿宋" w:eastAsia="仿宋_GB2312"/>
          <w:sz w:val="32"/>
          <w:szCs w:val="32"/>
        </w:rPr>
        <w:t>伟</w:t>
      </w:r>
      <w:r>
        <w:rPr>
          <w:rFonts w:ascii="仿宋_GB2312" w:hAnsi="仿宋" w:eastAsia="仿宋_GB2312"/>
          <w:sz w:val="32"/>
          <w:szCs w:val="32"/>
        </w:rPr>
        <w:t xml:space="preserve">  </w:t>
      </w:r>
      <w:r>
        <w:rPr>
          <w:rFonts w:hint="eastAsia" w:ascii="仿宋_GB2312" w:hAnsi="仿宋" w:eastAsia="仿宋_GB2312"/>
          <w:sz w:val="32"/>
          <w:szCs w:val="32"/>
        </w:rPr>
        <w:t>韦雅琴</w:t>
      </w:r>
      <w:r>
        <w:rPr>
          <w:rFonts w:ascii="仿宋_GB2312" w:hAnsi="仿宋" w:eastAsia="仿宋_GB2312"/>
          <w:sz w:val="32"/>
          <w:szCs w:val="32"/>
        </w:rPr>
        <w:t xml:space="preserve">  </w:t>
      </w:r>
      <w:r>
        <w:rPr>
          <w:rFonts w:hint="eastAsia" w:ascii="仿宋_GB2312" w:hAnsi="仿宋" w:eastAsia="仿宋_GB2312"/>
          <w:sz w:val="32"/>
          <w:szCs w:val="32"/>
        </w:rPr>
        <w:t>卢岚岚</w:t>
      </w:r>
      <w:r>
        <w:rPr>
          <w:rFonts w:ascii="仿宋_GB2312" w:hAnsi="仿宋" w:eastAsia="仿宋_GB2312"/>
          <w:sz w:val="32"/>
          <w:szCs w:val="32"/>
        </w:rPr>
        <w:t xml:space="preserve">  </w:t>
      </w:r>
    </w:p>
    <w:p>
      <w:pPr>
        <w:pageBreakBefore w:val="0"/>
        <w:kinsoku/>
        <w:overflowPunct/>
        <w:topLinePunct w:val="0"/>
        <w:bidi w:val="0"/>
        <w:spacing w:line="596" w:lineRule="exact"/>
        <w:ind w:firstLine="1920" w:firstLineChars="600"/>
        <w:outlineLvl w:val="9"/>
        <w:rPr>
          <w:rFonts w:ascii="仿宋_GB2312" w:hAnsi="仿宋" w:eastAsia="仿宋_GB2312"/>
          <w:sz w:val="32"/>
          <w:szCs w:val="32"/>
        </w:rPr>
      </w:pPr>
      <w:r>
        <w:rPr>
          <w:rFonts w:hint="eastAsia" w:ascii="仿宋_GB2312" w:hAnsi="仿宋" w:eastAsia="仿宋_GB2312"/>
          <w:sz w:val="32"/>
          <w:szCs w:val="32"/>
        </w:rPr>
        <w:t>黄</w:t>
      </w:r>
      <w:r>
        <w:rPr>
          <w:rFonts w:ascii="仿宋_GB2312" w:hAnsi="仿宋" w:eastAsia="仿宋_GB2312"/>
          <w:sz w:val="32"/>
          <w:szCs w:val="32"/>
        </w:rPr>
        <w:t xml:space="preserve">  </w:t>
      </w:r>
      <w:r>
        <w:rPr>
          <w:rFonts w:hint="eastAsia" w:ascii="仿宋_GB2312" w:hAnsi="仿宋" w:eastAsia="仿宋_GB2312"/>
          <w:sz w:val="32"/>
          <w:szCs w:val="32"/>
        </w:rPr>
        <w:t>曼</w:t>
      </w:r>
      <w:r>
        <w:rPr>
          <w:rFonts w:ascii="仿宋_GB2312" w:hAnsi="仿宋" w:eastAsia="仿宋_GB2312"/>
          <w:sz w:val="32"/>
          <w:szCs w:val="32"/>
        </w:rPr>
        <w:t xml:space="preserve">  </w:t>
      </w:r>
      <w:r>
        <w:rPr>
          <w:rFonts w:hint="eastAsia" w:ascii="仿宋_GB2312" w:hAnsi="仿宋" w:eastAsia="仿宋_GB2312"/>
          <w:sz w:val="32"/>
          <w:szCs w:val="32"/>
        </w:rPr>
        <w:t>覃</w:t>
      </w:r>
      <w:r>
        <w:rPr>
          <w:rFonts w:ascii="仿宋_GB2312" w:hAnsi="仿宋" w:eastAsia="仿宋_GB2312"/>
          <w:sz w:val="32"/>
          <w:szCs w:val="32"/>
        </w:rPr>
        <w:t xml:space="preserve">  </w:t>
      </w:r>
      <w:r>
        <w:rPr>
          <w:rFonts w:hint="eastAsia" w:ascii="仿宋_GB2312" w:hAnsi="仿宋" w:eastAsia="仿宋_GB2312"/>
          <w:sz w:val="32"/>
          <w:szCs w:val="32"/>
        </w:rPr>
        <w:t>洋</w:t>
      </w:r>
      <w:r>
        <w:rPr>
          <w:rFonts w:ascii="仿宋_GB2312" w:hAnsi="仿宋" w:eastAsia="仿宋_GB2312"/>
          <w:sz w:val="32"/>
          <w:szCs w:val="32"/>
        </w:rPr>
        <w:t xml:space="preserve">  </w:t>
      </w:r>
      <w:r>
        <w:rPr>
          <w:rFonts w:hint="eastAsia" w:ascii="仿宋_GB2312" w:hAnsi="仿宋" w:eastAsia="仿宋_GB2312"/>
          <w:sz w:val="32"/>
          <w:szCs w:val="32"/>
        </w:rPr>
        <w:t>夏</w:t>
      </w:r>
      <w:r>
        <w:rPr>
          <w:rFonts w:ascii="仿宋_GB2312" w:hAnsi="仿宋" w:eastAsia="仿宋_GB2312"/>
          <w:sz w:val="32"/>
          <w:szCs w:val="32"/>
        </w:rPr>
        <w:t xml:space="preserve">  </w:t>
      </w:r>
      <w:r>
        <w:rPr>
          <w:rFonts w:hint="eastAsia" w:ascii="仿宋_GB2312" w:hAnsi="仿宋" w:eastAsia="仿宋_GB2312"/>
          <w:sz w:val="32"/>
          <w:szCs w:val="32"/>
        </w:rPr>
        <w:t>佩</w:t>
      </w:r>
      <w:r>
        <w:rPr>
          <w:rFonts w:ascii="仿宋_GB2312" w:hAnsi="仿宋" w:eastAsia="仿宋_GB2312"/>
          <w:sz w:val="32"/>
          <w:szCs w:val="32"/>
        </w:rPr>
        <w:t xml:space="preserve">  </w:t>
      </w:r>
      <w:r>
        <w:rPr>
          <w:rFonts w:hint="eastAsia" w:ascii="仿宋_GB2312" w:hAnsi="仿宋" w:eastAsia="仿宋_GB2312"/>
          <w:sz w:val="32"/>
          <w:szCs w:val="32"/>
        </w:rPr>
        <w:t>陈</w:t>
      </w:r>
      <w:r>
        <w:rPr>
          <w:rFonts w:ascii="仿宋_GB2312" w:hAnsi="仿宋" w:eastAsia="仿宋_GB2312"/>
          <w:sz w:val="32"/>
          <w:szCs w:val="32"/>
        </w:rPr>
        <w:t xml:space="preserve">  </w:t>
      </w:r>
      <w:r>
        <w:rPr>
          <w:rFonts w:hint="eastAsia" w:ascii="仿宋_GB2312" w:hAnsi="仿宋" w:eastAsia="仿宋_GB2312"/>
          <w:sz w:val="32"/>
          <w:szCs w:val="32"/>
        </w:rPr>
        <w:t>敏</w:t>
      </w:r>
      <w:r>
        <w:rPr>
          <w:rFonts w:ascii="仿宋_GB2312" w:hAnsi="仿宋" w:eastAsia="仿宋_GB2312"/>
          <w:sz w:val="32"/>
          <w:szCs w:val="32"/>
        </w:rPr>
        <w:t xml:space="preserve">  </w:t>
      </w:r>
      <w:r>
        <w:rPr>
          <w:rFonts w:hint="eastAsia" w:ascii="仿宋_GB2312" w:hAnsi="仿宋" w:eastAsia="仿宋_GB2312"/>
          <w:sz w:val="32"/>
          <w:szCs w:val="32"/>
        </w:rPr>
        <w:t>杨丽丽</w:t>
      </w:r>
      <w:r>
        <w:rPr>
          <w:rFonts w:ascii="仿宋_GB2312" w:hAnsi="仿宋" w:eastAsia="仿宋_GB2312"/>
          <w:sz w:val="32"/>
          <w:szCs w:val="32"/>
        </w:rPr>
        <w:t xml:space="preserve"> </w:t>
      </w:r>
    </w:p>
    <w:p>
      <w:pPr>
        <w:pageBreakBefore w:val="0"/>
        <w:kinsoku/>
        <w:overflowPunct/>
        <w:topLinePunct w:val="0"/>
        <w:bidi w:val="0"/>
        <w:spacing w:line="596" w:lineRule="exact"/>
        <w:ind w:firstLine="1920" w:firstLineChars="600"/>
        <w:outlineLvl w:val="9"/>
        <w:rPr>
          <w:rFonts w:ascii="仿宋_GB2312" w:hAnsi="仿宋" w:eastAsia="仿宋_GB2312"/>
          <w:sz w:val="32"/>
          <w:szCs w:val="32"/>
        </w:rPr>
      </w:pPr>
      <w:r>
        <w:rPr>
          <w:rFonts w:hint="eastAsia" w:ascii="仿宋_GB2312" w:hAnsi="仿宋" w:eastAsia="仿宋_GB2312"/>
          <w:sz w:val="32"/>
          <w:szCs w:val="32"/>
        </w:rPr>
        <w:t>安华平</w:t>
      </w:r>
      <w:r>
        <w:rPr>
          <w:rFonts w:ascii="仿宋_GB2312" w:hAnsi="仿宋" w:eastAsia="仿宋_GB2312"/>
          <w:sz w:val="32"/>
          <w:szCs w:val="32"/>
        </w:rPr>
        <w:t xml:space="preserve">  </w:t>
      </w:r>
      <w:r>
        <w:rPr>
          <w:rFonts w:hint="eastAsia" w:ascii="仿宋_GB2312" w:hAnsi="仿宋" w:eastAsia="仿宋_GB2312"/>
          <w:sz w:val="32"/>
          <w:szCs w:val="32"/>
        </w:rPr>
        <w:t>倪玲娣</w:t>
      </w:r>
    </w:p>
    <w:p>
      <w:pPr>
        <w:pageBreakBefore w:val="0"/>
        <w:kinsoku/>
        <w:overflowPunct/>
        <w:topLinePunct w:val="0"/>
        <w:bidi w:val="0"/>
        <w:spacing w:line="596" w:lineRule="exact"/>
        <w:ind w:firstLine="643" w:firstLineChars="200"/>
        <w:outlineLvl w:val="9"/>
        <w:rPr>
          <w:rFonts w:ascii="楷体_GB2312" w:hAnsi="仿宋" w:eastAsia="楷体_GB2312"/>
          <w:b/>
          <w:sz w:val="32"/>
          <w:szCs w:val="32"/>
        </w:rPr>
      </w:pPr>
      <w:r>
        <w:rPr>
          <w:rFonts w:hint="eastAsia" w:ascii="楷体_GB2312" w:hAnsi="仿宋" w:eastAsia="楷体_GB2312"/>
          <w:b/>
          <w:sz w:val="32"/>
          <w:szCs w:val="32"/>
        </w:rPr>
        <w:t>（二）工作机制</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心理危机干预由分管学生工作的学校领导总负责，学生工作部（处）、校大学生心理健康教育与咨询中心主要领导负责统一指挥协调，二级学院党总支书记，心理工作站站长、辅导员及学校有关部门工作人员参与，各二级学院与有关职能部门分工负责，联动配合。</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建立班级心理委员（或宿舍长）</w:t>
      </w:r>
      <w:r>
        <w:rPr>
          <w:rFonts w:ascii="仿宋_GB2312" w:hAnsi="仿宋" w:eastAsia="仿宋_GB2312"/>
          <w:sz w:val="32"/>
          <w:szCs w:val="32"/>
        </w:rPr>
        <w:t>——</w:t>
      </w:r>
      <w:r>
        <w:rPr>
          <w:rFonts w:hint="eastAsia" w:ascii="仿宋_GB2312" w:hAnsi="仿宋" w:eastAsia="仿宋_GB2312"/>
          <w:sz w:val="32"/>
          <w:szCs w:val="32"/>
        </w:rPr>
        <w:t>辅导员</w:t>
      </w:r>
      <w:r>
        <w:rPr>
          <w:rFonts w:ascii="仿宋_GB2312" w:hAnsi="仿宋" w:eastAsia="仿宋_GB2312"/>
          <w:sz w:val="32"/>
          <w:szCs w:val="32"/>
        </w:rPr>
        <w:t>——</w:t>
      </w:r>
      <w:r>
        <w:rPr>
          <w:rFonts w:hint="eastAsia" w:ascii="仿宋_GB2312" w:hAnsi="仿宋" w:eastAsia="仿宋_GB2312"/>
          <w:sz w:val="32"/>
          <w:szCs w:val="32"/>
        </w:rPr>
        <w:t>二级学院党总支书记</w:t>
      </w:r>
      <w:r>
        <w:rPr>
          <w:rFonts w:ascii="仿宋_GB2312" w:hAnsi="仿宋" w:eastAsia="仿宋_GB2312"/>
          <w:sz w:val="32"/>
          <w:szCs w:val="32"/>
        </w:rPr>
        <w:t>——</w:t>
      </w:r>
      <w:r>
        <w:rPr>
          <w:rFonts w:hint="eastAsia" w:ascii="仿宋_GB2312" w:hAnsi="仿宋" w:eastAsia="仿宋_GB2312"/>
          <w:sz w:val="32"/>
          <w:szCs w:val="32"/>
        </w:rPr>
        <w:t>学生工作部（处）</w:t>
      </w:r>
      <w:r>
        <w:rPr>
          <w:rFonts w:ascii="仿宋_GB2312" w:hAnsi="仿宋" w:eastAsia="仿宋_GB2312"/>
          <w:sz w:val="32"/>
          <w:szCs w:val="32"/>
        </w:rPr>
        <w:t>/</w:t>
      </w:r>
      <w:r>
        <w:rPr>
          <w:rFonts w:hint="eastAsia" w:ascii="仿宋_GB2312" w:hAnsi="仿宋" w:eastAsia="仿宋_GB2312"/>
          <w:sz w:val="32"/>
          <w:szCs w:val="32"/>
        </w:rPr>
        <w:t>大学生心理健康教育与咨询中心</w:t>
      </w:r>
      <w:r>
        <w:rPr>
          <w:rFonts w:ascii="仿宋_GB2312" w:hAnsi="仿宋" w:eastAsia="仿宋_GB2312"/>
          <w:sz w:val="32"/>
          <w:szCs w:val="32"/>
        </w:rPr>
        <w:t>——</w:t>
      </w:r>
      <w:r>
        <w:rPr>
          <w:rFonts w:hint="eastAsia" w:ascii="仿宋_GB2312" w:hAnsi="仿宋" w:eastAsia="仿宋_GB2312"/>
          <w:sz w:val="32"/>
          <w:szCs w:val="32"/>
        </w:rPr>
        <w:t>学校分管领导的五级预警机制，发现学生心理危机预兆和有严重精神疾病症状的学生时，立即层层上报，启动应急措施，及时进行有效的心理干预。</w:t>
      </w:r>
    </w:p>
    <w:p>
      <w:pPr>
        <w:pageBreakBefore w:val="0"/>
        <w:kinsoku/>
        <w:overflowPunct/>
        <w:topLinePunct w:val="0"/>
        <w:bidi w:val="0"/>
        <w:spacing w:line="596" w:lineRule="exact"/>
        <w:ind w:firstLine="643" w:firstLineChars="200"/>
        <w:outlineLvl w:val="9"/>
        <w:rPr>
          <w:rFonts w:ascii="黑体" w:hAnsi="黑体" w:eastAsia="黑体"/>
          <w:b/>
          <w:sz w:val="32"/>
          <w:szCs w:val="32"/>
        </w:rPr>
      </w:pPr>
      <w:bookmarkStart w:id="712" w:name="_Toc27811_WPSOffice_Level1"/>
      <w:r>
        <w:rPr>
          <w:rFonts w:hint="eastAsia" w:ascii="黑体" w:hAnsi="黑体" w:eastAsia="黑体"/>
          <w:b/>
          <w:sz w:val="32"/>
          <w:szCs w:val="32"/>
        </w:rPr>
        <w:t>二、心理危机干预的含义、对象、原则</w:t>
      </w:r>
      <w:bookmarkEnd w:id="712"/>
    </w:p>
    <w:p>
      <w:pPr>
        <w:pageBreakBefore w:val="0"/>
        <w:kinsoku/>
        <w:overflowPunct/>
        <w:topLinePunct w:val="0"/>
        <w:bidi w:val="0"/>
        <w:spacing w:line="596" w:lineRule="exact"/>
        <w:ind w:firstLine="643" w:firstLineChars="200"/>
        <w:outlineLvl w:val="9"/>
        <w:rPr>
          <w:rFonts w:ascii="楷体_GB2312" w:hAnsi="仿宋" w:eastAsia="楷体_GB2312"/>
          <w:b/>
          <w:sz w:val="32"/>
          <w:szCs w:val="32"/>
        </w:rPr>
      </w:pPr>
      <w:r>
        <w:rPr>
          <w:rFonts w:hint="eastAsia" w:ascii="楷体_GB2312" w:hAnsi="仿宋" w:eastAsia="楷体_GB2312"/>
          <w:b/>
          <w:sz w:val="32"/>
          <w:szCs w:val="32"/>
        </w:rPr>
        <w:t>（一）心理危机及心理危机干预的含义</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心理危机是指大学生运用通常方式不能应对目前所遇到的情形时，出现的严重心理失衡状态。心理危机干预是指采取紧急应对的方法帮助学生尽快恢复心理平衡，安全度过危机。</w:t>
      </w:r>
    </w:p>
    <w:p>
      <w:pPr>
        <w:pageBreakBefore w:val="0"/>
        <w:kinsoku/>
        <w:overflowPunct/>
        <w:topLinePunct w:val="0"/>
        <w:bidi w:val="0"/>
        <w:spacing w:line="596" w:lineRule="exact"/>
        <w:ind w:firstLine="643" w:firstLineChars="200"/>
        <w:outlineLvl w:val="9"/>
        <w:rPr>
          <w:rFonts w:ascii="楷体_GB2312" w:hAnsi="仿宋" w:eastAsia="楷体_GB2312"/>
          <w:b/>
          <w:sz w:val="32"/>
          <w:szCs w:val="32"/>
        </w:rPr>
      </w:pPr>
      <w:r>
        <w:rPr>
          <w:rFonts w:hint="eastAsia" w:ascii="楷体_GB2312" w:hAnsi="仿宋" w:eastAsia="楷体_GB2312"/>
          <w:b/>
          <w:sz w:val="32"/>
          <w:szCs w:val="32"/>
        </w:rPr>
        <w:t>（二）心理危机干预的对象</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通过心理健康测评筛查出来的需要关注的重点学生；</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患有严重抑郁症、精神分裂症等易出现自伤行为的精神障碍者；</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因心理障碍或突发事件导致产生自伤企图或行为者；</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4.</w:t>
      </w:r>
      <w:r>
        <w:rPr>
          <w:rFonts w:hint="eastAsia" w:ascii="仿宋_GB2312" w:hAnsi="仿宋" w:eastAsia="仿宋_GB2312"/>
          <w:sz w:val="32"/>
          <w:szCs w:val="32"/>
        </w:rPr>
        <w:t>有自杀倾向或既往有自杀未遂史或家族中有自杀者的学生；</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5.</w:t>
      </w:r>
      <w:r>
        <w:rPr>
          <w:rFonts w:hint="eastAsia" w:ascii="仿宋_GB2312" w:hAnsi="仿宋" w:eastAsia="仿宋_GB2312"/>
          <w:sz w:val="32"/>
          <w:szCs w:val="32"/>
        </w:rPr>
        <w:t>因心理障碍而表现出明显的攻击性行为，有暴力倾向或伤害他人倾向者；</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6.</w:t>
      </w:r>
      <w:r>
        <w:rPr>
          <w:rFonts w:hint="eastAsia" w:ascii="仿宋_GB2312" w:hAnsi="仿宋" w:eastAsia="仿宋_GB2312"/>
          <w:sz w:val="32"/>
          <w:szCs w:val="32"/>
        </w:rPr>
        <w:t>遭遇重大事件而出现心理或行为异常的学生；</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7.</w:t>
      </w:r>
      <w:r>
        <w:rPr>
          <w:rFonts w:hint="eastAsia" w:ascii="仿宋_GB2312" w:hAnsi="仿宋" w:eastAsia="仿宋_GB2312"/>
          <w:sz w:val="32"/>
          <w:szCs w:val="32"/>
        </w:rPr>
        <w:t>因严重生理疾病而导致心理痛苦的学生；</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8.</w:t>
      </w:r>
      <w:r>
        <w:rPr>
          <w:rFonts w:hint="eastAsia" w:ascii="仿宋_GB2312" w:hAnsi="仿宋" w:eastAsia="仿宋_GB2312"/>
          <w:sz w:val="32"/>
          <w:szCs w:val="32"/>
        </w:rPr>
        <w:t>由于身边的同学出现个体危机状况而受到影响，产生恐怖、担心、焦虑不安的学生。</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hint="eastAsia" w:ascii="仿宋_GB2312" w:hAnsi="仿宋" w:eastAsia="仿宋_GB2312"/>
          <w:sz w:val="32"/>
          <w:szCs w:val="32"/>
        </w:rPr>
        <w:t>尤其要关注上述多种特征并存的学生，其心理危机程度更严重，应成为重点干预对象。</w:t>
      </w:r>
    </w:p>
    <w:p>
      <w:pPr>
        <w:pageBreakBefore w:val="0"/>
        <w:kinsoku/>
        <w:overflowPunct/>
        <w:topLinePunct w:val="0"/>
        <w:bidi w:val="0"/>
        <w:spacing w:line="596" w:lineRule="exact"/>
        <w:ind w:firstLine="643" w:firstLineChars="200"/>
        <w:outlineLvl w:val="9"/>
        <w:rPr>
          <w:rFonts w:ascii="楷体_GB2312" w:hAnsi="仿宋" w:eastAsia="楷体_GB2312"/>
          <w:b/>
          <w:sz w:val="32"/>
          <w:szCs w:val="32"/>
        </w:rPr>
      </w:pPr>
      <w:r>
        <w:rPr>
          <w:rFonts w:hint="eastAsia" w:ascii="楷体_GB2312" w:hAnsi="仿宋" w:eastAsia="楷体_GB2312"/>
          <w:b/>
          <w:sz w:val="32"/>
          <w:szCs w:val="32"/>
        </w:rPr>
        <w:t>（三）心理危机干预的原则</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生命第一的原则。发现危机情况，立即采取保护措施，最大限度地保护学生的人身安全。</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亲属参与的原则。实施心理危机干预时，以最快的速度通知学生家长或亲属。</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全程监护的原则。实施危机干预过程中，安排专人对干预对象全程监护。</w:t>
      </w:r>
    </w:p>
    <w:p>
      <w:pPr>
        <w:pageBreakBefore w:val="0"/>
        <w:kinsoku/>
        <w:overflowPunct/>
        <w:topLinePunct w:val="0"/>
        <w:bidi w:val="0"/>
        <w:spacing w:line="596" w:lineRule="exact"/>
        <w:ind w:firstLine="640" w:firstLineChars="200"/>
        <w:outlineLvl w:val="9"/>
        <w:rPr>
          <w:rFonts w:ascii="仿宋_GB2312" w:hAnsi="仿宋" w:eastAsia="仿宋_GB2312"/>
          <w:sz w:val="32"/>
          <w:szCs w:val="32"/>
        </w:rPr>
      </w:pPr>
      <w:r>
        <w:rPr>
          <w:rFonts w:ascii="仿宋_GB2312" w:hAnsi="仿宋" w:eastAsia="仿宋_GB2312"/>
          <w:sz w:val="32"/>
          <w:szCs w:val="32"/>
        </w:rPr>
        <w:t>4.</w:t>
      </w:r>
      <w:r>
        <w:rPr>
          <w:rFonts w:hint="eastAsia" w:ascii="仿宋_GB2312" w:hAnsi="仿宋" w:eastAsia="仿宋_GB2312"/>
          <w:sz w:val="32"/>
          <w:szCs w:val="32"/>
        </w:rPr>
        <w:t>分工协作的原则。实施危机干预过程中，相关部门要协调配合，履行职责，积极主动地开展工作。</w:t>
      </w:r>
    </w:p>
    <w:p>
      <w:pPr>
        <w:pageBreakBefore w:val="0"/>
        <w:kinsoku/>
        <w:overflowPunct/>
        <w:topLinePunct w:val="0"/>
        <w:bidi w:val="0"/>
        <w:spacing w:line="596" w:lineRule="exact"/>
        <w:ind w:firstLine="643" w:firstLineChars="200"/>
        <w:outlineLvl w:val="9"/>
        <w:rPr>
          <w:rFonts w:ascii="黑体" w:hAnsi="黑体" w:eastAsia="黑体"/>
          <w:b/>
          <w:sz w:val="32"/>
          <w:szCs w:val="32"/>
        </w:rPr>
      </w:pPr>
      <w:bookmarkStart w:id="713" w:name="_Toc8061_WPSOffice_Level1"/>
      <w:r>
        <w:rPr>
          <w:rFonts w:hint="eastAsia" w:ascii="黑体" w:hAnsi="黑体" w:eastAsia="黑体"/>
          <w:b/>
          <w:sz w:val="32"/>
          <w:szCs w:val="32"/>
        </w:rPr>
        <w:t>三、心理危机干预的程序</w:t>
      </w:r>
      <w:bookmarkEnd w:id="713"/>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（一）问题的发现。</w:t>
      </w:r>
      <w:r>
        <w:rPr>
          <w:rFonts w:hint="eastAsia" w:ascii="仿宋_GB2312" w:hAnsi="仿宋" w:eastAsia="仿宋_GB2312"/>
          <w:sz w:val="32"/>
          <w:szCs w:val="32"/>
        </w:rPr>
        <w:t>各二级学院要建立起通畅的学生心理危机信息反馈机制，做到在第一时间内掌握学生心理危机动态，对有心理障碍的同学，周围同学应予以理解、关心和帮助该学生，并及时向辅导员反馈情况。对有行为异常或近期情绪、行为变化较大的学生，各班心理委员（或宿舍长）应给予及时的关注，对问题严重的学生需转介到校大学生心理健康教育与咨询中心，由校大学生心理健康教育与咨询中心教师对学生进行危机风险评估，提出危机干预的措施。</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（二）信息报告。</w:t>
      </w:r>
      <w:r>
        <w:rPr>
          <w:rFonts w:hint="eastAsia" w:ascii="仿宋_GB2312" w:hAnsi="仿宋" w:eastAsia="仿宋_GB2312"/>
          <w:sz w:val="32"/>
          <w:szCs w:val="32"/>
        </w:rPr>
        <w:t>发现学生心理危机情况，周围同学和各班心理委员（或宿舍长）应立即向辅导员报告，辅导员在采取必要措施并迅速赶往现场的同时向所在二级学院党总支书记报告，二级学院党总支书记立即向学生工作部（处）的主管领导报告，学生工作部（处）领导视危机严重程度酌情向学校分管领导及时汇报。</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（三）即时监护。</w:t>
      </w:r>
      <w:r>
        <w:rPr>
          <w:rFonts w:hint="eastAsia" w:ascii="仿宋_GB2312" w:hAnsi="仿宋" w:eastAsia="仿宋_GB2312"/>
          <w:sz w:val="32"/>
          <w:szCs w:val="32"/>
        </w:rPr>
        <w:t>各二级学院、学校有关职能部门立即派专人对危机学生进行</w:t>
      </w:r>
      <w:r>
        <w:rPr>
          <w:rFonts w:ascii="仿宋_GB2312" w:hAnsi="仿宋" w:eastAsia="仿宋_GB2312"/>
          <w:sz w:val="32"/>
          <w:szCs w:val="32"/>
        </w:rPr>
        <w:t>24</w:t>
      </w:r>
      <w:r>
        <w:rPr>
          <w:rFonts w:hint="eastAsia" w:ascii="仿宋_GB2312" w:hAnsi="仿宋" w:eastAsia="仿宋_GB2312"/>
          <w:sz w:val="32"/>
          <w:szCs w:val="32"/>
        </w:rPr>
        <w:t>小时监护，保护学生的生命安全。</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（四）通知家长。</w:t>
      </w:r>
      <w:r>
        <w:rPr>
          <w:rFonts w:hint="eastAsia" w:ascii="仿宋_GB2312" w:hAnsi="仿宋" w:eastAsia="仿宋_GB2312"/>
          <w:sz w:val="32"/>
          <w:szCs w:val="32"/>
        </w:rPr>
        <w:t>实施监护的同时，各二级学院应以最快的速度通知家长来校，如果家长确实无法尽快赶到学校，在家长以传真、电话等方式的授权下，可对学生采取必要的治疗措施。在紧急情况下，可采取直接送至专业卫生机构进行治疗等相应处理措施，并视情况为其办理休学或退学手续。</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（五）进行阻控。</w:t>
      </w:r>
      <w:r>
        <w:rPr>
          <w:rFonts w:hint="eastAsia" w:ascii="仿宋_GB2312" w:hAnsi="仿宋" w:eastAsia="仿宋_GB2312"/>
          <w:sz w:val="32"/>
          <w:szCs w:val="32"/>
        </w:rPr>
        <w:t>对于可能造成危机扩大或激化的人、物、情境等，进行必要的消除或隔绝。对于学校可调控的可能引发其他学生心理危机的刺激物，各二级学院应协助有关部门及时阻断。</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（六）实施治疗。</w:t>
      </w:r>
      <w:r>
        <w:rPr>
          <w:rFonts w:hint="eastAsia" w:ascii="仿宋_GB2312" w:hAnsi="仿宋" w:eastAsia="仿宋_GB2312"/>
          <w:sz w:val="32"/>
          <w:szCs w:val="32"/>
        </w:rPr>
        <w:t>需住院治疗的，将学生送至专业卫生机构治疗；对可以在校坚持学习但需辅以药物治疗的学生，各二级学院应与其家长商定监护措施；对不能坚持在校学习的，按照学校学籍管理有关规定办理相关手续，由家长监护并离校治疗。</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（七）应急救助。</w:t>
      </w:r>
      <w:r>
        <w:rPr>
          <w:rFonts w:hint="eastAsia" w:ascii="仿宋_GB2312" w:hAnsi="仿宋" w:eastAsia="仿宋_GB2312"/>
          <w:sz w:val="32"/>
          <w:szCs w:val="32"/>
        </w:rPr>
        <w:t>得知学生有自伤或伤害他人倾向时，相关人员应立即赶赴现场采取救助措施，紧急情况下应先拨打</w:t>
      </w:r>
      <w:r>
        <w:rPr>
          <w:rFonts w:ascii="仿宋_GB2312" w:hAnsi="仿宋" w:eastAsia="仿宋_GB2312"/>
          <w:sz w:val="32"/>
          <w:szCs w:val="32"/>
        </w:rPr>
        <w:t>110</w:t>
      </w:r>
      <w:r>
        <w:rPr>
          <w:rFonts w:hint="eastAsia" w:ascii="仿宋_GB2312" w:hAnsi="仿宋" w:eastAsia="仿宋_GB2312"/>
          <w:sz w:val="32"/>
          <w:szCs w:val="32"/>
        </w:rPr>
        <w:t>、</w:t>
      </w:r>
      <w:r>
        <w:rPr>
          <w:rFonts w:ascii="仿宋_GB2312" w:hAnsi="仿宋" w:eastAsia="仿宋_GB2312"/>
          <w:sz w:val="32"/>
          <w:szCs w:val="32"/>
        </w:rPr>
        <w:t>120</w:t>
      </w:r>
      <w:r>
        <w:rPr>
          <w:rFonts w:hint="eastAsia" w:ascii="仿宋_GB2312" w:hAnsi="仿宋" w:eastAsia="仿宋_GB2312"/>
          <w:sz w:val="32"/>
          <w:szCs w:val="32"/>
        </w:rPr>
        <w:t>等紧急电话求助。</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（八）事故处理。</w:t>
      </w:r>
      <w:r>
        <w:rPr>
          <w:rFonts w:hint="eastAsia" w:ascii="仿宋_GB2312" w:hAnsi="仿宋" w:eastAsia="仿宋_GB2312"/>
          <w:sz w:val="32"/>
          <w:szCs w:val="32"/>
        </w:rPr>
        <w:t>当学生自伤或伤害他人事故发生后，第一时间赶到现场的工作人员要协助做好现场保护，保卫处和学生工作部（处）负责保护现场及现场的指挥协调；校卫生所负责对当事人实施紧急救治，或由辅导员配合医护人员护送至就近医院救治；二级学院配合对学生进行安全监护，协助有关部门对事故进行调查取证；校大学生心理健康教育与咨询中心负责制订心理援助方案，实施心理救助，稳定当事人及相关学生情绪。</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（九）成因分析。</w:t>
      </w:r>
      <w:r>
        <w:rPr>
          <w:rFonts w:hint="eastAsia" w:ascii="仿宋_GB2312" w:hAnsi="仿宋" w:eastAsia="仿宋_GB2312"/>
          <w:sz w:val="32"/>
          <w:szCs w:val="32"/>
        </w:rPr>
        <w:t>事故处理结束后，二级学院开展事件的成因分析，对事前征兆、事发状态、事中干预、事后疏导等情况认真梳理。二级学院在办公系统上填写“学生心理危机事件处置备案”流程，并打印出来（含附件）交学生工作部（处）备案。</w:t>
      </w:r>
    </w:p>
    <w:p>
      <w:pPr>
        <w:pageBreakBefore w:val="0"/>
        <w:kinsoku/>
        <w:overflowPunct/>
        <w:topLinePunct w:val="0"/>
        <w:bidi w:val="0"/>
        <w:spacing w:line="596" w:lineRule="exact"/>
        <w:ind w:firstLine="643" w:firstLineChars="200"/>
        <w:outlineLvl w:val="9"/>
        <w:rPr>
          <w:rFonts w:ascii="黑体" w:hAnsi="黑体" w:eastAsia="黑体"/>
          <w:b/>
          <w:sz w:val="32"/>
          <w:szCs w:val="32"/>
        </w:rPr>
      </w:pPr>
      <w:bookmarkStart w:id="714" w:name="_Toc12898_WPSOffice_Level1"/>
      <w:r>
        <w:rPr>
          <w:rFonts w:hint="eastAsia" w:ascii="黑体" w:hAnsi="黑体" w:eastAsia="黑体"/>
          <w:b/>
          <w:sz w:val="32"/>
          <w:szCs w:val="32"/>
        </w:rPr>
        <w:t>四、心理危机干预的工作要求</w:t>
      </w:r>
      <w:bookmarkEnd w:id="714"/>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（一）信息畅通。</w:t>
      </w:r>
      <w:r>
        <w:rPr>
          <w:rFonts w:hint="eastAsia" w:ascii="仿宋_GB2312" w:hAnsi="仿宋" w:eastAsia="仿宋_GB2312"/>
          <w:sz w:val="32"/>
          <w:szCs w:val="32"/>
        </w:rPr>
        <w:t>参与危机干预的工作人员要做到快速反应，确保信息畅通。</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（二）工作到位。</w:t>
      </w:r>
      <w:r>
        <w:rPr>
          <w:rFonts w:hint="eastAsia" w:ascii="仿宋_GB2312" w:hAnsi="仿宋" w:eastAsia="仿宋_GB2312"/>
          <w:sz w:val="32"/>
          <w:szCs w:val="32"/>
        </w:rPr>
        <w:t>危机发生时，相关人员要立即赶赴现场，靠上工作，靠前指挥，迅速果断地采取有效措施。</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（三）协调配合。</w:t>
      </w:r>
      <w:r>
        <w:rPr>
          <w:rFonts w:hint="eastAsia" w:ascii="仿宋_GB2312" w:hAnsi="仿宋" w:eastAsia="仿宋_GB2312"/>
          <w:sz w:val="32"/>
          <w:szCs w:val="32"/>
        </w:rPr>
        <w:t>相关人员在现场指挥的调度下，主动配合，服从指挥。</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（四）记录备案。</w:t>
      </w:r>
      <w:r>
        <w:rPr>
          <w:rFonts w:hint="eastAsia" w:ascii="仿宋_GB2312" w:hAnsi="仿宋" w:eastAsia="仿宋_GB2312"/>
          <w:sz w:val="32"/>
          <w:szCs w:val="32"/>
        </w:rPr>
        <w:t>在危机处理过程中，相关人员要做好书面文字记录，必要时做好音像资料的收集，确保资料详细完整。</w:t>
      </w:r>
    </w:p>
    <w:p>
      <w:pPr>
        <w:pageBreakBefore w:val="0"/>
        <w:kinsoku/>
        <w:overflowPunct/>
        <w:topLinePunct w:val="0"/>
        <w:bidi w:val="0"/>
        <w:spacing w:line="596" w:lineRule="exact"/>
        <w:ind w:firstLine="643" w:firstLineChars="200"/>
        <w:outlineLvl w:val="9"/>
        <w:rPr>
          <w:rFonts w:ascii="仿宋_GB2312" w:hAnsi="仿宋" w:eastAsia="仿宋_GB2312"/>
          <w:sz w:val="32"/>
          <w:szCs w:val="32"/>
        </w:rPr>
      </w:pPr>
      <w:r>
        <w:rPr>
          <w:rFonts w:hint="eastAsia" w:ascii="楷体_GB2312" w:hAnsi="仿宋" w:eastAsia="楷体_GB2312"/>
          <w:b/>
          <w:sz w:val="32"/>
          <w:szCs w:val="32"/>
        </w:rPr>
        <w:t>（五）责任追究。</w:t>
      </w:r>
      <w:r>
        <w:rPr>
          <w:rFonts w:hint="eastAsia" w:ascii="仿宋_GB2312" w:hAnsi="仿宋" w:eastAsia="仿宋_GB2312"/>
          <w:sz w:val="32"/>
          <w:szCs w:val="32"/>
        </w:rPr>
        <w:t>对于因违反工作原则、延误时间、知情不报等造成严重后果的，追究相关部门或个人的责任。</w:t>
      </w:r>
    </w:p>
    <w:p>
      <w:pPr>
        <w:pageBreakBefore w:val="0"/>
        <w:kinsoku/>
        <w:overflowPunct/>
        <w:topLinePunct w:val="0"/>
        <w:bidi w:val="0"/>
        <w:spacing w:line="596" w:lineRule="exact"/>
        <w:outlineLvl w:val="9"/>
        <w:rPr>
          <w:rFonts w:ascii="仿宋_GB2312" w:hAnsi="仿宋" w:eastAsia="仿宋_GB2312"/>
          <w:sz w:val="32"/>
          <w:szCs w:val="32"/>
        </w:rPr>
      </w:pPr>
    </w:p>
    <w:p>
      <w:pPr>
        <w:pageBreakBefore w:val="0"/>
        <w:kinsoku/>
        <w:overflowPunct/>
        <w:topLinePunct w:val="0"/>
        <w:bidi w:val="0"/>
        <w:snapToGrid w:val="0"/>
        <w:spacing w:line="596" w:lineRule="exact"/>
        <w:outlineLvl w:val="9"/>
        <w:rPr>
          <w:rFonts w:ascii="宋体"/>
          <w:sz w:val="24"/>
        </w:rPr>
      </w:pPr>
    </w:p>
    <w:p>
      <w:pPr>
        <w:pageBreakBefore w:val="0"/>
        <w:kinsoku/>
        <w:overflowPunct/>
        <w:topLinePunct w:val="0"/>
        <w:bidi w:val="0"/>
        <w:spacing w:line="596" w:lineRule="exact"/>
        <w:ind w:firstLine="161" w:firstLineChars="50"/>
        <w:jc w:val="center"/>
        <w:outlineLvl w:val="9"/>
        <w:rPr>
          <w:rFonts w:ascii="仿宋_GB2312" w:eastAsia="仿宋_GB2312"/>
          <w:b/>
          <w:sz w:val="32"/>
          <w:szCs w:val="32"/>
        </w:rPr>
      </w:pPr>
    </w:p>
    <w:p>
      <w:pPr>
        <w:pageBreakBefore w:val="0"/>
        <w:kinsoku/>
        <w:overflowPunct/>
        <w:topLinePunct w:val="0"/>
        <w:bidi w:val="0"/>
        <w:spacing w:line="596" w:lineRule="exact"/>
        <w:ind w:firstLine="161" w:firstLineChars="50"/>
        <w:jc w:val="center"/>
        <w:outlineLvl w:val="9"/>
        <w:rPr>
          <w:rFonts w:ascii="仿宋_GB2312" w:eastAsia="仿宋_GB2312"/>
          <w:b/>
          <w:sz w:val="32"/>
          <w:szCs w:val="32"/>
        </w:rPr>
      </w:pPr>
    </w:p>
    <w:p>
      <w:pPr>
        <w:pageBreakBefore w:val="0"/>
        <w:kinsoku/>
        <w:overflowPunct/>
        <w:topLinePunct w:val="0"/>
        <w:bidi w:val="0"/>
        <w:spacing w:line="596" w:lineRule="exact"/>
        <w:outlineLvl w:val="9"/>
        <w:rPr>
          <w:sz w:val="24"/>
        </w:rPr>
        <w:sectPr>
          <w:pgSz w:w="11906" w:h="16838"/>
          <w:pgMar w:top="2098" w:right="1474" w:bottom="1984" w:left="1587" w:header="851" w:footer="992" w:gutter="0"/>
          <w:pgNumType w:fmt="decimal"/>
          <w:cols w:space="720" w:num="1"/>
          <w:docGrid w:linePitch="312" w:charSpace="0"/>
        </w:sectPr>
      </w:pPr>
    </w:p>
    <w:p>
      <w:pPr>
        <w:pageBreakBefore w:val="0"/>
        <w:widowControl/>
        <w:kinsoku/>
        <w:overflowPunct/>
        <w:topLinePunct w:val="0"/>
        <w:bidi w:val="0"/>
        <w:spacing w:before="100" w:beforeAutospacing="1" w:after="100" w:afterAutospacing="1" w:line="596" w:lineRule="exact"/>
        <w:jc w:val="center"/>
        <w:outlineLvl w:val="9"/>
        <w:rPr>
          <w:rFonts w:ascii="宋体" w:cs="宋体"/>
          <w:b/>
          <w:color w:val="000000"/>
          <w:kern w:val="0"/>
          <w:sz w:val="32"/>
          <w:szCs w:val="32"/>
        </w:rPr>
      </w:pPr>
      <w:r>
        <w:rPr>
          <w:rFonts w:hint="eastAsia" w:ascii="宋体" w:hAnsi="宋体" w:cs="宋体"/>
          <w:b/>
          <w:color w:val="000000"/>
          <w:kern w:val="0"/>
          <w:sz w:val="32"/>
          <w:szCs w:val="32"/>
        </w:rPr>
        <w:t>学生心理危机事件处置备案表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332"/>
        <w:gridCol w:w="369"/>
        <w:gridCol w:w="351"/>
        <w:gridCol w:w="1067"/>
        <w:gridCol w:w="1273"/>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2376"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当事人姓名</w:t>
            </w:r>
          </w:p>
        </w:tc>
        <w:tc>
          <w:tcPr>
            <w:tcW w:w="1332"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c>
          <w:tcPr>
            <w:tcW w:w="720"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性别</w:t>
            </w:r>
          </w:p>
        </w:tc>
        <w:tc>
          <w:tcPr>
            <w:tcW w:w="1067"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c>
          <w:tcPr>
            <w:tcW w:w="1273"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年</w:t>
            </w:r>
            <w:r>
              <w:rPr>
                <w:rFonts w:ascii="宋体" w:hAnsi="宋体" w:cs="宋体"/>
                <w:color w:val="000000"/>
                <w:sz w:val="24"/>
              </w:rPr>
              <w:t xml:space="preserve">    </w:t>
            </w:r>
            <w:r>
              <w:rPr>
                <w:rFonts w:hint="eastAsia" w:ascii="宋体" w:hAnsi="宋体" w:cs="宋体"/>
                <w:color w:val="000000"/>
                <w:sz w:val="24"/>
              </w:rPr>
              <w:t>龄</w:t>
            </w:r>
          </w:p>
        </w:tc>
        <w:tc>
          <w:tcPr>
            <w:tcW w:w="1754"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2376"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所在学院</w:t>
            </w:r>
          </w:p>
        </w:tc>
        <w:tc>
          <w:tcPr>
            <w:tcW w:w="3119" w:type="dxa"/>
            <w:gridSpan w:val="4"/>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c>
          <w:tcPr>
            <w:tcW w:w="1273"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专业班级</w:t>
            </w:r>
          </w:p>
        </w:tc>
        <w:tc>
          <w:tcPr>
            <w:tcW w:w="1754"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2376"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心理咨询老师姓名</w:t>
            </w:r>
          </w:p>
        </w:tc>
        <w:tc>
          <w:tcPr>
            <w:tcW w:w="1701"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c>
          <w:tcPr>
            <w:tcW w:w="1418"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联系方式</w:t>
            </w:r>
          </w:p>
        </w:tc>
        <w:tc>
          <w:tcPr>
            <w:tcW w:w="3027"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2376"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辅导员姓名</w:t>
            </w:r>
          </w:p>
        </w:tc>
        <w:tc>
          <w:tcPr>
            <w:tcW w:w="1701"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c>
          <w:tcPr>
            <w:tcW w:w="1418"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联系方式</w:t>
            </w:r>
          </w:p>
        </w:tc>
        <w:tc>
          <w:tcPr>
            <w:tcW w:w="3027"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exact"/>
        </w:trPr>
        <w:tc>
          <w:tcPr>
            <w:tcW w:w="2376"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主管书记姓名</w:t>
            </w:r>
          </w:p>
        </w:tc>
        <w:tc>
          <w:tcPr>
            <w:tcW w:w="1701"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c>
          <w:tcPr>
            <w:tcW w:w="1418"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联系方式</w:t>
            </w:r>
          </w:p>
        </w:tc>
        <w:tc>
          <w:tcPr>
            <w:tcW w:w="3027"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exact"/>
        </w:trPr>
        <w:tc>
          <w:tcPr>
            <w:tcW w:w="2376" w:type="dxa"/>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家长姓名</w:t>
            </w:r>
          </w:p>
        </w:tc>
        <w:tc>
          <w:tcPr>
            <w:tcW w:w="1701"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c>
          <w:tcPr>
            <w:tcW w:w="1418"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r>
              <w:rPr>
                <w:rFonts w:hint="eastAsia" w:ascii="宋体" w:hAnsi="宋体" w:cs="宋体"/>
                <w:color w:val="000000"/>
                <w:sz w:val="24"/>
              </w:rPr>
              <w:t>联系方式</w:t>
            </w:r>
          </w:p>
        </w:tc>
        <w:tc>
          <w:tcPr>
            <w:tcW w:w="3027" w:type="dxa"/>
            <w:gridSpan w:val="2"/>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65" w:hRule="atLeast"/>
        </w:trPr>
        <w:tc>
          <w:tcPr>
            <w:tcW w:w="2376" w:type="dxa"/>
            <w:noWrap w:val="0"/>
            <w:textDirection w:val="tbRlV"/>
            <w:vAlign w:val="center"/>
          </w:tcPr>
          <w:p>
            <w:pPr>
              <w:pageBreakBefore w:val="0"/>
              <w:widowControl/>
              <w:kinsoku/>
              <w:overflowPunct/>
              <w:topLinePunct w:val="0"/>
              <w:bidi w:val="0"/>
              <w:spacing w:before="100" w:beforeAutospacing="1" w:after="100" w:afterAutospacing="1" w:line="596" w:lineRule="exact"/>
              <w:ind w:left="113" w:right="113"/>
              <w:jc w:val="center"/>
              <w:outlineLvl w:val="9"/>
              <w:rPr>
                <w:rFonts w:ascii="宋体" w:cs="宋体"/>
                <w:color w:val="000000"/>
                <w:sz w:val="24"/>
              </w:rPr>
            </w:pPr>
            <w:r>
              <w:rPr>
                <w:rFonts w:hint="eastAsia" w:ascii="宋体" w:hAnsi="宋体" w:cs="宋体"/>
                <w:color w:val="000000"/>
                <w:sz w:val="24"/>
              </w:rPr>
              <w:t>事</w:t>
            </w:r>
            <w:r>
              <w:rPr>
                <w:rFonts w:ascii="宋体" w:hAnsi="宋体" w:cs="宋体"/>
                <w:color w:val="000000"/>
                <w:sz w:val="24"/>
              </w:rPr>
              <w:t xml:space="preserve"> </w:t>
            </w:r>
            <w:r>
              <w:rPr>
                <w:rFonts w:hint="eastAsia" w:ascii="宋体" w:hAnsi="宋体" w:cs="宋体"/>
                <w:color w:val="000000"/>
                <w:sz w:val="24"/>
              </w:rPr>
              <w:t>故</w:t>
            </w:r>
            <w:r>
              <w:rPr>
                <w:rFonts w:ascii="宋体" w:hAnsi="宋体" w:cs="宋体"/>
                <w:color w:val="000000"/>
                <w:sz w:val="24"/>
              </w:rPr>
              <w:t xml:space="preserve"> </w:t>
            </w:r>
            <w:r>
              <w:rPr>
                <w:rFonts w:hint="eastAsia" w:ascii="宋体" w:hAnsi="宋体" w:cs="宋体"/>
                <w:color w:val="000000"/>
                <w:sz w:val="24"/>
              </w:rPr>
              <w:t>情</w:t>
            </w:r>
            <w:r>
              <w:rPr>
                <w:rFonts w:ascii="宋体" w:hAnsi="宋体" w:cs="宋体"/>
                <w:color w:val="000000"/>
                <w:sz w:val="24"/>
              </w:rPr>
              <w:t xml:space="preserve"> </w:t>
            </w:r>
            <w:r>
              <w:rPr>
                <w:rFonts w:hint="eastAsia" w:ascii="宋体" w:hAnsi="宋体" w:cs="宋体"/>
                <w:color w:val="000000"/>
                <w:sz w:val="24"/>
              </w:rPr>
              <w:t>况</w:t>
            </w:r>
            <w:r>
              <w:rPr>
                <w:rFonts w:ascii="宋体" w:hAnsi="宋体" w:cs="宋体"/>
                <w:color w:val="000000"/>
                <w:sz w:val="24"/>
              </w:rPr>
              <w:t xml:space="preserve"> </w:t>
            </w:r>
            <w:r>
              <w:rPr>
                <w:rFonts w:hint="eastAsia" w:ascii="宋体" w:hAnsi="宋体" w:cs="宋体"/>
                <w:color w:val="000000"/>
                <w:sz w:val="24"/>
              </w:rPr>
              <w:t>简</w:t>
            </w:r>
            <w:r>
              <w:rPr>
                <w:rFonts w:ascii="宋体" w:hAnsi="宋体" w:cs="宋体"/>
                <w:color w:val="000000"/>
                <w:sz w:val="24"/>
              </w:rPr>
              <w:t xml:space="preserve"> </w:t>
            </w:r>
            <w:r>
              <w:rPr>
                <w:rFonts w:hint="eastAsia" w:ascii="宋体" w:hAnsi="宋体" w:cs="宋体"/>
                <w:color w:val="000000"/>
                <w:sz w:val="24"/>
              </w:rPr>
              <w:t>述</w:t>
            </w:r>
          </w:p>
        </w:tc>
        <w:tc>
          <w:tcPr>
            <w:tcW w:w="6146" w:type="dxa"/>
            <w:gridSpan w:val="6"/>
            <w:noWrap w:val="0"/>
            <w:vAlign w:val="top"/>
          </w:tcPr>
          <w:p>
            <w:pPr>
              <w:pageBreakBefore w:val="0"/>
              <w:widowControl/>
              <w:kinsoku/>
              <w:overflowPunct/>
              <w:topLinePunct w:val="0"/>
              <w:bidi w:val="0"/>
              <w:spacing w:before="100" w:beforeAutospacing="1" w:after="100" w:afterAutospacing="1" w:line="596" w:lineRule="exact"/>
              <w:outlineLvl w:val="9"/>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6" w:hRule="atLeast"/>
        </w:trPr>
        <w:tc>
          <w:tcPr>
            <w:tcW w:w="2376" w:type="dxa"/>
            <w:noWrap w:val="0"/>
            <w:textDirection w:val="tbRlV"/>
            <w:vAlign w:val="center"/>
          </w:tcPr>
          <w:p>
            <w:pPr>
              <w:pageBreakBefore w:val="0"/>
              <w:widowControl/>
              <w:kinsoku/>
              <w:overflowPunct/>
              <w:topLinePunct w:val="0"/>
              <w:bidi w:val="0"/>
              <w:spacing w:before="100" w:beforeAutospacing="1" w:after="100" w:afterAutospacing="1" w:line="596" w:lineRule="exact"/>
              <w:ind w:left="113" w:right="113"/>
              <w:jc w:val="center"/>
              <w:outlineLvl w:val="9"/>
              <w:rPr>
                <w:rFonts w:ascii="宋体" w:cs="宋体"/>
                <w:color w:val="000000"/>
                <w:sz w:val="24"/>
              </w:rPr>
            </w:pPr>
            <w:r>
              <w:rPr>
                <w:rFonts w:hint="eastAsia" w:ascii="宋体" w:hAnsi="宋体" w:cs="宋体"/>
                <w:color w:val="000000"/>
                <w:sz w:val="24"/>
              </w:rPr>
              <w:t>学</w:t>
            </w:r>
            <w:r>
              <w:rPr>
                <w:rFonts w:ascii="宋体" w:hAnsi="宋体" w:cs="宋体"/>
                <w:color w:val="000000"/>
                <w:sz w:val="24"/>
              </w:rPr>
              <w:t xml:space="preserve"> </w:t>
            </w:r>
            <w:r>
              <w:rPr>
                <w:rFonts w:hint="eastAsia" w:ascii="宋体" w:hAnsi="宋体" w:cs="宋体"/>
                <w:color w:val="000000"/>
                <w:sz w:val="24"/>
              </w:rPr>
              <w:t>院</w:t>
            </w:r>
            <w:r>
              <w:rPr>
                <w:rFonts w:ascii="宋体" w:hAnsi="宋体" w:cs="宋体"/>
                <w:color w:val="000000"/>
                <w:sz w:val="24"/>
              </w:rPr>
              <w:t xml:space="preserve"> </w:t>
            </w:r>
            <w:r>
              <w:rPr>
                <w:rFonts w:hint="eastAsia" w:ascii="宋体" w:hAnsi="宋体" w:cs="宋体"/>
                <w:color w:val="000000"/>
                <w:sz w:val="24"/>
              </w:rPr>
              <w:t>处</w:t>
            </w:r>
            <w:r>
              <w:rPr>
                <w:rFonts w:ascii="宋体" w:hAnsi="宋体" w:cs="宋体"/>
                <w:color w:val="000000"/>
                <w:sz w:val="24"/>
              </w:rPr>
              <w:t xml:space="preserve"> </w:t>
            </w:r>
            <w:r>
              <w:rPr>
                <w:rFonts w:hint="eastAsia" w:ascii="宋体" w:hAnsi="宋体" w:cs="宋体"/>
                <w:color w:val="000000"/>
                <w:sz w:val="24"/>
              </w:rPr>
              <w:t>理</w:t>
            </w:r>
            <w:r>
              <w:rPr>
                <w:rFonts w:ascii="宋体" w:hAnsi="宋体" w:cs="宋体"/>
                <w:color w:val="000000"/>
                <w:sz w:val="24"/>
              </w:rPr>
              <w:t xml:space="preserve"> </w:t>
            </w:r>
            <w:r>
              <w:rPr>
                <w:rFonts w:hint="eastAsia" w:ascii="宋体" w:hAnsi="宋体" w:cs="宋体"/>
                <w:color w:val="000000"/>
                <w:sz w:val="24"/>
              </w:rPr>
              <w:t>情</w:t>
            </w:r>
            <w:r>
              <w:rPr>
                <w:rFonts w:ascii="宋体" w:hAnsi="宋体" w:cs="宋体"/>
                <w:color w:val="000000"/>
                <w:sz w:val="24"/>
              </w:rPr>
              <w:t xml:space="preserve"> </w:t>
            </w:r>
            <w:r>
              <w:rPr>
                <w:rFonts w:hint="eastAsia" w:ascii="宋体" w:hAnsi="宋体" w:cs="宋体"/>
                <w:color w:val="000000"/>
                <w:sz w:val="24"/>
              </w:rPr>
              <w:t>况</w:t>
            </w:r>
          </w:p>
        </w:tc>
        <w:tc>
          <w:tcPr>
            <w:tcW w:w="6146" w:type="dxa"/>
            <w:gridSpan w:val="6"/>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82" w:hRule="atLeast"/>
        </w:trPr>
        <w:tc>
          <w:tcPr>
            <w:tcW w:w="2376" w:type="dxa"/>
            <w:noWrap w:val="0"/>
            <w:textDirection w:val="tbRlV"/>
            <w:vAlign w:val="center"/>
          </w:tcPr>
          <w:p>
            <w:pPr>
              <w:pageBreakBefore w:val="0"/>
              <w:widowControl/>
              <w:kinsoku/>
              <w:overflowPunct/>
              <w:topLinePunct w:val="0"/>
              <w:bidi w:val="0"/>
              <w:spacing w:before="100" w:beforeAutospacing="1" w:after="100" w:afterAutospacing="1" w:line="596" w:lineRule="exact"/>
              <w:ind w:left="113" w:right="113"/>
              <w:jc w:val="center"/>
              <w:outlineLvl w:val="9"/>
              <w:rPr>
                <w:rFonts w:ascii="宋体" w:cs="宋体"/>
                <w:color w:val="000000"/>
                <w:sz w:val="24"/>
              </w:rPr>
            </w:pPr>
            <w:r>
              <w:rPr>
                <w:rFonts w:hint="eastAsia" w:ascii="宋体" w:hAnsi="宋体" w:cs="宋体"/>
                <w:color w:val="000000"/>
                <w:sz w:val="24"/>
              </w:rPr>
              <w:t>心理中心意见与建议</w:t>
            </w:r>
          </w:p>
        </w:tc>
        <w:tc>
          <w:tcPr>
            <w:tcW w:w="6146" w:type="dxa"/>
            <w:gridSpan w:val="6"/>
            <w:noWrap w:val="0"/>
            <w:vAlign w:val="top"/>
          </w:tcPr>
          <w:p>
            <w:pPr>
              <w:pageBreakBefore w:val="0"/>
              <w:widowControl/>
              <w:kinsoku/>
              <w:overflowPunct/>
              <w:topLinePunct w:val="0"/>
              <w:bidi w:val="0"/>
              <w:spacing w:before="100" w:beforeAutospacing="1" w:after="100" w:afterAutospacing="1" w:line="596" w:lineRule="exact"/>
              <w:jc w:val="center"/>
              <w:outlineLvl w:val="9"/>
              <w:rPr>
                <w:rFonts w:ascii="宋体" w:cs="宋体"/>
                <w:color w:val="000000"/>
                <w:sz w:val="24"/>
              </w:rPr>
            </w:pPr>
          </w:p>
        </w:tc>
      </w:tr>
    </w:tbl>
    <w:p>
      <w:pPr>
        <w:pageBreakBefore w:val="0"/>
        <w:kinsoku/>
        <w:overflowPunct/>
        <w:topLinePunct w:val="0"/>
        <w:bidi w:val="0"/>
        <w:spacing w:line="20" w:lineRule="exact"/>
        <w:outlineLvl w:val="9"/>
        <w:rPr>
          <w:rFonts w:ascii="仿宋_GB2312" w:hAnsi="宋体" w:eastAsia="仿宋_GB2312"/>
          <w:sz w:val="32"/>
          <w:szCs w:val="32"/>
        </w:rPr>
      </w:pPr>
    </w:p>
    <w:p>
      <w:pPr>
        <w:pageBreakBefore w:val="0"/>
        <w:kinsoku/>
        <w:overflowPunct/>
        <w:topLinePunct w:val="0"/>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asciiTheme="minorEastAsia" w:hAnsiTheme="minorEastAsia" w:eastAsiaTheme="minorEastAsia"/>
          <w:b/>
          <w:bCs/>
          <w:color w:val="000000"/>
          <w:kern w:val="2"/>
          <w:sz w:val="36"/>
          <w:szCs w:val="36"/>
        </w:rPr>
      </w:pPr>
      <w:bookmarkStart w:id="715" w:name="_Toc534377751"/>
      <w:bookmarkStart w:id="716" w:name="_Toc17944"/>
      <w:bookmarkStart w:id="717" w:name="_Toc14247"/>
      <w:bookmarkStart w:id="718" w:name="_Toc22036"/>
      <w:bookmarkStart w:id="719" w:name="_Toc5582"/>
      <w:bookmarkStart w:id="720" w:name="_Toc22921_WPSOffice_Level1"/>
      <w:r>
        <w:rPr>
          <w:rFonts w:hint="eastAsia" w:asciiTheme="minorEastAsia" w:hAnsiTheme="minorEastAsia" w:eastAsiaTheme="minorEastAsia"/>
          <w:b/>
          <w:bCs/>
          <w:color w:val="000000"/>
          <w:kern w:val="2"/>
          <w:sz w:val="36"/>
          <w:szCs w:val="36"/>
        </w:rPr>
        <w:t>柳州职业技术学院</w:t>
      </w:r>
      <w:bookmarkEnd w:id="715"/>
      <w:bookmarkStart w:id="721" w:name="_Toc534377752"/>
      <w:r>
        <w:rPr>
          <w:rFonts w:hint="eastAsia" w:asciiTheme="minorEastAsia" w:hAnsiTheme="minorEastAsia" w:eastAsiaTheme="minorEastAsia"/>
          <w:b/>
          <w:bCs/>
          <w:color w:val="000000"/>
          <w:kern w:val="2"/>
          <w:sz w:val="36"/>
          <w:szCs w:val="36"/>
        </w:rPr>
        <w:t>学生心理咨询预约管理规定</w:t>
      </w:r>
      <w:bookmarkEnd w:id="716"/>
      <w:bookmarkEnd w:id="717"/>
      <w:bookmarkEnd w:id="718"/>
      <w:bookmarkEnd w:id="719"/>
      <w:bookmarkEnd w:id="720"/>
      <w:bookmarkEnd w:id="721"/>
    </w:p>
    <w:p>
      <w:pPr>
        <w:pStyle w:val="10"/>
        <w:pageBreakBefore w:val="0"/>
        <w:kinsoku/>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（柳职学字〔2016〕62号）</w:t>
      </w:r>
    </w:p>
    <w:p>
      <w:pPr>
        <w:pageBreakBefore w:val="0"/>
        <w:kinsoku/>
        <w:overflowPunct/>
        <w:topLinePunct w:val="0"/>
        <w:bidi w:val="0"/>
        <w:adjustRightInd w:val="0"/>
        <w:snapToGrid w:val="0"/>
        <w:spacing w:line="360" w:lineRule="auto"/>
        <w:ind w:firstLine="480" w:firstLineChars="200"/>
        <w:jc w:val="left"/>
        <w:outlineLvl w:val="9"/>
        <w:rPr>
          <w:sz w:val="24"/>
        </w:rPr>
      </w:pP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为了规范我校心理咨询工作，让有心理咨询需求的学生了解我校心理咨询室的预约方式及流程，使心理咨询工作能够有序、高效的进行，现制定《学生心理咨询预约管理规定》。</w:t>
      </w:r>
    </w:p>
    <w:p>
      <w:pPr>
        <w:pageBreakBefore w:val="0"/>
        <w:kinsoku/>
        <w:overflowPunct/>
        <w:topLinePunct w:val="0"/>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一、预约方式</w:t>
      </w:r>
    </w:p>
    <w:p>
      <w:pPr>
        <w:pageBreakBefore w:val="0"/>
        <w:kinsoku/>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1．现场预约</w:t>
      </w:r>
      <w:r>
        <w:rPr>
          <w:rFonts w:hint="eastAsia" w:ascii="仿宋_GB2312" w:eastAsia="仿宋_GB2312"/>
          <w:sz w:val="32"/>
          <w:szCs w:val="32"/>
        </w:rPr>
        <w:t>：来访者本人到咨询办公室提出预约申请</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  接待时间：周一至周五8:00-12:00,15:00-18:00</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   预约地点：社湾校区学生服务中心</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              官塘校区学生服务中心</w:t>
      </w:r>
    </w:p>
    <w:p>
      <w:pPr>
        <w:pageBreakBefore w:val="0"/>
        <w:kinsoku/>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2．电话预约：</w:t>
      </w:r>
      <w:r>
        <w:rPr>
          <w:rFonts w:hint="eastAsia" w:ascii="仿宋_GB2312" w:eastAsia="仿宋_GB2312"/>
          <w:sz w:val="32"/>
          <w:szCs w:val="32"/>
        </w:rPr>
        <w:t>来访者致电咨询室进行预约</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1）要预约的学生可拨打预约室电话：社湾校区3156525（24小时），3156110，官塘校区3159110（24小时）。预约时需将自己的姓氏（如实在不愿意暴露身份，可以化名）、二级学院、专业、期待咨询时间和地点、拟预约咨询老师告知值班的老师或当天值班的学生助理。 </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接到预约电话，值班老师或学生助理在值班登记表“预约情况”一栏注明学生期待咨询时间和地点、预约学生的姓氏（如实在不愿意暴露身份，可以化名）、二级学院、专业、来电时间，拟预约咨询老师等信息，值班老师或学生助理电话通知相应咨询老师按时咨询；如相应咨询老师在学生期待咨询时间不便，则由咨询老师自行与预约学生进一步沟通具体的时间和地点。</w:t>
      </w:r>
    </w:p>
    <w:p>
      <w:pPr>
        <w:pageBreakBefore w:val="0"/>
        <w:kinsoku/>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3．网络预约：</w:t>
      </w:r>
      <w:r>
        <w:rPr>
          <w:rFonts w:hint="eastAsia" w:ascii="仿宋_GB2312" w:eastAsia="仿宋_GB2312"/>
          <w:sz w:val="32"/>
          <w:szCs w:val="32"/>
        </w:rPr>
        <w:t>来访者可通过易班网络平台进行预约</w:t>
      </w:r>
    </w:p>
    <w:p>
      <w:pPr>
        <w:pageBreakBefore w:val="0"/>
        <w:kinsoku/>
        <w:overflowPunct/>
        <w:topLinePunct w:val="0"/>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二、咨询地点：</w:t>
      </w:r>
    </w:p>
    <w:p>
      <w:pPr>
        <w:pageBreakBefore w:val="0"/>
        <w:kinsoku/>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1．社湾校区</w:t>
      </w:r>
      <w:r>
        <w:rPr>
          <w:rFonts w:hint="eastAsia" w:ascii="仿宋_GB2312" w:eastAsia="仿宋_GB2312"/>
          <w:sz w:val="32"/>
          <w:szCs w:val="32"/>
        </w:rPr>
        <w:t>心理咨询室的地点在坡上海纳楼二楼206、学生服务中心一楼103。</w:t>
      </w:r>
    </w:p>
    <w:p>
      <w:pPr>
        <w:pageBreakBefore w:val="0"/>
        <w:kinsoku/>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2．官塘校区</w:t>
      </w:r>
      <w:r>
        <w:rPr>
          <w:rFonts w:hint="eastAsia" w:ascii="仿宋_GB2312" w:eastAsia="仿宋_GB2312"/>
          <w:sz w:val="32"/>
          <w:szCs w:val="32"/>
        </w:rPr>
        <w:t>心理咨询室的地点在T1-B304。</w:t>
      </w:r>
    </w:p>
    <w:p>
      <w:pPr>
        <w:pageBreakBefore w:val="0"/>
        <w:kinsoku/>
        <w:overflowPunct/>
        <w:topLinePunct w:val="0"/>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三、预约注意事项：</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1．学生需经过预约才能咨询，心理咨询室原则上只接待已预约的来访者。</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临时需要咨询、或不愿意通过预约方式确定咨询关系的学生，可以到学生服务中心寻求心理咨询。咨询老师将按照预约时间优先安排的原则，为学生提供日常心理咨询服务。</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2．预约时请与心理咨询老师或当天值班的学生助理约定咨询的具体时间和所要咨询的问题，首次咨询时请尽量提供真实、有效信息，并提供正确的联系方式。心理健康教育中心会遵守职业道德，保护您的隐私。</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3．学校心理健康教育中心根据预约信息进行合理安排，并及时通知来访学生具体咨询时间。</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4．咨询时间确定后，老师、学生应准时赴约，确保心理咨询有一个良好开端。每次心理咨询大约50分钟。咨询时咨询员会在心理咨询室门口挂上“正在咨询中”的牌子，保证咨询时不受干扰。</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5．在一次咨询结束时，可预约下一次咨询的时间。</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6．如果在预约的时间里不能赴约，请提前24小时以上退约。退约方式同预约方式，电话进行取消，取消电话同预约电话：社湾校区3156525（24小时），3156110，官塘校区3159110（24小时）。</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7．在咨询时间开始后15分钟内保留来访学生的预约时间，咨询结束时间不顺延。有事先说明的，迟到15分钟以上，取消本次预约，请重新预约。</w:t>
      </w:r>
    </w:p>
    <w:p>
      <w:pPr>
        <w:pageBreakBefore w:val="0"/>
        <w:kinsoku/>
        <w:overflowPunct/>
        <w:topLinePunct w:val="0"/>
        <w:bidi w:val="0"/>
        <w:spacing w:line="590" w:lineRule="exact"/>
        <w:ind w:firstLine="640" w:firstLineChars="200"/>
        <w:outlineLvl w:val="9"/>
        <w:rPr>
          <w:rFonts w:ascii="仿宋_GB2312" w:eastAsia="仿宋_GB2312"/>
          <w:sz w:val="32"/>
          <w:szCs w:val="32"/>
        </w:rPr>
      </w:pPr>
    </w:p>
    <w:p>
      <w:pPr>
        <w:pageBreakBefore w:val="0"/>
        <w:widowControl/>
        <w:kinsoku/>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asciiTheme="minorEastAsia" w:hAnsiTheme="minorEastAsia" w:eastAsiaTheme="minorEastAsia"/>
          <w:b/>
          <w:bCs/>
          <w:color w:val="000000"/>
          <w:kern w:val="2"/>
          <w:sz w:val="36"/>
          <w:szCs w:val="36"/>
        </w:rPr>
      </w:pPr>
      <w:bookmarkStart w:id="722" w:name="_Toc534377753"/>
      <w:bookmarkStart w:id="723" w:name="_Toc10801"/>
      <w:bookmarkStart w:id="724" w:name="_Toc22314"/>
      <w:bookmarkStart w:id="725" w:name="_Toc24061_WPSOffice_Level1"/>
      <w:bookmarkStart w:id="726" w:name="_Toc30704"/>
      <w:bookmarkStart w:id="727" w:name="_Toc3640"/>
      <w:r>
        <w:rPr>
          <w:rFonts w:hint="eastAsia" w:asciiTheme="minorEastAsia" w:hAnsiTheme="minorEastAsia" w:eastAsiaTheme="minorEastAsia"/>
          <w:b/>
          <w:bCs/>
          <w:color w:val="000000"/>
          <w:kern w:val="2"/>
          <w:sz w:val="36"/>
          <w:szCs w:val="36"/>
        </w:rPr>
        <w:t>柳州职业技术学院</w:t>
      </w:r>
      <w:bookmarkEnd w:id="722"/>
      <w:bookmarkStart w:id="728" w:name="_Toc534377754"/>
      <w:r>
        <w:rPr>
          <w:rFonts w:hint="eastAsia" w:asciiTheme="minorEastAsia" w:hAnsiTheme="minorEastAsia" w:eastAsiaTheme="minorEastAsia"/>
          <w:b/>
          <w:bCs/>
          <w:color w:val="000000"/>
          <w:kern w:val="2"/>
          <w:sz w:val="36"/>
          <w:szCs w:val="36"/>
        </w:rPr>
        <w:t>学生心理咨询相关人员工作制度</w:t>
      </w:r>
      <w:bookmarkEnd w:id="723"/>
      <w:bookmarkEnd w:id="724"/>
      <w:bookmarkEnd w:id="725"/>
      <w:bookmarkEnd w:id="726"/>
      <w:bookmarkEnd w:id="727"/>
      <w:bookmarkEnd w:id="728"/>
    </w:p>
    <w:p>
      <w:pPr>
        <w:pStyle w:val="10"/>
        <w:pageBreakBefore w:val="0"/>
        <w:kinsoku/>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（柳职学字〔2016〕63号）</w:t>
      </w:r>
    </w:p>
    <w:p>
      <w:pPr>
        <w:pageBreakBefore w:val="0"/>
        <w:kinsoku/>
        <w:overflowPunct/>
        <w:topLinePunct w:val="0"/>
        <w:bidi w:val="0"/>
        <w:spacing w:line="590" w:lineRule="exact"/>
        <w:ind w:firstLine="643" w:firstLineChars="200"/>
        <w:outlineLvl w:val="9"/>
        <w:rPr>
          <w:rFonts w:ascii="仿宋_GB2312" w:eastAsia="仿宋_GB2312"/>
          <w:b/>
          <w:bCs/>
          <w:sz w:val="32"/>
          <w:szCs w:val="32"/>
        </w:rPr>
      </w:pPr>
    </w:p>
    <w:p>
      <w:pPr>
        <w:pageBreakBefore w:val="0"/>
        <w:kinsoku/>
        <w:overflowPunct/>
        <w:topLinePunct w:val="0"/>
        <w:bidi w:val="0"/>
        <w:spacing w:line="590" w:lineRule="exact"/>
        <w:ind w:firstLine="643" w:firstLineChars="200"/>
        <w:outlineLvl w:val="9"/>
        <w:rPr>
          <w:rFonts w:ascii="黑体" w:hAnsi="黑体" w:eastAsia="黑体"/>
          <w:b/>
          <w:bCs/>
          <w:sz w:val="32"/>
          <w:szCs w:val="32"/>
        </w:rPr>
      </w:pPr>
      <w:bookmarkStart w:id="729" w:name="_Toc16348_WPSOffice_Level1"/>
      <w:r>
        <w:rPr>
          <w:rFonts w:hint="eastAsia" w:ascii="黑体" w:hAnsi="黑体" w:eastAsia="黑体"/>
          <w:b/>
          <w:bCs/>
          <w:sz w:val="32"/>
          <w:szCs w:val="32"/>
        </w:rPr>
        <w:t>一、学生心理咨询人员的聘任与要求</w:t>
      </w:r>
      <w:bookmarkEnd w:id="729"/>
    </w:p>
    <w:p>
      <w:pPr>
        <w:pageBreakBefore w:val="0"/>
        <w:kinsoku/>
        <w:overflowPunct/>
        <w:topLinePunct w:val="0"/>
        <w:bidi w:val="0"/>
        <w:spacing w:line="590"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（一）学生心理咨询专兼职人员应符合如下条件：</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1.具有正确的世界观、人生观和良好的思想道德素质以及健全的人格；</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2.热爱并乐意从事学生心理健康工作，有较强的事业心和工作责任感，有奉献精神和协作精神，有开拓进取和创新意识；</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3.具有心理学专业知识并取得心理咨询师相关证书，有丰富实践经验；</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4.具有一定教学、科研能力和较强的语言表达能力。</w:t>
      </w:r>
    </w:p>
    <w:p>
      <w:pPr>
        <w:pageBreakBefore w:val="0"/>
        <w:kinsoku/>
        <w:overflowPunct/>
        <w:topLinePunct w:val="0"/>
        <w:bidi w:val="0"/>
        <w:spacing w:line="590"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  （二）学生心理咨询专兼职人员必须恪守如下职业道德和纪律规范：</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1.尊重科学，实事求是，禁止宣扬和采用迷信、虚幻、神灵等一切非科学的理论和方法；</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2.忠于职守，尽职尽责，热情、真诚、耐心、认真地为来访者服务；</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3.尊重来访者的人格、权利和隐私，对来访者的个人信息和资料予以保密，确因工作或研究需要而引用咨询资料时，应以确保当事人的隐私权等民事权利不受侵害为前提；</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4.在实施有关与人格、智力、情绪和心理健康等心理测试时，均应向受测者说明测试的目的、程序和注意事项，在测试后应结合测量工具的信度、效度及适用性将测量结果向受测者做出反馈和客观适当的解释，但解释时不得使用极端的词汇，不得夸大心理测量工具的效用，不得随意给来访者做出有关精神疾患的诊断，不得对来访者的心理问题妄自下结论；</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5.在与来访者建立咨询关系或实施心理治疗之前，应告之来访者此次咨询或治疗的目的、规则和注意事项；对问题的界定、预期的目标、采取的措施以及可能出现的结果，应当告知当事人，并与当事人协商以求达成一致意见；若治疗属于实验性或研究性的，应经当事人同意之后方可进行；</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6.在咨询过程中，如果发现来访者情绪不稳、行为反常、有自残、自杀或伤害他人的倾向以及其他危机个案时，应立即采取适当的措施进行干预，并将情况及时报告给该学生所在二级学院、学生工作处及心理健康教育中心；</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  7.在咨询过程中，如感到无法帮助来访者或者来访者的问题已经超出心理健康教育中心的服务范围时，应及时终止咨询关系，转给专家或其他有关专业机构处理，并及时向有关方面报告或通报；</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bCs/>
          <w:sz w:val="32"/>
          <w:szCs w:val="32"/>
        </w:rPr>
        <w:t>  8.在咨询中坚持客观性原则，注意保持角色的一致性，不将个人的情感、好恶掺杂在工作中，不代当事人作决定，不与当事人发生非咨询的或不正当的关系。</w:t>
      </w:r>
    </w:p>
    <w:p>
      <w:pPr>
        <w:pageBreakBefore w:val="0"/>
        <w:kinsoku/>
        <w:overflowPunct/>
        <w:topLinePunct w:val="0"/>
        <w:bidi w:val="0"/>
        <w:spacing w:line="590" w:lineRule="exact"/>
        <w:ind w:firstLine="643" w:firstLineChars="200"/>
        <w:outlineLvl w:val="9"/>
        <w:rPr>
          <w:rFonts w:ascii="黑体" w:hAnsi="黑体" w:eastAsia="黑体"/>
          <w:b/>
          <w:bCs/>
          <w:sz w:val="32"/>
          <w:szCs w:val="32"/>
        </w:rPr>
      </w:pPr>
      <w:bookmarkStart w:id="730" w:name="_Toc7172_WPSOffice_Level1"/>
      <w:r>
        <w:rPr>
          <w:rFonts w:hint="eastAsia" w:ascii="黑体" w:hAnsi="黑体" w:eastAsia="黑体"/>
          <w:b/>
          <w:bCs/>
          <w:sz w:val="32"/>
          <w:szCs w:val="32"/>
        </w:rPr>
        <w:t>二、学生心理咨询相关人员工作职责</w:t>
      </w:r>
      <w:bookmarkEnd w:id="730"/>
    </w:p>
    <w:p>
      <w:pPr>
        <w:pageBreakBefore w:val="0"/>
        <w:kinsoku/>
        <w:overflowPunct/>
        <w:topLinePunct w:val="0"/>
        <w:bidi w:val="0"/>
        <w:spacing w:line="590"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（一）咨询老师职责：</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1.咨询老师接到预约学生信息，如对预约学生期望咨询时间和地点无异议，请按时到指定时间和地点咨询，如有事需要更改时间和地点，及时联系预约学生，确定咨询时间和地点。</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2.咨询完成后，咨询老师在值班登记表填写《心理咨询记录表》，3天内填写好《心理咨询记录表》交给组长（电子、纸质都可，最好纸质），如是连续个案，可延后。</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咨询老师值班期间，原则上要求值班老师负责该期间内来电预约学生的心理咨询，如学生期待咨询时间不在值班时间内，可与学生协商，必须在3天内完成心理咨询（除三月三、清明、五一、端午等长假）；如出差在外或其他特殊情况，通知心理健康教育中心（以下简称“中心”）负责人，由中心负责人更换咨询老师；如学生指定咨询老师，则由相关咨询老师与学生协商时间。</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4.咨询时间确定后，应准时赴约，每次心理咨询大约50分钟，遵守心理咨询原则。</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5.若需要危机干预，请及时将情况反馈给学生辅导员和学生工作处。</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6.若学生在预约时间段未到，视为“弃约”。原来预约的老师需负责了解学生未到的原因，确定该学生安全即可，同时电话社湾校区3156525（24小时），3156110，或官塘校区3159110（24小时）反馈相关信息，让值班学生或老师做好登记。</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7.行政坐班人员（含辅导员）兼职心理咨询师，若心理咨询工作与本职工作相冲突，根据实际情况，心理咨询在紧急情况下，并且不能转介，必须按时完成心理咨询；若心理咨询不紧急，可延后咨询或反映给中心负责人，更换咨询师。</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8.行政坐班人员（含辅导员）兼职心理咨询师，若遇到学生需要在行政上班时间进行心理咨询，请和直属领导报备，允许后前往咨询。</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9.值班咨询师请按照值班安排表值班，值班期间请保持手机24小时开通（以防突发事情），周六只接受电话咨询（除非遇到紧急情况），值班期间如果遇到特殊情况无法正常值班，请自行与其他值班咨询师提前协调好时间，并报给学生工作处中心负责人备案。</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10.负责来访者第一次访谈的咨询员为此个案的首询咨询员。首询咨询员为此个案的负责人，他必须将此个案认真完成，直至结案。如因特殊原因无法完成个案，及时转介。</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11.出现一下情况，请及时转介，并做好相应的转介工作，原咨询人员与转介咨询人员确保在来访者自愿的情况下，做好沟通顺利转介：</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（1）当咨询员由于工作安排改变等原因不能再继续完成个案时；</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（2）在咨询过程中，若发生了不利于咨询进行的因素，或咨询员感到自己无法完成咨询时。</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12.遵守心理咨询原则。</w:t>
      </w:r>
    </w:p>
    <w:p>
      <w:pPr>
        <w:pageBreakBefore w:val="0"/>
        <w:kinsoku/>
        <w:overflowPunct/>
        <w:topLinePunct w:val="0"/>
        <w:bidi w:val="0"/>
        <w:spacing w:line="590"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（二）心理咨询办公室负责人职责：</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1.负责新生心理测评工作，安排各二级学院心理工作站进行新生心理普查与筛查，并安排心理咨询团队老师进一步约谈，做好心理健康状况的报告。</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建立并适时更新全校学生心理档案，定期分类整理、报告学生心理健康状况</w:t>
      </w:r>
      <w:r>
        <w:rPr>
          <w:rFonts w:hint="eastAsia" w:ascii="仿宋_GB2312" w:eastAsia="仿宋_GB2312"/>
          <w:sz w:val="32"/>
          <w:szCs w:val="32"/>
        </w:rPr>
        <w:t>。</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开展日常心理咨询活动，</w:t>
      </w:r>
      <w:r>
        <w:rPr>
          <w:rFonts w:hint="eastAsia" w:ascii="仿宋_GB2312" w:eastAsia="仿宋_GB2312"/>
          <w:sz w:val="32"/>
          <w:szCs w:val="32"/>
        </w:rPr>
        <w:t>协调心理咨询工作，每月收集《心理咨询记录表》。</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4.建立学生心理危机干预系统，</w:t>
      </w:r>
      <w:r>
        <w:rPr>
          <w:rFonts w:ascii="仿宋_GB2312" w:eastAsia="仿宋_GB2312"/>
          <w:sz w:val="32"/>
          <w:szCs w:val="32"/>
        </w:rPr>
        <w:t>对出现心理危机的学生进行心理危机干预，预防并减少心理危机事件的出现，对有严重心理障碍的学生及时转介</w:t>
      </w:r>
      <w:r>
        <w:rPr>
          <w:rFonts w:hint="eastAsia" w:ascii="仿宋_GB2312" w:eastAsia="仿宋_GB2312"/>
          <w:sz w:val="32"/>
          <w:szCs w:val="32"/>
        </w:rPr>
        <w:t>。</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5.遵守心理咨询原则。</w:t>
      </w:r>
    </w:p>
    <w:p>
      <w:pPr>
        <w:pageBreakBefore w:val="0"/>
        <w:kinsoku/>
        <w:overflowPunct/>
        <w:topLinePunct w:val="0"/>
        <w:bidi w:val="0"/>
        <w:spacing w:line="590"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（三）心理咨询组长职责：</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1.分为社湾校区、官塘校区两个小组长。</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2.协调心理咨询师以及心理咨询室、收齐相应资料。</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3.组长每周核对《学生心理预约登记表》，查看预约情况，预约者没有按规定时间到咨询室咨询，将该情况告知原来预约的老师，由该老师负责了解未到原因，并做好登记。</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4.每月7日前由组长交《心理咨询记录表》给心理咨询办公室负责人。</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5.如有特殊情况，联系心理咨询办公室负责人</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6.安排好学生助理工作。</w:t>
      </w:r>
    </w:p>
    <w:p>
      <w:pPr>
        <w:pageBreakBefore w:val="0"/>
        <w:kinsoku/>
        <w:overflowPunct/>
        <w:topLinePunct w:val="0"/>
        <w:bidi w:val="0"/>
        <w:spacing w:line="590"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（四）心理督导职责：</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1.分小组进行朋辈督导，选择有国家二级心理咨询师证并有10以上工作经验的老师担任心理督导。</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2.指导心理咨询，</w:t>
      </w:r>
      <w:r>
        <w:rPr>
          <w:rFonts w:ascii="仿宋_GB2312" w:eastAsia="仿宋_GB2312"/>
          <w:sz w:val="32"/>
          <w:szCs w:val="32"/>
        </w:rPr>
        <w:t>包括专业理论、技巧和方法的熟练掌握、运用</w:t>
      </w:r>
      <w:r>
        <w:rPr>
          <w:rFonts w:hint="eastAsia" w:ascii="仿宋_GB2312" w:eastAsia="仿宋_GB2312"/>
          <w:sz w:val="32"/>
          <w:szCs w:val="32"/>
        </w:rPr>
        <w:t>；</w:t>
      </w:r>
      <w:r>
        <w:rPr>
          <w:rFonts w:ascii="仿宋_GB2312" w:eastAsia="仿宋_GB2312"/>
          <w:sz w:val="32"/>
          <w:szCs w:val="32"/>
        </w:rPr>
        <w:t>提高</w:t>
      </w:r>
      <w:r>
        <w:rPr>
          <w:rFonts w:hint="eastAsia" w:ascii="仿宋_GB2312" w:eastAsia="仿宋_GB2312"/>
          <w:sz w:val="32"/>
          <w:szCs w:val="32"/>
        </w:rPr>
        <w:t>心理咨询师</w:t>
      </w:r>
      <w:r>
        <w:rPr>
          <w:rFonts w:ascii="仿宋_GB2312" w:eastAsia="仿宋_GB2312"/>
          <w:sz w:val="32"/>
          <w:szCs w:val="32"/>
        </w:rPr>
        <w:t>分析和解决个案问题的能力</w:t>
      </w:r>
      <w:r>
        <w:rPr>
          <w:rFonts w:hint="eastAsia" w:ascii="仿宋_GB2312" w:eastAsia="仿宋_GB2312"/>
          <w:sz w:val="32"/>
          <w:szCs w:val="32"/>
        </w:rPr>
        <w:t>等</w:t>
      </w:r>
    </w:p>
    <w:p>
      <w:pPr>
        <w:pageBreakBefore w:val="0"/>
        <w:kinsoku/>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3.组织开展案例学习研讨等朋辈督导会议，原则上每周或每月召开一次讨论会，形式可灵活。</w:t>
      </w:r>
    </w:p>
    <w:p>
      <w:pPr>
        <w:pageBreakBefore w:val="0"/>
        <w:widowControl/>
        <w:kinsoku/>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asciiTheme="minorEastAsia" w:hAnsiTheme="minorEastAsia" w:eastAsiaTheme="minorEastAsia"/>
          <w:b/>
          <w:bCs/>
          <w:color w:val="000000"/>
          <w:kern w:val="2"/>
          <w:sz w:val="36"/>
          <w:szCs w:val="36"/>
        </w:rPr>
      </w:pPr>
      <w:bookmarkStart w:id="731" w:name="_Toc31461"/>
      <w:bookmarkStart w:id="732" w:name="_Toc21699"/>
      <w:bookmarkStart w:id="733" w:name="_Toc9196"/>
      <w:bookmarkStart w:id="734" w:name="_Toc13102"/>
      <w:bookmarkStart w:id="735" w:name="_Toc534377755"/>
      <w:bookmarkStart w:id="736" w:name="_Toc19476_WPSOffice_Level1"/>
      <w:r>
        <w:rPr>
          <w:rFonts w:hint="eastAsia" w:asciiTheme="minorEastAsia" w:hAnsiTheme="minorEastAsia" w:eastAsiaTheme="minorEastAsia"/>
          <w:b/>
          <w:bCs/>
          <w:color w:val="000000"/>
          <w:kern w:val="2"/>
          <w:sz w:val="36"/>
          <w:szCs w:val="36"/>
        </w:rPr>
        <w:t>柳州职业技术学院学生心理咨询转介制度</w:t>
      </w:r>
      <w:bookmarkEnd w:id="731"/>
      <w:bookmarkEnd w:id="732"/>
      <w:bookmarkEnd w:id="733"/>
      <w:bookmarkEnd w:id="734"/>
      <w:bookmarkEnd w:id="735"/>
      <w:bookmarkEnd w:id="736"/>
    </w:p>
    <w:p>
      <w:pPr>
        <w:pStyle w:val="10"/>
        <w:pageBreakBefore w:val="0"/>
        <w:kinsoku/>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（柳职学字〔2016〕64号）</w:t>
      </w:r>
    </w:p>
    <w:p>
      <w:pPr>
        <w:pageBreakBefore w:val="0"/>
        <w:kinsoku/>
        <w:overflowPunct/>
        <w:topLinePunct w:val="0"/>
        <w:bidi w:val="0"/>
        <w:adjustRightInd w:val="0"/>
        <w:snapToGrid w:val="0"/>
        <w:spacing w:line="360" w:lineRule="auto"/>
        <w:ind w:firstLine="480" w:firstLineChars="200"/>
        <w:outlineLvl w:val="9"/>
        <w:rPr>
          <w:rFonts w:ascii="宋体" w:hAnsi="宋体"/>
          <w:sz w:val="24"/>
        </w:rPr>
      </w:pP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1.当咨询师由于工作安排改变等原因不能再继续完成个案时，应提前将个案转介给其他咨询师。</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2.在咨询过程中，若发生了不利于咨询进行的因素，或咨询师感到自己无法完成咨询时，应及时将个案转介给其他咨询师。</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3.当来访者主动要求转介时，可结束咨询，帮其转介。</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4.个案转介时应向来访者说明转介原因，在来访者自愿的情况下进行转介。</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5.个案转介时应详细填写《个案转介表》，并与该个案的咨询记录一起转介给其他咨询师。</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6.接受转介的咨询师应仔细了解个案情况并及时与来访者预约访谈。</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7</w:t>
      </w:r>
      <w:r>
        <w:rPr>
          <w:rFonts w:ascii="仿宋_GB2312" w:eastAsia="仿宋_GB2312"/>
          <w:bCs/>
          <w:sz w:val="32"/>
          <w:szCs w:val="32"/>
        </w:rPr>
        <w:t>.</w:t>
      </w:r>
      <w:r>
        <w:rPr>
          <w:rFonts w:hint="eastAsia" w:ascii="仿宋_GB2312" w:eastAsia="仿宋_GB2312"/>
          <w:bCs/>
          <w:sz w:val="32"/>
          <w:szCs w:val="32"/>
        </w:rPr>
        <w:t>在一位咨询师和某位来访者的咨询关系尚未结束时，其它咨询师不得与该生建立咨询关系关系。</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8.转介后，确定转介成功，告知校心理健康教育中心备案。</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r>
        <w:rPr>
          <w:rFonts w:hint="eastAsia" w:ascii="仿宋_GB2312" w:eastAsia="仿宋_GB2312"/>
          <w:bCs/>
          <w:sz w:val="32"/>
          <w:szCs w:val="32"/>
        </w:rPr>
        <w:t>9.若来访者疑似精神疾病方面问题时，咨询师应及时咨询精神科医生，通知来访者的监护人、所在二级学院心理工作站、中心，并建议来访者转诊至相关医疗机构治疗，同时填写《个案转介表》及《重要个案登记表》。</w:t>
      </w:r>
    </w:p>
    <w:p>
      <w:pPr>
        <w:pageBreakBefore w:val="0"/>
        <w:kinsoku/>
        <w:overflowPunct/>
        <w:topLinePunct w:val="0"/>
        <w:bidi w:val="0"/>
        <w:spacing w:line="590" w:lineRule="exact"/>
        <w:ind w:firstLine="640" w:firstLineChars="200"/>
        <w:outlineLvl w:val="9"/>
        <w:rPr>
          <w:rFonts w:ascii="仿宋_GB2312" w:eastAsia="仿宋_GB2312"/>
          <w:bCs/>
          <w:sz w:val="32"/>
          <w:szCs w:val="32"/>
        </w:rPr>
      </w:pPr>
    </w:p>
    <w:p>
      <w:pPr>
        <w:pageBreakBefore w:val="0"/>
        <w:kinsoku/>
        <w:overflowPunct/>
        <w:topLinePunct w:val="0"/>
        <w:bidi w:val="0"/>
        <w:spacing w:line="590" w:lineRule="exact"/>
        <w:ind w:firstLine="640" w:firstLineChars="200"/>
        <w:outlineLvl w:val="9"/>
        <w:rPr>
          <w:rFonts w:ascii="仿宋_GB2312" w:eastAsia="仿宋_GB2312"/>
          <w:bCs/>
          <w:sz w:val="32"/>
          <w:szCs w:val="32"/>
        </w:rPr>
      </w:pPr>
      <w:bookmarkStart w:id="737" w:name="_Toc2304_WPSOffice_Level1"/>
      <w:r>
        <w:rPr>
          <w:rFonts w:hint="eastAsia" w:ascii="仿宋_GB2312" w:eastAsia="仿宋_GB2312"/>
          <w:bCs/>
          <w:sz w:val="32"/>
          <w:szCs w:val="32"/>
        </w:rPr>
        <w:t>附表：1.个案转介单（来访者用）</w:t>
      </w:r>
      <w:bookmarkEnd w:id="737"/>
    </w:p>
    <w:p>
      <w:pPr>
        <w:pageBreakBefore w:val="0"/>
        <w:kinsoku/>
        <w:overflowPunct/>
        <w:topLinePunct w:val="0"/>
        <w:bidi w:val="0"/>
        <w:spacing w:line="590" w:lineRule="exact"/>
        <w:ind w:firstLine="1600" w:firstLineChars="500"/>
        <w:outlineLvl w:val="9"/>
        <w:rPr>
          <w:rFonts w:ascii="仿宋_GB2312" w:eastAsia="仿宋_GB2312"/>
          <w:bCs/>
          <w:sz w:val="32"/>
          <w:szCs w:val="32"/>
        </w:rPr>
      </w:pPr>
      <w:r>
        <w:rPr>
          <w:rFonts w:hint="eastAsia" w:ascii="仿宋_GB2312" w:eastAsia="仿宋_GB2312"/>
          <w:bCs/>
          <w:sz w:val="32"/>
          <w:szCs w:val="32"/>
        </w:rPr>
        <w:t>2.个案转介表（咨询师用）</w:t>
      </w:r>
    </w:p>
    <w:p>
      <w:pPr>
        <w:pageBreakBefore w:val="0"/>
        <w:kinsoku/>
        <w:overflowPunct/>
        <w:topLinePunct w:val="0"/>
        <w:bidi w:val="0"/>
        <w:spacing w:line="590" w:lineRule="exact"/>
        <w:ind w:firstLine="1600" w:firstLineChars="500"/>
        <w:outlineLvl w:val="9"/>
        <w:rPr>
          <w:rFonts w:ascii="仿宋_GB2312" w:eastAsia="仿宋_GB2312"/>
          <w:bCs/>
          <w:sz w:val="32"/>
          <w:szCs w:val="32"/>
        </w:rPr>
      </w:pPr>
      <w:r>
        <w:rPr>
          <w:rFonts w:hint="eastAsia" w:ascii="仿宋_GB2312" w:eastAsia="仿宋_GB2312"/>
          <w:bCs/>
          <w:sz w:val="32"/>
          <w:szCs w:val="32"/>
        </w:rPr>
        <w:t>3.重要个案登记表</w:t>
      </w:r>
    </w:p>
    <w:p>
      <w:pPr>
        <w:pageBreakBefore w:val="0"/>
        <w:kinsoku/>
        <w:overflowPunct/>
        <w:topLinePunct w:val="0"/>
        <w:bidi w:val="0"/>
        <w:ind w:firstLine="480" w:firstLineChars="200"/>
        <w:outlineLvl w:val="9"/>
        <w:rPr>
          <w:rFonts w:ascii="宋体" w:hAnsi="宋体"/>
          <w:sz w:val="24"/>
        </w:rPr>
      </w:pPr>
    </w:p>
    <w:p>
      <w:pPr>
        <w:pageBreakBefore w:val="0"/>
        <w:tabs>
          <w:tab w:val="left" w:pos="720"/>
        </w:tabs>
        <w:kinsoku/>
        <w:overflowPunct/>
        <w:topLinePunct w:val="0"/>
        <w:bidi w:val="0"/>
        <w:adjustRightInd w:val="0"/>
        <w:snapToGrid w:val="0"/>
        <w:spacing w:line="360" w:lineRule="auto"/>
        <w:ind w:firstLine="480" w:firstLineChars="200"/>
        <w:outlineLvl w:val="9"/>
        <w:rPr>
          <w:rFonts w:ascii="宋体" w:hAnsi="宋体"/>
          <w:sz w:val="24"/>
        </w:rPr>
      </w:pPr>
    </w:p>
    <w:p>
      <w:pPr>
        <w:pageBreakBefore w:val="0"/>
        <w:kinsoku/>
        <w:overflowPunct/>
        <w:topLinePunct w:val="0"/>
        <w:bidi w:val="0"/>
        <w:spacing w:line="596" w:lineRule="exact"/>
        <w:jc w:val="left"/>
        <w:outlineLvl w:val="9"/>
        <w:rPr>
          <w:rFonts w:ascii="黑体" w:eastAsia="黑体"/>
          <w:sz w:val="32"/>
          <w:szCs w:val="32"/>
        </w:rPr>
      </w:pPr>
      <w:r>
        <w:rPr>
          <w:rFonts w:ascii="宋体" w:hAnsi="宋体"/>
          <w:sz w:val="24"/>
        </w:rPr>
        <w:br w:type="page"/>
      </w:r>
      <w:bookmarkStart w:id="738" w:name="_Toc23258_WPSOffice_Level1"/>
      <w:r>
        <w:rPr>
          <w:rFonts w:hint="eastAsia" w:ascii="黑体" w:eastAsia="黑体"/>
          <w:sz w:val="32"/>
          <w:szCs w:val="32"/>
        </w:rPr>
        <w:t>附表1：</w:t>
      </w:r>
      <w:bookmarkEnd w:id="738"/>
    </w:p>
    <w:p>
      <w:pPr>
        <w:pageBreakBefore w:val="0"/>
        <w:kinsoku/>
        <w:overflowPunct/>
        <w:topLinePunct w:val="0"/>
        <w:bidi w:val="0"/>
        <w:jc w:val="center"/>
        <w:outlineLvl w:val="9"/>
        <w:rPr>
          <w:rFonts w:ascii="黑体" w:eastAsia="黑体"/>
          <w:sz w:val="44"/>
          <w:szCs w:val="44"/>
        </w:rPr>
      </w:pPr>
      <w:r>
        <w:rPr>
          <w:rFonts w:hint="eastAsia" w:ascii="黑体" w:eastAsia="黑体"/>
          <w:sz w:val="44"/>
          <w:szCs w:val="44"/>
        </w:rPr>
        <w:t>个 案 转 介 单</w:t>
      </w:r>
    </w:p>
    <w:p>
      <w:pPr>
        <w:pageBreakBefore w:val="0"/>
        <w:kinsoku/>
        <w:overflowPunct/>
        <w:topLinePunct w:val="0"/>
        <w:bidi w:val="0"/>
        <w:jc w:val="center"/>
        <w:outlineLvl w:val="9"/>
        <w:rPr>
          <w:rFonts w:ascii="仿宋_GB2312" w:eastAsia="仿宋_GB2312"/>
          <w:sz w:val="32"/>
          <w:szCs w:val="32"/>
        </w:rPr>
      </w:pPr>
      <w:r>
        <w:rPr>
          <w:rFonts w:hint="eastAsia" w:ascii="仿宋_GB2312" w:eastAsia="仿宋_GB2312"/>
          <w:sz w:val="32"/>
          <w:szCs w:val="32"/>
        </w:rPr>
        <w:t>（来访者用）</w:t>
      </w:r>
    </w:p>
    <w:tbl>
      <w:tblPr>
        <w:tblStyle w:val="14"/>
        <w:tblW w:w="88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440"/>
        <w:gridCol w:w="2168"/>
        <w:gridCol w:w="1792"/>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48" w:type="dxa"/>
            <w:vMerge w:val="restart"/>
            <w:vAlign w:val="center"/>
          </w:tcPr>
          <w:p>
            <w:pPr>
              <w:pageBreakBefore w:val="0"/>
              <w:kinsoku/>
              <w:overflowPunct/>
              <w:topLinePunct w:val="0"/>
              <w:bidi w:val="0"/>
              <w:jc w:val="center"/>
              <w:outlineLvl w:val="9"/>
              <w:rPr>
                <w:rFonts w:ascii="仿宋_GB2312" w:hAnsi="宋体" w:eastAsia="仿宋_GB2312"/>
                <w:szCs w:val="28"/>
              </w:rPr>
            </w:pPr>
            <w:r>
              <w:rPr>
                <w:rFonts w:hint="eastAsia" w:ascii="仿宋_GB2312" w:hAnsi="宋体" w:eastAsia="仿宋_GB2312"/>
                <w:szCs w:val="28"/>
              </w:rPr>
              <w:t>转介个案基本资料</w:t>
            </w:r>
          </w:p>
        </w:tc>
        <w:tc>
          <w:tcPr>
            <w:tcW w:w="1440" w:type="dxa"/>
            <w:vAlign w:val="center"/>
          </w:tcPr>
          <w:p>
            <w:pPr>
              <w:pageBreakBefore w:val="0"/>
              <w:kinsoku/>
              <w:overflowPunct/>
              <w:topLinePunct w:val="0"/>
              <w:bidi w:val="0"/>
              <w:jc w:val="center"/>
              <w:outlineLvl w:val="9"/>
              <w:rPr>
                <w:rFonts w:ascii="仿宋_GB2312" w:hAnsi="宋体" w:eastAsia="仿宋_GB2312"/>
                <w:szCs w:val="28"/>
              </w:rPr>
            </w:pPr>
            <w:r>
              <w:rPr>
                <w:rFonts w:hint="eastAsia" w:ascii="仿宋_GB2312" w:hAnsi="宋体" w:eastAsia="仿宋_GB2312"/>
                <w:szCs w:val="28"/>
              </w:rPr>
              <w:t>姓名</w:t>
            </w:r>
          </w:p>
        </w:tc>
        <w:tc>
          <w:tcPr>
            <w:tcW w:w="2168" w:type="dxa"/>
            <w:vAlign w:val="center"/>
          </w:tcPr>
          <w:p>
            <w:pPr>
              <w:pageBreakBefore w:val="0"/>
              <w:kinsoku/>
              <w:overflowPunct/>
              <w:topLinePunct w:val="0"/>
              <w:bidi w:val="0"/>
              <w:jc w:val="center"/>
              <w:outlineLvl w:val="9"/>
              <w:rPr>
                <w:rFonts w:ascii="仿宋_GB2312" w:hAnsi="宋体" w:eastAsia="仿宋_GB2312"/>
                <w:szCs w:val="28"/>
              </w:rPr>
            </w:pPr>
            <w:r>
              <w:rPr>
                <w:rFonts w:hint="eastAsia" w:ascii="仿宋_GB2312" w:hAnsi="宋体" w:eastAsia="仿宋_GB2312"/>
                <w:szCs w:val="28"/>
              </w:rPr>
              <w:t>单位</w:t>
            </w:r>
          </w:p>
        </w:tc>
        <w:tc>
          <w:tcPr>
            <w:tcW w:w="1792" w:type="dxa"/>
            <w:vAlign w:val="center"/>
          </w:tcPr>
          <w:p>
            <w:pPr>
              <w:pageBreakBefore w:val="0"/>
              <w:kinsoku/>
              <w:overflowPunct/>
              <w:topLinePunct w:val="0"/>
              <w:bidi w:val="0"/>
              <w:jc w:val="center"/>
              <w:outlineLvl w:val="9"/>
              <w:rPr>
                <w:rFonts w:ascii="仿宋_GB2312" w:hAnsi="宋体" w:eastAsia="仿宋_GB2312"/>
                <w:szCs w:val="28"/>
              </w:rPr>
            </w:pPr>
            <w:r>
              <w:rPr>
                <w:rFonts w:hint="eastAsia" w:ascii="仿宋_GB2312" w:hAnsi="宋体" w:eastAsia="仿宋_GB2312"/>
                <w:szCs w:val="28"/>
              </w:rPr>
              <w:t>转介日期</w:t>
            </w:r>
          </w:p>
        </w:tc>
        <w:tc>
          <w:tcPr>
            <w:tcW w:w="1949" w:type="dxa"/>
            <w:vAlign w:val="center"/>
          </w:tcPr>
          <w:p>
            <w:pPr>
              <w:pageBreakBefore w:val="0"/>
              <w:kinsoku/>
              <w:overflowPunct/>
              <w:topLinePunct w:val="0"/>
              <w:bidi w:val="0"/>
              <w:jc w:val="center"/>
              <w:outlineLvl w:val="9"/>
              <w:rPr>
                <w:rFonts w:ascii="仿宋_GB2312" w:hAnsi="宋体" w:eastAsia="仿宋_GB2312"/>
                <w:szCs w:val="28"/>
              </w:rPr>
            </w:pPr>
            <w:r>
              <w:rPr>
                <w:rFonts w:hint="eastAsia" w:ascii="仿宋_GB2312" w:hAnsi="宋体" w:eastAsia="仿宋_GB2312"/>
                <w:szCs w:val="28"/>
              </w:rPr>
              <w:t>档案编号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48" w:type="dxa"/>
            <w:vMerge w:val="continue"/>
            <w:vAlign w:val="center"/>
          </w:tcPr>
          <w:p>
            <w:pPr>
              <w:pageBreakBefore w:val="0"/>
              <w:kinsoku/>
              <w:overflowPunct/>
              <w:topLinePunct w:val="0"/>
              <w:bidi w:val="0"/>
              <w:jc w:val="center"/>
              <w:outlineLvl w:val="9"/>
              <w:rPr>
                <w:rFonts w:ascii="仿宋_GB2312" w:hAnsi="宋体" w:eastAsia="仿宋_GB2312"/>
                <w:szCs w:val="28"/>
              </w:rPr>
            </w:pPr>
          </w:p>
        </w:tc>
        <w:tc>
          <w:tcPr>
            <w:tcW w:w="1440" w:type="dxa"/>
            <w:vAlign w:val="center"/>
          </w:tcPr>
          <w:p>
            <w:pPr>
              <w:pageBreakBefore w:val="0"/>
              <w:kinsoku/>
              <w:overflowPunct/>
              <w:topLinePunct w:val="0"/>
              <w:bidi w:val="0"/>
              <w:jc w:val="center"/>
              <w:outlineLvl w:val="9"/>
              <w:rPr>
                <w:rFonts w:ascii="仿宋_GB2312" w:hAnsi="宋体" w:eastAsia="仿宋_GB2312"/>
                <w:szCs w:val="28"/>
              </w:rPr>
            </w:pPr>
          </w:p>
        </w:tc>
        <w:tc>
          <w:tcPr>
            <w:tcW w:w="2168" w:type="dxa"/>
            <w:vAlign w:val="center"/>
          </w:tcPr>
          <w:p>
            <w:pPr>
              <w:pageBreakBefore w:val="0"/>
              <w:kinsoku/>
              <w:overflowPunct/>
              <w:topLinePunct w:val="0"/>
              <w:bidi w:val="0"/>
              <w:jc w:val="center"/>
              <w:outlineLvl w:val="9"/>
              <w:rPr>
                <w:rFonts w:ascii="仿宋_GB2312" w:hAnsi="宋体" w:eastAsia="仿宋_GB2312"/>
                <w:szCs w:val="28"/>
              </w:rPr>
            </w:pPr>
          </w:p>
        </w:tc>
        <w:tc>
          <w:tcPr>
            <w:tcW w:w="1792" w:type="dxa"/>
            <w:vAlign w:val="center"/>
          </w:tcPr>
          <w:p>
            <w:pPr>
              <w:pageBreakBefore w:val="0"/>
              <w:kinsoku/>
              <w:overflowPunct/>
              <w:topLinePunct w:val="0"/>
              <w:bidi w:val="0"/>
              <w:jc w:val="center"/>
              <w:outlineLvl w:val="9"/>
              <w:rPr>
                <w:rFonts w:ascii="仿宋_GB2312" w:hAnsi="宋体" w:eastAsia="仿宋_GB2312"/>
                <w:szCs w:val="28"/>
              </w:rPr>
            </w:pPr>
          </w:p>
        </w:tc>
        <w:tc>
          <w:tcPr>
            <w:tcW w:w="1949" w:type="dxa"/>
            <w:vAlign w:val="center"/>
          </w:tcPr>
          <w:p>
            <w:pPr>
              <w:pageBreakBefore w:val="0"/>
              <w:kinsoku/>
              <w:overflowPunct/>
              <w:topLinePunct w:val="0"/>
              <w:bidi w:val="0"/>
              <w:jc w:val="center"/>
              <w:outlineLvl w:val="9"/>
              <w:rPr>
                <w:rFonts w:ascii="仿宋_GB2312" w:hAnsi="宋体"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48" w:type="dxa"/>
            <w:vAlign w:val="center"/>
          </w:tcPr>
          <w:p>
            <w:pPr>
              <w:pageBreakBefore w:val="0"/>
              <w:kinsoku/>
              <w:overflowPunct/>
              <w:topLinePunct w:val="0"/>
              <w:bidi w:val="0"/>
              <w:jc w:val="center"/>
              <w:outlineLvl w:val="9"/>
              <w:rPr>
                <w:rFonts w:ascii="仿宋_GB2312" w:hAnsi="宋体" w:eastAsia="仿宋_GB2312"/>
                <w:szCs w:val="28"/>
              </w:rPr>
            </w:pPr>
            <w:r>
              <w:rPr>
                <w:rFonts w:hint="eastAsia" w:ascii="仿宋_GB2312" w:hAnsi="宋体" w:eastAsia="仿宋_GB2312"/>
                <w:szCs w:val="28"/>
              </w:rPr>
              <w:t>首次咨询日期及咨询次数</w:t>
            </w:r>
          </w:p>
        </w:tc>
        <w:tc>
          <w:tcPr>
            <w:tcW w:w="7349" w:type="dxa"/>
            <w:gridSpan w:val="4"/>
            <w:vAlign w:val="center"/>
          </w:tcPr>
          <w:p>
            <w:pPr>
              <w:pageBreakBefore w:val="0"/>
              <w:kinsoku/>
              <w:overflowPunct/>
              <w:topLinePunct w:val="0"/>
              <w:bidi w:val="0"/>
              <w:jc w:val="center"/>
              <w:outlineLvl w:val="9"/>
              <w:rPr>
                <w:rFonts w:ascii="仿宋_GB2312" w:hAnsi="宋体"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48" w:type="dxa"/>
            <w:vAlign w:val="center"/>
          </w:tcPr>
          <w:p>
            <w:pPr>
              <w:pageBreakBefore w:val="0"/>
              <w:kinsoku/>
              <w:overflowPunct/>
              <w:topLinePunct w:val="0"/>
              <w:bidi w:val="0"/>
              <w:jc w:val="center"/>
              <w:outlineLvl w:val="9"/>
              <w:rPr>
                <w:rFonts w:ascii="仿宋_GB2312" w:hAnsi="宋体" w:eastAsia="仿宋_GB2312"/>
                <w:szCs w:val="28"/>
              </w:rPr>
            </w:pPr>
            <w:r>
              <w:rPr>
                <w:rFonts w:hint="eastAsia" w:ascii="仿宋_GB2312" w:hAnsi="宋体" w:eastAsia="仿宋_GB2312"/>
                <w:szCs w:val="28"/>
              </w:rPr>
              <w:t>转介地点及咨询员</w:t>
            </w:r>
          </w:p>
        </w:tc>
        <w:tc>
          <w:tcPr>
            <w:tcW w:w="7349" w:type="dxa"/>
            <w:gridSpan w:val="4"/>
            <w:vAlign w:val="center"/>
          </w:tcPr>
          <w:p>
            <w:pPr>
              <w:pageBreakBefore w:val="0"/>
              <w:kinsoku/>
              <w:overflowPunct/>
              <w:topLinePunct w:val="0"/>
              <w:bidi w:val="0"/>
              <w:jc w:val="center"/>
              <w:outlineLvl w:val="9"/>
              <w:rPr>
                <w:rFonts w:ascii="仿宋_GB2312" w:hAnsi="宋体" w:eastAsia="仿宋_GB2312"/>
                <w:szCs w:val="28"/>
              </w:rPr>
            </w:pPr>
          </w:p>
        </w:tc>
      </w:tr>
    </w:tbl>
    <w:p>
      <w:pPr>
        <w:pageBreakBefore w:val="0"/>
        <w:kinsoku/>
        <w:wordWrap w:val="0"/>
        <w:overflowPunct/>
        <w:topLinePunct w:val="0"/>
        <w:bidi w:val="0"/>
        <w:jc w:val="right"/>
        <w:outlineLvl w:val="9"/>
        <w:rPr>
          <w:rFonts w:ascii="仿宋_GB2312" w:hAnsi="宋体" w:eastAsia="仿宋_GB2312"/>
          <w:szCs w:val="28"/>
        </w:rPr>
      </w:pPr>
      <w:r>
        <w:rPr>
          <w:rFonts w:hint="eastAsia" w:ascii="仿宋_GB2312" w:hAnsi="宋体" w:eastAsia="仿宋_GB2312"/>
          <w:szCs w:val="28"/>
        </w:rPr>
        <w:t xml:space="preserve">咨询员签名：           </w:t>
      </w:r>
    </w:p>
    <w:p>
      <w:pPr>
        <w:pageBreakBefore w:val="0"/>
        <w:kinsoku/>
        <w:overflowPunct/>
        <w:topLinePunct w:val="0"/>
        <w:bidi w:val="0"/>
        <w:spacing w:line="596" w:lineRule="exact"/>
        <w:jc w:val="left"/>
        <w:outlineLvl w:val="9"/>
        <w:rPr>
          <w:rFonts w:ascii="黑体" w:eastAsia="黑体"/>
          <w:sz w:val="32"/>
          <w:szCs w:val="32"/>
        </w:rPr>
      </w:pPr>
      <w:r>
        <w:rPr>
          <w:rFonts w:hint="eastAsia" w:ascii="仿宋_GB2312" w:eastAsia="仿宋_GB2312"/>
          <w:sz w:val="44"/>
          <w:szCs w:val="44"/>
        </w:rPr>
        <w:br w:type="page"/>
      </w:r>
      <w:bookmarkStart w:id="739" w:name="_Toc15265_WPSOffice_Level1"/>
      <w:r>
        <w:rPr>
          <w:rFonts w:hint="eastAsia" w:ascii="黑体" w:eastAsia="黑体"/>
          <w:sz w:val="32"/>
          <w:szCs w:val="32"/>
        </w:rPr>
        <w:t>附表2：</w:t>
      </w:r>
      <w:bookmarkEnd w:id="739"/>
    </w:p>
    <w:p>
      <w:pPr>
        <w:pageBreakBefore w:val="0"/>
        <w:kinsoku/>
        <w:overflowPunct/>
        <w:topLinePunct w:val="0"/>
        <w:bidi w:val="0"/>
        <w:jc w:val="center"/>
        <w:outlineLvl w:val="9"/>
        <w:rPr>
          <w:rFonts w:ascii="宋体" w:hAnsi="宋体"/>
          <w:b/>
          <w:sz w:val="44"/>
          <w:szCs w:val="44"/>
        </w:rPr>
      </w:pPr>
      <w:r>
        <w:rPr>
          <w:rFonts w:hint="eastAsia" w:ascii="宋体" w:hAnsi="宋体"/>
          <w:b/>
          <w:sz w:val="44"/>
          <w:szCs w:val="44"/>
        </w:rPr>
        <w:t>个 案 转 介 表</w:t>
      </w:r>
    </w:p>
    <w:p>
      <w:pPr>
        <w:pageBreakBefore w:val="0"/>
        <w:kinsoku/>
        <w:overflowPunct/>
        <w:topLinePunct w:val="0"/>
        <w:bidi w:val="0"/>
        <w:jc w:val="center"/>
        <w:outlineLvl w:val="9"/>
        <w:rPr>
          <w:rFonts w:ascii="仿宋_GB2312" w:hAnsi="宋体" w:eastAsia="仿宋_GB2312"/>
          <w:sz w:val="32"/>
          <w:szCs w:val="32"/>
        </w:rPr>
      </w:pPr>
      <w:r>
        <w:rPr>
          <w:rFonts w:hint="eastAsia" w:ascii="仿宋_GB2312" w:hAnsi="宋体" w:eastAsia="仿宋_GB2312"/>
          <w:sz w:val="32"/>
          <w:szCs w:val="32"/>
        </w:rPr>
        <w:t>（咨询师用）</w:t>
      </w:r>
    </w:p>
    <w:p>
      <w:pPr>
        <w:pageBreakBefore w:val="0"/>
        <w:kinsoku/>
        <w:overflowPunct/>
        <w:topLinePunct w:val="0"/>
        <w:bidi w:val="0"/>
        <w:outlineLvl w:val="9"/>
        <w:rPr>
          <w:rFonts w:ascii="仿宋_GB2312" w:hAnsi="宋体" w:eastAsia="仿宋_GB2312"/>
          <w:szCs w:val="28"/>
        </w:rPr>
      </w:pPr>
      <w:r>
        <w:rPr>
          <w:rFonts w:hint="eastAsia" w:ascii="仿宋_GB2312" w:hAnsi="宋体" w:eastAsia="仿宋_GB2312"/>
          <w:szCs w:val="28"/>
        </w:rPr>
        <w:t>填表日期：      年    月    日               编号：</w:t>
      </w:r>
    </w:p>
    <w:tbl>
      <w:tblPr>
        <w:tblStyle w:val="14"/>
        <w:tblW w:w="88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9" w:type="dxa"/>
          </w:tcPr>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一、被转介者基本资料：</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姓名：___________   性别：______</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单位：________________________   联系方式：_______________</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咨询次数：__________次</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二、个案问题类型：可多选</w:t>
            </w:r>
          </w:p>
          <w:p>
            <w:pPr>
              <w:pageBreakBefore w:val="0"/>
              <w:kinsoku/>
              <w:overflowPunct/>
              <w:topLinePunct w:val="0"/>
              <w:bidi w:val="0"/>
              <w:ind w:firstLine="280"/>
              <w:outlineLvl w:val="9"/>
              <w:rPr>
                <w:rFonts w:ascii="仿宋_GB2312" w:hAnsi="宋体" w:eastAsia="仿宋_GB2312"/>
                <w:sz w:val="24"/>
              </w:rPr>
            </w:pPr>
            <w:r>
              <w:rPr>
                <w:rFonts w:hint="eastAsia" w:ascii="仿宋_GB2312" w:hAnsi="宋体" w:eastAsia="仿宋_GB2312"/>
                <w:sz w:val="24"/>
              </w:rPr>
              <w:t>□学习困难  □人际关系  □适应  □自我认识  □人格</w:t>
            </w:r>
          </w:p>
          <w:p>
            <w:pPr>
              <w:pageBreakBefore w:val="0"/>
              <w:kinsoku/>
              <w:overflowPunct/>
              <w:topLinePunct w:val="0"/>
              <w:bidi w:val="0"/>
              <w:ind w:firstLine="280"/>
              <w:outlineLvl w:val="9"/>
              <w:rPr>
                <w:rFonts w:ascii="仿宋_GB2312" w:hAnsi="宋体" w:eastAsia="仿宋_GB2312"/>
                <w:sz w:val="24"/>
              </w:rPr>
            </w:pPr>
            <w:r>
              <w:rPr>
                <w:rFonts w:hint="eastAsia" w:ascii="仿宋_GB2312" w:hAnsi="宋体" w:eastAsia="仿宋_GB2312"/>
                <w:sz w:val="24"/>
              </w:rPr>
              <w:t>□恋爱问题  □情绪困扰  □抑郁  □强迫      □睡眠</w:t>
            </w:r>
          </w:p>
          <w:p>
            <w:pPr>
              <w:pageBreakBefore w:val="0"/>
              <w:kinsoku/>
              <w:overflowPunct/>
              <w:topLinePunct w:val="0"/>
              <w:bidi w:val="0"/>
              <w:ind w:firstLine="280"/>
              <w:outlineLvl w:val="9"/>
              <w:rPr>
                <w:rFonts w:ascii="仿宋_GB2312" w:hAnsi="宋体" w:eastAsia="仿宋_GB2312"/>
                <w:sz w:val="24"/>
              </w:rPr>
            </w:pPr>
            <w:r>
              <w:rPr>
                <w:rFonts w:hint="eastAsia" w:ascii="仿宋_GB2312" w:hAnsi="宋体" w:eastAsia="仿宋_GB2312"/>
                <w:sz w:val="24"/>
              </w:rPr>
              <w:t>□经济问题  □家庭问题  □个人发展   □其他___________</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三、个案问题危机程度：</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□轻度（个案尚能承受，需多给予辅导）</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□中度（问题已干扰到个案本身的生活）</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□高度（问题已严重影响个案本身及他人生活，需紧急处理）</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四、个案本身是否愿意接受转介辅导：□是    □否    □不清楚</w:t>
            </w: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五、个案问题概述：请尽可能完整地描述个案的困扰或问题、背景资料、您的判断分析、您目前所采取的辅导方式和策略等。</w:t>
            </w:r>
          </w:p>
          <w:p>
            <w:pPr>
              <w:pageBreakBefore w:val="0"/>
              <w:kinsoku/>
              <w:overflowPunct/>
              <w:topLinePunct w:val="0"/>
              <w:bidi w:val="0"/>
              <w:outlineLvl w:val="9"/>
              <w:rPr>
                <w:rFonts w:ascii="仿宋_GB2312" w:hAnsi="宋体" w:eastAsia="仿宋_GB2312"/>
                <w:sz w:val="24"/>
              </w:rPr>
            </w:pPr>
          </w:p>
          <w:p>
            <w:pPr>
              <w:pageBreakBefore w:val="0"/>
              <w:kinsoku/>
              <w:overflowPunct/>
              <w:topLinePunct w:val="0"/>
              <w:bidi w:val="0"/>
              <w:outlineLvl w:val="9"/>
              <w:rPr>
                <w:rFonts w:ascii="仿宋_GB2312" w:hAnsi="宋体" w:eastAsia="仿宋_GB2312"/>
                <w:sz w:val="24"/>
              </w:rPr>
            </w:pPr>
          </w:p>
          <w:p>
            <w:pPr>
              <w:pageBreakBefore w:val="0"/>
              <w:kinsoku/>
              <w:overflowPunct/>
              <w:topLinePunct w:val="0"/>
              <w:bidi w:val="0"/>
              <w:outlineLvl w:val="9"/>
              <w:rPr>
                <w:rFonts w:ascii="仿宋_GB2312" w:hAnsi="宋体" w:eastAsia="仿宋_GB2312"/>
                <w:sz w:val="24"/>
              </w:rPr>
            </w:pPr>
          </w:p>
          <w:p>
            <w:pPr>
              <w:pageBreakBefore w:val="0"/>
              <w:kinsoku/>
              <w:overflowPunct/>
              <w:topLinePunct w:val="0"/>
              <w:bidi w:val="0"/>
              <w:outlineLvl w:val="9"/>
              <w:rPr>
                <w:rFonts w:ascii="仿宋_GB2312" w:hAnsi="宋体" w:eastAsia="仿宋_GB2312"/>
                <w:sz w:val="24"/>
              </w:rPr>
            </w:pPr>
          </w:p>
          <w:p>
            <w:pPr>
              <w:pageBreakBefore w:val="0"/>
              <w:kinsoku/>
              <w:overflowPunct/>
              <w:topLinePunct w:val="0"/>
              <w:bidi w:val="0"/>
              <w:outlineLvl w:val="9"/>
              <w:rPr>
                <w:rFonts w:ascii="仿宋_GB2312" w:hAnsi="宋体" w:eastAsia="仿宋_GB2312"/>
                <w:sz w:val="24"/>
              </w:rPr>
            </w:pPr>
            <w:r>
              <w:rPr>
                <w:rFonts w:hint="eastAsia" w:ascii="仿宋_GB2312" w:hAnsi="宋体" w:eastAsia="仿宋_GB2312"/>
                <w:sz w:val="24"/>
              </w:rPr>
              <w:t>六、其他意见：</w:t>
            </w:r>
          </w:p>
          <w:p>
            <w:pPr>
              <w:pageBreakBefore w:val="0"/>
              <w:kinsoku/>
              <w:overflowPunct/>
              <w:topLinePunct w:val="0"/>
              <w:bidi w:val="0"/>
              <w:outlineLvl w:val="9"/>
              <w:rPr>
                <w:rFonts w:ascii="仿宋_GB2312" w:hAnsi="宋体" w:eastAsia="仿宋_GB2312"/>
                <w:sz w:val="24"/>
              </w:rPr>
            </w:pPr>
          </w:p>
          <w:p>
            <w:pPr>
              <w:pageBreakBefore w:val="0"/>
              <w:kinsoku/>
              <w:overflowPunct/>
              <w:topLinePunct w:val="0"/>
              <w:bidi w:val="0"/>
              <w:outlineLvl w:val="9"/>
              <w:rPr>
                <w:rFonts w:ascii="仿宋_GB2312" w:hAnsi="宋体" w:eastAsia="仿宋_GB2312"/>
                <w:sz w:val="24"/>
              </w:rPr>
            </w:pPr>
          </w:p>
          <w:p>
            <w:pPr>
              <w:pageBreakBefore w:val="0"/>
              <w:kinsoku/>
              <w:overflowPunct/>
              <w:topLinePunct w:val="0"/>
              <w:bidi w:val="0"/>
              <w:outlineLvl w:val="9"/>
              <w:rPr>
                <w:rFonts w:ascii="仿宋_GB2312" w:hAnsi="宋体" w:eastAsia="仿宋_GB2312"/>
                <w:sz w:val="24"/>
              </w:rPr>
            </w:pPr>
          </w:p>
          <w:p>
            <w:pPr>
              <w:pageBreakBefore w:val="0"/>
              <w:kinsoku/>
              <w:overflowPunct/>
              <w:topLinePunct w:val="0"/>
              <w:bidi w:val="0"/>
              <w:outlineLvl w:val="9"/>
              <w:rPr>
                <w:rFonts w:ascii="仿宋_GB2312" w:hAnsi="宋体" w:eastAsia="仿宋_GB2312"/>
                <w:sz w:val="24"/>
              </w:rPr>
            </w:pPr>
          </w:p>
        </w:tc>
      </w:tr>
    </w:tbl>
    <w:p>
      <w:pPr>
        <w:pageBreakBefore w:val="0"/>
        <w:kinsoku/>
        <w:wordWrap w:val="0"/>
        <w:overflowPunct/>
        <w:topLinePunct w:val="0"/>
        <w:bidi w:val="0"/>
        <w:jc w:val="right"/>
        <w:outlineLvl w:val="9"/>
        <w:rPr>
          <w:rFonts w:ascii="仿宋_GB2312" w:hAnsi="宋体" w:eastAsia="仿宋_GB2312"/>
          <w:szCs w:val="28"/>
        </w:rPr>
      </w:pPr>
      <w:r>
        <w:rPr>
          <w:rFonts w:hint="eastAsia" w:ascii="仿宋_GB2312" w:hAnsi="宋体" w:eastAsia="仿宋_GB2312"/>
          <w:szCs w:val="28"/>
        </w:rPr>
        <w:t xml:space="preserve">转介者签名：          </w:t>
      </w:r>
    </w:p>
    <w:p>
      <w:pPr>
        <w:pageBreakBefore w:val="0"/>
        <w:kinsoku/>
        <w:overflowPunct/>
        <w:topLinePunct w:val="0"/>
        <w:bidi w:val="0"/>
        <w:spacing w:line="596" w:lineRule="exact"/>
        <w:jc w:val="left"/>
        <w:outlineLvl w:val="9"/>
        <w:rPr>
          <w:rFonts w:ascii="仿宋_GB2312" w:eastAsia="仿宋_GB2312"/>
          <w:sz w:val="32"/>
          <w:szCs w:val="32"/>
        </w:rPr>
      </w:pPr>
      <w:r>
        <w:rPr>
          <w:rFonts w:hint="eastAsia" w:ascii="仿宋_GB2312" w:eastAsia="仿宋_GB2312"/>
          <w:szCs w:val="28"/>
        </w:rPr>
        <w:br w:type="page"/>
      </w:r>
      <w:bookmarkStart w:id="740" w:name="_Toc1468_WPSOffice_Level1"/>
      <w:r>
        <w:rPr>
          <w:rFonts w:hint="eastAsia" w:ascii="仿宋_GB2312" w:eastAsia="仿宋_GB2312"/>
          <w:sz w:val="32"/>
          <w:szCs w:val="32"/>
        </w:rPr>
        <w:t>附表3：</w:t>
      </w:r>
      <w:bookmarkEnd w:id="740"/>
    </w:p>
    <w:p>
      <w:pPr>
        <w:pageBreakBefore w:val="0"/>
        <w:kinsoku/>
        <w:overflowPunct/>
        <w:topLinePunct w:val="0"/>
        <w:bidi w:val="0"/>
        <w:jc w:val="center"/>
        <w:outlineLvl w:val="9"/>
        <w:rPr>
          <w:rFonts w:ascii="宋体" w:hAnsi="宋体"/>
          <w:b/>
          <w:sz w:val="44"/>
          <w:szCs w:val="44"/>
        </w:rPr>
      </w:pPr>
      <w:r>
        <w:rPr>
          <w:rFonts w:hint="eastAsia" w:ascii="宋体" w:hAnsi="宋体"/>
          <w:b/>
          <w:sz w:val="44"/>
          <w:szCs w:val="44"/>
        </w:rPr>
        <w:t>重要个案登记表</w:t>
      </w:r>
    </w:p>
    <w:p>
      <w:pPr>
        <w:pageBreakBefore w:val="0"/>
        <w:kinsoku/>
        <w:overflowPunct/>
        <w:topLinePunct w:val="0"/>
        <w:bidi w:val="0"/>
        <w:outlineLvl w:val="9"/>
        <w:rPr>
          <w:rFonts w:ascii="仿宋_GB2312" w:eastAsia="仿宋_GB2312"/>
          <w:szCs w:val="28"/>
        </w:rPr>
      </w:pPr>
      <w:r>
        <w:rPr>
          <w:rFonts w:hint="eastAsia" w:ascii="仿宋_GB2312" w:eastAsia="仿宋_GB2312"/>
          <w:szCs w:val="28"/>
        </w:rPr>
        <w:t>编号：                        填表时间：       年    月    日</w:t>
      </w:r>
    </w:p>
    <w:tbl>
      <w:tblPr>
        <w:tblStyle w:val="14"/>
        <w:tblW w:w="88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308"/>
        <w:gridCol w:w="540"/>
        <w:gridCol w:w="572"/>
        <w:gridCol w:w="868"/>
        <w:gridCol w:w="552"/>
        <w:gridCol w:w="348"/>
        <w:gridCol w:w="1065"/>
        <w:gridCol w:w="7"/>
        <w:gridCol w:w="908"/>
        <w:gridCol w:w="900"/>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20" w:type="dxa"/>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个案姓名</w:t>
            </w:r>
          </w:p>
        </w:tc>
        <w:tc>
          <w:tcPr>
            <w:tcW w:w="1420" w:type="dxa"/>
            <w:gridSpan w:val="3"/>
            <w:vAlign w:val="center"/>
          </w:tcPr>
          <w:p>
            <w:pPr>
              <w:pageBreakBefore w:val="0"/>
              <w:kinsoku/>
              <w:overflowPunct/>
              <w:topLinePunct w:val="0"/>
              <w:bidi w:val="0"/>
              <w:jc w:val="center"/>
              <w:outlineLvl w:val="9"/>
              <w:rPr>
                <w:rFonts w:ascii="仿宋_GB2312" w:eastAsia="仿宋_GB2312"/>
                <w:szCs w:val="28"/>
              </w:rPr>
            </w:pPr>
          </w:p>
        </w:tc>
        <w:tc>
          <w:tcPr>
            <w:tcW w:w="868" w:type="dxa"/>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性别</w:t>
            </w:r>
          </w:p>
        </w:tc>
        <w:tc>
          <w:tcPr>
            <w:tcW w:w="900" w:type="dxa"/>
            <w:gridSpan w:val="2"/>
            <w:vAlign w:val="center"/>
          </w:tcPr>
          <w:p>
            <w:pPr>
              <w:pageBreakBefore w:val="0"/>
              <w:kinsoku/>
              <w:overflowPunct/>
              <w:topLinePunct w:val="0"/>
              <w:bidi w:val="0"/>
              <w:jc w:val="center"/>
              <w:outlineLvl w:val="9"/>
              <w:rPr>
                <w:rFonts w:ascii="仿宋_GB2312" w:eastAsia="仿宋_GB2312"/>
                <w:szCs w:val="28"/>
              </w:rPr>
            </w:pPr>
          </w:p>
        </w:tc>
        <w:tc>
          <w:tcPr>
            <w:tcW w:w="1065" w:type="dxa"/>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年龄</w:t>
            </w:r>
          </w:p>
        </w:tc>
        <w:tc>
          <w:tcPr>
            <w:tcW w:w="915" w:type="dxa"/>
            <w:gridSpan w:val="2"/>
            <w:vAlign w:val="center"/>
          </w:tcPr>
          <w:p>
            <w:pPr>
              <w:pageBreakBefore w:val="0"/>
              <w:kinsoku/>
              <w:overflowPunct/>
              <w:topLinePunct w:val="0"/>
              <w:bidi w:val="0"/>
              <w:jc w:val="center"/>
              <w:outlineLvl w:val="9"/>
              <w:rPr>
                <w:rFonts w:ascii="仿宋_GB2312" w:eastAsia="仿宋_GB2312"/>
                <w:szCs w:val="28"/>
              </w:rPr>
            </w:pPr>
          </w:p>
        </w:tc>
        <w:tc>
          <w:tcPr>
            <w:tcW w:w="900" w:type="dxa"/>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婚况</w:t>
            </w:r>
          </w:p>
        </w:tc>
        <w:tc>
          <w:tcPr>
            <w:tcW w:w="1409" w:type="dxa"/>
            <w:vAlign w:val="center"/>
          </w:tcPr>
          <w:p>
            <w:pPr>
              <w:pageBreakBefore w:val="0"/>
              <w:kinsoku/>
              <w:overflowPunct/>
              <w:topLinePunct w:val="0"/>
              <w:bidi w:val="0"/>
              <w:jc w:val="center"/>
              <w:outlineLvl w:val="9"/>
              <w:rPr>
                <w:rFonts w:ascii="仿宋_GB2312"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8" w:type="dxa"/>
            <w:gridSpan w:val="2"/>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学院</w:t>
            </w:r>
          </w:p>
        </w:tc>
        <w:tc>
          <w:tcPr>
            <w:tcW w:w="2532" w:type="dxa"/>
            <w:gridSpan w:val="4"/>
            <w:vAlign w:val="center"/>
          </w:tcPr>
          <w:p>
            <w:pPr>
              <w:pageBreakBefore w:val="0"/>
              <w:kinsoku/>
              <w:overflowPunct/>
              <w:topLinePunct w:val="0"/>
              <w:bidi w:val="0"/>
              <w:jc w:val="center"/>
              <w:outlineLvl w:val="9"/>
              <w:rPr>
                <w:rFonts w:ascii="仿宋_GB2312" w:eastAsia="仿宋_GB2312"/>
                <w:szCs w:val="28"/>
              </w:rPr>
            </w:pPr>
          </w:p>
        </w:tc>
        <w:tc>
          <w:tcPr>
            <w:tcW w:w="1420" w:type="dxa"/>
            <w:gridSpan w:val="3"/>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专业班级</w:t>
            </w:r>
          </w:p>
        </w:tc>
        <w:tc>
          <w:tcPr>
            <w:tcW w:w="3217" w:type="dxa"/>
            <w:gridSpan w:val="3"/>
            <w:vAlign w:val="center"/>
          </w:tcPr>
          <w:p>
            <w:pPr>
              <w:pageBreakBefore w:val="0"/>
              <w:kinsoku/>
              <w:overflowPunct/>
              <w:topLinePunct w:val="0"/>
              <w:bidi w:val="0"/>
              <w:jc w:val="center"/>
              <w:outlineLvl w:val="9"/>
              <w:rPr>
                <w:rFonts w:ascii="仿宋_GB2312"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28" w:type="dxa"/>
            <w:gridSpan w:val="2"/>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家庭所在地</w:t>
            </w:r>
          </w:p>
        </w:tc>
        <w:tc>
          <w:tcPr>
            <w:tcW w:w="2532" w:type="dxa"/>
            <w:gridSpan w:val="4"/>
            <w:vAlign w:val="center"/>
          </w:tcPr>
          <w:p>
            <w:pPr>
              <w:pageBreakBefore w:val="0"/>
              <w:kinsoku/>
              <w:overflowPunct/>
              <w:topLinePunct w:val="0"/>
              <w:bidi w:val="0"/>
              <w:jc w:val="center"/>
              <w:outlineLvl w:val="9"/>
              <w:rPr>
                <w:rFonts w:ascii="仿宋_GB2312" w:eastAsia="仿宋_GB2312"/>
                <w:szCs w:val="28"/>
              </w:rPr>
            </w:pPr>
          </w:p>
        </w:tc>
        <w:tc>
          <w:tcPr>
            <w:tcW w:w="1420" w:type="dxa"/>
            <w:gridSpan w:val="3"/>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宿舍地址</w:t>
            </w:r>
          </w:p>
        </w:tc>
        <w:tc>
          <w:tcPr>
            <w:tcW w:w="3217" w:type="dxa"/>
            <w:gridSpan w:val="3"/>
            <w:vAlign w:val="center"/>
          </w:tcPr>
          <w:p>
            <w:pPr>
              <w:pageBreakBefore w:val="0"/>
              <w:kinsoku/>
              <w:overflowPunct/>
              <w:topLinePunct w:val="0"/>
              <w:bidi w:val="0"/>
              <w:jc w:val="center"/>
              <w:outlineLvl w:val="9"/>
              <w:rPr>
                <w:rFonts w:ascii="仿宋_GB2312"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68" w:type="dxa"/>
            <w:gridSpan w:val="3"/>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本人联系方式</w:t>
            </w:r>
          </w:p>
        </w:tc>
        <w:tc>
          <w:tcPr>
            <w:tcW w:w="6629" w:type="dxa"/>
            <w:gridSpan w:val="9"/>
          </w:tcPr>
          <w:p>
            <w:pPr>
              <w:pageBreakBefore w:val="0"/>
              <w:kinsoku/>
              <w:overflowPunct/>
              <w:topLinePunct w:val="0"/>
              <w:bidi w:val="0"/>
              <w:outlineLvl w:val="9"/>
              <w:rPr>
                <w:rFonts w:ascii="仿宋_GB2312"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68" w:type="dxa"/>
            <w:gridSpan w:val="3"/>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相关联系人</w:t>
            </w:r>
          </w:p>
        </w:tc>
        <w:tc>
          <w:tcPr>
            <w:tcW w:w="6629" w:type="dxa"/>
            <w:gridSpan w:val="9"/>
          </w:tcPr>
          <w:p>
            <w:pPr>
              <w:pageBreakBefore w:val="0"/>
              <w:kinsoku/>
              <w:overflowPunct/>
              <w:topLinePunct w:val="0"/>
              <w:bidi w:val="0"/>
              <w:outlineLvl w:val="9"/>
              <w:rPr>
                <w:rFonts w:ascii="仿宋_GB2312"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20" w:type="dxa"/>
            <w:vAlign w:val="center"/>
          </w:tcPr>
          <w:p>
            <w:pPr>
              <w:pageBreakBefore w:val="0"/>
              <w:kinsoku/>
              <w:overflowPunct/>
              <w:topLinePunct w:val="0"/>
              <w:bidi w:val="0"/>
              <w:jc w:val="center"/>
              <w:outlineLvl w:val="9"/>
              <w:rPr>
                <w:rFonts w:ascii="仿宋_GB2312" w:eastAsia="仿宋_GB2312"/>
                <w:szCs w:val="28"/>
              </w:rPr>
            </w:pPr>
            <w:r>
              <w:rPr>
                <w:rFonts w:hint="eastAsia" w:ascii="仿宋_GB2312" w:eastAsia="仿宋_GB2312"/>
                <w:szCs w:val="28"/>
              </w:rPr>
              <w:t>填表原因</w:t>
            </w:r>
          </w:p>
        </w:tc>
        <w:tc>
          <w:tcPr>
            <w:tcW w:w="7477" w:type="dxa"/>
            <w:gridSpan w:val="11"/>
          </w:tcPr>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20" w:type="dxa"/>
            <w:vAlign w:val="center"/>
          </w:tcPr>
          <w:p>
            <w:pPr>
              <w:pageBreakBefore w:val="0"/>
              <w:kinsoku/>
              <w:overflowPunct/>
              <w:topLinePunct w:val="0"/>
              <w:bidi w:val="0"/>
              <w:ind w:right="113"/>
              <w:jc w:val="center"/>
              <w:outlineLvl w:val="9"/>
              <w:rPr>
                <w:rFonts w:ascii="仿宋_GB2312" w:eastAsia="仿宋_GB2312"/>
                <w:szCs w:val="28"/>
              </w:rPr>
            </w:pPr>
            <w:r>
              <w:rPr>
                <w:rFonts w:hint="eastAsia" w:ascii="仿宋_GB2312" w:eastAsia="仿宋_GB2312"/>
                <w:szCs w:val="28"/>
              </w:rPr>
              <w:t>事态发展经过</w:t>
            </w:r>
          </w:p>
        </w:tc>
        <w:tc>
          <w:tcPr>
            <w:tcW w:w="7477" w:type="dxa"/>
            <w:gridSpan w:val="11"/>
          </w:tcPr>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20" w:type="dxa"/>
            <w:vAlign w:val="center"/>
          </w:tcPr>
          <w:p>
            <w:pPr>
              <w:pageBreakBefore w:val="0"/>
              <w:kinsoku/>
              <w:overflowPunct/>
              <w:topLinePunct w:val="0"/>
              <w:bidi w:val="0"/>
              <w:ind w:right="113"/>
              <w:jc w:val="center"/>
              <w:outlineLvl w:val="9"/>
              <w:rPr>
                <w:rFonts w:ascii="仿宋_GB2312" w:eastAsia="仿宋_GB2312"/>
                <w:szCs w:val="28"/>
              </w:rPr>
            </w:pPr>
            <w:r>
              <w:rPr>
                <w:rFonts w:hint="eastAsia" w:ascii="仿宋_GB2312" w:eastAsia="仿宋_GB2312"/>
                <w:szCs w:val="28"/>
              </w:rPr>
              <w:t>判断与处理</w:t>
            </w:r>
          </w:p>
        </w:tc>
        <w:tc>
          <w:tcPr>
            <w:tcW w:w="7477" w:type="dxa"/>
            <w:gridSpan w:val="11"/>
          </w:tcPr>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p>
            <w:pPr>
              <w:pageBreakBefore w:val="0"/>
              <w:kinsoku/>
              <w:overflowPunct/>
              <w:topLinePunct w:val="0"/>
              <w:bidi w:val="0"/>
              <w:outlineLvl w:val="9"/>
              <w:rPr>
                <w:rFonts w:ascii="仿宋_GB2312" w:eastAsia="仿宋_GB2312"/>
                <w:szCs w:val="28"/>
              </w:rPr>
            </w:pPr>
          </w:p>
        </w:tc>
      </w:tr>
    </w:tbl>
    <w:p>
      <w:pPr>
        <w:pageBreakBefore w:val="0"/>
        <w:kinsoku/>
        <w:wordWrap w:val="0"/>
        <w:overflowPunct/>
        <w:topLinePunct w:val="0"/>
        <w:bidi w:val="0"/>
        <w:jc w:val="right"/>
        <w:outlineLvl w:val="9"/>
        <w:rPr>
          <w:rFonts w:ascii="仿宋_GB2312" w:eastAsia="仿宋_GB2312"/>
          <w:szCs w:val="28"/>
        </w:rPr>
      </w:pPr>
      <w:r>
        <w:rPr>
          <w:rFonts w:hint="eastAsia" w:ascii="仿宋_GB2312" w:eastAsia="仿宋_GB2312"/>
          <w:szCs w:val="28"/>
        </w:rPr>
        <w:t xml:space="preserve">签名：          </w:t>
      </w:r>
    </w:p>
    <w:p>
      <w:pPr>
        <w:pageBreakBefore w:val="0"/>
        <w:kinsoku/>
        <w:overflowPunct/>
        <w:topLinePunct w:val="0"/>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ascii="Times New Roman" w:hAnsi="Times New Roman" w:eastAsia="宋体" w:cs="Times New Roman"/>
          <w:b/>
          <w:sz w:val="36"/>
          <w:szCs w:val="36"/>
          <w:lang w:val="en-US" w:eastAsia="zh-CN"/>
        </w:rPr>
      </w:pPr>
      <w:bookmarkStart w:id="741" w:name="_Toc3684"/>
      <w:bookmarkStart w:id="742" w:name="_Toc30013"/>
      <w:bookmarkStart w:id="743" w:name="_Toc17277"/>
      <w:bookmarkStart w:id="744" w:name="_Toc4851"/>
      <w:bookmarkStart w:id="745" w:name="_Toc21448_WPSOffice_Level1"/>
      <w:bookmarkStart w:id="746" w:name="_Toc6616"/>
      <w:r>
        <w:rPr>
          <w:rFonts w:hint="eastAsia" w:ascii="Times New Roman" w:hAnsi="Times New Roman" w:eastAsia="宋体" w:cs="Times New Roman"/>
          <w:b/>
          <w:sz w:val="36"/>
          <w:szCs w:val="36"/>
          <w:lang w:val="en-US" w:eastAsia="zh-CN"/>
        </w:rPr>
        <w:t>柳州职业技术学院考试管理办法</w:t>
      </w:r>
      <w:bookmarkEnd w:id="741"/>
      <w:bookmarkEnd w:id="742"/>
      <w:bookmarkEnd w:id="743"/>
      <w:bookmarkEnd w:id="744"/>
      <w:bookmarkEnd w:id="745"/>
      <w:bookmarkEnd w:id="746"/>
    </w:p>
    <w:p>
      <w:pPr>
        <w:pageBreakBefore w:val="0"/>
        <w:widowControl/>
        <w:kinsoku/>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柳职院教字〔2021〕33号)</w:t>
      </w:r>
    </w:p>
    <w:p>
      <w:pPr>
        <w:pageBreakBefore w:val="0"/>
        <w:kinsoku/>
        <w:overflowPunct/>
        <w:topLinePunct w:val="0"/>
        <w:bidi w:val="0"/>
        <w:ind w:firstLine="560"/>
        <w:outlineLvl w:val="9"/>
      </w:pP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bookmarkStart w:id="747" w:name="_Toc148344138"/>
      <w:bookmarkStart w:id="748" w:name="_Toc148344819"/>
      <w:bookmarkStart w:id="749" w:name="_Toc144815443"/>
      <w:bookmarkStart w:id="750" w:name="_Toc145415036"/>
      <w:bookmarkStart w:id="751" w:name="_Toc145478611"/>
      <w:r>
        <w:rPr>
          <w:rFonts w:hint="eastAsia" w:ascii="仿宋_GB2312" w:eastAsia="仿宋_GB2312"/>
          <w:sz w:val="32"/>
          <w:szCs w:val="32"/>
        </w:rPr>
        <w:t>为贯彻执行党的教育方针，有效落实中共中央 国务院印发的《深化新时代教育评价改革总体方案》，持续推进学业评价的科学性、专业性、客观性，严把“出口关”，结合我校实际情况，特制定本办法。</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752" w:name="_Toc20345_WPSOffice_Level1"/>
      <w:r>
        <w:rPr>
          <w:rFonts w:hint="eastAsia" w:ascii="黑体" w:hAnsi="黑体" w:eastAsia="黑体"/>
          <w:b/>
          <w:sz w:val="32"/>
          <w:szCs w:val="32"/>
        </w:rPr>
        <w:t>第一章  总  则</w:t>
      </w:r>
      <w:bookmarkEnd w:id="747"/>
      <w:bookmarkEnd w:id="748"/>
      <w:bookmarkEnd w:id="749"/>
      <w:bookmarkEnd w:id="750"/>
      <w:bookmarkEnd w:id="751"/>
      <w:bookmarkEnd w:id="752"/>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第一条 </w:t>
      </w:r>
      <w:r>
        <w:rPr>
          <w:rFonts w:hint="eastAsia" w:ascii="仿宋_GB2312" w:eastAsia="仿宋_GB2312"/>
          <w:sz w:val="32"/>
          <w:szCs w:val="32"/>
        </w:rPr>
        <w:t>课程考试是以教学目标为依据，运用恰当有效的工具和途径，系统收集学生的学习相关信息，对其学习过程、状态和结果作出价值上的判断，为学生的自我完善、教师的教学改进以及有关部门的科学决策提供依据。</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第二条 </w:t>
      </w:r>
      <w:r>
        <w:rPr>
          <w:rFonts w:hint="eastAsia" w:ascii="仿宋_GB2312" w:eastAsia="仿宋_GB2312"/>
          <w:sz w:val="32"/>
          <w:szCs w:val="32"/>
        </w:rPr>
        <w:t>课程考试是教学工作的重要环节，是教学质量管理与评价的重要手段。要建立过程性考核与结果性考核有机结合的学业评价制度，加强课堂参与和课堂纪律考查，引导学生树立良好学风。</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课程考试要全面贯彻党的教育方针，坚持社会主义办学方向，落实立德树人根本任务，遵循教育规律。坚持以德为先、能力为重、全面发展，坚持公平公正、科学有效、客观严谨的原则，以培养方案和课程标准为依据，引导学生成为有理想信念、工匠精神、高超技艺的“素养·管理·创新”国际化复合型技术技能人才。</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第四条 </w:t>
      </w:r>
      <w:r>
        <w:rPr>
          <w:rFonts w:hint="eastAsia" w:ascii="仿宋_GB2312" w:eastAsia="仿宋_GB2312"/>
          <w:sz w:val="32"/>
          <w:szCs w:val="32"/>
        </w:rPr>
        <w:t>德育考核要引导学生养成良好思想道德、心理素质和行为习惯，传承红色基因，增强“四个自信”，立志听党话、跟党走，立志扎根人民、奉献国家。智育考核要引导学生形成良好的职业素养、实践能力和创新能力，增强其职业发展潜力。体育考核要引导学生养成良好锻炼习惯和健康生活方式，锤炼坚强意志，培养合作精神。美育考核要促进学生形成艺术爱好、增强艺术素养，全面提升学生感受美、表现美、鉴赏美、创造美的能力。劳动教育考核要引导学生崇尚劳动、尊重劳动。</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课程考试主要包括考核方案审定、命题及审查、考试组织、成绩评定、成绩复查及更正等环节，各环节必须责任到人，严格管理。</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课程考试可采用笔试、口试、机试、实践操作、成果认定等方式。鼓励推行教学团队集体考核、长时段考核，鼓励开展校企评价和第三方评价。</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原则上，所有课程均应实行教考分离，教学和考试分开，任课老师不能单独一个人实施所任课程结果性考核的所有环节。</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本办法所指的课程考试包括我校全日制各专业人才培养方案中所有课程（含必修课和选修课）的考试。</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753" w:name="_Toc10773_WPSOffice_Level1"/>
      <w:bookmarkStart w:id="754" w:name="_Toc145478612"/>
      <w:bookmarkStart w:id="755" w:name="_Toc145415037"/>
      <w:bookmarkStart w:id="756" w:name="_Toc148344820"/>
      <w:bookmarkStart w:id="757" w:name="_Toc144815444"/>
      <w:bookmarkStart w:id="758" w:name="_Toc148344139"/>
      <w:r>
        <w:rPr>
          <w:rFonts w:hint="eastAsia" w:ascii="黑体" w:hAnsi="黑体" w:eastAsia="黑体"/>
          <w:b/>
          <w:sz w:val="32"/>
          <w:szCs w:val="32"/>
        </w:rPr>
        <w:t>第二章  考试管理机构及职责</w:t>
      </w:r>
      <w:bookmarkEnd w:id="753"/>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学校设立考试工作委员会，由分管教学副校长担任主任，教务与实训管理处处长担任副主任，质量管理处、学生工作处、督导室以及各二级学院负责人为成员。负责贯彻国家相关政策法规，审定本校考试有关政策，开展考试相关重大问题决策等工作。学校考试工作委员会对学校教学工作委员会负责，执行学校教学工作委员会的相关决议，并接受其监督。</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各二级学院成立院级考试工作委员会（如果不独立成立，则由二级学院教学工作委员会代为履行职责），由院长任主任，副院长担任副主任，专业带头人（负责人）、骨干教师以及企业专家等为成员。负责制定本学院课程考试管理实施细则及相关管理制度，审定考试工作方案、课程考核方案、命题，开展课程考核的研究与改革等工作。二级学院考试工作委员会可根据需要下设专业（课程）考核组（如果不独立成立，则由专业建设指导委员会代为履行职责）。</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759" w:name="_Toc29607_WPSOffice_Level1"/>
      <w:r>
        <w:rPr>
          <w:rFonts w:hint="eastAsia" w:ascii="黑体" w:hAnsi="黑体" w:eastAsia="黑体"/>
          <w:b/>
          <w:sz w:val="32"/>
          <w:szCs w:val="32"/>
        </w:rPr>
        <w:t xml:space="preserve">第三章  </w:t>
      </w:r>
      <w:bookmarkEnd w:id="754"/>
      <w:bookmarkEnd w:id="755"/>
      <w:bookmarkEnd w:id="756"/>
      <w:bookmarkEnd w:id="757"/>
      <w:bookmarkEnd w:id="758"/>
      <w:r>
        <w:rPr>
          <w:rFonts w:hint="eastAsia" w:ascii="黑体" w:hAnsi="黑体" w:eastAsia="黑体"/>
          <w:b/>
          <w:sz w:val="32"/>
          <w:szCs w:val="32"/>
        </w:rPr>
        <w:t>考核方案审定</w:t>
      </w:r>
      <w:bookmarkEnd w:id="759"/>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考核方案由课程管理二级学院组织制定，原则上各课程的考核方案制定人不少于2名，且同一课程标准、同一教学进度的课程应统一考核方案。</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考核方案的基本要求如下：</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（一）考核方案应以专业人才培养方案和课程标准为基本依据，考核内容应与课程标准设定的学习目标相对应。原则上，课程标准中提出的所有学习目标均应进行考核。</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（二）考核方案应明确课程考核的方式、考核内容框架、考核时间、成绩构成以及补考要求等相关内容。</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课程考核包括过程性考核和结果性考核，课程成绩可由过程性考核成绩和结果性考核成绩共同构成。原则上，纯理论课程的过程性考核成绩占比不超过40%，“理论+实践”课程、纯实践课程的过程性考核成绩占比不超过60%。</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考核方案必须在开课前经二级学院考试工作委员会或下设的专业（课程）考核组审核通过后方可执行。考核方案审核一般采取集体审核会的形式进行。任课教师应将课程考核方案相关内容告知学生。</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760" w:name="_Toc880_WPSOffice_Level1"/>
      <w:r>
        <w:rPr>
          <w:rFonts w:hint="eastAsia" w:ascii="黑体" w:hAnsi="黑体" w:eastAsia="黑体"/>
          <w:b/>
          <w:sz w:val="32"/>
          <w:szCs w:val="32"/>
        </w:rPr>
        <w:t>第四章  过程性考核</w:t>
      </w:r>
      <w:bookmarkEnd w:id="760"/>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第十四条 </w:t>
      </w:r>
      <w:r>
        <w:rPr>
          <w:rFonts w:hint="eastAsia" w:ascii="仿宋_GB2312" w:eastAsia="仿宋_GB2312"/>
          <w:sz w:val="32"/>
          <w:szCs w:val="32"/>
        </w:rPr>
        <w:t>过程性考核是在教学过程中进行的考核，是为引导学生及时改进学习、帮助教师及时调整教学而对学生学习结果和教师教学效果开展的考核。过程性考核由课程管理二级学院组织实施。</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过程性考核的试题和评分标准，应在开课前与课程考核方案一同制定，经二级学院考试工作委员会或下设的专业（课程）考核组审核通过后执行。</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过程性考核在教学过程中进行，并完成成绩评定。鼓励教学（课程）团队集体或校企合作开展过程性考核和成绩评定。</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过程性考核主要包括个人（团队）作业、综合性项目、阶段性考核、实践或研究活动、纪律及课堂表现等。</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第十八条 </w:t>
      </w:r>
      <w:r>
        <w:rPr>
          <w:rFonts w:hint="eastAsia" w:ascii="仿宋_GB2312" w:eastAsia="仿宋_GB2312"/>
          <w:sz w:val="32"/>
          <w:szCs w:val="32"/>
        </w:rPr>
        <w:t>任课教师应在过程性考核结束后，将考核情况反馈给学生，并将考核材料上交存档。过程性考核的存档材料由二级学院根据课程特点制定，一般应包括过程性考核的计分表、过程性考核证明材料（样例）等。</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第十九条</w:t>
      </w:r>
      <w:r>
        <w:rPr>
          <w:rFonts w:hint="eastAsia" w:ascii="仿宋_GB2312" w:eastAsia="仿宋_GB2312"/>
          <w:sz w:val="32"/>
          <w:szCs w:val="32"/>
        </w:rPr>
        <w:t xml:space="preserve"> 二级学院负责过程性考核的跟踪检查和管理，应将抽查过程性考核的组织和执行情况作为日常教学检查的主要内容之一。</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761" w:name="_Toc25742_WPSOffice_Level1"/>
      <w:r>
        <w:rPr>
          <w:rFonts w:hint="eastAsia" w:ascii="黑体" w:hAnsi="黑体" w:eastAsia="黑体"/>
          <w:b/>
          <w:sz w:val="32"/>
          <w:szCs w:val="32"/>
        </w:rPr>
        <w:t>第五章  结果性考核</w:t>
      </w:r>
      <w:bookmarkEnd w:id="761"/>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结果性考核是在某一相对完整的教学阶段结束后，对学生的学习情况和结果进行总结性的考核，并对该阶段教学目标的实现程度做出综合评价。</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公共必修课的结果性考核由教务与实训管理处与课程管理二级学院协同组织实施，其它课程的结果性考核由课程管理二级学院组织实施。</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结果性考核的试题由课程管理二级学院组织命题，原则上各门课程的命题人员不少于2名。命题基本要求如下：</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（一）试题要求无政治性、知识性、科学性错误，确保意识形态导向正确。题意清晰明确，文字准确简练，避免产生误解。</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（二）命题应以课程标准和课程考核方案为主要依据，确保试题的效度和信度，确保试题能科学检验课程教学是否达成教学目标。</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（三）试题要有一定的难度和区分度。试题难度和题量应以中等水平学生能在指定考试时长内完成为宜。一般笔试考试时长为120分钟。</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（四）原则上，试题的满分应该为100分。试题题型应多样化，各类题型的分值设置合理。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（五）每门课程应同时拟定份量和难度基本等效的A、B两套试题（A、B卷重合试题的分值不得超过试卷总分的30%），并制定各套试题的参考答案和评分标准，评分标准要具有可操作性。</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（六）如无特别需要，试卷、答案和评分标准应采用学校规定的统一样式。</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第二十三条</w:t>
      </w:r>
      <w:r>
        <w:rPr>
          <w:rFonts w:hint="eastAsia" w:ascii="仿宋_GB2312" w:eastAsia="仿宋_GB2312"/>
          <w:sz w:val="32"/>
          <w:szCs w:val="32"/>
        </w:rPr>
        <w:t xml:space="preserve"> 试题由课程管理二级学院考试工作委员会（或下设的专业（课程）考核组）负责审查。试题审核一般采取集体审核会的形式进行。未经审查通过的试题不得印刷、使用，已使用的试卷不得重复使用，不得流失。</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第二十四条</w:t>
      </w:r>
      <w:r>
        <w:rPr>
          <w:rFonts w:hint="eastAsia" w:ascii="仿宋_GB2312" w:eastAsia="仿宋_GB2312"/>
          <w:sz w:val="32"/>
          <w:szCs w:val="32"/>
        </w:rPr>
        <w:t xml:space="preserve"> 各二级学院应积极推进所管理课程的题库建设，并以人才培养方案、课程标准等为依据持续完善课程题库，不断更新内容、丰富题型、充实题量。</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第二十五条</w:t>
      </w:r>
      <w:r>
        <w:rPr>
          <w:rFonts w:hint="eastAsia" w:ascii="仿宋_GB2312" w:eastAsia="仿宋_GB2312"/>
          <w:sz w:val="32"/>
          <w:szCs w:val="32"/>
        </w:rPr>
        <w:t xml:space="preserve"> 任课教师应在结果性考核前做好学生考试资格的审查工作。凡无故缺课累计超过课程学时三分之一者，或作业缺交达到三分之一者，取消该门课程考试资格。</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第二十六条</w:t>
      </w:r>
      <w:r>
        <w:rPr>
          <w:rFonts w:hint="eastAsia" w:ascii="仿宋_GB2312" w:eastAsia="仿宋_GB2312"/>
          <w:sz w:val="32"/>
          <w:szCs w:val="32"/>
        </w:rPr>
        <w:t xml:space="preserve"> 二级学院应按以下要求做好结果性考核的组织工作。</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（一）二级学院应组织师生学习考场规则等相关规定，加强考风、考纪教育，并组织做好考试巡查工作。</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（二）二级学院应提前做好所管理课程的考试安排（包括考试时间、地点、监考员等），并报教务与实训管理处备案。原则上，同一课程标准、同一教学进度的课程应统一考试时间。</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（三）二级学院负责试题的印制、装订、分袋及保管等工作，一般应在考试前两周完成。所有接触试题的人员，对试题负有保密责任，凡有泄露试题等违纪行为者，按学校相关规定严肃处理。</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（四）二级学院应在考试前一周做好以下工作：</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1.向学生公布考试资格审查结果；</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2.将考试的具体时间、地点等安排通知学生、监考员等相关人员；</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3.做好考场设施、设备、软件等准备工作，如需网络、水电或安保等保障的，应向相关部门提交保障申请。</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（五）考场安排原则上应单人单座。考生人数在60人以下的考场，安排2名监考员；60人以上的考场应酌情增加监考员。</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（六）采用口试、机试、实践操作等考核方式的，应根据实际需要安排考场及备考场所，并可配备考务人员现场协助开展考核工作。</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第二十七条 </w:t>
      </w:r>
      <w:r>
        <w:rPr>
          <w:rFonts w:hint="eastAsia" w:ascii="仿宋_GB2312" w:eastAsia="仿宋_GB2312"/>
          <w:sz w:val="32"/>
          <w:szCs w:val="32"/>
        </w:rPr>
        <w:t>监考工作由学校的教职工或兼职教师承担。承担监考工作是教职工应尽的职责，每一位教职工不得无故拒绝监考任务。课程考核不发放监考费。</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762" w:name="_Toc145478615"/>
      <w:bookmarkStart w:id="763" w:name="_Toc148344823"/>
      <w:bookmarkStart w:id="764" w:name="_Toc144815447"/>
      <w:bookmarkStart w:id="765" w:name="_Toc145415040"/>
      <w:bookmarkStart w:id="766" w:name="_Toc148344142"/>
      <w:bookmarkStart w:id="767" w:name="_Toc19959_WPSOffice_Level1"/>
      <w:r>
        <w:rPr>
          <w:rFonts w:hint="eastAsia" w:ascii="黑体" w:hAnsi="黑体" w:eastAsia="黑体"/>
          <w:b/>
          <w:sz w:val="32"/>
          <w:szCs w:val="32"/>
        </w:rPr>
        <w:t xml:space="preserve">第六章  </w:t>
      </w:r>
      <w:bookmarkEnd w:id="762"/>
      <w:bookmarkEnd w:id="763"/>
      <w:bookmarkEnd w:id="764"/>
      <w:bookmarkEnd w:id="765"/>
      <w:bookmarkEnd w:id="766"/>
      <w:r>
        <w:rPr>
          <w:rFonts w:hint="eastAsia" w:ascii="黑体" w:hAnsi="黑体" w:eastAsia="黑体"/>
          <w:b/>
          <w:sz w:val="32"/>
          <w:szCs w:val="32"/>
        </w:rPr>
        <w:t>成绩评定</w:t>
      </w:r>
      <w:bookmarkEnd w:id="767"/>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第二十八条</w:t>
      </w:r>
      <w:r>
        <w:rPr>
          <w:rFonts w:hint="eastAsia" w:ascii="仿宋_GB2312" w:eastAsia="仿宋_GB2312"/>
          <w:sz w:val="32"/>
          <w:szCs w:val="32"/>
        </w:rPr>
        <w:t xml:space="preserve"> 课程成绩由课程管理二级学院组织评定。其中，结果性考核的成绩评定一般不少于2人，可采用集体流水评定、交叉评定或计算机自动评定等方式。</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第二十九条</w:t>
      </w:r>
      <w:r>
        <w:rPr>
          <w:rFonts w:hint="eastAsia" w:ascii="仿宋_GB2312" w:eastAsia="仿宋_GB2312"/>
          <w:sz w:val="32"/>
          <w:szCs w:val="32"/>
        </w:rPr>
        <w:t xml:space="preserve"> 成绩评定应以课程考核方案及评分标准为依据，一般应由过程性考核成绩和结果性考核成绩共同构成。</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第三十条</w:t>
      </w:r>
      <w:r>
        <w:rPr>
          <w:rFonts w:hint="eastAsia" w:ascii="仿宋_GB2312" w:eastAsia="仿宋_GB2312"/>
          <w:sz w:val="32"/>
          <w:szCs w:val="32"/>
        </w:rPr>
        <w:t xml:space="preserve"> 任课教师应在课程考核结束后两周内公布课程成绩，将考核情况反馈给学生，并将课程考核资料交相关部门留存，逾期未完成的，按学校相关规定处理。</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第三十一条</w:t>
      </w:r>
      <w:r>
        <w:rPr>
          <w:rFonts w:hint="eastAsia" w:ascii="仿宋_GB2312" w:eastAsia="仿宋_GB2312"/>
          <w:sz w:val="32"/>
          <w:szCs w:val="32"/>
        </w:rPr>
        <w:t xml:space="preserve"> 二级学院做好课程考核资料（含过程性考核和结果性考核）的归档工作，并对考核资料进行抽查，掌握命题、答题及成绩评定情况。</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768" w:name="_Toc144815448"/>
      <w:bookmarkStart w:id="769" w:name="_Toc145478616"/>
      <w:bookmarkStart w:id="770" w:name="_Toc145415041"/>
      <w:bookmarkStart w:id="771" w:name="_Toc148344143"/>
      <w:bookmarkStart w:id="772" w:name="_Toc148344824"/>
      <w:bookmarkStart w:id="773" w:name="_Toc28899_WPSOffice_Level1"/>
      <w:r>
        <w:rPr>
          <w:rFonts w:hint="eastAsia" w:ascii="黑体" w:hAnsi="黑体" w:eastAsia="黑体"/>
          <w:b/>
          <w:sz w:val="32"/>
          <w:szCs w:val="32"/>
        </w:rPr>
        <w:t xml:space="preserve">第七章  </w:t>
      </w:r>
      <w:bookmarkEnd w:id="768"/>
      <w:bookmarkEnd w:id="769"/>
      <w:bookmarkEnd w:id="770"/>
      <w:bookmarkEnd w:id="771"/>
      <w:bookmarkEnd w:id="772"/>
      <w:r>
        <w:rPr>
          <w:rFonts w:hint="eastAsia" w:ascii="黑体" w:hAnsi="黑体" w:eastAsia="黑体"/>
          <w:b/>
          <w:sz w:val="32"/>
          <w:szCs w:val="32"/>
        </w:rPr>
        <w:t>成绩复查及更正</w:t>
      </w:r>
      <w:bookmarkEnd w:id="773"/>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第三十二条</w:t>
      </w:r>
      <w:r>
        <w:rPr>
          <w:rFonts w:hint="eastAsia" w:ascii="仿宋_GB2312" w:eastAsia="仿宋_GB2312"/>
          <w:sz w:val="32"/>
          <w:szCs w:val="32"/>
        </w:rPr>
        <w:t xml:space="preserve"> 成绩公布后，学生对课程成绩有异议的，可向课程管理二级学院提出复查申请。复查申请经审核同意后，由课程管理二级学院指定非原评分教师进行复查。学生应在课程考核的下一学期开学一周内向课程管理二级学院提交成绩复查申请。</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第三十三条</w:t>
      </w:r>
      <w:r>
        <w:rPr>
          <w:rFonts w:hint="eastAsia" w:ascii="仿宋_GB2312" w:eastAsia="仿宋_GB2312"/>
          <w:sz w:val="32"/>
          <w:szCs w:val="32"/>
        </w:rPr>
        <w:t xml:space="preserve"> 成绩公布后，任课教师发现确有错误需要更正的，应提出成绩更正申请，经课程管理二级学院、教务与实训管理处审核同意后予以更正。任课教师应在课程考核的下一学期开学两周内办理课程成绩更正申请手续。</w:t>
      </w:r>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774" w:name="_Toc6743_WPSOffice_Level1"/>
      <w:r>
        <w:rPr>
          <w:rFonts w:hint="eastAsia" w:ascii="黑体" w:hAnsi="黑体" w:eastAsia="黑体"/>
          <w:b/>
          <w:sz w:val="32"/>
          <w:szCs w:val="32"/>
        </w:rPr>
        <w:t>第八章  考试情况检查</w:t>
      </w:r>
      <w:bookmarkEnd w:id="774"/>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第三十四条</w:t>
      </w:r>
      <w:r>
        <w:rPr>
          <w:rFonts w:hint="eastAsia" w:ascii="仿宋_GB2312" w:eastAsia="仿宋_GB2312"/>
          <w:sz w:val="32"/>
          <w:szCs w:val="32"/>
        </w:rPr>
        <w:t xml:space="preserve"> 二级学院负责所管理课程考试过程的监督管理，抽查课程考试的执行情况。</w:t>
      </w:r>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bookmarkStart w:id="775" w:name="_Toc6212_WPSOffice_Level1"/>
      <w:r>
        <w:rPr>
          <w:rFonts w:hint="eastAsia" w:ascii="仿宋_GB2312" w:eastAsia="仿宋_GB2312"/>
          <w:b/>
          <w:bCs/>
          <w:sz w:val="32"/>
          <w:szCs w:val="32"/>
        </w:rPr>
        <w:t>第三十五条</w:t>
      </w:r>
      <w:r>
        <w:rPr>
          <w:rFonts w:hint="eastAsia" w:ascii="仿宋_GB2312" w:eastAsia="仿宋_GB2312"/>
          <w:sz w:val="32"/>
          <w:szCs w:val="32"/>
        </w:rPr>
        <w:t xml:space="preserve"> 学校对二级学院的课程考试组织和执行情况进行检查。</w:t>
      </w:r>
      <w:bookmarkEnd w:id="775"/>
    </w:p>
    <w:p>
      <w:pPr>
        <w:pageBreakBefore w:val="0"/>
        <w:kinsoku/>
        <w:overflowPunct/>
        <w:topLinePunct w:val="0"/>
        <w:bidi w:val="0"/>
        <w:spacing w:line="596" w:lineRule="exact"/>
        <w:jc w:val="center"/>
        <w:outlineLvl w:val="9"/>
        <w:rPr>
          <w:rFonts w:hint="eastAsia" w:ascii="黑体" w:hAnsi="黑体" w:eastAsia="黑体"/>
          <w:b/>
          <w:sz w:val="32"/>
          <w:szCs w:val="32"/>
        </w:rPr>
      </w:pPr>
      <w:bookmarkStart w:id="776" w:name="_Toc23759_WPSOffice_Level1"/>
      <w:r>
        <w:rPr>
          <w:rFonts w:hint="eastAsia" w:ascii="黑体" w:hAnsi="黑体" w:eastAsia="黑体"/>
          <w:b/>
          <w:sz w:val="32"/>
          <w:szCs w:val="32"/>
        </w:rPr>
        <w:t>第九章  附  则</w:t>
      </w:r>
      <w:bookmarkEnd w:id="776"/>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bookmarkStart w:id="777" w:name="_Toc3236_WPSOffice_Level1"/>
      <w:r>
        <w:rPr>
          <w:rFonts w:hint="eastAsia" w:ascii="仿宋_GB2312" w:eastAsia="仿宋_GB2312"/>
          <w:b/>
          <w:bCs/>
          <w:sz w:val="32"/>
          <w:szCs w:val="32"/>
        </w:rPr>
        <w:t xml:space="preserve">第三十六条 </w:t>
      </w:r>
      <w:r>
        <w:rPr>
          <w:rFonts w:hint="eastAsia" w:ascii="仿宋_GB2312" w:eastAsia="仿宋_GB2312"/>
          <w:sz w:val="32"/>
          <w:szCs w:val="32"/>
        </w:rPr>
        <w:t>本办法由教务与实训管理处负责解释。</w:t>
      </w:r>
      <w:bookmarkEnd w:id="777"/>
    </w:p>
    <w:p>
      <w:pPr>
        <w:pageBreakBefore w:val="0"/>
        <w:kinsoku/>
        <w:overflowPunct/>
        <w:topLinePunct w:val="0"/>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第三十七条</w:t>
      </w:r>
      <w:r>
        <w:rPr>
          <w:rFonts w:hint="eastAsia" w:ascii="仿宋_GB2312" w:eastAsia="仿宋_GB2312"/>
          <w:sz w:val="32"/>
          <w:szCs w:val="32"/>
        </w:rPr>
        <w:t xml:space="preserve"> 《柳州职业技术学院考试工作管理规范》（柳职院教字〔2005〕9号）自本管理办法发布之日起废止。</w:t>
      </w: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p>
    <w:p>
      <w:pPr>
        <w:pageBreakBefore w:val="0"/>
        <w:kinsoku/>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附件：1.柳州职业技术学院考试工作流程</w:t>
      </w:r>
    </w:p>
    <w:p>
      <w:pPr>
        <w:pageBreakBefore w:val="0"/>
        <w:kinsoku/>
        <w:overflowPunct/>
        <w:topLinePunct w:val="0"/>
        <w:bidi w:val="0"/>
        <w:spacing w:line="596" w:lineRule="exact"/>
        <w:ind w:firstLine="1600" w:firstLineChars="500"/>
        <w:outlineLvl w:val="9"/>
        <w:rPr>
          <w:rFonts w:hint="eastAsia" w:ascii="仿宋_GB2312" w:eastAsia="仿宋_GB2312"/>
          <w:sz w:val="32"/>
          <w:szCs w:val="32"/>
        </w:rPr>
      </w:pPr>
      <w:r>
        <w:rPr>
          <w:rFonts w:hint="eastAsia" w:ascii="仿宋_GB2312" w:eastAsia="仿宋_GB2312"/>
          <w:sz w:val="32"/>
          <w:szCs w:val="32"/>
        </w:rPr>
        <w:t>2.柳州职业技术学院课程考核方案（2021版）</w:t>
      </w:r>
    </w:p>
    <w:p>
      <w:pPr>
        <w:pageBreakBefore w:val="0"/>
        <w:kinsoku/>
        <w:overflowPunct/>
        <w:topLinePunct w:val="0"/>
        <w:bidi w:val="0"/>
        <w:spacing w:line="596" w:lineRule="exact"/>
        <w:ind w:firstLine="1600" w:firstLineChars="500"/>
        <w:outlineLvl w:val="9"/>
        <w:rPr>
          <w:rFonts w:hint="eastAsia" w:ascii="仿宋_GB2312" w:eastAsia="仿宋_GB2312"/>
          <w:sz w:val="32"/>
          <w:szCs w:val="32"/>
        </w:rPr>
      </w:pPr>
      <w:r>
        <w:rPr>
          <w:rFonts w:hint="eastAsia" w:ascii="仿宋_GB2312" w:eastAsia="仿宋_GB2312"/>
          <w:sz w:val="32"/>
          <w:szCs w:val="32"/>
        </w:rPr>
        <w:t>3.柳州职业技术学院试题审查表</w:t>
      </w:r>
    </w:p>
    <w:p>
      <w:pPr>
        <w:pageBreakBefore w:val="0"/>
        <w:kinsoku/>
        <w:overflowPunct/>
        <w:topLinePunct w:val="0"/>
        <w:bidi w:val="0"/>
        <w:outlineLvl w:val="9"/>
        <w:rPr>
          <w:rFonts w:hint="eastAsia" w:ascii="仿宋_GB2312" w:hAnsi="Times New Roman" w:eastAsia="仿宋_GB2312"/>
          <w:sz w:val="32"/>
          <w:szCs w:val="32"/>
        </w:rPr>
      </w:pPr>
    </w:p>
    <w:p>
      <w:pPr>
        <w:pageBreakBefore w:val="0"/>
        <w:kinsoku/>
        <w:overflowPunct/>
        <w:topLinePunct w:val="0"/>
        <w:bidi w:val="0"/>
        <w:outlineLvl w:val="9"/>
        <w:rPr>
          <w:rFonts w:hint="eastAsia" w:ascii="仿宋_GB2312" w:hAnsi="Times New Roman" w:eastAsia="仿宋_GB2312"/>
          <w:sz w:val="32"/>
          <w:szCs w:val="32"/>
        </w:rPr>
      </w:pPr>
    </w:p>
    <w:p>
      <w:pPr>
        <w:pageBreakBefore w:val="0"/>
        <w:kinsoku/>
        <w:overflowPunct/>
        <w:topLinePunct w:val="0"/>
        <w:bidi w:val="0"/>
        <w:outlineLvl w:val="9"/>
        <w:rPr>
          <w:rFonts w:hint="eastAsia" w:ascii="仿宋_GB2312" w:hAnsi="Times New Roman" w:eastAsia="仿宋_GB2312"/>
          <w:sz w:val="32"/>
          <w:szCs w:val="32"/>
        </w:rPr>
      </w:pPr>
    </w:p>
    <w:p>
      <w:pPr>
        <w:pageBreakBefore w:val="0"/>
        <w:kinsoku/>
        <w:overflowPunct/>
        <w:topLinePunct w:val="0"/>
        <w:bidi w:val="0"/>
        <w:outlineLvl w:val="9"/>
        <w:rPr>
          <w:rFonts w:hint="eastAsia"/>
        </w:rPr>
      </w:pPr>
    </w:p>
    <w:p>
      <w:pPr>
        <w:pageBreakBefore w:val="0"/>
        <w:kinsoku/>
        <w:overflowPunct/>
        <w:topLinePunct w:val="0"/>
        <w:bidi w:val="0"/>
        <w:outlineLvl w:val="9"/>
        <w:rPr>
          <w:rFonts w:hint="eastAsia" w:ascii="仿宋_GB2312" w:hAnsi="Times New Roman" w:eastAsia="仿宋_GB2312"/>
          <w:sz w:val="32"/>
          <w:szCs w:val="32"/>
        </w:rPr>
      </w:pPr>
    </w:p>
    <w:p>
      <w:pPr>
        <w:pStyle w:val="3"/>
        <w:outlineLvl w:val="9"/>
        <w:rPr>
          <w:rFonts w:hint="eastAsia"/>
        </w:rPr>
      </w:pPr>
    </w:p>
    <w:p>
      <w:pPr>
        <w:pageBreakBefore w:val="0"/>
        <w:kinsoku/>
        <w:overflowPunct/>
        <w:topLinePunct w:val="0"/>
        <w:bidi w:val="0"/>
        <w:spacing w:line="720" w:lineRule="exact"/>
        <w:jc w:val="left"/>
        <w:outlineLvl w:val="9"/>
        <w:rPr>
          <w:rFonts w:hint="eastAsia" w:ascii="黑体" w:eastAsia="黑体"/>
          <w:b/>
          <w:bCs/>
          <w:sz w:val="32"/>
          <w:szCs w:val="32"/>
        </w:rPr>
      </w:pPr>
      <w:bookmarkStart w:id="778" w:name="_Toc7029_WPSOffice_Level1"/>
      <w:r>
        <w:rPr>
          <w:rFonts w:hint="eastAsia" w:ascii="黑体" w:eastAsia="黑体"/>
          <w:b/>
          <w:bCs/>
          <w:sz w:val="32"/>
          <w:szCs w:val="32"/>
        </w:rPr>
        <w:t>附件1：</w:t>
      </w:r>
      <w:bookmarkEnd w:id="778"/>
    </w:p>
    <w:p>
      <w:pPr>
        <w:pageBreakBefore w:val="0"/>
        <w:kinsoku/>
        <w:overflowPunct/>
        <w:topLinePunct w:val="0"/>
        <w:bidi w:val="0"/>
        <w:spacing w:line="596" w:lineRule="exact"/>
        <w:jc w:val="center"/>
        <w:outlineLvl w:val="9"/>
        <w:rPr>
          <w:rFonts w:hint="eastAsia"/>
          <w:b/>
          <w:color w:val="000000"/>
          <w:sz w:val="36"/>
          <w:szCs w:val="36"/>
        </w:rPr>
      </w:pPr>
      <w:bookmarkStart w:id="779" w:name="_Toc4103_WPSOffice_Level1"/>
      <w:r>
        <w:rPr>
          <w:rFonts w:hint="eastAsia"/>
          <w:b/>
          <w:color w:val="000000"/>
          <w:sz w:val="36"/>
          <w:szCs w:val="36"/>
        </w:rPr>
        <w:t>柳州职业技术学院考试工作流程</w:t>
      </w:r>
      <w:bookmarkEnd w:id="779"/>
    </w:p>
    <w:p>
      <w:pPr>
        <w:pageBreakBefore w:val="0"/>
        <w:kinsoku/>
        <w:overflowPunct/>
        <w:topLinePunct w:val="0"/>
        <w:bidi w:val="0"/>
        <w:outlineLvl w:val="9"/>
        <w:rPr>
          <w:rFonts w:hint="eastAsia"/>
        </w:rPr>
      </w:pPr>
    </w:p>
    <w:p>
      <w:pPr>
        <w:pageBreakBefore w:val="0"/>
        <w:kinsoku/>
        <w:overflowPunct/>
        <w:topLinePunct w:val="0"/>
        <w:bidi w:val="0"/>
        <w:outlineLvl w:val="9"/>
        <w:rPr>
          <w:rFonts w:hint="eastAsia"/>
        </w:rPr>
      </w:pPr>
    </w:p>
    <w:p>
      <w:pPr>
        <w:pageBreakBefore w:val="0"/>
        <w:kinsoku/>
        <w:overflowPunct/>
        <w:topLinePunct w:val="0"/>
        <w:bidi w:val="0"/>
        <w:spacing w:line="720" w:lineRule="exact"/>
        <w:jc w:val="left"/>
        <w:outlineLvl w:val="9"/>
        <w:rPr>
          <w:rFonts w:hint="eastAsia" w:ascii="黑体" w:eastAsia="黑体"/>
          <w:b/>
          <w:bCs/>
          <w:sz w:val="32"/>
          <w:szCs w:val="32"/>
        </w:rPr>
      </w:pPr>
    </w:p>
    <w:p>
      <w:pPr>
        <w:pageBreakBefore w:val="0"/>
        <w:kinsoku/>
        <w:overflowPunct/>
        <w:topLinePunct w:val="0"/>
        <w:bidi w:val="0"/>
        <w:spacing w:line="720" w:lineRule="exact"/>
        <w:jc w:val="left"/>
        <w:outlineLvl w:val="9"/>
        <w:rPr>
          <w:rFonts w:hint="eastAsia" w:ascii="黑体" w:eastAsia="黑体"/>
          <w:b/>
          <w:bCs/>
          <w:sz w:val="32"/>
          <w:szCs w:val="32"/>
        </w:rPr>
      </w:pPr>
      <w:bookmarkStart w:id="780" w:name="_Toc7025_WPSOffice_Level1"/>
      <w:r>
        <w:rPr>
          <w:rFonts w:hint="eastAsia" w:ascii="黑体" w:eastAsia="黑体"/>
          <w:b/>
          <w:bCs/>
          <w:sz w:val="32"/>
          <w:szCs w:val="32"/>
        </w:rPr>
        <w:t>附件2：</w:t>
      </w:r>
      <w:bookmarkEnd w:id="780"/>
    </w:p>
    <w:p>
      <w:pPr>
        <w:pageBreakBefore w:val="0"/>
        <w:kinsoku/>
        <w:overflowPunct/>
        <w:topLinePunct w:val="0"/>
        <w:bidi w:val="0"/>
        <w:spacing w:line="596" w:lineRule="exact"/>
        <w:jc w:val="center"/>
        <w:outlineLvl w:val="9"/>
        <w:rPr>
          <w:rFonts w:hint="eastAsia"/>
          <w:b/>
          <w:color w:val="000000"/>
          <w:sz w:val="36"/>
          <w:szCs w:val="36"/>
        </w:rPr>
      </w:pPr>
      <w:bookmarkStart w:id="781" w:name="_Toc6468_WPSOffice_Level1"/>
      <w:r>
        <w:rPr>
          <w:rFonts w:hint="eastAsia"/>
          <w:b/>
          <w:color w:val="000000"/>
          <w:sz w:val="36"/>
          <w:szCs w:val="36"/>
        </w:rPr>
        <w:t>柳州职业技术学院课程考核方案（2021版）</w:t>
      </w:r>
      <w:bookmarkEnd w:id="781"/>
    </w:p>
    <w:tbl>
      <w:tblPr>
        <w:tblStyle w:val="14"/>
        <w:tblW w:w="9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778"/>
        <w:gridCol w:w="948"/>
        <w:gridCol w:w="1000"/>
        <w:gridCol w:w="3323"/>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35"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课程名称</w:t>
            </w:r>
          </w:p>
        </w:tc>
        <w:tc>
          <w:tcPr>
            <w:tcW w:w="687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left"/>
              <w:outlineLvl w:val="9"/>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35"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任课教师</w:t>
            </w:r>
          </w:p>
        </w:tc>
        <w:tc>
          <w:tcPr>
            <w:tcW w:w="687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left"/>
              <w:outlineLvl w:val="9"/>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35"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考核时间</w:t>
            </w:r>
          </w:p>
        </w:tc>
        <w:tc>
          <w:tcPr>
            <w:tcW w:w="687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left"/>
              <w:outlineLvl w:val="9"/>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4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序号</w:t>
            </w:r>
          </w:p>
        </w:tc>
        <w:tc>
          <w:tcPr>
            <w:tcW w:w="177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考核</w:t>
            </w:r>
          </w:p>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内容</w:t>
            </w:r>
          </w:p>
        </w:tc>
        <w:tc>
          <w:tcPr>
            <w:tcW w:w="94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考核</w:t>
            </w:r>
          </w:p>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方式</w:t>
            </w:r>
          </w:p>
        </w:tc>
        <w:tc>
          <w:tcPr>
            <w:tcW w:w="100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权重</w:t>
            </w:r>
          </w:p>
        </w:tc>
        <w:tc>
          <w:tcPr>
            <w:tcW w:w="332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sz w:val="21"/>
                <w:szCs w:val="21"/>
              </w:rPr>
            </w:pPr>
            <w:r>
              <w:rPr>
                <w:rFonts w:hint="eastAsia" w:ascii="宋体" w:hAnsi="宋体" w:cs="宋体"/>
                <w:sz w:val="21"/>
                <w:szCs w:val="21"/>
              </w:rPr>
              <w:t>课程对应的学习目标</w:t>
            </w:r>
          </w:p>
        </w:tc>
        <w:tc>
          <w:tcPr>
            <w:tcW w:w="160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b/>
                <w:sz w:val="24"/>
                <w:szCs w:val="22"/>
              </w:rPr>
            </w:pPr>
            <w:r>
              <w:rPr>
                <w:rFonts w:hint="eastAsia" w:ascii="宋体" w:hAnsi="宋体" w:cs="宋体"/>
                <w:sz w:val="21"/>
                <w:szCs w:val="21"/>
              </w:rPr>
              <w:t>考核阶段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4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r>
              <w:rPr>
                <w:rFonts w:hint="eastAsia" w:ascii="宋体" w:hAnsi="宋体" w:cs="宋体"/>
                <w:sz w:val="24"/>
                <w:szCs w:val="22"/>
              </w:rPr>
              <w:t>1</w:t>
            </w:r>
          </w:p>
        </w:tc>
        <w:tc>
          <w:tcPr>
            <w:tcW w:w="177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94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00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332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60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1"/>
                <w:szCs w:val="21"/>
              </w:rPr>
            </w:pPr>
            <w:r>
              <w:rPr>
                <w:rFonts w:hint="eastAsia" w:ascii="宋体" w:hAnsi="宋体" w:cs="宋体"/>
                <w:sz w:val="21"/>
                <w:szCs w:val="21"/>
              </w:rPr>
              <w:t>过程性考核 □</w:t>
            </w:r>
          </w:p>
          <w:p>
            <w:pPr>
              <w:pageBreakBefore w:val="0"/>
              <w:kinsoku/>
              <w:overflowPunct/>
              <w:topLinePunct w:val="0"/>
              <w:bidi w:val="0"/>
              <w:spacing w:line="280" w:lineRule="exact"/>
              <w:outlineLvl w:val="9"/>
              <w:rPr>
                <w:rFonts w:ascii="宋体" w:hAnsi="宋体" w:cs="宋体"/>
                <w:sz w:val="24"/>
              </w:rPr>
            </w:pPr>
            <w:r>
              <w:rPr>
                <w:rFonts w:hint="eastAsia" w:ascii="宋体" w:hAnsi="宋体" w:cs="宋体"/>
                <w:sz w:val="21"/>
                <w:szCs w:val="21"/>
              </w:rPr>
              <w:t>结果性考核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4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r>
              <w:rPr>
                <w:rFonts w:hint="eastAsia" w:ascii="宋体" w:hAnsi="宋体" w:cs="宋体"/>
                <w:sz w:val="24"/>
                <w:szCs w:val="22"/>
              </w:rPr>
              <w:t>2</w:t>
            </w:r>
          </w:p>
        </w:tc>
        <w:tc>
          <w:tcPr>
            <w:tcW w:w="177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94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00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332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60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4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r>
              <w:rPr>
                <w:rFonts w:hint="eastAsia" w:ascii="宋体" w:hAnsi="宋体" w:cs="宋体"/>
                <w:sz w:val="24"/>
                <w:szCs w:val="22"/>
              </w:rPr>
              <w:t>3</w:t>
            </w:r>
          </w:p>
        </w:tc>
        <w:tc>
          <w:tcPr>
            <w:tcW w:w="177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94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00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332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60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4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r>
              <w:rPr>
                <w:rFonts w:hint="eastAsia" w:ascii="宋体" w:hAnsi="宋体" w:cs="宋体"/>
                <w:sz w:val="24"/>
                <w:szCs w:val="22"/>
              </w:rPr>
              <w:t>4</w:t>
            </w:r>
          </w:p>
        </w:tc>
        <w:tc>
          <w:tcPr>
            <w:tcW w:w="177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94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00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332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60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4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r>
              <w:rPr>
                <w:rFonts w:hint="eastAsia" w:ascii="宋体" w:hAnsi="宋体" w:cs="宋体"/>
                <w:b/>
                <w:sz w:val="24"/>
                <w:szCs w:val="22"/>
              </w:rPr>
              <w:t>…</w:t>
            </w:r>
          </w:p>
        </w:tc>
        <w:tc>
          <w:tcPr>
            <w:tcW w:w="177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94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00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332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60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4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b/>
                <w:sz w:val="24"/>
              </w:rPr>
            </w:pPr>
          </w:p>
        </w:tc>
        <w:tc>
          <w:tcPr>
            <w:tcW w:w="177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94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00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332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60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4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b/>
                <w:sz w:val="24"/>
              </w:rPr>
            </w:pPr>
          </w:p>
        </w:tc>
        <w:tc>
          <w:tcPr>
            <w:tcW w:w="177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94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00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332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60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45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b/>
                <w:sz w:val="24"/>
              </w:rPr>
            </w:pPr>
          </w:p>
        </w:tc>
        <w:tc>
          <w:tcPr>
            <w:tcW w:w="177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94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00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332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c>
          <w:tcPr>
            <w:tcW w:w="160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0" w:hRule="atLeast"/>
        </w:trPr>
        <w:tc>
          <w:tcPr>
            <w:tcW w:w="2235"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280" w:lineRule="exact"/>
              <w:jc w:val="center"/>
              <w:outlineLvl w:val="9"/>
              <w:rPr>
                <w:rFonts w:ascii="宋体" w:hAnsi="宋体" w:cs="宋体"/>
                <w:b/>
                <w:bCs/>
                <w:sz w:val="24"/>
                <w:szCs w:val="22"/>
              </w:rPr>
            </w:pPr>
            <w:r>
              <w:rPr>
                <w:rFonts w:hint="eastAsia" w:ascii="宋体" w:hAnsi="宋体" w:cs="宋体"/>
                <w:b/>
                <w:bCs/>
                <w:sz w:val="24"/>
                <w:szCs w:val="22"/>
              </w:rPr>
              <w:t>二级学院</w:t>
            </w:r>
          </w:p>
          <w:p>
            <w:pPr>
              <w:pageBreakBefore w:val="0"/>
              <w:kinsoku/>
              <w:overflowPunct/>
              <w:topLinePunct w:val="0"/>
              <w:bidi w:val="0"/>
              <w:spacing w:line="280" w:lineRule="exact"/>
              <w:jc w:val="center"/>
              <w:outlineLvl w:val="9"/>
              <w:rPr>
                <w:rFonts w:ascii="宋体" w:hAnsi="宋体" w:cs="宋体"/>
                <w:sz w:val="24"/>
              </w:rPr>
            </w:pPr>
            <w:r>
              <w:rPr>
                <w:rFonts w:hint="eastAsia" w:ascii="宋体" w:hAnsi="宋体" w:cs="宋体"/>
                <w:b/>
                <w:bCs/>
                <w:sz w:val="24"/>
                <w:szCs w:val="22"/>
              </w:rPr>
              <w:t>审核意见</w:t>
            </w:r>
          </w:p>
        </w:tc>
        <w:tc>
          <w:tcPr>
            <w:tcW w:w="6876" w:type="dxa"/>
            <w:gridSpan w:val="4"/>
            <w:tcBorders>
              <w:top w:val="single" w:color="auto" w:sz="4" w:space="0"/>
              <w:left w:val="single" w:color="auto" w:sz="4" w:space="0"/>
              <w:right w:val="single" w:color="auto" w:sz="4" w:space="0"/>
            </w:tcBorders>
            <w:vAlign w:val="center"/>
          </w:tcPr>
          <w:p>
            <w:pPr>
              <w:pageBreakBefore w:val="0"/>
              <w:kinsoku/>
              <w:overflowPunct/>
              <w:topLinePunct w:val="0"/>
              <w:bidi w:val="0"/>
              <w:spacing w:line="280" w:lineRule="exact"/>
              <w:outlineLvl w:val="9"/>
              <w:rPr>
                <w:rFonts w:ascii="宋体" w:hAnsi="宋体" w:cs="宋体"/>
                <w:sz w:val="24"/>
              </w:rPr>
            </w:pPr>
          </w:p>
          <w:p>
            <w:pPr>
              <w:pageBreakBefore w:val="0"/>
              <w:kinsoku/>
              <w:overflowPunct/>
              <w:topLinePunct w:val="0"/>
              <w:bidi w:val="0"/>
              <w:outlineLvl w:val="9"/>
              <w:rPr>
                <w:rFonts w:ascii="宋体" w:hAnsi="宋体"/>
                <w:sz w:val="21"/>
                <w:szCs w:val="21"/>
              </w:rPr>
            </w:pPr>
          </w:p>
          <w:p>
            <w:pPr>
              <w:pageBreakBefore w:val="0"/>
              <w:kinsoku/>
              <w:overflowPunct/>
              <w:topLinePunct w:val="0"/>
              <w:bidi w:val="0"/>
              <w:outlineLvl w:val="9"/>
              <w:rPr>
                <w:rFonts w:ascii="宋体" w:hAnsi="宋体"/>
                <w:sz w:val="21"/>
                <w:szCs w:val="21"/>
              </w:rPr>
            </w:pPr>
          </w:p>
          <w:p>
            <w:pPr>
              <w:pageBreakBefore w:val="0"/>
              <w:kinsoku/>
              <w:overflowPunct/>
              <w:topLinePunct w:val="0"/>
              <w:bidi w:val="0"/>
              <w:outlineLvl w:val="9"/>
              <w:rPr>
                <w:rFonts w:ascii="宋体" w:hAnsi="宋体"/>
                <w:sz w:val="21"/>
                <w:szCs w:val="21"/>
              </w:rPr>
            </w:pPr>
          </w:p>
          <w:p>
            <w:pPr>
              <w:pageBreakBefore w:val="0"/>
              <w:kinsoku/>
              <w:overflowPunct/>
              <w:topLinePunct w:val="0"/>
              <w:bidi w:val="0"/>
              <w:ind w:firstLine="840" w:firstLineChars="400"/>
              <w:outlineLvl w:val="9"/>
              <w:rPr>
                <w:rFonts w:ascii="宋体" w:hAnsi="宋体"/>
                <w:sz w:val="21"/>
                <w:szCs w:val="21"/>
              </w:rPr>
            </w:pPr>
            <w:r>
              <w:rPr>
                <w:rFonts w:hint="eastAsia" w:ascii="宋体" w:hAnsi="宋体"/>
                <w:sz w:val="21"/>
                <w:szCs w:val="21"/>
              </w:rPr>
              <w:t>考试工作委员会主任或专业（课程）考核组组长：</w:t>
            </w:r>
          </w:p>
          <w:p>
            <w:pPr>
              <w:pageBreakBefore w:val="0"/>
              <w:kinsoku/>
              <w:overflowPunct/>
              <w:topLinePunct w:val="0"/>
              <w:bidi w:val="0"/>
              <w:jc w:val="right"/>
              <w:outlineLvl w:val="9"/>
              <w:rPr>
                <w:rFonts w:ascii="宋体" w:hAnsi="宋体"/>
                <w:sz w:val="21"/>
                <w:szCs w:val="21"/>
              </w:rPr>
            </w:pPr>
            <w:r>
              <w:rPr>
                <w:rFonts w:hint="eastAsia" w:ascii="宋体" w:hAnsi="宋体"/>
                <w:sz w:val="21"/>
                <w:szCs w:val="21"/>
              </w:rPr>
              <w:t>年     月     日</w:t>
            </w:r>
          </w:p>
        </w:tc>
      </w:tr>
    </w:tbl>
    <w:p>
      <w:pPr>
        <w:pageBreakBefore w:val="0"/>
        <w:kinsoku/>
        <w:overflowPunct/>
        <w:topLinePunct w:val="0"/>
        <w:bidi w:val="0"/>
        <w:outlineLvl w:val="9"/>
        <w:rPr>
          <w:rFonts w:hint="eastAsia"/>
        </w:rPr>
      </w:pPr>
      <w:r>
        <w:rPr>
          <w:rFonts w:hint="eastAsia" w:ascii="宋体" w:hAnsi="宋体" w:cs="宋体"/>
          <w:kern w:val="0"/>
          <w:sz w:val="22"/>
        </w:rPr>
        <w:t>填表说明：考核内容应与课程学习目标相对应。原则上，课程标准中提出的所有学习目标均应进行考核。</w:t>
      </w:r>
    </w:p>
    <w:p>
      <w:pPr>
        <w:pageBreakBefore w:val="0"/>
        <w:kinsoku/>
        <w:overflowPunct/>
        <w:topLinePunct w:val="0"/>
        <w:bidi w:val="0"/>
        <w:spacing w:line="720" w:lineRule="exact"/>
        <w:jc w:val="left"/>
        <w:outlineLvl w:val="9"/>
        <w:rPr>
          <w:rFonts w:hint="eastAsia" w:ascii="黑体" w:eastAsia="黑体"/>
          <w:b/>
          <w:bCs/>
          <w:sz w:val="32"/>
          <w:szCs w:val="32"/>
        </w:rPr>
      </w:pPr>
    </w:p>
    <w:p>
      <w:pPr>
        <w:pageBreakBefore w:val="0"/>
        <w:kinsoku/>
        <w:overflowPunct/>
        <w:topLinePunct w:val="0"/>
        <w:bidi w:val="0"/>
        <w:outlineLvl w:val="9"/>
        <w:rPr>
          <w:rFonts w:hint="eastAsia"/>
        </w:rPr>
      </w:pPr>
    </w:p>
    <w:p>
      <w:pPr>
        <w:pStyle w:val="3"/>
        <w:outlineLvl w:val="9"/>
        <w:rPr>
          <w:rFonts w:hint="eastAsia"/>
        </w:rPr>
      </w:pPr>
    </w:p>
    <w:p>
      <w:pPr>
        <w:pageBreakBefore w:val="0"/>
        <w:kinsoku/>
        <w:overflowPunct/>
        <w:topLinePunct w:val="0"/>
        <w:bidi w:val="0"/>
        <w:spacing w:line="720" w:lineRule="exact"/>
        <w:jc w:val="left"/>
        <w:outlineLvl w:val="9"/>
        <w:rPr>
          <w:rFonts w:hint="eastAsia" w:ascii="黑体" w:eastAsia="黑体"/>
          <w:b/>
          <w:bCs/>
          <w:sz w:val="32"/>
          <w:szCs w:val="32"/>
        </w:rPr>
      </w:pPr>
      <w:bookmarkStart w:id="782" w:name="_Toc27979_WPSOffice_Level1"/>
      <w:r>
        <w:rPr>
          <w:rFonts w:hint="eastAsia" w:ascii="黑体" w:eastAsia="黑体"/>
          <w:b/>
          <w:bCs/>
          <w:sz w:val="32"/>
          <w:szCs w:val="32"/>
        </w:rPr>
        <w:t>附件3：</w:t>
      </w:r>
      <w:bookmarkEnd w:id="782"/>
    </w:p>
    <w:p>
      <w:pPr>
        <w:pageBreakBefore w:val="0"/>
        <w:kinsoku/>
        <w:overflowPunct/>
        <w:topLinePunct w:val="0"/>
        <w:bidi w:val="0"/>
        <w:spacing w:line="596" w:lineRule="exact"/>
        <w:jc w:val="center"/>
        <w:outlineLvl w:val="9"/>
        <w:rPr>
          <w:rFonts w:hint="eastAsia"/>
          <w:b/>
          <w:color w:val="000000"/>
          <w:sz w:val="36"/>
          <w:szCs w:val="36"/>
        </w:rPr>
      </w:pPr>
      <w:bookmarkStart w:id="783" w:name="_Toc16289_WPSOffice_Level1"/>
      <w:r>
        <w:rPr>
          <w:rFonts w:hint="eastAsia"/>
          <w:b/>
          <w:color w:val="000000"/>
          <w:sz w:val="36"/>
          <w:szCs w:val="36"/>
        </w:rPr>
        <w:t>柳州职业技术学院 试题审查表</w:t>
      </w:r>
      <w:bookmarkEnd w:id="783"/>
    </w:p>
    <w:tbl>
      <w:tblPr>
        <w:tblStyle w:val="14"/>
        <w:tblW w:w="97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269"/>
        <w:gridCol w:w="3499"/>
        <w:gridCol w:w="1553"/>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1" w:hRule="atLeast"/>
          <w:jc w:val="center"/>
        </w:trPr>
        <w:tc>
          <w:tcPr>
            <w:tcW w:w="9792" w:type="dxa"/>
            <w:gridSpan w:val="5"/>
            <w:tcBorders>
              <w:tl2br w:val="nil"/>
              <w:tr2bl w:val="nil"/>
            </w:tcBorders>
            <w:vAlign w:val="center"/>
          </w:tcPr>
          <w:p>
            <w:pPr>
              <w:pageBreakBefore w:val="0"/>
              <w:kinsoku/>
              <w:overflowPunct/>
              <w:topLinePunct w:val="0"/>
              <w:bidi w:val="0"/>
              <w:spacing w:line="340" w:lineRule="exact"/>
              <w:jc w:val="center"/>
              <w:outlineLvl w:val="9"/>
              <w:rPr>
                <w:rFonts w:ascii="黑体" w:hAnsi="宋体" w:eastAsia="黑体"/>
                <w:sz w:val="21"/>
                <w:szCs w:val="21"/>
              </w:rPr>
            </w:pPr>
            <w:r>
              <w:rPr>
                <w:rFonts w:hint="eastAsia" w:ascii="黑体" w:hAnsi="宋体" w:eastAsia="黑体"/>
                <w:sz w:val="21"/>
                <w:szCs w:val="21"/>
              </w:rPr>
              <w:t>试题基本信息（由命题教师填写）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2063" w:type="dxa"/>
            <w:gridSpan w:val="2"/>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课程名称</w:t>
            </w:r>
          </w:p>
        </w:tc>
        <w:tc>
          <w:tcPr>
            <w:tcW w:w="3499" w:type="dxa"/>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p>
        </w:tc>
        <w:tc>
          <w:tcPr>
            <w:tcW w:w="1553" w:type="dxa"/>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开课学期</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20</w:t>
            </w:r>
            <w:r>
              <w:rPr>
                <w:rFonts w:hint="eastAsia" w:ascii="宋体" w:hAnsi="宋体"/>
                <w:sz w:val="21"/>
                <w:szCs w:val="21"/>
                <w:u w:val="single"/>
              </w:rPr>
              <w:t xml:space="preserve">    </w:t>
            </w:r>
            <w:r>
              <w:rPr>
                <w:rFonts w:hint="eastAsia" w:ascii="宋体" w:hAnsi="宋体"/>
                <w:sz w:val="21"/>
                <w:szCs w:val="21"/>
              </w:rPr>
              <w:t>-20</w:t>
            </w:r>
            <w:r>
              <w:rPr>
                <w:rFonts w:hint="eastAsia" w:ascii="宋体" w:hAnsi="宋体"/>
                <w:sz w:val="21"/>
                <w:szCs w:val="21"/>
                <w:u w:val="single"/>
              </w:rPr>
              <w:t xml:space="preserve">    </w:t>
            </w:r>
            <w:r>
              <w:rPr>
                <w:rFonts w:hint="eastAsia" w:ascii="宋体" w:hAnsi="宋体"/>
                <w:sz w:val="21"/>
                <w:szCs w:val="21"/>
              </w:rPr>
              <w:t xml:space="preserve"> 学年</w:t>
            </w:r>
            <w:r>
              <w:rPr>
                <w:rFonts w:hint="eastAsia" w:ascii="宋体" w:hAnsi="宋体"/>
                <w:sz w:val="21"/>
                <w:szCs w:val="21"/>
                <w:u w:val="single"/>
              </w:rPr>
              <w:t xml:space="preserve">    </w:t>
            </w:r>
            <w:r>
              <w:rPr>
                <w:rFonts w:hint="eastAsia" w:ascii="宋体" w:hAnsi="宋体"/>
                <w:sz w:val="21"/>
                <w:szCs w:val="21"/>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2063" w:type="dxa"/>
            <w:gridSpan w:val="2"/>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课程管理部门</w:t>
            </w:r>
          </w:p>
        </w:tc>
        <w:tc>
          <w:tcPr>
            <w:tcW w:w="3499" w:type="dxa"/>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p>
        </w:tc>
        <w:tc>
          <w:tcPr>
            <w:tcW w:w="1553" w:type="dxa"/>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适用班级</w:t>
            </w:r>
          </w:p>
        </w:tc>
        <w:tc>
          <w:tcPr>
            <w:tcW w:w="2677" w:type="dxa"/>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2063" w:type="dxa"/>
            <w:gridSpan w:val="2"/>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试题套数</w:t>
            </w:r>
          </w:p>
        </w:tc>
        <w:tc>
          <w:tcPr>
            <w:tcW w:w="3499" w:type="dxa"/>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p>
        </w:tc>
        <w:tc>
          <w:tcPr>
            <w:tcW w:w="1553" w:type="dxa"/>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考试时长</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2063" w:type="dxa"/>
            <w:gridSpan w:val="2"/>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考试方式</w:t>
            </w:r>
          </w:p>
        </w:tc>
        <w:tc>
          <w:tcPr>
            <w:tcW w:w="3499" w:type="dxa"/>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□闭卷     □开卷</w:t>
            </w:r>
          </w:p>
        </w:tc>
        <w:tc>
          <w:tcPr>
            <w:tcW w:w="1553" w:type="dxa"/>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印刷份数</w:t>
            </w:r>
          </w:p>
        </w:tc>
        <w:tc>
          <w:tcPr>
            <w:tcW w:w="2677" w:type="dxa"/>
            <w:tcBorders>
              <w:tl2br w:val="nil"/>
              <w:tr2bl w:val="nil"/>
            </w:tcBorders>
            <w:vAlign w:val="center"/>
          </w:tcPr>
          <w:p>
            <w:pPr>
              <w:pageBreakBefore w:val="0"/>
              <w:kinsoku/>
              <w:overflowPunct/>
              <w:topLinePunct w:val="0"/>
              <w:bidi w:val="0"/>
              <w:spacing w:line="340" w:lineRule="exact"/>
              <w:ind w:firstLine="210" w:firstLineChars="100"/>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atLeast"/>
          <w:jc w:val="center"/>
        </w:trPr>
        <w:tc>
          <w:tcPr>
            <w:tcW w:w="2063" w:type="dxa"/>
            <w:gridSpan w:val="2"/>
            <w:tcBorders>
              <w:tl2br w:val="nil"/>
              <w:tr2bl w:val="nil"/>
            </w:tcBorders>
            <w:vAlign w:val="center"/>
          </w:tcPr>
          <w:p>
            <w:pPr>
              <w:pageBreakBefore w:val="0"/>
              <w:kinsoku/>
              <w:overflowPunct/>
              <w:topLinePunct w:val="0"/>
              <w:bidi w:val="0"/>
              <w:spacing w:line="340" w:lineRule="exact"/>
              <w:jc w:val="center"/>
              <w:outlineLvl w:val="9"/>
              <w:rPr>
                <w:rFonts w:ascii="宋体" w:hAnsi="宋体"/>
                <w:sz w:val="21"/>
                <w:szCs w:val="21"/>
              </w:rPr>
            </w:pPr>
            <w:r>
              <w:rPr>
                <w:rFonts w:hint="eastAsia" w:ascii="宋体" w:hAnsi="宋体"/>
                <w:sz w:val="21"/>
                <w:szCs w:val="21"/>
              </w:rPr>
              <w:t>命题教师(签字)</w:t>
            </w:r>
          </w:p>
        </w:tc>
        <w:tc>
          <w:tcPr>
            <w:tcW w:w="7729"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jc w:val="center"/>
              <w:outlineLvl w:val="9"/>
              <w:rPr>
                <w:rFonts w:ascii="黑体" w:hAnsi="宋体" w:eastAsia="黑体"/>
                <w:sz w:val="21"/>
                <w:szCs w:val="21"/>
              </w:rPr>
            </w:pPr>
            <w:r>
              <w:rPr>
                <w:rFonts w:hint="eastAsia" w:ascii="黑体" w:hAnsi="宋体" w:eastAsia="黑体"/>
                <w:sz w:val="21"/>
                <w:szCs w:val="21"/>
              </w:rPr>
              <w:t>审核内容</w:t>
            </w:r>
          </w:p>
        </w:tc>
        <w:tc>
          <w:tcPr>
            <w:tcW w:w="1553" w:type="dxa"/>
            <w:tcBorders>
              <w:tl2br w:val="nil"/>
              <w:tr2bl w:val="nil"/>
            </w:tcBorders>
            <w:vAlign w:val="center"/>
          </w:tcPr>
          <w:p>
            <w:pPr>
              <w:pageBreakBefore w:val="0"/>
              <w:kinsoku/>
              <w:overflowPunct/>
              <w:topLinePunct w:val="0"/>
              <w:bidi w:val="0"/>
              <w:spacing w:line="340" w:lineRule="exact"/>
              <w:jc w:val="center"/>
              <w:outlineLvl w:val="9"/>
              <w:rPr>
                <w:rFonts w:ascii="黑体" w:hAnsi="宋体" w:eastAsia="黑体"/>
                <w:sz w:val="21"/>
                <w:szCs w:val="21"/>
              </w:rPr>
            </w:pPr>
            <w:r>
              <w:rPr>
                <w:rFonts w:hint="eastAsia" w:ascii="黑体" w:hAnsi="宋体" w:eastAsia="黑体"/>
                <w:sz w:val="21"/>
                <w:szCs w:val="21"/>
              </w:rPr>
              <w:t>审核结果</w:t>
            </w:r>
          </w:p>
        </w:tc>
        <w:tc>
          <w:tcPr>
            <w:tcW w:w="2677" w:type="dxa"/>
            <w:tcBorders>
              <w:tl2br w:val="nil"/>
              <w:tr2bl w:val="nil"/>
            </w:tcBorders>
            <w:vAlign w:val="center"/>
          </w:tcPr>
          <w:p>
            <w:pPr>
              <w:pageBreakBefore w:val="0"/>
              <w:kinsoku/>
              <w:overflowPunct/>
              <w:topLinePunct w:val="0"/>
              <w:bidi w:val="0"/>
              <w:spacing w:line="340" w:lineRule="exact"/>
              <w:jc w:val="center"/>
              <w:outlineLvl w:val="9"/>
              <w:rPr>
                <w:rFonts w:ascii="黑体" w:hAnsi="宋体" w:eastAsia="黑体"/>
                <w:sz w:val="21"/>
                <w:szCs w:val="21"/>
              </w:rPr>
            </w:pPr>
            <w:r>
              <w:rPr>
                <w:rFonts w:hint="eastAsia" w:ascii="黑体" w:hAnsi="宋体" w:eastAsia="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试题意识形态导向是否正确</w:t>
            </w:r>
          </w:p>
        </w:tc>
        <w:tc>
          <w:tcPr>
            <w:tcW w:w="1553" w:type="dxa"/>
            <w:tcBorders>
              <w:tl2br w:val="nil"/>
              <w:tr2bl w:val="nil"/>
            </w:tcBorders>
            <w:vAlign w:val="center"/>
          </w:tcPr>
          <w:p>
            <w:pPr>
              <w:pageBreakBefore w:val="0"/>
              <w:kinsoku/>
              <w:overflowPunct/>
              <w:topLinePunct w:val="0"/>
              <w:bidi w:val="0"/>
              <w:spacing w:line="340" w:lineRule="exact"/>
              <w:jc w:val="right"/>
              <w:outlineLvl w:val="9"/>
              <w:rPr>
                <w:rFonts w:ascii="宋体" w:hAnsi="宋体" w:cs="宋体"/>
                <w:sz w:val="21"/>
                <w:szCs w:val="21"/>
              </w:rPr>
            </w:pPr>
            <w:r>
              <w:rPr>
                <w:rFonts w:hint="eastAsia" w:ascii="宋体" w:hAnsi="宋体" w:cs="宋体"/>
                <w:sz w:val="21"/>
                <w:szCs w:val="21"/>
              </w:rPr>
              <w:sym w:font="Wingdings 2" w:char="00A3"/>
            </w:r>
            <w:r>
              <w:rPr>
                <w:rFonts w:hint="eastAsia" w:ascii="宋体" w:hAnsi="宋体" w:cs="宋体"/>
                <w:sz w:val="21"/>
                <w:szCs w:val="21"/>
              </w:rPr>
              <w:t>是   □否</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试题考核内容是否与课程标准及考核方案要求一致</w:t>
            </w:r>
          </w:p>
        </w:tc>
        <w:tc>
          <w:tcPr>
            <w:tcW w:w="1553" w:type="dxa"/>
            <w:tcBorders>
              <w:tl2br w:val="nil"/>
              <w:tr2bl w:val="nil"/>
            </w:tcBorders>
            <w:vAlign w:val="center"/>
          </w:tcPr>
          <w:p>
            <w:pPr>
              <w:pageBreakBefore w:val="0"/>
              <w:kinsoku/>
              <w:overflowPunct/>
              <w:topLinePunct w:val="0"/>
              <w:bidi w:val="0"/>
              <w:spacing w:line="340" w:lineRule="exact"/>
              <w:jc w:val="right"/>
              <w:outlineLvl w:val="9"/>
              <w:rPr>
                <w:rFonts w:ascii="宋体" w:hAnsi="宋体" w:cs="宋体"/>
                <w:sz w:val="21"/>
                <w:szCs w:val="21"/>
              </w:rPr>
            </w:pPr>
            <w:r>
              <w:rPr>
                <w:rFonts w:hint="eastAsia" w:ascii="宋体" w:hAnsi="宋体" w:cs="宋体"/>
                <w:sz w:val="21"/>
                <w:szCs w:val="21"/>
              </w:rPr>
              <w:t>□是   □否</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试题文字、插图清楚，无科学性、技术性错误</w:t>
            </w:r>
          </w:p>
        </w:tc>
        <w:tc>
          <w:tcPr>
            <w:tcW w:w="1553" w:type="dxa"/>
            <w:tcBorders>
              <w:tl2br w:val="nil"/>
              <w:tr2bl w:val="nil"/>
            </w:tcBorders>
            <w:vAlign w:val="center"/>
          </w:tcPr>
          <w:p>
            <w:pPr>
              <w:pageBreakBefore w:val="0"/>
              <w:kinsoku/>
              <w:overflowPunct/>
              <w:topLinePunct w:val="0"/>
              <w:bidi w:val="0"/>
              <w:spacing w:line="340" w:lineRule="exact"/>
              <w:jc w:val="right"/>
              <w:outlineLvl w:val="9"/>
              <w:rPr>
                <w:rFonts w:ascii="宋体" w:hAnsi="宋体" w:cs="宋体"/>
                <w:sz w:val="21"/>
                <w:szCs w:val="21"/>
              </w:rPr>
            </w:pPr>
            <w:r>
              <w:rPr>
                <w:rFonts w:hint="eastAsia" w:ascii="宋体" w:hAnsi="宋体" w:cs="宋体"/>
                <w:sz w:val="21"/>
                <w:szCs w:val="21"/>
              </w:rPr>
              <w:t>□是   □否</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试题题型、题量及难度是否合理</w:t>
            </w:r>
          </w:p>
        </w:tc>
        <w:tc>
          <w:tcPr>
            <w:tcW w:w="1553" w:type="dxa"/>
            <w:tcBorders>
              <w:tl2br w:val="nil"/>
              <w:tr2bl w:val="nil"/>
            </w:tcBorders>
            <w:vAlign w:val="center"/>
          </w:tcPr>
          <w:p>
            <w:pPr>
              <w:pageBreakBefore w:val="0"/>
              <w:kinsoku/>
              <w:overflowPunct/>
              <w:topLinePunct w:val="0"/>
              <w:bidi w:val="0"/>
              <w:spacing w:line="340" w:lineRule="exact"/>
              <w:jc w:val="right"/>
              <w:outlineLvl w:val="9"/>
              <w:rPr>
                <w:rFonts w:ascii="宋体" w:hAnsi="宋体" w:cs="宋体"/>
                <w:sz w:val="21"/>
                <w:szCs w:val="21"/>
              </w:rPr>
            </w:pPr>
            <w:r>
              <w:rPr>
                <w:rFonts w:hint="eastAsia" w:ascii="宋体" w:hAnsi="宋体" w:cs="宋体"/>
                <w:sz w:val="21"/>
                <w:szCs w:val="21"/>
              </w:rPr>
              <w:t>□是   □否</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试题分数分配是否合理，标注分数是否明确清晰，试卷总分是否为100分（百分制评分试卷）</w:t>
            </w:r>
          </w:p>
        </w:tc>
        <w:tc>
          <w:tcPr>
            <w:tcW w:w="1553" w:type="dxa"/>
            <w:tcBorders>
              <w:tl2br w:val="nil"/>
              <w:tr2bl w:val="nil"/>
            </w:tcBorders>
            <w:vAlign w:val="center"/>
          </w:tcPr>
          <w:p>
            <w:pPr>
              <w:pageBreakBefore w:val="0"/>
              <w:kinsoku/>
              <w:overflowPunct/>
              <w:topLinePunct w:val="0"/>
              <w:bidi w:val="0"/>
              <w:spacing w:line="340" w:lineRule="exact"/>
              <w:jc w:val="right"/>
              <w:outlineLvl w:val="9"/>
              <w:rPr>
                <w:rFonts w:ascii="宋体" w:hAnsi="宋体" w:cs="宋体"/>
                <w:sz w:val="21"/>
                <w:szCs w:val="21"/>
              </w:rPr>
            </w:pPr>
            <w:r>
              <w:rPr>
                <w:rFonts w:hint="eastAsia" w:ascii="宋体" w:hAnsi="宋体" w:cs="宋体"/>
                <w:sz w:val="21"/>
                <w:szCs w:val="21"/>
              </w:rPr>
              <w:t>□是   □否</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试题及其参考答案、评分标准是否齐全</w:t>
            </w:r>
          </w:p>
        </w:tc>
        <w:tc>
          <w:tcPr>
            <w:tcW w:w="1553" w:type="dxa"/>
            <w:tcBorders>
              <w:tl2br w:val="nil"/>
              <w:tr2bl w:val="nil"/>
            </w:tcBorders>
            <w:vAlign w:val="center"/>
          </w:tcPr>
          <w:p>
            <w:pPr>
              <w:pageBreakBefore w:val="0"/>
              <w:kinsoku/>
              <w:overflowPunct/>
              <w:topLinePunct w:val="0"/>
              <w:bidi w:val="0"/>
              <w:spacing w:line="340" w:lineRule="exact"/>
              <w:jc w:val="right"/>
              <w:outlineLvl w:val="9"/>
              <w:rPr>
                <w:rFonts w:ascii="宋体" w:hAnsi="宋体" w:cs="宋体"/>
                <w:sz w:val="21"/>
                <w:szCs w:val="21"/>
              </w:rPr>
            </w:pPr>
            <w:r>
              <w:rPr>
                <w:rFonts w:hint="eastAsia" w:ascii="宋体" w:hAnsi="宋体" w:cs="宋体"/>
                <w:sz w:val="21"/>
                <w:szCs w:val="21"/>
              </w:rPr>
              <w:sym w:font="Wingdings 2" w:char="00A3"/>
            </w:r>
            <w:r>
              <w:rPr>
                <w:rFonts w:hint="eastAsia" w:ascii="宋体" w:hAnsi="宋体" w:cs="宋体"/>
                <w:sz w:val="21"/>
                <w:szCs w:val="21"/>
              </w:rPr>
              <w:t>是   □否</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各套试题之间的题量、难度是否相当</w:t>
            </w:r>
          </w:p>
        </w:tc>
        <w:tc>
          <w:tcPr>
            <w:tcW w:w="1553" w:type="dxa"/>
            <w:tcBorders>
              <w:tl2br w:val="nil"/>
              <w:tr2bl w:val="nil"/>
            </w:tcBorders>
            <w:vAlign w:val="center"/>
          </w:tcPr>
          <w:p>
            <w:pPr>
              <w:pageBreakBefore w:val="0"/>
              <w:kinsoku/>
              <w:overflowPunct/>
              <w:topLinePunct w:val="0"/>
              <w:bidi w:val="0"/>
              <w:spacing w:line="340" w:lineRule="exact"/>
              <w:jc w:val="right"/>
              <w:outlineLvl w:val="9"/>
              <w:rPr>
                <w:rFonts w:ascii="宋体" w:hAnsi="宋体" w:cs="宋体"/>
                <w:sz w:val="21"/>
                <w:szCs w:val="21"/>
              </w:rPr>
            </w:pPr>
            <w:r>
              <w:rPr>
                <w:rFonts w:hint="eastAsia" w:ascii="宋体" w:hAnsi="宋体" w:cs="宋体"/>
                <w:sz w:val="21"/>
                <w:szCs w:val="21"/>
              </w:rPr>
              <w:t>□是   □否</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各套试题重复试题的合计分数是否低于试卷总分的30%</w:t>
            </w:r>
          </w:p>
        </w:tc>
        <w:tc>
          <w:tcPr>
            <w:tcW w:w="1553" w:type="dxa"/>
            <w:tcBorders>
              <w:tl2br w:val="nil"/>
              <w:tr2bl w:val="nil"/>
            </w:tcBorders>
            <w:vAlign w:val="center"/>
          </w:tcPr>
          <w:p>
            <w:pPr>
              <w:pageBreakBefore w:val="0"/>
              <w:kinsoku/>
              <w:overflowPunct/>
              <w:topLinePunct w:val="0"/>
              <w:bidi w:val="0"/>
              <w:spacing w:line="340" w:lineRule="exact"/>
              <w:jc w:val="right"/>
              <w:outlineLvl w:val="9"/>
              <w:rPr>
                <w:rFonts w:ascii="宋体" w:hAnsi="宋体" w:cs="宋体"/>
                <w:sz w:val="21"/>
                <w:szCs w:val="21"/>
              </w:rPr>
            </w:pPr>
            <w:r>
              <w:rPr>
                <w:rFonts w:hint="eastAsia" w:ascii="宋体" w:hAnsi="宋体" w:cs="宋体"/>
                <w:sz w:val="21"/>
                <w:szCs w:val="21"/>
              </w:rPr>
              <w:t>□是   □否</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2" w:type="dxa"/>
            <w:gridSpan w:val="3"/>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试卷样式是否按照学校规定的统一模版样式</w:t>
            </w:r>
          </w:p>
        </w:tc>
        <w:tc>
          <w:tcPr>
            <w:tcW w:w="1553" w:type="dxa"/>
            <w:tcBorders>
              <w:tl2br w:val="nil"/>
              <w:tr2bl w:val="nil"/>
            </w:tcBorders>
            <w:vAlign w:val="center"/>
          </w:tcPr>
          <w:p>
            <w:pPr>
              <w:pageBreakBefore w:val="0"/>
              <w:kinsoku/>
              <w:overflowPunct/>
              <w:topLinePunct w:val="0"/>
              <w:bidi w:val="0"/>
              <w:spacing w:line="340" w:lineRule="exact"/>
              <w:jc w:val="right"/>
              <w:outlineLvl w:val="9"/>
              <w:rPr>
                <w:rFonts w:ascii="宋体" w:hAnsi="宋体" w:cs="宋体"/>
                <w:sz w:val="21"/>
                <w:szCs w:val="21"/>
              </w:rPr>
            </w:pPr>
            <w:r>
              <w:rPr>
                <w:rFonts w:hint="eastAsia" w:ascii="宋体" w:hAnsi="宋体" w:cs="宋体"/>
                <w:sz w:val="21"/>
                <w:szCs w:val="21"/>
              </w:rPr>
              <w:t>□是   □否</w:t>
            </w:r>
          </w:p>
        </w:tc>
        <w:tc>
          <w:tcPr>
            <w:tcW w:w="2677" w:type="dxa"/>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94" w:type="dxa"/>
            <w:tcBorders>
              <w:tl2br w:val="nil"/>
              <w:tr2bl w:val="nil"/>
            </w:tcBorders>
            <w:vAlign w:val="center"/>
          </w:tcPr>
          <w:p>
            <w:pPr>
              <w:pageBreakBefore w:val="0"/>
              <w:kinsoku/>
              <w:overflowPunct/>
              <w:topLinePunct w:val="0"/>
              <w:bidi w:val="0"/>
              <w:spacing w:line="340" w:lineRule="exact"/>
              <w:jc w:val="center"/>
              <w:outlineLvl w:val="9"/>
              <w:rPr>
                <w:rFonts w:ascii="黑体" w:hAnsi="宋体" w:eastAsia="黑体"/>
                <w:sz w:val="21"/>
                <w:szCs w:val="21"/>
                <w:lang w:bidi="ar"/>
              </w:rPr>
            </w:pPr>
            <w:r>
              <w:rPr>
                <w:rFonts w:hint="eastAsia" w:ascii="黑体" w:hAnsi="宋体" w:eastAsia="黑体"/>
                <w:sz w:val="21"/>
                <w:szCs w:val="21"/>
                <w:lang w:bidi="ar"/>
              </w:rPr>
              <w:t>二级学院</w:t>
            </w:r>
          </w:p>
          <w:p>
            <w:pPr>
              <w:pageBreakBefore w:val="0"/>
              <w:kinsoku/>
              <w:overflowPunct/>
              <w:topLinePunct w:val="0"/>
              <w:bidi w:val="0"/>
              <w:spacing w:line="340" w:lineRule="exact"/>
              <w:jc w:val="center"/>
              <w:outlineLvl w:val="9"/>
              <w:rPr>
                <w:rFonts w:ascii="仿宋_GB2312" w:eastAsia="黑体"/>
                <w:sz w:val="21"/>
                <w:szCs w:val="21"/>
              </w:rPr>
            </w:pPr>
            <w:r>
              <w:rPr>
                <w:rFonts w:hint="eastAsia" w:ascii="黑体" w:hAnsi="宋体" w:eastAsia="黑体"/>
                <w:sz w:val="21"/>
                <w:szCs w:val="21"/>
                <w:lang w:bidi="ar"/>
              </w:rPr>
              <w:t>审核意见</w:t>
            </w:r>
          </w:p>
        </w:tc>
        <w:tc>
          <w:tcPr>
            <w:tcW w:w="8998" w:type="dxa"/>
            <w:gridSpan w:val="4"/>
            <w:tcBorders>
              <w:tl2br w:val="nil"/>
              <w:tr2bl w:val="nil"/>
            </w:tcBorders>
            <w:vAlign w:val="center"/>
          </w:tcPr>
          <w:p>
            <w:pPr>
              <w:pageBreakBefore w:val="0"/>
              <w:kinsoku/>
              <w:overflowPunct/>
              <w:topLinePunct w:val="0"/>
              <w:bidi w:val="0"/>
              <w:spacing w:line="340" w:lineRule="exact"/>
              <w:outlineLvl w:val="9"/>
              <w:rPr>
                <w:rFonts w:ascii="宋体" w:hAnsi="宋体"/>
                <w:sz w:val="21"/>
                <w:szCs w:val="21"/>
              </w:rPr>
            </w:pPr>
          </w:p>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 xml:space="preserve">试题审核意见：       □同意印制     </w:t>
            </w:r>
            <w:r>
              <w:rPr>
                <w:rFonts w:hint="eastAsia" w:ascii="宋体" w:hAnsi="宋体"/>
                <w:sz w:val="21"/>
                <w:szCs w:val="21"/>
              </w:rPr>
              <w:sym w:font="Wingdings 2" w:char="00A3"/>
            </w:r>
            <w:r>
              <w:rPr>
                <w:rFonts w:hint="eastAsia" w:ascii="宋体" w:hAnsi="宋体"/>
                <w:sz w:val="21"/>
                <w:szCs w:val="21"/>
              </w:rPr>
              <w:t xml:space="preserve">改进后再审     </w:t>
            </w:r>
          </w:p>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试题使用意见：正考卷为</w:t>
            </w:r>
            <w:r>
              <w:rPr>
                <w:rFonts w:hint="eastAsia" w:ascii="宋体" w:hAnsi="宋体"/>
                <w:sz w:val="21"/>
                <w:szCs w:val="21"/>
                <w:u w:val="single"/>
              </w:rPr>
              <w:t xml:space="preserve">       </w:t>
            </w:r>
            <w:r>
              <w:rPr>
                <w:rFonts w:hint="eastAsia" w:ascii="宋体" w:hAnsi="宋体"/>
                <w:sz w:val="21"/>
                <w:szCs w:val="21"/>
              </w:rPr>
              <w:t>卷     补考卷为</w:t>
            </w:r>
            <w:r>
              <w:rPr>
                <w:rFonts w:hint="eastAsia" w:ascii="宋体" w:hAnsi="宋体"/>
                <w:sz w:val="21"/>
                <w:szCs w:val="21"/>
                <w:u w:val="single"/>
              </w:rPr>
              <w:t xml:space="preserve">       </w:t>
            </w:r>
            <w:r>
              <w:rPr>
                <w:rFonts w:hint="eastAsia" w:ascii="宋体" w:hAnsi="宋体"/>
                <w:sz w:val="21"/>
                <w:szCs w:val="21"/>
              </w:rPr>
              <w:t>卷</w:t>
            </w:r>
          </w:p>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（其他说明：）</w:t>
            </w:r>
          </w:p>
          <w:p>
            <w:pPr>
              <w:pageBreakBefore w:val="0"/>
              <w:kinsoku/>
              <w:overflowPunct/>
              <w:topLinePunct w:val="0"/>
              <w:bidi w:val="0"/>
              <w:spacing w:line="340" w:lineRule="exact"/>
              <w:outlineLvl w:val="9"/>
              <w:rPr>
                <w:rFonts w:ascii="宋体" w:hAnsi="宋体"/>
                <w:sz w:val="21"/>
                <w:szCs w:val="21"/>
              </w:rPr>
            </w:pPr>
          </w:p>
          <w:p>
            <w:pPr>
              <w:pageBreakBefore w:val="0"/>
              <w:kinsoku/>
              <w:overflowPunct/>
              <w:topLinePunct w:val="0"/>
              <w:bidi w:val="0"/>
              <w:spacing w:line="340" w:lineRule="exact"/>
              <w:ind w:firstLine="1680" w:firstLineChars="800"/>
              <w:outlineLvl w:val="9"/>
              <w:rPr>
                <w:rFonts w:ascii="宋体" w:hAnsi="宋体"/>
                <w:sz w:val="21"/>
                <w:szCs w:val="21"/>
              </w:rPr>
            </w:pPr>
            <w:r>
              <w:rPr>
                <w:rFonts w:hint="eastAsia" w:ascii="宋体" w:hAnsi="宋体"/>
                <w:sz w:val="21"/>
                <w:szCs w:val="21"/>
              </w:rPr>
              <w:t>考试工作委员会主任或专业（课程）考核组组长：</w:t>
            </w:r>
          </w:p>
          <w:p>
            <w:pPr>
              <w:pageBreakBefore w:val="0"/>
              <w:kinsoku/>
              <w:overflowPunct/>
              <w:topLinePunct w:val="0"/>
              <w:bidi w:val="0"/>
              <w:spacing w:line="340" w:lineRule="exact"/>
              <w:outlineLvl w:val="9"/>
              <w:rPr>
                <w:rFonts w:ascii="宋体" w:hAnsi="宋体"/>
                <w:sz w:val="21"/>
                <w:szCs w:val="21"/>
              </w:rPr>
            </w:pPr>
            <w:r>
              <w:rPr>
                <w:rFonts w:hint="eastAsia" w:ascii="宋体" w:hAnsi="宋体"/>
                <w:sz w:val="21"/>
                <w:szCs w:val="21"/>
              </w:rPr>
              <w:t xml:space="preserve">                                                                   年     月     日</w:t>
            </w:r>
          </w:p>
        </w:tc>
      </w:tr>
    </w:tbl>
    <w:p>
      <w:pPr>
        <w:pageBreakBefore w:val="0"/>
        <w:kinsoku/>
        <w:overflowPunct/>
        <w:topLinePunct w:val="0"/>
        <w:bidi w:val="0"/>
        <w:spacing w:line="300" w:lineRule="exact"/>
        <w:jc w:val="left"/>
        <w:outlineLvl w:val="9"/>
        <w:rPr>
          <w:sz w:val="21"/>
          <w:szCs w:val="21"/>
        </w:rPr>
      </w:pPr>
      <w:r>
        <w:rPr>
          <w:rFonts w:hint="eastAsia"/>
          <w:sz w:val="21"/>
          <w:szCs w:val="21"/>
        </w:rPr>
        <w:t>注：1. 试题由二级学院考试工作委员会或下设的专业（课程）考核组负责审查；</w:t>
      </w:r>
    </w:p>
    <w:p>
      <w:pPr>
        <w:pageBreakBefore w:val="0"/>
        <w:kinsoku/>
        <w:overflowPunct/>
        <w:topLinePunct w:val="0"/>
        <w:bidi w:val="0"/>
        <w:spacing w:line="300" w:lineRule="exact"/>
        <w:jc w:val="left"/>
        <w:outlineLvl w:val="9"/>
        <w:rPr>
          <w:sz w:val="21"/>
          <w:szCs w:val="21"/>
        </w:rPr>
      </w:pPr>
      <w:r>
        <w:rPr>
          <w:rFonts w:hint="eastAsia" w:ascii="宋体" w:hAnsi="宋体"/>
          <w:sz w:val="21"/>
          <w:szCs w:val="21"/>
        </w:rPr>
        <w:t>2.试题</w:t>
      </w:r>
      <w:r>
        <w:rPr>
          <w:rFonts w:hint="eastAsia"/>
          <w:sz w:val="21"/>
          <w:szCs w:val="21"/>
        </w:rPr>
        <w:t>审查应以课程标准及考核方案为基本依据，并对试题的思想性进行重点审查，确保试题思想政治导向正确；</w:t>
      </w:r>
    </w:p>
    <w:p>
      <w:pPr>
        <w:pageBreakBefore w:val="0"/>
        <w:kinsoku/>
        <w:overflowPunct/>
        <w:topLinePunct w:val="0"/>
        <w:bidi w:val="0"/>
        <w:spacing w:line="300" w:lineRule="exact"/>
        <w:jc w:val="left"/>
        <w:outlineLvl w:val="9"/>
        <w:rPr>
          <w:sz w:val="21"/>
          <w:szCs w:val="21"/>
        </w:rPr>
      </w:pPr>
      <w:r>
        <w:rPr>
          <w:rFonts w:hint="eastAsia"/>
          <w:sz w:val="21"/>
          <w:szCs w:val="21"/>
        </w:rPr>
        <w:t>3.</w:t>
      </w:r>
      <w:r>
        <w:rPr>
          <w:rFonts w:hint="eastAsia" w:ascii="宋体" w:hAnsi="宋体"/>
          <w:sz w:val="21"/>
          <w:szCs w:val="21"/>
        </w:rPr>
        <w:t>试题</w:t>
      </w:r>
      <w:r>
        <w:rPr>
          <w:rFonts w:hint="eastAsia"/>
          <w:sz w:val="21"/>
          <w:szCs w:val="21"/>
        </w:rPr>
        <w:t>审核通过后，由课程管理部门指定工作人员持本表到文印室印制</w:t>
      </w:r>
      <w:r>
        <w:rPr>
          <w:rFonts w:hint="eastAsia" w:ascii="宋体" w:hAnsi="宋体"/>
          <w:sz w:val="21"/>
          <w:szCs w:val="21"/>
        </w:rPr>
        <w:t>试题</w:t>
      </w:r>
      <w:r>
        <w:rPr>
          <w:rFonts w:hint="eastAsia"/>
          <w:sz w:val="21"/>
          <w:szCs w:val="21"/>
        </w:rPr>
        <w:t>；</w:t>
      </w:r>
    </w:p>
    <w:p>
      <w:pPr>
        <w:pageBreakBefore w:val="0"/>
        <w:kinsoku/>
        <w:overflowPunct/>
        <w:topLinePunct w:val="0"/>
        <w:bidi w:val="0"/>
        <w:spacing w:line="300" w:lineRule="exact"/>
        <w:jc w:val="left"/>
        <w:outlineLvl w:val="9"/>
        <w:rPr>
          <w:rFonts w:hint="eastAsia" w:ascii="Calibri" w:hAnsi="Calibri"/>
          <w:sz w:val="21"/>
          <w:szCs w:val="21"/>
        </w:rPr>
      </w:pPr>
      <w:r>
        <w:rPr>
          <w:rFonts w:hint="eastAsia" w:ascii="Calibri" w:hAnsi="Calibri"/>
          <w:sz w:val="21"/>
          <w:szCs w:val="21"/>
        </w:rPr>
        <w:t>4.本表一式两份，一份交文印室，一份由课程管理部门统一归档备查。</w:t>
      </w:r>
    </w:p>
    <w:p>
      <w:pPr>
        <w:pageBreakBefore w:val="0"/>
        <w:kinsoku/>
        <w:overflowPunct/>
        <w:topLinePunct w:val="0"/>
        <w:bidi w:val="0"/>
        <w:outlineLvl w:val="9"/>
        <w:sectPr>
          <w:pgSz w:w="11906" w:h="16838"/>
          <w:pgMar w:top="1440" w:right="1800" w:bottom="1440" w:left="1800" w:header="851" w:footer="992" w:gutter="0"/>
          <w:pgNumType w:fmt="decimal"/>
          <w:cols w:space="425" w:num="1"/>
          <w:docGrid w:type="lines" w:linePitch="312" w:charSpace="0"/>
        </w:sectPr>
      </w:pP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ascii="宋体" w:hAnsi="宋体"/>
          <w:b/>
          <w:bCs/>
          <w:color w:val="000000"/>
          <w:sz w:val="36"/>
          <w:szCs w:val="36"/>
          <w:lang w:val="en-US" w:eastAsia="zh-CN"/>
        </w:rPr>
      </w:pPr>
      <w:bookmarkStart w:id="784" w:name="_Toc534379505"/>
      <w:bookmarkStart w:id="785" w:name="_Toc30857_WPSOffice_Level1"/>
      <w:bookmarkStart w:id="786" w:name="_Toc8593"/>
      <w:bookmarkStart w:id="787" w:name="_Toc24887"/>
      <w:bookmarkStart w:id="788" w:name="_Toc107"/>
      <w:bookmarkStart w:id="789" w:name="_Toc24945"/>
      <w:r>
        <w:rPr>
          <w:rFonts w:hint="eastAsia" w:ascii="宋体" w:hAnsi="宋体"/>
          <w:b/>
          <w:bCs/>
          <w:color w:val="000000"/>
          <w:sz w:val="36"/>
          <w:szCs w:val="36"/>
          <w:lang w:val="en-US" w:eastAsia="zh-CN"/>
        </w:rPr>
        <w:t>柳州职业技术学院</w:t>
      </w:r>
      <w:bookmarkEnd w:id="784"/>
      <w:bookmarkStart w:id="790" w:name="_Toc534379506"/>
      <w:r>
        <w:rPr>
          <w:rFonts w:hint="eastAsia" w:ascii="宋体" w:hAnsi="宋体"/>
          <w:b/>
          <w:bCs/>
          <w:color w:val="000000"/>
          <w:sz w:val="36"/>
          <w:szCs w:val="36"/>
          <w:lang w:val="en-US" w:eastAsia="zh-CN"/>
        </w:rPr>
        <w:t>补发毕业生学历证明书的管理规定</w:t>
      </w:r>
      <w:bookmarkEnd w:id="785"/>
      <w:bookmarkEnd w:id="786"/>
      <w:bookmarkEnd w:id="787"/>
      <w:bookmarkEnd w:id="788"/>
      <w:bookmarkEnd w:id="789"/>
      <w:bookmarkEnd w:id="790"/>
    </w:p>
    <w:p>
      <w:pPr>
        <w:pStyle w:val="10"/>
        <w:pageBreakBefore w:val="0"/>
        <w:kinsoku/>
        <w:overflowPunct/>
        <w:topLinePunct w:val="0"/>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（柳职院教字〔2018〕11号）</w:t>
      </w:r>
    </w:p>
    <w:p>
      <w:pPr>
        <w:pageBreakBefore w:val="0"/>
        <w:kinsoku/>
        <w:overflowPunct/>
        <w:topLinePunct w:val="0"/>
        <w:bidi w:val="0"/>
        <w:spacing w:line="500" w:lineRule="exact"/>
        <w:jc w:val="center"/>
        <w:outlineLvl w:val="9"/>
        <w:rPr>
          <w:color w:val="000000"/>
          <w:sz w:val="36"/>
          <w:szCs w:val="36"/>
        </w:rPr>
      </w:pP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根据《普通高等学校学生管理规定》（教育部第41号令）、《自治区教育厅关于进一步规范高等教育学历证明书和学位证明书管理工作的通知》（桂教学生〔2018〕6号）以及我校学籍管理规定，为规范我校毕业生学历证书遗失后补办学历证明书的管理，结合我校实际，制定本管理办法。</w:t>
      </w:r>
    </w:p>
    <w:p>
      <w:pPr>
        <w:pageBreakBefore w:val="0"/>
        <w:kinsoku/>
        <w:overflowPunct/>
        <w:topLinePunct w:val="0"/>
        <w:bidi w:val="0"/>
        <w:spacing w:line="580" w:lineRule="exact"/>
        <w:ind w:firstLine="643" w:firstLineChars="200"/>
        <w:outlineLvl w:val="9"/>
        <w:rPr>
          <w:rFonts w:ascii="黑体" w:hAnsi="宋体" w:eastAsia="黑体"/>
          <w:b/>
          <w:sz w:val="32"/>
          <w:szCs w:val="32"/>
        </w:rPr>
      </w:pPr>
      <w:bookmarkStart w:id="791" w:name="_Toc11400_WPSOffice_Level1"/>
      <w:r>
        <w:rPr>
          <w:rFonts w:hint="eastAsia" w:ascii="黑体" w:hAnsi="宋体" w:eastAsia="黑体"/>
          <w:b/>
          <w:sz w:val="32"/>
          <w:szCs w:val="32"/>
        </w:rPr>
        <w:t>一、管理规定依据</w:t>
      </w:r>
      <w:bookmarkEnd w:id="791"/>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本管理规定根据《普通高等学校学生管理规定》（教育部第41号令）第三十八条规定，“学历证书和学位证书遗失或者损失，经本人申请，学校核实后应当出具相应的证明书。证明书与原证书具有同等效力。”</w:t>
      </w:r>
    </w:p>
    <w:p>
      <w:pPr>
        <w:pageBreakBefore w:val="0"/>
        <w:kinsoku/>
        <w:overflowPunct/>
        <w:topLinePunct w:val="0"/>
        <w:bidi w:val="0"/>
        <w:spacing w:line="580" w:lineRule="exact"/>
        <w:ind w:firstLine="643" w:firstLineChars="200"/>
        <w:outlineLvl w:val="9"/>
        <w:rPr>
          <w:rFonts w:ascii="黑体" w:hAnsi="宋体" w:eastAsia="黑体"/>
          <w:b/>
          <w:sz w:val="32"/>
          <w:szCs w:val="32"/>
        </w:rPr>
      </w:pPr>
      <w:bookmarkStart w:id="792" w:name="_Toc26906_WPSOffice_Level1"/>
      <w:r>
        <w:rPr>
          <w:rFonts w:hint="eastAsia" w:ascii="黑体" w:hAnsi="宋体" w:eastAsia="黑体"/>
          <w:b/>
          <w:sz w:val="32"/>
          <w:szCs w:val="32"/>
        </w:rPr>
        <w:t>二、办理对象</w:t>
      </w:r>
      <w:bookmarkEnd w:id="792"/>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毕业证明书办理对象为我校毕业（结业）且获得毕业证书（结业证书）的学生。1991年（含1991年）以后的办理对象原则上需要在学信网查到信息后方可办理。</w:t>
      </w:r>
    </w:p>
    <w:p>
      <w:pPr>
        <w:pageBreakBefore w:val="0"/>
        <w:kinsoku/>
        <w:overflowPunct/>
        <w:topLinePunct w:val="0"/>
        <w:bidi w:val="0"/>
        <w:spacing w:line="580" w:lineRule="exact"/>
        <w:ind w:firstLine="643" w:firstLineChars="200"/>
        <w:outlineLvl w:val="9"/>
        <w:rPr>
          <w:rFonts w:ascii="黑体" w:hAnsi="宋体" w:eastAsia="黑体"/>
          <w:b/>
          <w:sz w:val="32"/>
          <w:szCs w:val="32"/>
        </w:rPr>
      </w:pPr>
      <w:bookmarkStart w:id="793" w:name="_Toc2979_WPSOffice_Level1"/>
      <w:r>
        <w:rPr>
          <w:rFonts w:hint="eastAsia" w:ascii="黑体" w:hAnsi="宋体" w:eastAsia="黑体"/>
          <w:b/>
          <w:sz w:val="32"/>
          <w:szCs w:val="32"/>
        </w:rPr>
        <w:t>三、办理流程</w:t>
      </w:r>
      <w:bookmarkEnd w:id="793"/>
    </w:p>
    <w:p>
      <w:pPr>
        <w:pageBreakBefore w:val="0"/>
        <w:kinsoku/>
        <w:overflowPunct/>
        <w:topLinePunct w:val="0"/>
        <w:bidi w:val="0"/>
        <w:spacing w:line="580" w:lineRule="exact"/>
        <w:ind w:firstLine="643" w:firstLineChars="200"/>
        <w:outlineLvl w:val="9"/>
        <w:rPr>
          <w:rFonts w:ascii="楷体_GB2312" w:hAnsi="宋体" w:eastAsia="楷体_GB2312"/>
          <w:b/>
          <w:sz w:val="32"/>
          <w:szCs w:val="32"/>
        </w:rPr>
      </w:pPr>
      <w:r>
        <w:rPr>
          <w:rFonts w:hint="eastAsia" w:ascii="楷体_GB2312" w:hAnsi="宋体" w:eastAsia="楷体_GB2312"/>
          <w:b/>
          <w:sz w:val="32"/>
          <w:szCs w:val="32"/>
        </w:rPr>
        <w:t>（一）提交材料</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补办学历证明书的申请。毕业生填写《广西壮族自治区高等教育学历证书遗失后补发学历证明书申请表》（以下简称“补发学历证明书申请表”），此表可柳州职业技术学院教务处网站（http://jwc.lzzy.net）下载。《补发学历证明书申请表》应提交一式两份。</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申请人的身份证原件（核验后归还）和复印件1份。委托他人办理的，还需提交受托人的身份证原件（核验后归还）和复印件，同时，2001年以前毕业的学生要到学校档案室查询本人当年录取验印表及毕业证登记表，并提供加盖了公章的复印件一份。</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3.近期小2寸正面免冠蓝底彩色证件照1张和同底版的电子照片（大小：10KB左右，尺寸：120*160像素）。</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 委托代理人代为办理的，应填写并提交《柳州职业技术学院毕业生办理学历证明书委托书》，此表可柳州职业技术学院教务处网站（http://jwc.lzzy.net）下载。</w:t>
      </w:r>
    </w:p>
    <w:p>
      <w:pPr>
        <w:pageBreakBefore w:val="0"/>
        <w:kinsoku/>
        <w:overflowPunct/>
        <w:topLinePunct w:val="0"/>
        <w:bidi w:val="0"/>
        <w:spacing w:line="580" w:lineRule="exact"/>
        <w:ind w:firstLine="643" w:firstLineChars="200"/>
        <w:outlineLvl w:val="9"/>
        <w:rPr>
          <w:rFonts w:ascii="楷体_GB2312" w:hAnsi="宋体" w:eastAsia="楷体_GB2312"/>
          <w:b/>
          <w:sz w:val="32"/>
          <w:szCs w:val="32"/>
        </w:rPr>
      </w:pPr>
      <w:r>
        <w:rPr>
          <w:rFonts w:hint="eastAsia" w:ascii="楷体_GB2312" w:hAnsi="宋体" w:eastAsia="楷体_GB2312"/>
          <w:b/>
          <w:sz w:val="32"/>
          <w:szCs w:val="32"/>
        </w:rPr>
        <w:t>（二）学校核实</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教务处对补办学历证明书申请人的资格进行审定，对申请人是否属于我校毕业生、所提供材料的真实性进行审核。核实无误后，按照学校相关流程办理毕业证明书。</w:t>
      </w:r>
    </w:p>
    <w:p>
      <w:pPr>
        <w:pageBreakBefore w:val="0"/>
        <w:kinsoku/>
        <w:overflowPunct/>
        <w:topLinePunct w:val="0"/>
        <w:bidi w:val="0"/>
        <w:spacing w:line="580" w:lineRule="exact"/>
        <w:ind w:firstLine="643" w:firstLineChars="200"/>
        <w:outlineLvl w:val="9"/>
        <w:rPr>
          <w:rFonts w:ascii="楷体_GB2312" w:hAnsi="宋体" w:eastAsia="楷体_GB2312"/>
          <w:b/>
          <w:sz w:val="32"/>
          <w:szCs w:val="32"/>
        </w:rPr>
      </w:pPr>
      <w:r>
        <w:rPr>
          <w:rFonts w:hint="eastAsia" w:ascii="楷体_GB2312" w:hAnsi="宋体" w:eastAsia="楷体_GB2312"/>
          <w:b/>
          <w:sz w:val="32"/>
          <w:szCs w:val="32"/>
        </w:rPr>
        <w:t>（三）网上标注</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教务处对学校批准补发的学历证明书在教育部学籍学历信息管理平台上进行标注。并对办理毕业证明书的学生做好解释工作。</w:t>
      </w:r>
    </w:p>
    <w:p>
      <w:pPr>
        <w:pageBreakBefore w:val="0"/>
        <w:kinsoku/>
        <w:overflowPunct/>
        <w:topLinePunct w:val="0"/>
        <w:bidi w:val="0"/>
        <w:spacing w:line="580" w:lineRule="exact"/>
        <w:ind w:firstLine="643" w:firstLineChars="200"/>
        <w:outlineLvl w:val="9"/>
        <w:rPr>
          <w:rFonts w:ascii="黑体" w:hAnsi="宋体" w:eastAsia="黑体"/>
          <w:b/>
          <w:sz w:val="32"/>
          <w:szCs w:val="32"/>
        </w:rPr>
      </w:pPr>
      <w:bookmarkStart w:id="794" w:name="_Toc13686_WPSOffice_Level1"/>
      <w:r>
        <w:rPr>
          <w:rFonts w:hint="eastAsia" w:ascii="黑体" w:hAnsi="宋体" w:eastAsia="黑体"/>
          <w:b/>
          <w:sz w:val="32"/>
          <w:szCs w:val="32"/>
        </w:rPr>
        <w:t>四、学历证明书办理地点、办理时间</w:t>
      </w:r>
      <w:bookmarkEnd w:id="794"/>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（一）我校毕业生办理学历证明书的受理部门为教务处，办理地点在综合服务中心。</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（二）教务处受理办理学历证明书申请材料的时间为每周工作日的上班时间，申请即受理，10个工作日内办结。</w:t>
      </w:r>
    </w:p>
    <w:p>
      <w:pPr>
        <w:pageBreakBefore w:val="0"/>
        <w:kinsoku/>
        <w:overflowPunct/>
        <w:topLinePunct w:val="0"/>
        <w:bidi w:val="0"/>
        <w:spacing w:line="580" w:lineRule="exact"/>
        <w:ind w:firstLine="643" w:firstLineChars="200"/>
        <w:outlineLvl w:val="9"/>
        <w:rPr>
          <w:rFonts w:ascii="黑体" w:hAnsi="宋体" w:eastAsia="黑体"/>
          <w:b/>
          <w:sz w:val="32"/>
          <w:szCs w:val="32"/>
        </w:rPr>
      </w:pPr>
      <w:bookmarkStart w:id="795" w:name="_Toc29989_WPSOffice_Level1"/>
      <w:r>
        <w:rPr>
          <w:rFonts w:hint="eastAsia" w:ascii="黑体" w:hAnsi="宋体" w:eastAsia="黑体"/>
          <w:b/>
          <w:sz w:val="32"/>
          <w:szCs w:val="32"/>
        </w:rPr>
        <w:t>五、附则</w:t>
      </w:r>
      <w:bookmarkEnd w:id="795"/>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（一）本细则自颁布之日起执行。</w:t>
      </w:r>
    </w:p>
    <w:p>
      <w:pPr>
        <w:pageBreakBefore w:val="0"/>
        <w:kinsoku/>
        <w:overflowPunct/>
        <w:topLinePunct w:val="0"/>
        <w:bidi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（二）本细则由教务处负责解释。</w:t>
      </w:r>
    </w:p>
    <w:p>
      <w:pPr>
        <w:pageBreakBefore w:val="0"/>
        <w:kinsoku/>
        <w:overflowPunct/>
        <w:topLinePunct w:val="0"/>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b/>
          <w:color w:val="000000"/>
          <w:sz w:val="36"/>
          <w:szCs w:val="36"/>
        </w:rPr>
      </w:pPr>
      <w:bookmarkStart w:id="796" w:name="_Toc27002"/>
      <w:bookmarkStart w:id="797" w:name="_Toc6411"/>
      <w:bookmarkStart w:id="798" w:name="_Toc30240"/>
      <w:bookmarkStart w:id="799" w:name="_Toc27220_WPSOffice_Level1"/>
      <w:bookmarkStart w:id="800" w:name="_Toc2917"/>
      <w:r>
        <w:rPr>
          <w:rFonts w:hint="eastAsia"/>
          <w:b/>
          <w:color w:val="000000"/>
          <w:sz w:val="36"/>
          <w:szCs w:val="36"/>
        </w:rPr>
        <w:t>柳州职业技术学院辅导员绩效考核办法</w:t>
      </w:r>
      <w:bookmarkEnd w:id="796"/>
      <w:bookmarkEnd w:id="797"/>
      <w:bookmarkEnd w:id="798"/>
      <w:bookmarkEnd w:id="799"/>
      <w:bookmarkEnd w:id="800"/>
    </w:p>
    <w:p>
      <w:pPr>
        <w:pageBreakBefore w:val="0"/>
        <w:kinsoku/>
        <w:overflowPunct/>
        <w:topLinePunct w:val="0"/>
        <w:bidi w:val="0"/>
        <w:jc w:val="center"/>
        <w:outlineLvl w:val="9"/>
        <w:rPr>
          <w:rFonts w:ascii="宋体" w:hAnsi="宋体"/>
          <w:b/>
          <w:color w:val="000000"/>
          <w:szCs w:val="28"/>
        </w:rPr>
      </w:pP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为切实加强和改进我校的辅导员工作，根据《普通高等学校辅导员队伍建设规定》（教育部第43号令），结合《柳州职业技术学院2018年绩效评估办法》，特制定本绩效考核办法。</w:t>
      </w:r>
    </w:p>
    <w:p>
      <w:pPr>
        <w:pageBreakBefore w:val="0"/>
        <w:kinsoku/>
        <w:overflowPunct/>
        <w:topLinePunct w:val="0"/>
        <w:bidi w:val="0"/>
        <w:spacing w:line="580" w:lineRule="exact"/>
        <w:ind w:firstLine="643" w:firstLineChars="200"/>
        <w:outlineLvl w:val="9"/>
        <w:rPr>
          <w:rFonts w:ascii="黑体" w:hAnsi="仿宋_GB2312" w:eastAsia="黑体" w:cs="仿宋_GB2312"/>
          <w:b/>
          <w:color w:val="000000"/>
          <w:kern w:val="0"/>
          <w:sz w:val="32"/>
          <w:szCs w:val="32"/>
        </w:rPr>
      </w:pPr>
      <w:bookmarkStart w:id="801" w:name="_Toc27399_WPSOffice_Level1"/>
      <w:r>
        <w:rPr>
          <w:rFonts w:hint="eastAsia" w:ascii="黑体" w:hAnsi="仿宋_GB2312" w:eastAsia="黑体" w:cs="仿宋_GB2312"/>
          <w:b/>
          <w:color w:val="000000"/>
          <w:kern w:val="0"/>
          <w:sz w:val="32"/>
          <w:szCs w:val="32"/>
        </w:rPr>
        <w:t>一、考核目的</w:t>
      </w:r>
      <w:bookmarkEnd w:id="801"/>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为了准确、全面地评价我校辅导员的德才表现和工作实绩，客观、公正地评价辅导员的工作，使辅导员绩效考核工作更加制度化、规范化、科学化；同时，进一步激励辅导员提高思想政治素质和业务素质，充分发挥主观能动性、工作热情和积极性，增强辅导员的归属感，提升辅导员队伍的士气和满意度，从而进一步促进我校辅导员队伍建设。</w:t>
      </w:r>
    </w:p>
    <w:p>
      <w:pPr>
        <w:pageBreakBefore w:val="0"/>
        <w:kinsoku/>
        <w:overflowPunct/>
        <w:topLinePunct w:val="0"/>
        <w:bidi w:val="0"/>
        <w:spacing w:line="580" w:lineRule="exact"/>
        <w:ind w:firstLine="643" w:firstLineChars="200"/>
        <w:outlineLvl w:val="9"/>
        <w:rPr>
          <w:rFonts w:ascii="黑体" w:hAnsi="仿宋_GB2312" w:eastAsia="黑体" w:cs="仿宋_GB2312"/>
          <w:b/>
          <w:color w:val="000000"/>
          <w:kern w:val="0"/>
          <w:sz w:val="32"/>
          <w:szCs w:val="32"/>
        </w:rPr>
      </w:pPr>
      <w:bookmarkStart w:id="802" w:name="_Toc4444_WPSOffice_Level1"/>
      <w:r>
        <w:rPr>
          <w:rFonts w:hint="eastAsia" w:ascii="黑体" w:hAnsi="仿宋_GB2312" w:eastAsia="黑体" w:cs="仿宋_GB2312"/>
          <w:b/>
          <w:color w:val="000000"/>
          <w:kern w:val="0"/>
          <w:sz w:val="32"/>
          <w:szCs w:val="32"/>
        </w:rPr>
        <w:t>二、考核原则</w:t>
      </w:r>
      <w:bookmarkEnd w:id="802"/>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坚持公平、公正、公开的原则，以关键绩效为导向，体现工作质量，以工作实绩为重点，突出业绩贡献。坚持定量与定性相结合，目标与过程相结合，实行绩效考核结果与工作量、绩效奖金挂钩。具体考核由二级学院执行。</w:t>
      </w:r>
    </w:p>
    <w:p>
      <w:pPr>
        <w:pageBreakBefore w:val="0"/>
        <w:kinsoku/>
        <w:overflowPunct/>
        <w:topLinePunct w:val="0"/>
        <w:bidi w:val="0"/>
        <w:spacing w:line="580" w:lineRule="exact"/>
        <w:ind w:firstLine="643" w:firstLineChars="200"/>
        <w:outlineLvl w:val="9"/>
        <w:rPr>
          <w:rFonts w:ascii="黑体" w:hAnsi="仿宋_GB2312" w:eastAsia="黑体" w:cs="仿宋_GB2312"/>
          <w:b/>
          <w:color w:val="000000"/>
          <w:kern w:val="0"/>
          <w:sz w:val="32"/>
          <w:szCs w:val="32"/>
        </w:rPr>
      </w:pPr>
      <w:bookmarkStart w:id="803" w:name="_Toc2434_WPSOffice_Level1"/>
      <w:r>
        <w:rPr>
          <w:rFonts w:hint="eastAsia" w:ascii="黑体" w:hAnsi="仿宋_GB2312" w:eastAsia="黑体" w:cs="仿宋_GB2312"/>
          <w:b/>
          <w:color w:val="000000"/>
          <w:kern w:val="0"/>
          <w:sz w:val="32"/>
          <w:szCs w:val="32"/>
        </w:rPr>
        <w:t>三、考核对象</w:t>
      </w:r>
      <w:bookmarkEnd w:id="803"/>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1.本办法所指的辅导员，包括：</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（1）一线带班专职辅导员；</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（2）兼职带班的辅导员（指各二级学院党总支副书记、学生科科长、学生专干、分团委书记等）；</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2.因病假、事假等原因，年度请假时间（不包括寒暑假）累计达6个月以上的人员不参加当年绩效考核。</w:t>
      </w:r>
    </w:p>
    <w:p>
      <w:pPr>
        <w:pageBreakBefore w:val="0"/>
        <w:kinsoku/>
        <w:overflowPunct/>
        <w:topLinePunct w:val="0"/>
        <w:bidi w:val="0"/>
        <w:spacing w:line="580" w:lineRule="exact"/>
        <w:ind w:firstLine="643" w:firstLineChars="200"/>
        <w:outlineLvl w:val="9"/>
        <w:rPr>
          <w:rFonts w:ascii="黑体" w:hAnsi="仿宋_GB2312" w:eastAsia="黑体" w:cs="仿宋_GB2312"/>
          <w:b/>
          <w:color w:val="000000"/>
          <w:kern w:val="0"/>
          <w:sz w:val="32"/>
          <w:szCs w:val="32"/>
        </w:rPr>
      </w:pPr>
      <w:bookmarkStart w:id="804" w:name="_Toc29264_WPSOffice_Level1"/>
      <w:r>
        <w:rPr>
          <w:rFonts w:hint="eastAsia" w:ascii="黑体" w:hAnsi="仿宋_GB2312" w:eastAsia="黑体" w:cs="仿宋_GB2312"/>
          <w:b/>
          <w:color w:val="000000"/>
          <w:kern w:val="0"/>
          <w:sz w:val="32"/>
          <w:szCs w:val="32"/>
        </w:rPr>
        <w:t>四、考核机构</w:t>
      </w:r>
      <w:bookmarkEnd w:id="804"/>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学校成立辅导员绩效考核领导小组，由分管学生工作的校领导为组长，党委学生工作部、团委、人事处、发展规划与质量管理处、纪委办公室等相关单位负责人为成员，全面负责全校辅导员绩效考核的组织协调、结果审定与争议处理。</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党委学生工作部具体负责全校辅导员绩效考核的指导工作。各二级学院绩效考核小组具体负责本学院辅导员绩效考核的实施。</w:t>
      </w:r>
    </w:p>
    <w:p>
      <w:pPr>
        <w:pageBreakBefore w:val="0"/>
        <w:kinsoku/>
        <w:overflowPunct/>
        <w:topLinePunct w:val="0"/>
        <w:bidi w:val="0"/>
        <w:spacing w:line="580" w:lineRule="exact"/>
        <w:ind w:firstLine="643" w:firstLineChars="200"/>
        <w:outlineLvl w:val="9"/>
        <w:rPr>
          <w:rFonts w:ascii="黑体" w:hAnsi="仿宋_GB2312" w:eastAsia="黑体" w:cs="仿宋_GB2312"/>
          <w:b/>
          <w:color w:val="000000"/>
          <w:kern w:val="0"/>
          <w:sz w:val="32"/>
          <w:szCs w:val="32"/>
        </w:rPr>
      </w:pPr>
      <w:bookmarkStart w:id="805" w:name="_Toc19475_WPSOffice_Level1"/>
      <w:r>
        <w:rPr>
          <w:rFonts w:hint="eastAsia" w:ascii="黑体" w:hAnsi="仿宋_GB2312" w:eastAsia="黑体" w:cs="仿宋_GB2312"/>
          <w:b/>
          <w:color w:val="000000"/>
          <w:kern w:val="0"/>
          <w:sz w:val="32"/>
          <w:szCs w:val="32"/>
        </w:rPr>
        <w:t>五、考核内容、办法及程序</w:t>
      </w:r>
      <w:bookmarkEnd w:id="805"/>
    </w:p>
    <w:p>
      <w:pPr>
        <w:pageBreakBefore w:val="0"/>
        <w:kinsoku/>
        <w:overflowPunct/>
        <w:topLinePunct w:val="0"/>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（一）辅导员绩效考核内容</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根据《柳州职业技术学院绩效评估办法》，辅导员绩效考核内容主要包括：个人关键绩效指标（KPI），重点、专项、创新工作绩效，部门绩效评估分值，部门评价分值和扣分项等五部分组成。</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其中，个人关键绩效指标（KPI）主要考核辅导员工作主要业绩；个人重点、专项工作、创新主要考核辅导员个人年度重点工作、专项工作或创新工作的完成情况；扣分项主要依据《柳州职业技术学院工作事故认定及处理办法》（柳职院[2017]30号）和《柳州职业技术学院绩效考核扣分项清单》（附件4），进行绩效考核扣分。</w:t>
      </w:r>
    </w:p>
    <w:p>
      <w:pPr>
        <w:pageBreakBefore w:val="0"/>
        <w:kinsoku/>
        <w:overflowPunct/>
        <w:topLinePunct w:val="0"/>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（二）考核办法</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1.辅导员绩效考核每年开展一次，一般在每年的12月底进行，由学生工作处统一组织实施。</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2.辅导员绩效考核采用百分制，总分为100分。</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3.如有下列情形之一，直接确定为不合格：（一票否决制）</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（1）在事关政治原则、政治立场等方面不能与党中央保持一致的；</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（2）传播不良思想，反动言论的；</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（3）忽视个人世界观改造，迷信邪教或加入邪教组织的；</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（4）因个人工作不力而造成重大安全责任事故的；</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（5）在发展学生入党、评先评优、奖助学金评定、助学贷款等工作中有弄虚作假、违规操作行为者；</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（6）不重视个人师德师风而产生恶劣影响的。</w:t>
      </w:r>
    </w:p>
    <w:p>
      <w:pPr>
        <w:pageBreakBefore w:val="0"/>
        <w:kinsoku/>
        <w:overflowPunct/>
        <w:topLinePunct w:val="0"/>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（三）考核程序</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1.绩效指标制定</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（1）个人关键绩效指标（KPI）制定</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由二级学院结合本部门实际工作和辅导员岗位职责特点，按照学校《专职辅导员关键绩效考核项目和指标库》（附件2）统一确定。</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（2）重点、专项、创新工作绩效指标制定</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由各二级学院根据被考核人的岗位职责和实际工作需要确定。二级学院分团委书记根据《二级学院分团委书记关键绩效考核项目和指标库》（附件3）确定。科长和专干参照《专职辅导员关键绩效考核项目和指标库》及《二级学院分团委书记关键绩效考核项目和指标库》相关指标确定。</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 二级学院可以结合实际工作制定符合本院特色的考核指标。</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2.审核与实施</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各二级学院负责绩效指标的审核与实施，报学生工作处备案。</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3.绩效自评</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4.绩效数据核定与审定</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5.绩效评估结果反馈等</w:t>
      </w:r>
    </w:p>
    <w:p>
      <w:pPr>
        <w:pageBreakBefore w:val="0"/>
        <w:kinsoku/>
        <w:overflowPunct/>
        <w:topLinePunct w:val="0"/>
        <w:bidi w:val="0"/>
        <w:spacing w:line="580" w:lineRule="exact"/>
        <w:ind w:firstLine="643" w:firstLineChars="200"/>
        <w:outlineLvl w:val="9"/>
        <w:rPr>
          <w:rFonts w:ascii="黑体" w:hAnsi="仿宋_GB2312" w:eastAsia="黑体" w:cs="仿宋_GB2312"/>
          <w:b/>
          <w:color w:val="000000"/>
          <w:kern w:val="0"/>
          <w:sz w:val="32"/>
          <w:szCs w:val="32"/>
        </w:rPr>
      </w:pPr>
      <w:bookmarkStart w:id="806" w:name="_Toc10868_WPSOffice_Level1"/>
      <w:r>
        <w:rPr>
          <w:rFonts w:hint="eastAsia" w:ascii="黑体" w:hAnsi="仿宋_GB2312" w:eastAsia="黑体" w:cs="仿宋_GB2312"/>
          <w:b/>
          <w:color w:val="000000"/>
          <w:kern w:val="0"/>
          <w:sz w:val="32"/>
          <w:szCs w:val="32"/>
        </w:rPr>
        <w:t>六、考核结果及应用</w:t>
      </w:r>
      <w:bookmarkEnd w:id="806"/>
    </w:p>
    <w:p>
      <w:pPr>
        <w:pageBreakBefore w:val="0"/>
        <w:kinsoku/>
        <w:overflowPunct/>
        <w:topLinePunct w:val="0"/>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（一）辅导员绩效考核结果</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根据考核得分，评定优秀、良好、合格、基本合格和不合格五个等级。</w:t>
      </w:r>
    </w:p>
    <w:tbl>
      <w:tblPr>
        <w:tblStyle w:val="14"/>
        <w:tblW w:w="7886" w:type="dxa"/>
        <w:jc w:val="center"/>
        <w:tblInd w:w="0" w:type="dxa"/>
        <w:tblLayout w:type="fixed"/>
        <w:tblCellMar>
          <w:top w:w="0" w:type="dxa"/>
          <w:left w:w="108" w:type="dxa"/>
          <w:bottom w:w="0" w:type="dxa"/>
          <w:right w:w="108" w:type="dxa"/>
        </w:tblCellMar>
      </w:tblPr>
      <w:tblGrid>
        <w:gridCol w:w="1067"/>
        <w:gridCol w:w="1434"/>
        <w:gridCol w:w="1941"/>
        <w:gridCol w:w="1974"/>
        <w:gridCol w:w="1470"/>
      </w:tblGrid>
      <w:tr>
        <w:tblPrEx>
          <w:tblLayout w:type="fixed"/>
          <w:tblCellMar>
            <w:top w:w="0" w:type="dxa"/>
            <w:left w:w="108" w:type="dxa"/>
            <w:bottom w:w="0" w:type="dxa"/>
            <w:right w:w="108" w:type="dxa"/>
          </w:tblCellMar>
        </w:tblPrEx>
        <w:trPr>
          <w:trHeight w:val="640"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等级</w:t>
            </w:r>
          </w:p>
        </w:tc>
        <w:tc>
          <w:tcPr>
            <w:tcW w:w="1434"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优秀</w:t>
            </w:r>
          </w:p>
        </w:tc>
        <w:tc>
          <w:tcPr>
            <w:tcW w:w="194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合格</w:t>
            </w:r>
          </w:p>
        </w:tc>
        <w:tc>
          <w:tcPr>
            <w:tcW w:w="1974"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基本合格</w:t>
            </w:r>
          </w:p>
        </w:tc>
        <w:tc>
          <w:tcPr>
            <w:tcW w:w="147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不合格</w:t>
            </w:r>
          </w:p>
        </w:tc>
      </w:tr>
      <w:tr>
        <w:tblPrEx>
          <w:tblLayout w:type="fixed"/>
          <w:tblCellMar>
            <w:top w:w="0" w:type="dxa"/>
            <w:left w:w="108" w:type="dxa"/>
            <w:bottom w:w="0" w:type="dxa"/>
            <w:right w:w="108" w:type="dxa"/>
          </w:tblCellMar>
        </w:tblPrEx>
        <w:trPr>
          <w:trHeight w:val="624"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评估</w:t>
            </w:r>
          </w:p>
          <w:p>
            <w:pPr>
              <w:pageBreakBefore w:val="0"/>
              <w:kinsoku/>
              <w:overflowPunct/>
              <w:topLinePunct w:val="0"/>
              <w:bidi w:val="0"/>
              <w:spacing w:line="300" w:lineRule="exact"/>
              <w:outlineLvl w:val="9"/>
              <w:rPr>
                <w:rFonts w:ascii="仿宋_GB2312" w:hAnsi="仿宋_GB2312" w:eastAsia="仿宋_GB2312" w:cs="仿宋_GB2312"/>
                <w:color w:val="000000"/>
                <w:kern w:val="0"/>
                <w:sz w:val="24"/>
              </w:rPr>
            </w:pPr>
            <w:r>
              <w:rPr>
                <w:rFonts w:ascii="仿宋_GB2312" w:hAnsi="仿宋_GB2312" w:eastAsia="仿宋_GB2312" w:cs="仿宋_GB2312"/>
                <w:color w:val="000000"/>
                <w:kern w:val="0"/>
                <w:sz w:val="24"/>
              </w:rPr>
              <w:t>总得分</w:t>
            </w:r>
          </w:p>
        </w:tc>
        <w:tc>
          <w:tcPr>
            <w:tcW w:w="1434"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总得分≥90</w:t>
            </w:r>
          </w:p>
        </w:tc>
        <w:tc>
          <w:tcPr>
            <w:tcW w:w="194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70≤总得分＜90</w:t>
            </w:r>
          </w:p>
        </w:tc>
        <w:tc>
          <w:tcPr>
            <w:tcW w:w="1974"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60≤总得分＜70</w:t>
            </w:r>
          </w:p>
        </w:tc>
        <w:tc>
          <w:tcPr>
            <w:tcW w:w="1470"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00" w:lineRule="exact"/>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总得分＜60</w:t>
            </w:r>
          </w:p>
        </w:tc>
      </w:tr>
    </w:tbl>
    <w:p>
      <w:pPr>
        <w:pageBreakBefore w:val="0"/>
        <w:kinsoku/>
        <w:overflowPunct/>
        <w:topLinePunct w:val="0"/>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（二）辅导员绩效考核结果应用</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1.实行绩效考核结果与辅导员奖励性绩效等挂钩。其中，具体系数如下：</w:t>
      </w:r>
    </w:p>
    <w:tbl>
      <w:tblPr>
        <w:tblStyle w:val="14"/>
        <w:tblW w:w="7841" w:type="dxa"/>
        <w:jc w:val="center"/>
        <w:tblInd w:w="0" w:type="dxa"/>
        <w:tblLayout w:type="fixed"/>
        <w:tblCellMar>
          <w:top w:w="0" w:type="dxa"/>
          <w:left w:w="108" w:type="dxa"/>
          <w:bottom w:w="0" w:type="dxa"/>
          <w:right w:w="108" w:type="dxa"/>
        </w:tblCellMar>
      </w:tblPr>
      <w:tblGrid>
        <w:gridCol w:w="1067"/>
        <w:gridCol w:w="1599"/>
        <w:gridCol w:w="1665"/>
        <w:gridCol w:w="1811"/>
        <w:gridCol w:w="1699"/>
      </w:tblGrid>
      <w:tr>
        <w:tblPrEx>
          <w:tblLayout w:type="fixed"/>
          <w:tblCellMar>
            <w:top w:w="0" w:type="dxa"/>
            <w:left w:w="108" w:type="dxa"/>
            <w:bottom w:w="0" w:type="dxa"/>
            <w:right w:w="108" w:type="dxa"/>
          </w:tblCellMar>
        </w:tblPrEx>
        <w:trPr>
          <w:trHeight w:val="615"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考核</w:t>
            </w:r>
          </w:p>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结果</w:t>
            </w:r>
          </w:p>
        </w:tc>
        <w:tc>
          <w:tcPr>
            <w:tcW w:w="1599"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优秀</w:t>
            </w:r>
          </w:p>
        </w:tc>
        <w:tc>
          <w:tcPr>
            <w:tcW w:w="166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ind w:firstLine="240" w:firstLineChars="100"/>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合格</w:t>
            </w:r>
          </w:p>
        </w:tc>
        <w:tc>
          <w:tcPr>
            <w:tcW w:w="1811"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基本合格</w:t>
            </w:r>
          </w:p>
        </w:tc>
        <w:tc>
          <w:tcPr>
            <w:tcW w:w="1699"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不合格</w:t>
            </w:r>
          </w:p>
        </w:tc>
      </w:tr>
      <w:tr>
        <w:tblPrEx>
          <w:tblLayout w:type="fixed"/>
          <w:tblCellMar>
            <w:top w:w="0" w:type="dxa"/>
            <w:left w:w="108" w:type="dxa"/>
            <w:bottom w:w="0" w:type="dxa"/>
            <w:right w:w="108" w:type="dxa"/>
          </w:tblCellMar>
        </w:tblPrEx>
        <w:trPr>
          <w:trHeight w:val="624"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系数</w:t>
            </w:r>
          </w:p>
        </w:tc>
        <w:tc>
          <w:tcPr>
            <w:tcW w:w="1599"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166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1811"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0.8</w:t>
            </w:r>
          </w:p>
        </w:tc>
        <w:tc>
          <w:tcPr>
            <w:tcW w:w="1699"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0</w:t>
            </w:r>
          </w:p>
        </w:tc>
      </w:tr>
      <w:tr>
        <w:tblPrEx>
          <w:tblLayout w:type="fixed"/>
          <w:tblCellMar>
            <w:top w:w="0" w:type="dxa"/>
            <w:left w:w="108" w:type="dxa"/>
            <w:bottom w:w="0" w:type="dxa"/>
            <w:right w:w="108" w:type="dxa"/>
          </w:tblCellMar>
        </w:tblPrEx>
        <w:trPr>
          <w:trHeight w:val="624"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比例</w:t>
            </w:r>
          </w:p>
        </w:tc>
        <w:tc>
          <w:tcPr>
            <w:tcW w:w="1599"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1665"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w:t>
            </w:r>
          </w:p>
        </w:tc>
        <w:tc>
          <w:tcPr>
            <w:tcW w:w="1811" w:type="dxa"/>
            <w:tcBorders>
              <w:top w:val="single" w:color="auto" w:sz="4" w:space="0"/>
              <w:left w:val="nil"/>
              <w:bottom w:val="single" w:color="auto" w:sz="4" w:space="0"/>
              <w:right w:val="single" w:color="auto" w:sz="4" w:space="0"/>
            </w:tcBorders>
            <w:noWrap/>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w:t>
            </w:r>
          </w:p>
        </w:tc>
        <w:tc>
          <w:tcPr>
            <w:tcW w:w="1699" w:type="dxa"/>
            <w:tcBorders>
              <w:top w:val="single" w:color="auto" w:sz="4" w:space="0"/>
              <w:left w:val="nil"/>
              <w:bottom w:val="single" w:color="auto" w:sz="4" w:space="0"/>
              <w:right w:val="single" w:color="auto" w:sz="4" w:space="0"/>
            </w:tcBorders>
            <w:vAlign w:val="center"/>
          </w:tcPr>
          <w:p>
            <w:pPr>
              <w:pageBreakBefore w:val="0"/>
              <w:kinsoku/>
              <w:overflowPunct/>
              <w:topLinePunct w:val="0"/>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w:t>
            </w:r>
          </w:p>
        </w:tc>
      </w:tr>
    </w:tbl>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2.辅导员月工作量、绩效奖金发放按照《柳州职业技术学院工作量及奖励性绩效发放办法》执行。</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3.绩效评估结果既</w:t>
      </w:r>
      <w:r>
        <w:rPr>
          <w:rFonts w:ascii="仿宋_GB2312" w:hAnsi="仿宋_GB2312" w:eastAsia="仿宋_GB2312" w:cs="仿宋_GB2312"/>
          <w:color w:val="000000"/>
          <w:kern w:val="0"/>
          <w:sz w:val="32"/>
          <w:szCs w:val="32"/>
        </w:rPr>
        <w:t>作为</w:t>
      </w:r>
      <w:r>
        <w:rPr>
          <w:rFonts w:hint="eastAsia" w:ascii="仿宋_GB2312" w:hAnsi="仿宋_GB2312" w:eastAsia="仿宋_GB2312" w:cs="仿宋_GB2312"/>
          <w:color w:val="000000"/>
          <w:kern w:val="0"/>
          <w:sz w:val="32"/>
          <w:szCs w:val="32"/>
        </w:rPr>
        <w:t>辅导员月工作量和绩效奖金等发放</w:t>
      </w:r>
      <w:r>
        <w:rPr>
          <w:rFonts w:ascii="仿宋_GB2312" w:hAnsi="仿宋_GB2312" w:eastAsia="仿宋_GB2312" w:cs="仿宋_GB2312"/>
          <w:color w:val="000000"/>
          <w:kern w:val="0"/>
          <w:sz w:val="32"/>
          <w:szCs w:val="32"/>
        </w:rPr>
        <w:t>的依据</w:t>
      </w:r>
      <w:r>
        <w:rPr>
          <w:rFonts w:hint="eastAsia" w:ascii="仿宋_GB2312" w:hAnsi="仿宋_GB2312" w:eastAsia="仿宋_GB2312" w:cs="仿宋_GB2312"/>
          <w:color w:val="000000"/>
          <w:kern w:val="0"/>
          <w:sz w:val="32"/>
          <w:szCs w:val="32"/>
        </w:rPr>
        <w:t>；同时作为柳州市事业单位年度考核基本依据；作为</w:t>
      </w:r>
      <w:r>
        <w:rPr>
          <w:rFonts w:ascii="仿宋_GB2312" w:hAnsi="仿宋_GB2312" w:eastAsia="仿宋_GB2312" w:cs="仿宋_GB2312"/>
          <w:color w:val="000000"/>
          <w:kern w:val="0"/>
          <w:sz w:val="32"/>
          <w:szCs w:val="32"/>
        </w:rPr>
        <w:t>制定</w:t>
      </w:r>
      <w:r>
        <w:rPr>
          <w:rFonts w:hint="eastAsia" w:ascii="仿宋_GB2312" w:hAnsi="仿宋_GB2312" w:eastAsia="仿宋_GB2312" w:cs="仿宋_GB2312"/>
          <w:color w:val="000000"/>
          <w:kern w:val="0"/>
          <w:sz w:val="32"/>
          <w:szCs w:val="32"/>
        </w:rPr>
        <w:t>工作</w:t>
      </w:r>
      <w:r>
        <w:rPr>
          <w:rFonts w:ascii="仿宋_GB2312" w:hAnsi="仿宋_GB2312" w:eastAsia="仿宋_GB2312" w:cs="仿宋_GB2312"/>
          <w:color w:val="000000"/>
          <w:kern w:val="0"/>
          <w:sz w:val="32"/>
          <w:szCs w:val="32"/>
        </w:rPr>
        <w:t>业绩改进计划的依据；作为职务升降、</w:t>
      </w:r>
      <w:r>
        <w:rPr>
          <w:rFonts w:hint="eastAsia" w:ascii="仿宋_GB2312" w:hAnsi="仿宋_GB2312" w:eastAsia="仿宋_GB2312" w:cs="仿宋_GB2312"/>
          <w:color w:val="000000"/>
          <w:kern w:val="0"/>
          <w:sz w:val="32"/>
          <w:szCs w:val="32"/>
        </w:rPr>
        <w:t>职称评审、</w:t>
      </w:r>
      <w:r>
        <w:rPr>
          <w:rFonts w:ascii="仿宋_GB2312" w:hAnsi="仿宋_GB2312" w:eastAsia="仿宋_GB2312" w:cs="仿宋_GB2312"/>
          <w:color w:val="000000"/>
          <w:kern w:val="0"/>
          <w:sz w:val="32"/>
          <w:szCs w:val="32"/>
        </w:rPr>
        <w:t>岗位调整的依据；制定培训</w:t>
      </w:r>
      <w:r>
        <w:rPr>
          <w:rFonts w:hint="eastAsia" w:ascii="仿宋_GB2312" w:hAnsi="仿宋_GB2312" w:eastAsia="仿宋_GB2312" w:cs="仿宋_GB2312"/>
          <w:color w:val="000000"/>
          <w:kern w:val="0"/>
          <w:sz w:val="32"/>
          <w:szCs w:val="32"/>
        </w:rPr>
        <w:t>计划与职业发展规划</w:t>
      </w:r>
      <w:r>
        <w:rPr>
          <w:rFonts w:ascii="仿宋_GB2312" w:hAnsi="仿宋_GB2312" w:eastAsia="仿宋_GB2312" w:cs="仿宋_GB2312"/>
          <w:color w:val="000000"/>
          <w:kern w:val="0"/>
          <w:sz w:val="32"/>
          <w:szCs w:val="32"/>
        </w:rPr>
        <w:t>的依据</w:t>
      </w:r>
      <w:r>
        <w:rPr>
          <w:rFonts w:hint="eastAsia" w:ascii="仿宋_GB2312" w:hAnsi="仿宋_GB2312" w:eastAsia="仿宋_GB2312" w:cs="仿宋_GB2312"/>
          <w:color w:val="000000"/>
          <w:kern w:val="0"/>
          <w:sz w:val="32"/>
          <w:szCs w:val="32"/>
        </w:rPr>
        <w:t>。</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4.绩效考核结果为“基本合格”、“不合格”的辅导员，由各二级学院辅导员绩效考核小组督促其制定措施，限期改正。连续两次考核结果为不合格的，由人事处调整工作岗位，不得继续从事辅导员工作。</w:t>
      </w:r>
    </w:p>
    <w:p>
      <w:pPr>
        <w:pageBreakBefore w:val="0"/>
        <w:kinsoku/>
        <w:overflowPunct/>
        <w:topLinePunct w:val="0"/>
        <w:bidi w:val="0"/>
        <w:spacing w:line="580" w:lineRule="exact"/>
        <w:ind w:firstLine="643" w:firstLineChars="200"/>
        <w:outlineLvl w:val="9"/>
        <w:rPr>
          <w:rFonts w:ascii="黑体" w:hAnsi="仿宋_GB2312" w:eastAsia="黑体" w:cs="仿宋_GB2312"/>
          <w:b/>
          <w:color w:val="000000"/>
          <w:kern w:val="0"/>
          <w:sz w:val="32"/>
          <w:szCs w:val="32"/>
        </w:rPr>
      </w:pPr>
      <w:bookmarkStart w:id="807" w:name="_Toc5056_WPSOffice_Level1"/>
      <w:r>
        <w:rPr>
          <w:rFonts w:hint="eastAsia" w:ascii="黑体" w:hAnsi="仿宋_GB2312" w:eastAsia="黑体" w:cs="仿宋_GB2312"/>
          <w:b/>
          <w:color w:val="000000"/>
          <w:kern w:val="0"/>
          <w:sz w:val="32"/>
          <w:szCs w:val="32"/>
        </w:rPr>
        <w:t>七、附则</w:t>
      </w:r>
      <w:bookmarkEnd w:id="807"/>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1.本办法的解释说明权归党委学生工作部。</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2.本办法未尽事宜及相关实施细则，由党委学生工作部联合相关部门及时补充。</w:t>
      </w: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p>
    <w:p>
      <w:pPr>
        <w:pageBreakBefore w:val="0"/>
        <w:kinsoku/>
        <w:overflowPunct/>
        <w:topLinePunct w:val="0"/>
        <w:bidi w:val="0"/>
        <w:spacing w:line="580" w:lineRule="exact"/>
        <w:ind w:firstLine="640" w:firstLineChars="200"/>
        <w:outlineLvl w:val="9"/>
        <w:rPr>
          <w:rFonts w:ascii="仿宋_GB2312" w:hAnsi="仿宋_GB2312" w:eastAsia="仿宋_GB2312" w:cs="仿宋_GB2312"/>
          <w:color w:val="000000"/>
          <w:kern w:val="0"/>
          <w:sz w:val="32"/>
          <w:szCs w:val="32"/>
        </w:rPr>
      </w:pPr>
      <w:bookmarkStart w:id="808" w:name="_Toc13377_WPSOffice_Level1"/>
      <w:r>
        <w:rPr>
          <w:rFonts w:hint="eastAsia" w:ascii="仿宋_GB2312" w:hAnsi="仿宋_GB2312" w:eastAsia="仿宋_GB2312" w:cs="仿宋_GB2312"/>
          <w:color w:val="000000"/>
          <w:kern w:val="0"/>
          <w:sz w:val="32"/>
          <w:szCs w:val="32"/>
        </w:rPr>
        <w:t>附表：1.柳州职业技术学院辅导员绩效考核评估表</w:t>
      </w:r>
      <w:bookmarkEnd w:id="808"/>
    </w:p>
    <w:p>
      <w:pPr>
        <w:pageBreakBefore w:val="0"/>
        <w:kinsoku/>
        <w:overflowPunct/>
        <w:topLinePunct w:val="0"/>
        <w:bidi w:val="0"/>
        <w:spacing w:line="580" w:lineRule="exact"/>
        <w:ind w:firstLine="1600" w:firstLineChars="5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2.专职辅导员关键绩效考核导向和指标库</w:t>
      </w:r>
    </w:p>
    <w:p>
      <w:pPr>
        <w:pageBreakBefore w:val="0"/>
        <w:kinsoku/>
        <w:overflowPunct/>
        <w:topLinePunct w:val="0"/>
        <w:bidi w:val="0"/>
        <w:spacing w:line="580" w:lineRule="exact"/>
        <w:ind w:firstLine="1600" w:firstLineChars="5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3.二级学院分团委书记考核指标库</w:t>
      </w:r>
    </w:p>
    <w:p>
      <w:pPr>
        <w:pageBreakBefore w:val="0"/>
        <w:kinsoku/>
        <w:overflowPunct/>
        <w:topLinePunct w:val="0"/>
        <w:bidi w:val="0"/>
        <w:spacing w:line="580" w:lineRule="exact"/>
        <w:ind w:firstLine="1600" w:firstLineChars="5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4.柳州职业技术学院辅导员绩效评估扣分项清单</w:t>
      </w:r>
    </w:p>
    <w:p>
      <w:pPr>
        <w:pageBreakBefore w:val="0"/>
        <w:widowControl/>
        <w:kinsoku/>
        <w:overflowPunct/>
        <w:topLinePunct w:val="0"/>
        <w:bidi w:val="0"/>
        <w:jc w:val="left"/>
        <w:outlineLvl w:val="9"/>
        <w:rPr>
          <w:rFonts w:eastAsia="仿宋_GB2312"/>
          <w:color w:val="000000"/>
          <w:szCs w:val="28"/>
        </w:rPr>
      </w:pPr>
      <w:r>
        <w:rPr>
          <w:rFonts w:eastAsia="仿宋_GB2312"/>
          <w:color w:val="000000"/>
          <w:szCs w:val="28"/>
        </w:rPr>
        <w:br w:type="page"/>
      </w:r>
      <w:bookmarkStart w:id="809" w:name="_Toc16513_WPSOffice_Level1"/>
      <w:r>
        <w:rPr>
          <w:rFonts w:hint="eastAsia" w:ascii="黑体" w:eastAsia="黑体"/>
          <w:sz w:val="32"/>
          <w:szCs w:val="32"/>
        </w:rPr>
        <w:t>附表1：</w:t>
      </w:r>
      <w:bookmarkEnd w:id="809"/>
    </w:p>
    <w:p>
      <w:pPr>
        <w:pageBreakBefore w:val="0"/>
        <w:kinsoku/>
        <w:overflowPunct/>
        <w:topLinePunct w:val="0"/>
        <w:bidi w:val="0"/>
        <w:spacing w:line="596" w:lineRule="exact"/>
        <w:jc w:val="center"/>
        <w:outlineLvl w:val="9"/>
        <w:rPr>
          <w:rFonts w:hint="eastAsia"/>
          <w:b/>
          <w:color w:val="000000"/>
          <w:sz w:val="36"/>
          <w:szCs w:val="36"/>
        </w:rPr>
      </w:pPr>
      <w:bookmarkStart w:id="810" w:name="_Toc2471_WPSOffice_Level1"/>
      <w:r>
        <w:rPr>
          <w:rFonts w:hint="eastAsia"/>
          <w:b/>
          <w:color w:val="000000"/>
          <w:sz w:val="36"/>
          <w:szCs w:val="36"/>
        </w:rPr>
        <w:t>柳州职业技术学院辅导员绩效评估表</w:t>
      </w:r>
      <w:bookmarkEnd w:id="810"/>
    </w:p>
    <w:p>
      <w:pPr>
        <w:pageBreakBefore w:val="0"/>
        <w:widowControl/>
        <w:kinsoku/>
        <w:overflowPunct/>
        <w:topLinePunct w:val="0"/>
        <w:bidi w:val="0"/>
        <w:spacing w:line="360" w:lineRule="auto"/>
        <w:jc w:val="center"/>
        <w:outlineLvl w:val="9"/>
        <w:rPr>
          <w:rFonts w:ascii="微软雅黑" w:hAnsi="微软雅黑" w:eastAsia="微软雅黑"/>
          <w:b/>
          <w:color w:val="000000"/>
          <w:sz w:val="40"/>
          <w:szCs w:val="44"/>
        </w:rPr>
      </w:pPr>
      <w:r>
        <w:rPr>
          <w:rFonts w:hint="eastAsia" w:ascii="宋体" w:hAnsi="宋体"/>
          <w:b/>
          <w:color w:val="000000"/>
          <w:sz w:val="24"/>
        </w:rPr>
        <w:t>□</w:t>
      </w:r>
      <w:r>
        <w:rPr>
          <w:rFonts w:hint="eastAsia"/>
          <w:b/>
          <w:color w:val="000000"/>
          <w:sz w:val="24"/>
        </w:rPr>
        <w:t xml:space="preserve">一线带班辅导员      </w:t>
      </w:r>
      <w:r>
        <w:rPr>
          <w:rFonts w:hint="eastAsia" w:ascii="宋体" w:hAnsi="宋体"/>
          <w:b/>
          <w:color w:val="000000"/>
          <w:sz w:val="24"/>
        </w:rPr>
        <w:t xml:space="preserve">□分团委书记      □学生专干  </w:t>
      </w:r>
    </w:p>
    <w:p>
      <w:pPr>
        <w:pageBreakBefore w:val="0"/>
        <w:kinsoku/>
        <w:overflowPunct/>
        <w:topLinePunct w:val="0"/>
        <w:bidi w:val="0"/>
        <w:spacing w:line="360" w:lineRule="auto"/>
        <w:jc w:val="left"/>
        <w:outlineLvl w:val="9"/>
        <w:rPr>
          <w:b/>
          <w:color w:val="000000"/>
          <w:sz w:val="24"/>
        </w:rPr>
      </w:pPr>
      <w:r>
        <w:rPr>
          <w:rFonts w:hint="eastAsia"/>
          <w:b/>
          <w:color w:val="000000"/>
          <w:sz w:val="24"/>
        </w:rPr>
        <w:t>部门名称：                  姓名：                  年度：</w:t>
      </w:r>
    </w:p>
    <w:tbl>
      <w:tblPr>
        <w:tblStyle w:val="14"/>
        <w:tblW w:w="9330" w:type="dxa"/>
        <w:jc w:val="center"/>
        <w:tblInd w:w="0" w:type="dxa"/>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1248"/>
        <w:gridCol w:w="2412"/>
        <w:gridCol w:w="500"/>
        <w:gridCol w:w="278"/>
        <w:gridCol w:w="791"/>
        <w:gridCol w:w="518"/>
        <w:gridCol w:w="142"/>
        <w:gridCol w:w="567"/>
        <w:gridCol w:w="564"/>
        <w:gridCol w:w="388"/>
        <w:gridCol w:w="795"/>
        <w:gridCol w:w="1127"/>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78" w:hRule="atLeast"/>
          <w:jc w:val="center"/>
        </w:trPr>
        <w:tc>
          <w:tcPr>
            <w:tcW w:w="1248" w:type="dxa"/>
            <w:tcBorders>
              <w:top w:val="single" w:color="000000" w:sz="18" w:space="0"/>
            </w:tcBorders>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评估项目</w:t>
            </w:r>
          </w:p>
        </w:tc>
        <w:tc>
          <w:tcPr>
            <w:tcW w:w="2412" w:type="dxa"/>
            <w:tcBorders>
              <w:top w:val="single" w:color="000000" w:sz="18" w:space="0"/>
              <w:right w:val="single" w:color="000000" w:sz="2" w:space="0"/>
            </w:tcBorders>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年度评估项目及指标</w:t>
            </w:r>
          </w:p>
        </w:tc>
        <w:tc>
          <w:tcPr>
            <w:tcW w:w="778" w:type="dxa"/>
            <w:gridSpan w:val="2"/>
            <w:tcBorders>
              <w:top w:val="single" w:color="000000" w:sz="18" w:space="0"/>
              <w:left w:val="single" w:color="000000" w:sz="2" w:space="0"/>
            </w:tcBorders>
            <w:vAlign w:val="center"/>
          </w:tcPr>
          <w:p>
            <w:pPr>
              <w:pageBreakBefore w:val="0"/>
              <w:kinsoku/>
              <w:overflowPunct/>
              <w:topLinePunct w:val="0"/>
              <w:bidi w:val="0"/>
              <w:spacing w:line="300" w:lineRule="exact"/>
              <w:jc w:val="center"/>
              <w:outlineLvl w:val="9"/>
              <w:rPr>
                <w:rFonts w:ascii="仿宋_GB2312" w:eastAsia="仿宋_GB2312"/>
                <w:b/>
                <w:color w:val="000000"/>
                <w:spacing w:val="-16"/>
                <w:sz w:val="21"/>
                <w:szCs w:val="21"/>
              </w:rPr>
            </w:pPr>
            <w:r>
              <w:rPr>
                <w:rFonts w:hint="eastAsia" w:ascii="仿宋_GB2312" w:eastAsia="仿宋_GB2312"/>
                <w:b/>
                <w:color w:val="000000"/>
                <w:spacing w:val="-16"/>
                <w:sz w:val="21"/>
                <w:szCs w:val="21"/>
              </w:rPr>
              <w:t>权重</w:t>
            </w:r>
          </w:p>
        </w:tc>
        <w:tc>
          <w:tcPr>
            <w:tcW w:w="1309" w:type="dxa"/>
            <w:gridSpan w:val="2"/>
            <w:tcBorders>
              <w:top w:val="single" w:color="000000" w:sz="18" w:space="0"/>
              <w:left w:val="single" w:color="000000" w:sz="2" w:space="0"/>
            </w:tcBorders>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目标值</w:t>
            </w:r>
          </w:p>
        </w:tc>
        <w:tc>
          <w:tcPr>
            <w:tcW w:w="709" w:type="dxa"/>
            <w:gridSpan w:val="2"/>
            <w:tcBorders>
              <w:top w:val="single" w:color="000000" w:sz="18" w:space="0"/>
            </w:tcBorders>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自评值</w:t>
            </w:r>
          </w:p>
        </w:tc>
        <w:tc>
          <w:tcPr>
            <w:tcW w:w="952" w:type="dxa"/>
            <w:gridSpan w:val="2"/>
            <w:tcBorders>
              <w:top w:val="single" w:color="000000" w:sz="18" w:space="0"/>
            </w:tcBorders>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核定值</w:t>
            </w:r>
          </w:p>
        </w:tc>
        <w:tc>
          <w:tcPr>
            <w:tcW w:w="795" w:type="dxa"/>
            <w:tcBorders>
              <w:top w:val="single" w:color="000000" w:sz="18" w:space="0"/>
            </w:tcBorders>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得</w:t>
            </w:r>
          </w:p>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分</w:t>
            </w:r>
          </w:p>
        </w:tc>
        <w:tc>
          <w:tcPr>
            <w:tcW w:w="1127" w:type="dxa"/>
            <w:tcBorders>
              <w:top w:val="single" w:color="000000" w:sz="18" w:space="0"/>
            </w:tcBorders>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数据核定人签字</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59" w:hRule="atLeast"/>
          <w:jc w:val="center"/>
        </w:trPr>
        <w:tc>
          <w:tcPr>
            <w:tcW w:w="1248" w:type="dxa"/>
            <w:vMerge w:val="restart"/>
            <w:tcBorders>
              <w:top w:val="single" w:color="000000" w:sz="2" w:space="0"/>
            </w:tcBorders>
            <w:vAlign w:val="center"/>
          </w:tcPr>
          <w:p>
            <w:pPr>
              <w:pageBreakBefore w:val="0"/>
              <w:kinsoku/>
              <w:overflowPunct/>
              <w:topLinePunct w:val="0"/>
              <w:bidi w:val="0"/>
              <w:spacing w:line="300" w:lineRule="exact"/>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个人关键绩效KPI（100分）（5-8项）</w:t>
            </w:r>
          </w:p>
        </w:tc>
        <w:tc>
          <w:tcPr>
            <w:tcW w:w="2412" w:type="dxa"/>
            <w:tcBorders>
              <w:top w:val="single" w:color="000000" w:sz="2" w:space="0"/>
              <w:right w:val="single" w:color="000000" w:sz="2" w:space="0"/>
            </w:tcBorders>
          </w:tcPr>
          <w:p>
            <w:pPr>
              <w:pageBreakBefore w:val="0"/>
              <w:kinsoku/>
              <w:overflowPunct/>
              <w:topLinePunct w:val="0"/>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1.</w:t>
            </w:r>
          </w:p>
        </w:tc>
        <w:tc>
          <w:tcPr>
            <w:tcW w:w="778" w:type="dxa"/>
            <w:gridSpan w:val="2"/>
            <w:tcBorders>
              <w:top w:val="single" w:color="000000" w:sz="2" w:space="0"/>
              <w:left w:val="single" w:color="000000" w:sz="2" w:space="0"/>
              <w:bottom w:val="single" w:color="000000" w:sz="2" w:space="0"/>
            </w:tcBorders>
            <w:vAlign w:val="center"/>
          </w:tcPr>
          <w:p>
            <w:pPr>
              <w:pageBreakBefore w:val="0"/>
              <w:kinsoku/>
              <w:overflowPunct/>
              <w:topLinePunct w:val="0"/>
              <w:bidi w:val="0"/>
              <w:spacing w:line="300" w:lineRule="exact"/>
              <w:jc w:val="center"/>
              <w:outlineLvl w:val="9"/>
              <w:rPr>
                <w:rFonts w:ascii="仿宋_GB2312" w:eastAsia="仿宋_GB2312"/>
                <w:color w:val="000000"/>
                <w:sz w:val="21"/>
                <w:szCs w:val="21"/>
              </w:rPr>
            </w:pPr>
          </w:p>
        </w:tc>
        <w:tc>
          <w:tcPr>
            <w:tcW w:w="1309" w:type="dxa"/>
            <w:gridSpan w:val="2"/>
            <w:tcBorders>
              <w:top w:val="single" w:color="000000" w:sz="2" w:space="0"/>
              <w:left w:val="single" w:color="000000" w:sz="2" w:space="0"/>
              <w:bottom w:val="single" w:color="000000" w:sz="2" w:space="0"/>
            </w:tcBorders>
            <w:vAlign w:val="center"/>
          </w:tcPr>
          <w:p>
            <w:pPr>
              <w:pageBreakBefore w:val="0"/>
              <w:kinsoku/>
              <w:overflowPunct/>
              <w:topLinePunct w:val="0"/>
              <w:bidi w:val="0"/>
              <w:spacing w:line="300" w:lineRule="exact"/>
              <w:outlineLvl w:val="9"/>
              <w:rPr>
                <w:rFonts w:ascii="仿宋_GB2312" w:eastAsia="仿宋_GB2312"/>
                <w:color w:val="000000"/>
                <w:sz w:val="21"/>
                <w:szCs w:val="21"/>
              </w:rPr>
            </w:pPr>
          </w:p>
        </w:tc>
        <w:tc>
          <w:tcPr>
            <w:tcW w:w="709" w:type="dxa"/>
            <w:gridSpan w:val="2"/>
          </w:tcPr>
          <w:p>
            <w:pPr>
              <w:pageBreakBefore w:val="0"/>
              <w:kinsoku/>
              <w:overflowPunct/>
              <w:topLinePunct w:val="0"/>
              <w:bidi w:val="0"/>
              <w:spacing w:line="300" w:lineRule="exact"/>
              <w:outlineLvl w:val="9"/>
              <w:rPr>
                <w:rFonts w:ascii="仿宋_GB2312" w:eastAsia="仿宋_GB2312"/>
                <w:color w:val="000000"/>
                <w:sz w:val="21"/>
                <w:szCs w:val="21"/>
              </w:rPr>
            </w:pPr>
          </w:p>
        </w:tc>
        <w:tc>
          <w:tcPr>
            <w:tcW w:w="952" w:type="dxa"/>
            <w:gridSpan w:val="2"/>
            <w:tcBorders>
              <w:top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795" w:type="dxa"/>
            <w:tcBorders>
              <w:top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1127" w:type="dxa"/>
            <w:tcBorders>
              <w:top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8" w:hRule="atLeast"/>
          <w:jc w:val="center"/>
        </w:trPr>
        <w:tc>
          <w:tcPr>
            <w:tcW w:w="1248" w:type="dxa"/>
            <w:vMerge w:val="continue"/>
            <w:vAlign w:val="center"/>
          </w:tcPr>
          <w:p>
            <w:pPr>
              <w:pageBreakBefore w:val="0"/>
              <w:kinsoku/>
              <w:overflowPunct/>
              <w:topLinePunct w:val="0"/>
              <w:bidi w:val="0"/>
              <w:spacing w:line="300" w:lineRule="exact"/>
              <w:jc w:val="center"/>
              <w:outlineLvl w:val="9"/>
              <w:rPr>
                <w:rFonts w:ascii="仿宋_GB2312" w:hAnsi="宋体" w:eastAsia="仿宋_GB2312"/>
                <w:b/>
                <w:color w:val="000000"/>
                <w:sz w:val="21"/>
                <w:szCs w:val="21"/>
              </w:rPr>
            </w:pPr>
          </w:p>
        </w:tc>
        <w:tc>
          <w:tcPr>
            <w:tcW w:w="2412" w:type="dxa"/>
            <w:tcBorders>
              <w:top w:val="single" w:color="000000" w:sz="2" w:space="0"/>
              <w:right w:val="single" w:color="000000" w:sz="2" w:space="0"/>
            </w:tcBorders>
          </w:tcPr>
          <w:p>
            <w:pPr>
              <w:pageBreakBefore w:val="0"/>
              <w:kinsoku/>
              <w:overflowPunct/>
              <w:topLinePunct w:val="0"/>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2</w:t>
            </w:r>
          </w:p>
        </w:tc>
        <w:tc>
          <w:tcPr>
            <w:tcW w:w="778" w:type="dxa"/>
            <w:gridSpan w:val="2"/>
            <w:tcBorders>
              <w:top w:val="single" w:color="000000" w:sz="2" w:space="0"/>
              <w:left w:val="single" w:color="000000" w:sz="2" w:space="0"/>
              <w:bottom w:val="single" w:color="000000" w:sz="2" w:space="0"/>
            </w:tcBorders>
            <w:vAlign w:val="center"/>
          </w:tcPr>
          <w:p>
            <w:pPr>
              <w:pageBreakBefore w:val="0"/>
              <w:kinsoku/>
              <w:overflowPunct/>
              <w:topLinePunct w:val="0"/>
              <w:bidi w:val="0"/>
              <w:spacing w:line="300" w:lineRule="exact"/>
              <w:jc w:val="center"/>
              <w:outlineLvl w:val="9"/>
              <w:rPr>
                <w:rFonts w:ascii="仿宋_GB2312" w:eastAsia="仿宋_GB2312"/>
                <w:color w:val="000000"/>
                <w:sz w:val="21"/>
                <w:szCs w:val="21"/>
              </w:rPr>
            </w:pPr>
          </w:p>
        </w:tc>
        <w:tc>
          <w:tcPr>
            <w:tcW w:w="1309" w:type="dxa"/>
            <w:gridSpan w:val="2"/>
            <w:tcBorders>
              <w:top w:val="single" w:color="000000" w:sz="2" w:space="0"/>
              <w:left w:val="single" w:color="000000" w:sz="2" w:space="0"/>
              <w:bottom w:val="single" w:color="000000" w:sz="2" w:space="0"/>
            </w:tcBorders>
            <w:vAlign w:val="center"/>
          </w:tcPr>
          <w:p>
            <w:pPr>
              <w:pageBreakBefore w:val="0"/>
              <w:kinsoku/>
              <w:overflowPunct/>
              <w:topLinePunct w:val="0"/>
              <w:bidi w:val="0"/>
              <w:spacing w:line="300" w:lineRule="exact"/>
              <w:outlineLvl w:val="9"/>
              <w:rPr>
                <w:rFonts w:ascii="仿宋_GB2312" w:eastAsia="仿宋_GB2312"/>
                <w:color w:val="000000"/>
                <w:sz w:val="21"/>
                <w:szCs w:val="21"/>
              </w:rPr>
            </w:pPr>
          </w:p>
        </w:tc>
        <w:tc>
          <w:tcPr>
            <w:tcW w:w="709" w:type="dxa"/>
            <w:gridSpan w:val="2"/>
          </w:tcPr>
          <w:p>
            <w:pPr>
              <w:pageBreakBefore w:val="0"/>
              <w:kinsoku/>
              <w:overflowPunct/>
              <w:topLinePunct w:val="0"/>
              <w:bidi w:val="0"/>
              <w:spacing w:line="300" w:lineRule="exact"/>
              <w:outlineLvl w:val="9"/>
              <w:rPr>
                <w:rFonts w:ascii="仿宋_GB2312" w:eastAsia="仿宋_GB2312"/>
                <w:color w:val="000000"/>
                <w:sz w:val="21"/>
                <w:szCs w:val="21"/>
              </w:rPr>
            </w:pPr>
          </w:p>
        </w:tc>
        <w:tc>
          <w:tcPr>
            <w:tcW w:w="952" w:type="dxa"/>
            <w:gridSpan w:val="2"/>
            <w:tcBorders>
              <w:top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795" w:type="dxa"/>
            <w:tcBorders>
              <w:top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1127" w:type="dxa"/>
            <w:tcBorders>
              <w:top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2" w:hRule="atLeast"/>
          <w:jc w:val="center"/>
        </w:trPr>
        <w:tc>
          <w:tcPr>
            <w:tcW w:w="1248" w:type="dxa"/>
            <w:vMerge w:val="continue"/>
            <w:vAlign w:val="center"/>
          </w:tcPr>
          <w:p>
            <w:pPr>
              <w:pageBreakBefore w:val="0"/>
              <w:kinsoku/>
              <w:overflowPunct/>
              <w:topLinePunct w:val="0"/>
              <w:bidi w:val="0"/>
              <w:spacing w:line="300" w:lineRule="exact"/>
              <w:jc w:val="center"/>
              <w:outlineLvl w:val="9"/>
              <w:rPr>
                <w:rFonts w:ascii="仿宋_GB2312" w:hAnsi="宋体" w:eastAsia="仿宋_GB2312"/>
                <w:b/>
                <w:color w:val="000000"/>
                <w:sz w:val="21"/>
                <w:szCs w:val="21"/>
              </w:rPr>
            </w:pPr>
          </w:p>
        </w:tc>
        <w:tc>
          <w:tcPr>
            <w:tcW w:w="2412" w:type="dxa"/>
            <w:tcBorders>
              <w:top w:val="single" w:color="000000" w:sz="2" w:space="0"/>
              <w:right w:val="single" w:color="000000" w:sz="2" w:space="0"/>
            </w:tcBorders>
          </w:tcPr>
          <w:p>
            <w:pPr>
              <w:pageBreakBefore w:val="0"/>
              <w:kinsoku/>
              <w:overflowPunct/>
              <w:topLinePunct w:val="0"/>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3</w:t>
            </w:r>
          </w:p>
        </w:tc>
        <w:tc>
          <w:tcPr>
            <w:tcW w:w="778" w:type="dxa"/>
            <w:gridSpan w:val="2"/>
            <w:tcBorders>
              <w:top w:val="single" w:color="000000" w:sz="2" w:space="0"/>
              <w:left w:val="single" w:color="000000" w:sz="2" w:space="0"/>
              <w:bottom w:val="single" w:color="000000" w:sz="2" w:space="0"/>
            </w:tcBorders>
            <w:vAlign w:val="center"/>
          </w:tcPr>
          <w:p>
            <w:pPr>
              <w:pageBreakBefore w:val="0"/>
              <w:kinsoku/>
              <w:overflowPunct/>
              <w:topLinePunct w:val="0"/>
              <w:bidi w:val="0"/>
              <w:spacing w:line="300" w:lineRule="exact"/>
              <w:jc w:val="center"/>
              <w:outlineLvl w:val="9"/>
              <w:rPr>
                <w:rFonts w:ascii="仿宋_GB2312" w:eastAsia="仿宋_GB2312"/>
                <w:color w:val="000000"/>
                <w:sz w:val="21"/>
                <w:szCs w:val="21"/>
              </w:rPr>
            </w:pPr>
          </w:p>
        </w:tc>
        <w:tc>
          <w:tcPr>
            <w:tcW w:w="1309" w:type="dxa"/>
            <w:gridSpan w:val="2"/>
            <w:tcBorders>
              <w:top w:val="single" w:color="000000" w:sz="2" w:space="0"/>
              <w:left w:val="single" w:color="000000" w:sz="2" w:space="0"/>
              <w:bottom w:val="single" w:color="000000" w:sz="2" w:space="0"/>
            </w:tcBorders>
            <w:vAlign w:val="center"/>
          </w:tcPr>
          <w:p>
            <w:pPr>
              <w:pageBreakBefore w:val="0"/>
              <w:kinsoku/>
              <w:overflowPunct/>
              <w:topLinePunct w:val="0"/>
              <w:bidi w:val="0"/>
              <w:spacing w:line="300" w:lineRule="exact"/>
              <w:outlineLvl w:val="9"/>
              <w:rPr>
                <w:rFonts w:ascii="仿宋_GB2312" w:eastAsia="仿宋_GB2312"/>
                <w:color w:val="000000"/>
                <w:sz w:val="21"/>
                <w:szCs w:val="21"/>
              </w:rPr>
            </w:pPr>
          </w:p>
        </w:tc>
        <w:tc>
          <w:tcPr>
            <w:tcW w:w="709" w:type="dxa"/>
            <w:gridSpan w:val="2"/>
          </w:tcPr>
          <w:p>
            <w:pPr>
              <w:pageBreakBefore w:val="0"/>
              <w:kinsoku/>
              <w:overflowPunct/>
              <w:topLinePunct w:val="0"/>
              <w:bidi w:val="0"/>
              <w:spacing w:line="300" w:lineRule="exact"/>
              <w:outlineLvl w:val="9"/>
              <w:rPr>
                <w:rFonts w:ascii="仿宋_GB2312" w:eastAsia="仿宋_GB2312"/>
                <w:color w:val="000000"/>
                <w:sz w:val="21"/>
                <w:szCs w:val="21"/>
              </w:rPr>
            </w:pPr>
          </w:p>
        </w:tc>
        <w:tc>
          <w:tcPr>
            <w:tcW w:w="952" w:type="dxa"/>
            <w:gridSpan w:val="2"/>
            <w:tcBorders>
              <w:top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795" w:type="dxa"/>
            <w:tcBorders>
              <w:top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1127" w:type="dxa"/>
            <w:tcBorders>
              <w:top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35" w:hRule="atLeast"/>
          <w:jc w:val="center"/>
        </w:trPr>
        <w:tc>
          <w:tcPr>
            <w:tcW w:w="1248" w:type="dxa"/>
            <w:vMerge w:val="restart"/>
            <w:vAlign w:val="center"/>
          </w:tcPr>
          <w:p>
            <w:pPr>
              <w:pageBreakBefore w:val="0"/>
              <w:kinsoku/>
              <w:overflowPunct/>
              <w:topLinePunct w:val="0"/>
              <w:bidi w:val="0"/>
              <w:spacing w:line="300" w:lineRule="exact"/>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个人重点、专项工作、创新（100分）    （3-5项）</w:t>
            </w:r>
          </w:p>
        </w:tc>
        <w:tc>
          <w:tcPr>
            <w:tcW w:w="2412" w:type="dxa"/>
            <w:tcBorders>
              <w:right w:val="single" w:color="000000" w:sz="2" w:space="0"/>
            </w:tcBorders>
            <w:vAlign w:val="center"/>
          </w:tcPr>
          <w:p>
            <w:pPr>
              <w:pageBreakBefore w:val="0"/>
              <w:kinsoku/>
              <w:overflowPunct/>
              <w:topLinePunct w:val="0"/>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pacing w:val="-16"/>
                <w:sz w:val="21"/>
                <w:szCs w:val="21"/>
              </w:rPr>
              <w:t>工作名称</w:t>
            </w:r>
          </w:p>
        </w:tc>
        <w:tc>
          <w:tcPr>
            <w:tcW w:w="778" w:type="dxa"/>
            <w:gridSpan w:val="2"/>
            <w:tcBorders>
              <w:top w:val="single" w:color="000000" w:sz="2" w:space="0"/>
              <w:left w:val="single" w:color="000000" w:sz="2" w:space="0"/>
            </w:tcBorders>
            <w:vAlign w:val="center"/>
          </w:tcPr>
          <w:p>
            <w:pPr>
              <w:pageBreakBefore w:val="0"/>
              <w:kinsoku/>
              <w:overflowPunct/>
              <w:topLinePunct w:val="0"/>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pacing w:val="-16"/>
                <w:sz w:val="21"/>
                <w:szCs w:val="21"/>
              </w:rPr>
              <w:t>权重</w:t>
            </w:r>
          </w:p>
        </w:tc>
        <w:tc>
          <w:tcPr>
            <w:tcW w:w="1309" w:type="dxa"/>
            <w:gridSpan w:val="2"/>
            <w:tcBorders>
              <w:top w:val="single" w:color="000000" w:sz="2" w:space="0"/>
              <w:left w:val="single" w:color="000000" w:sz="2" w:space="0"/>
            </w:tcBorders>
            <w:vAlign w:val="center"/>
          </w:tcPr>
          <w:p>
            <w:pPr>
              <w:pageBreakBefore w:val="0"/>
              <w:kinsoku/>
              <w:overflowPunct/>
              <w:topLinePunct w:val="0"/>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z w:val="21"/>
                <w:szCs w:val="21"/>
              </w:rPr>
              <w:t>目标值</w:t>
            </w:r>
          </w:p>
        </w:tc>
        <w:tc>
          <w:tcPr>
            <w:tcW w:w="709" w:type="dxa"/>
            <w:gridSpan w:val="2"/>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完成</w:t>
            </w:r>
          </w:p>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标准</w:t>
            </w:r>
          </w:p>
        </w:tc>
        <w:tc>
          <w:tcPr>
            <w:tcW w:w="952" w:type="dxa"/>
            <w:gridSpan w:val="2"/>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实际完成情况</w:t>
            </w:r>
          </w:p>
        </w:tc>
        <w:tc>
          <w:tcPr>
            <w:tcW w:w="795" w:type="dxa"/>
            <w:vAlign w:val="center"/>
          </w:tcPr>
          <w:p>
            <w:pPr>
              <w:pageBreakBefore w:val="0"/>
              <w:kinsoku/>
              <w:overflowPunct/>
              <w:topLinePunct w:val="0"/>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z w:val="21"/>
                <w:szCs w:val="21"/>
              </w:rPr>
              <w:t>得分</w:t>
            </w:r>
          </w:p>
        </w:tc>
        <w:tc>
          <w:tcPr>
            <w:tcW w:w="1127" w:type="dxa"/>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核定人</w:t>
            </w:r>
          </w:p>
          <w:p>
            <w:pPr>
              <w:pageBreakBefore w:val="0"/>
              <w:kinsoku/>
              <w:overflowPunct/>
              <w:topLinePunct w:val="0"/>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z w:val="21"/>
                <w:szCs w:val="21"/>
              </w:rPr>
              <w:t>签字</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35" w:hRule="atLeast"/>
          <w:jc w:val="center"/>
        </w:trPr>
        <w:tc>
          <w:tcPr>
            <w:tcW w:w="1248" w:type="dxa"/>
            <w:vMerge w:val="continue"/>
            <w:vAlign w:val="center"/>
          </w:tcPr>
          <w:p>
            <w:pPr>
              <w:pageBreakBefore w:val="0"/>
              <w:kinsoku/>
              <w:overflowPunct/>
              <w:topLinePunct w:val="0"/>
              <w:bidi w:val="0"/>
              <w:spacing w:line="300" w:lineRule="exact"/>
              <w:jc w:val="center"/>
              <w:outlineLvl w:val="9"/>
              <w:rPr>
                <w:rFonts w:ascii="仿宋_GB2312" w:hAnsi="宋体" w:eastAsia="仿宋_GB2312"/>
                <w:b/>
                <w:color w:val="000000"/>
                <w:sz w:val="21"/>
                <w:szCs w:val="21"/>
              </w:rPr>
            </w:pPr>
          </w:p>
        </w:tc>
        <w:tc>
          <w:tcPr>
            <w:tcW w:w="2412" w:type="dxa"/>
            <w:tcBorders>
              <w:right w:val="single" w:color="000000" w:sz="2" w:space="0"/>
            </w:tcBorders>
          </w:tcPr>
          <w:p>
            <w:pPr>
              <w:pageBreakBefore w:val="0"/>
              <w:kinsoku/>
              <w:overflowPunct/>
              <w:topLinePunct w:val="0"/>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1.</w:t>
            </w:r>
          </w:p>
        </w:tc>
        <w:tc>
          <w:tcPr>
            <w:tcW w:w="778" w:type="dxa"/>
            <w:gridSpan w:val="2"/>
            <w:tcBorders>
              <w:top w:val="single" w:color="000000" w:sz="2" w:space="0"/>
              <w:left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1309" w:type="dxa"/>
            <w:gridSpan w:val="2"/>
            <w:tcBorders>
              <w:top w:val="single" w:color="000000" w:sz="2" w:space="0"/>
              <w:left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709" w:type="dxa"/>
            <w:gridSpan w:val="2"/>
          </w:tcPr>
          <w:p>
            <w:pPr>
              <w:pageBreakBefore w:val="0"/>
              <w:kinsoku/>
              <w:overflowPunct/>
              <w:topLinePunct w:val="0"/>
              <w:bidi w:val="0"/>
              <w:spacing w:line="300" w:lineRule="exact"/>
              <w:outlineLvl w:val="9"/>
              <w:rPr>
                <w:rFonts w:ascii="仿宋_GB2312" w:eastAsia="仿宋_GB2312"/>
                <w:color w:val="000000"/>
                <w:sz w:val="21"/>
                <w:szCs w:val="21"/>
              </w:rPr>
            </w:pPr>
          </w:p>
        </w:tc>
        <w:tc>
          <w:tcPr>
            <w:tcW w:w="952" w:type="dxa"/>
            <w:gridSpan w:val="2"/>
          </w:tcPr>
          <w:p>
            <w:pPr>
              <w:pageBreakBefore w:val="0"/>
              <w:kinsoku/>
              <w:overflowPunct/>
              <w:topLinePunct w:val="0"/>
              <w:bidi w:val="0"/>
              <w:spacing w:line="300" w:lineRule="exact"/>
              <w:outlineLvl w:val="9"/>
              <w:rPr>
                <w:rFonts w:ascii="仿宋_GB2312" w:eastAsia="仿宋_GB2312"/>
                <w:color w:val="000000"/>
                <w:sz w:val="21"/>
                <w:szCs w:val="21"/>
              </w:rPr>
            </w:pPr>
          </w:p>
        </w:tc>
        <w:tc>
          <w:tcPr>
            <w:tcW w:w="795" w:type="dxa"/>
          </w:tcPr>
          <w:p>
            <w:pPr>
              <w:pageBreakBefore w:val="0"/>
              <w:kinsoku/>
              <w:overflowPunct/>
              <w:topLinePunct w:val="0"/>
              <w:bidi w:val="0"/>
              <w:spacing w:line="300" w:lineRule="exact"/>
              <w:outlineLvl w:val="9"/>
              <w:rPr>
                <w:rFonts w:ascii="仿宋_GB2312" w:eastAsia="仿宋_GB2312"/>
                <w:color w:val="000000"/>
                <w:sz w:val="21"/>
                <w:szCs w:val="21"/>
              </w:rPr>
            </w:pPr>
          </w:p>
        </w:tc>
        <w:tc>
          <w:tcPr>
            <w:tcW w:w="1127" w:type="dxa"/>
          </w:tcPr>
          <w:p>
            <w:pPr>
              <w:pageBreakBefore w:val="0"/>
              <w:kinsoku/>
              <w:overflowPunct/>
              <w:topLinePunct w:val="0"/>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35" w:hRule="atLeast"/>
          <w:jc w:val="center"/>
        </w:trPr>
        <w:tc>
          <w:tcPr>
            <w:tcW w:w="1248" w:type="dxa"/>
            <w:vMerge w:val="continue"/>
            <w:vAlign w:val="center"/>
          </w:tcPr>
          <w:p>
            <w:pPr>
              <w:pageBreakBefore w:val="0"/>
              <w:kinsoku/>
              <w:overflowPunct/>
              <w:topLinePunct w:val="0"/>
              <w:bidi w:val="0"/>
              <w:spacing w:line="300" w:lineRule="exact"/>
              <w:jc w:val="center"/>
              <w:outlineLvl w:val="9"/>
              <w:rPr>
                <w:rFonts w:ascii="仿宋_GB2312" w:hAnsi="宋体" w:eastAsia="仿宋_GB2312"/>
                <w:b/>
                <w:color w:val="000000"/>
                <w:sz w:val="21"/>
                <w:szCs w:val="21"/>
              </w:rPr>
            </w:pPr>
          </w:p>
        </w:tc>
        <w:tc>
          <w:tcPr>
            <w:tcW w:w="2412" w:type="dxa"/>
            <w:tcBorders>
              <w:right w:val="single" w:color="000000" w:sz="2" w:space="0"/>
            </w:tcBorders>
          </w:tcPr>
          <w:p>
            <w:pPr>
              <w:pageBreakBefore w:val="0"/>
              <w:kinsoku/>
              <w:overflowPunct/>
              <w:topLinePunct w:val="0"/>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2</w:t>
            </w:r>
          </w:p>
        </w:tc>
        <w:tc>
          <w:tcPr>
            <w:tcW w:w="778" w:type="dxa"/>
            <w:gridSpan w:val="2"/>
            <w:tcBorders>
              <w:top w:val="single" w:color="000000" w:sz="2" w:space="0"/>
              <w:left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1309" w:type="dxa"/>
            <w:gridSpan w:val="2"/>
            <w:tcBorders>
              <w:top w:val="single" w:color="000000" w:sz="2" w:space="0"/>
              <w:left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709" w:type="dxa"/>
            <w:gridSpan w:val="2"/>
          </w:tcPr>
          <w:p>
            <w:pPr>
              <w:pageBreakBefore w:val="0"/>
              <w:kinsoku/>
              <w:overflowPunct/>
              <w:topLinePunct w:val="0"/>
              <w:bidi w:val="0"/>
              <w:spacing w:line="300" w:lineRule="exact"/>
              <w:outlineLvl w:val="9"/>
              <w:rPr>
                <w:rFonts w:ascii="仿宋_GB2312" w:eastAsia="仿宋_GB2312"/>
                <w:color w:val="000000"/>
                <w:sz w:val="21"/>
                <w:szCs w:val="21"/>
              </w:rPr>
            </w:pPr>
          </w:p>
        </w:tc>
        <w:tc>
          <w:tcPr>
            <w:tcW w:w="952" w:type="dxa"/>
            <w:gridSpan w:val="2"/>
          </w:tcPr>
          <w:p>
            <w:pPr>
              <w:pageBreakBefore w:val="0"/>
              <w:kinsoku/>
              <w:overflowPunct/>
              <w:topLinePunct w:val="0"/>
              <w:bidi w:val="0"/>
              <w:spacing w:line="300" w:lineRule="exact"/>
              <w:outlineLvl w:val="9"/>
              <w:rPr>
                <w:rFonts w:ascii="仿宋_GB2312" w:eastAsia="仿宋_GB2312"/>
                <w:color w:val="000000"/>
                <w:sz w:val="21"/>
                <w:szCs w:val="21"/>
              </w:rPr>
            </w:pPr>
          </w:p>
        </w:tc>
        <w:tc>
          <w:tcPr>
            <w:tcW w:w="795" w:type="dxa"/>
          </w:tcPr>
          <w:p>
            <w:pPr>
              <w:pageBreakBefore w:val="0"/>
              <w:kinsoku/>
              <w:overflowPunct/>
              <w:topLinePunct w:val="0"/>
              <w:bidi w:val="0"/>
              <w:spacing w:line="300" w:lineRule="exact"/>
              <w:outlineLvl w:val="9"/>
              <w:rPr>
                <w:rFonts w:ascii="仿宋_GB2312" w:eastAsia="仿宋_GB2312"/>
                <w:color w:val="000000"/>
                <w:sz w:val="21"/>
                <w:szCs w:val="21"/>
              </w:rPr>
            </w:pPr>
          </w:p>
        </w:tc>
        <w:tc>
          <w:tcPr>
            <w:tcW w:w="1127" w:type="dxa"/>
          </w:tcPr>
          <w:p>
            <w:pPr>
              <w:pageBreakBefore w:val="0"/>
              <w:kinsoku/>
              <w:overflowPunct/>
              <w:topLinePunct w:val="0"/>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35" w:hRule="atLeast"/>
          <w:jc w:val="center"/>
        </w:trPr>
        <w:tc>
          <w:tcPr>
            <w:tcW w:w="1248" w:type="dxa"/>
            <w:vMerge w:val="continue"/>
            <w:vAlign w:val="center"/>
          </w:tcPr>
          <w:p>
            <w:pPr>
              <w:pageBreakBefore w:val="0"/>
              <w:kinsoku/>
              <w:overflowPunct/>
              <w:topLinePunct w:val="0"/>
              <w:bidi w:val="0"/>
              <w:spacing w:line="300" w:lineRule="exact"/>
              <w:jc w:val="center"/>
              <w:outlineLvl w:val="9"/>
              <w:rPr>
                <w:rFonts w:ascii="仿宋_GB2312" w:hAnsi="宋体" w:eastAsia="仿宋_GB2312"/>
                <w:b/>
                <w:color w:val="000000"/>
                <w:sz w:val="21"/>
                <w:szCs w:val="21"/>
              </w:rPr>
            </w:pPr>
          </w:p>
        </w:tc>
        <w:tc>
          <w:tcPr>
            <w:tcW w:w="2412" w:type="dxa"/>
            <w:tcBorders>
              <w:right w:val="single" w:color="000000" w:sz="2" w:space="0"/>
            </w:tcBorders>
          </w:tcPr>
          <w:p>
            <w:pPr>
              <w:pageBreakBefore w:val="0"/>
              <w:kinsoku/>
              <w:overflowPunct/>
              <w:topLinePunct w:val="0"/>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3</w:t>
            </w:r>
          </w:p>
        </w:tc>
        <w:tc>
          <w:tcPr>
            <w:tcW w:w="778" w:type="dxa"/>
            <w:gridSpan w:val="2"/>
            <w:tcBorders>
              <w:top w:val="single" w:color="000000" w:sz="2" w:space="0"/>
              <w:left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1309" w:type="dxa"/>
            <w:gridSpan w:val="2"/>
            <w:tcBorders>
              <w:top w:val="single" w:color="000000" w:sz="2" w:space="0"/>
              <w:left w:val="single" w:color="000000" w:sz="2" w:space="0"/>
            </w:tcBorders>
          </w:tcPr>
          <w:p>
            <w:pPr>
              <w:pageBreakBefore w:val="0"/>
              <w:kinsoku/>
              <w:overflowPunct/>
              <w:topLinePunct w:val="0"/>
              <w:bidi w:val="0"/>
              <w:spacing w:line="300" w:lineRule="exact"/>
              <w:outlineLvl w:val="9"/>
              <w:rPr>
                <w:rFonts w:ascii="仿宋_GB2312" w:eastAsia="仿宋_GB2312"/>
                <w:color w:val="000000"/>
                <w:sz w:val="21"/>
                <w:szCs w:val="21"/>
              </w:rPr>
            </w:pPr>
          </w:p>
        </w:tc>
        <w:tc>
          <w:tcPr>
            <w:tcW w:w="709" w:type="dxa"/>
            <w:gridSpan w:val="2"/>
          </w:tcPr>
          <w:p>
            <w:pPr>
              <w:pageBreakBefore w:val="0"/>
              <w:kinsoku/>
              <w:overflowPunct/>
              <w:topLinePunct w:val="0"/>
              <w:bidi w:val="0"/>
              <w:spacing w:line="300" w:lineRule="exact"/>
              <w:outlineLvl w:val="9"/>
              <w:rPr>
                <w:rFonts w:ascii="仿宋_GB2312" w:eastAsia="仿宋_GB2312"/>
                <w:color w:val="000000"/>
                <w:sz w:val="21"/>
                <w:szCs w:val="21"/>
              </w:rPr>
            </w:pPr>
          </w:p>
        </w:tc>
        <w:tc>
          <w:tcPr>
            <w:tcW w:w="952" w:type="dxa"/>
            <w:gridSpan w:val="2"/>
          </w:tcPr>
          <w:p>
            <w:pPr>
              <w:pageBreakBefore w:val="0"/>
              <w:kinsoku/>
              <w:overflowPunct/>
              <w:topLinePunct w:val="0"/>
              <w:bidi w:val="0"/>
              <w:spacing w:line="300" w:lineRule="exact"/>
              <w:outlineLvl w:val="9"/>
              <w:rPr>
                <w:rFonts w:ascii="仿宋_GB2312" w:eastAsia="仿宋_GB2312"/>
                <w:color w:val="000000"/>
                <w:sz w:val="21"/>
                <w:szCs w:val="21"/>
              </w:rPr>
            </w:pPr>
          </w:p>
        </w:tc>
        <w:tc>
          <w:tcPr>
            <w:tcW w:w="795" w:type="dxa"/>
          </w:tcPr>
          <w:p>
            <w:pPr>
              <w:pageBreakBefore w:val="0"/>
              <w:kinsoku/>
              <w:overflowPunct/>
              <w:topLinePunct w:val="0"/>
              <w:bidi w:val="0"/>
              <w:spacing w:line="300" w:lineRule="exact"/>
              <w:outlineLvl w:val="9"/>
              <w:rPr>
                <w:rFonts w:ascii="仿宋_GB2312" w:eastAsia="仿宋_GB2312"/>
                <w:color w:val="000000"/>
                <w:sz w:val="21"/>
                <w:szCs w:val="21"/>
              </w:rPr>
            </w:pPr>
          </w:p>
        </w:tc>
        <w:tc>
          <w:tcPr>
            <w:tcW w:w="1127" w:type="dxa"/>
          </w:tcPr>
          <w:p>
            <w:pPr>
              <w:pageBreakBefore w:val="0"/>
              <w:kinsoku/>
              <w:overflowPunct/>
              <w:topLinePunct w:val="0"/>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130" w:hRule="atLeast"/>
          <w:jc w:val="center"/>
        </w:trPr>
        <w:tc>
          <w:tcPr>
            <w:tcW w:w="1248" w:type="dxa"/>
            <w:vAlign w:val="center"/>
          </w:tcPr>
          <w:p>
            <w:pPr>
              <w:pageBreakBefore w:val="0"/>
              <w:kinsoku/>
              <w:overflowPunct/>
              <w:topLinePunct w:val="0"/>
              <w:bidi w:val="0"/>
              <w:spacing w:line="300" w:lineRule="exact"/>
              <w:jc w:val="center"/>
              <w:outlineLvl w:val="9"/>
              <w:rPr>
                <w:rFonts w:ascii="仿宋_GB2312" w:eastAsia="仿宋_GB2312"/>
                <w:b/>
                <w:color w:val="000000"/>
                <w:sz w:val="21"/>
                <w:szCs w:val="21"/>
              </w:rPr>
            </w:pPr>
            <w:r>
              <w:rPr>
                <w:rFonts w:hint="eastAsia" w:ascii="仿宋_GB2312" w:hAnsi="宋体" w:eastAsia="仿宋_GB2312"/>
                <w:b/>
                <w:color w:val="000000"/>
                <w:sz w:val="21"/>
                <w:szCs w:val="21"/>
              </w:rPr>
              <w:t>部门绩效</w:t>
            </w:r>
            <w:r>
              <w:rPr>
                <w:rFonts w:hint="eastAsia" w:ascii="仿宋_GB2312" w:eastAsia="仿宋_GB2312"/>
                <w:b/>
                <w:color w:val="000000"/>
                <w:sz w:val="21"/>
                <w:szCs w:val="21"/>
              </w:rPr>
              <w:t>评估</w:t>
            </w:r>
            <w:r>
              <w:rPr>
                <w:rFonts w:hint="eastAsia" w:ascii="仿宋_GB2312" w:hAnsi="宋体" w:eastAsia="仿宋_GB2312"/>
                <w:b/>
                <w:color w:val="000000"/>
                <w:sz w:val="21"/>
                <w:szCs w:val="21"/>
              </w:rPr>
              <w:t>分值(100分)</w:t>
            </w:r>
          </w:p>
        </w:tc>
        <w:tc>
          <w:tcPr>
            <w:tcW w:w="8082" w:type="dxa"/>
            <w:gridSpan w:val="11"/>
            <w:vAlign w:val="center"/>
          </w:tcPr>
          <w:p>
            <w:pPr>
              <w:pageBreakBefore w:val="0"/>
              <w:kinsoku/>
              <w:overflowPunct/>
              <w:topLinePunct w:val="0"/>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部门绩效评估分值*15%</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966" w:hRule="atLeast"/>
          <w:jc w:val="center"/>
        </w:trPr>
        <w:tc>
          <w:tcPr>
            <w:tcW w:w="1248" w:type="dxa"/>
            <w:vAlign w:val="center"/>
          </w:tcPr>
          <w:p>
            <w:pPr>
              <w:pageBreakBefore w:val="0"/>
              <w:kinsoku/>
              <w:overflowPunct/>
              <w:topLinePunct w:val="0"/>
              <w:bidi w:val="0"/>
              <w:spacing w:line="300" w:lineRule="exact"/>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部门评价分值</w:t>
            </w:r>
          </w:p>
          <w:p>
            <w:pPr>
              <w:pageBreakBefore w:val="0"/>
              <w:kinsoku/>
              <w:overflowPunct/>
              <w:topLinePunct w:val="0"/>
              <w:bidi w:val="0"/>
              <w:spacing w:line="300" w:lineRule="exact"/>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(100分)</w:t>
            </w:r>
          </w:p>
        </w:tc>
        <w:tc>
          <w:tcPr>
            <w:tcW w:w="8082" w:type="dxa"/>
            <w:gridSpan w:val="11"/>
            <w:vAlign w:val="center"/>
          </w:tcPr>
          <w:p>
            <w:pPr>
              <w:pageBreakBefore w:val="0"/>
              <w:kinsoku/>
              <w:overflowPunct/>
              <w:topLinePunct w:val="0"/>
              <w:bidi w:val="0"/>
              <w:spacing w:line="300" w:lineRule="exact"/>
              <w:jc w:val="left"/>
              <w:outlineLvl w:val="9"/>
              <w:rPr>
                <w:rFonts w:ascii="仿宋_GB2312" w:eastAsia="仿宋_GB2312"/>
                <w:i/>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71" w:hRule="atLeast"/>
          <w:jc w:val="center"/>
        </w:trPr>
        <w:tc>
          <w:tcPr>
            <w:tcW w:w="1248" w:type="dxa"/>
            <w:vAlign w:val="center"/>
          </w:tcPr>
          <w:p>
            <w:pPr>
              <w:pageBreakBefore w:val="0"/>
              <w:kinsoku/>
              <w:overflowPunct/>
              <w:topLinePunct w:val="0"/>
              <w:bidi w:val="0"/>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扣分项</w:t>
            </w:r>
          </w:p>
        </w:tc>
        <w:tc>
          <w:tcPr>
            <w:tcW w:w="8082" w:type="dxa"/>
            <w:gridSpan w:val="11"/>
            <w:tcBorders>
              <w:top w:val="single" w:color="000000" w:sz="2" w:space="0"/>
              <w:bottom w:val="single" w:color="000000" w:sz="2" w:space="0"/>
            </w:tcBorders>
            <w:vAlign w:val="center"/>
          </w:tcPr>
          <w:p>
            <w:pPr>
              <w:pageBreakBefore w:val="0"/>
              <w:kinsoku/>
              <w:overflowPunct/>
              <w:topLinePunct w:val="0"/>
              <w:bidi w:val="0"/>
              <w:outlineLvl w:val="9"/>
              <w:rPr>
                <w:rFonts w:ascii="仿宋_GB2312" w:eastAsia="仿宋_GB2312"/>
                <w:color w:val="000000"/>
                <w:sz w:val="21"/>
                <w:szCs w:val="21"/>
              </w:rPr>
            </w:pPr>
            <w:r>
              <w:rPr>
                <w:rFonts w:hint="eastAsia" w:ascii="仿宋_GB2312" w:hAnsi="宋体" w:eastAsia="仿宋_GB2312"/>
                <w:i/>
                <w:color w:val="000000"/>
                <w:sz w:val="21"/>
                <w:szCs w:val="21"/>
              </w:rPr>
              <w:t>事故内容、扣分分值</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06" w:hRule="atLeast"/>
          <w:jc w:val="center"/>
        </w:trPr>
        <w:tc>
          <w:tcPr>
            <w:tcW w:w="1248" w:type="dxa"/>
            <w:vAlign w:val="center"/>
          </w:tcPr>
          <w:p>
            <w:pPr>
              <w:pageBreakBefore w:val="0"/>
              <w:kinsoku/>
              <w:overflowPunct/>
              <w:topLinePunct w:val="0"/>
              <w:bidi w:val="0"/>
              <w:spacing w:line="300" w:lineRule="exact"/>
              <w:jc w:val="center"/>
              <w:outlineLvl w:val="9"/>
              <w:rPr>
                <w:rFonts w:ascii="仿宋_GB2312" w:eastAsia="仿宋_GB2312"/>
                <w:color w:val="000000"/>
              </w:rPr>
            </w:pPr>
            <w:r>
              <w:rPr>
                <w:rFonts w:hint="eastAsia" w:ascii="仿宋_GB2312" w:eastAsia="仿宋_GB2312"/>
                <w:b/>
                <w:color w:val="000000"/>
                <w:sz w:val="24"/>
              </w:rPr>
              <w:t>总分</w:t>
            </w:r>
          </w:p>
        </w:tc>
        <w:tc>
          <w:tcPr>
            <w:tcW w:w="2912" w:type="dxa"/>
            <w:gridSpan w:val="2"/>
            <w:tcBorders>
              <w:top w:val="single" w:color="000000" w:sz="2" w:space="0"/>
              <w:bottom w:val="single" w:color="000000" w:sz="2" w:space="0"/>
              <w:right w:val="single" w:color="auto" w:sz="4" w:space="0"/>
            </w:tcBorders>
            <w:vAlign w:val="center"/>
          </w:tcPr>
          <w:p>
            <w:pPr>
              <w:pStyle w:val="19"/>
              <w:pageBreakBefore w:val="0"/>
              <w:kinsoku/>
              <w:overflowPunct/>
              <w:topLinePunct w:val="0"/>
              <w:bidi w:val="0"/>
              <w:spacing w:line="300" w:lineRule="exact"/>
              <w:outlineLvl w:val="9"/>
              <w:rPr>
                <w:rFonts w:ascii="仿宋_GB2312" w:hAnsi="Calibri" w:eastAsia="仿宋_GB2312"/>
                <w:color w:val="000000"/>
              </w:rPr>
            </w:pPr>
            <w:r>
              <w:rPr>
                <w:rFonts w:hint="eastAsia" w:ascii="仿宋_GB2312" w:hAnsi="Calibri" w:eastAsia="仿宋_GB2312"/>
                <w:color w:val="000000"/>
              </w:rPr>
              <w:t>关键绩效指标（KPI）分值*50%+重点/专项/创新工作绩效分值*25%+部门绩效评估分值*15%+部门评价分值*10%—扣分分值</w:t>
            </w:r>
          </w:p>
        </w:tc>
        <w:tc>
          <w:tcPr>
            <w:tcW w:w="1069" w:type="dxa"/>
            <w:gridSpan w:val="2"/>
            <w:tcBorders>
              <w:top w:val="single" w:color="000000" w:sz="2" w:space="0"/>
              <w:bottom w:val="single" w:color="000000" w:sz="2" w:space="0"/>
              <w:right w:val="single" w:color="auto" w:sz="4" w:space="0"/>
            </w:tcBorders>
            <w:vAlign w:val="center"/>
          </w:tcPr>
          <w:p>
            <w:pPr>
              <w:pageBreakBefore w:val="0"/>
              <w:kinsoku/>
              <w:overflowPunct/>
              <w:topLinePunct w:val="0"/>
              <w:bidi w:val="0"/>
              <w:snapToGrid w:val="0"/>
              <w:spacing w:line="300" w:lineRule="exact"/>
              <w:jc w:val="center"/>
              <w:outlineLvl w:val="9"/>
              <w:rPr>
                <w:rFonts w:ascii="仿宋_GB2312" w:eastAsia="仿宋_GB2312"/>
                <w:color w:val="000000"/>
              </w:rPr>
            </w:pPr>
            <w:r>
              <w:rPr>
                <w:rFonts w:hint="eastAsia" w:ascii="仿宋_GB2312" w:hAnsi="宋体" w:eastAsia="仿宋_GB2312"/>
                <w:b/>
                <w:color w:val="000000"/>
                <w:sz w:val="24"/>
              </w:rPr>
              <w:t>部门分配绩效等级</w:t>
            </w:r>
          </w:p>
        </w:tc>
        <w:tc>
          <w:tcPr>
            <w:tcW w:w="660" w:type="dxa"/>
            <w:gridSpan w:val="2"/>
            <w:tcBorders>
              <w:top w:val="single" w:color="000000" w:sz="2" w:space="0"/>
              <w:bottom w:val="single" w:color="000000" w:sz="2" w:space="0"/>
            </w:tcBorders>
            <w:vAlign w:val="center"/>
          </w:tcPr>
          <w:p>
            <w:pPr>
              <w:pageBreakBefore w:val="0"/>
              <w:kinsoku/>
              <w:overflowPunct/>
              <w:topLinePunct w:val="0"/>
              <w:bidi w:val="0"/>
              <w:snapToGrid w:val="0"/>
              <w:spacing w:line="300" w:lineRule="exact"/>
              <w:jc w:val="left"/>
              <w:outlineLvl w:val="9"/>
              <w:rPr>
                <w:rFonts w:ascii="仿宋_GB2312" w:hAnsi="宋体" w:eastAsia="仿宋_GB2312"/>
                <w:color w:val="000000"/>
                <w:sz w:val="24"/>
              </w:rPr>
            </w:pPr>
            <w:r>
              <w:rPr>
                <w:rFonts w:hint="eastAsia" w:ascii="仿宋_GB2312" w:hAnsi="宋体" w:eastAsia="仿宋_GB2312"/>
                <w:color w:val="000000"/>
                <w:sz w:val="24"/>
              </w:rPr>
              <w:t>□A  □B</w:t>
            </w:r>
          </w:p>
          <w:p>
            <w:pPr>
              <w:pageBreakBefore w:val="0"/>
              <w:kinsoku/>
              <w:overflowPunct/>
              <w:topLinePunct w:val="0"/>
              <w:bidi w:val="0"/>
              <w:snapToGrid w:val="0"/>
              <w:spacing w:line="300" w:lineRule="exact"/>
              <w:jc w:val="left"/>
              <w:outlineLvl w:val="9"/>
              <w:rPr>
                <w:rFonts w:ascii="仿宋_GB2312" w:hAnsi="宋体" w:eastAsia="仿宋_GB2312"/>
                <w:color w:val="000000"/>
                <w:sz w:val="24"/>
              </w:rPr>
            </w:pPr>
            <w:r>
              <w:rPr>
                <w:rFonts w:hint="eastAsia" w:ascii="仿宋_GB2312" w:hAnsi="宋体" w:eastAsia="仿宋_GB2312"/>
                <w:color w:val="000000"/>
                <w:sz w:val="24"/>
              </w:rPr>
              <w:t>□C  □D</w:t>
            </w:r>
          </w:p>
          <w:p>
            <w:pPr>
              <w:pageBreakBefore w:val="0"/>
              <w:kinsoku/>
              <w:overflowPunct/>
              <w:topLinePunct w:val="0"/>
              <w:bidi w:val="0"/>
              <w:snapToGrid w:val="0"/>
              <w:spacing w:line="300" w:lineRule="exact"/>
              <w:jc w:val="left"/>
              <w:outlineLvl w:val="9"/>
              <w:rPr>
                <w:rFonts w:ascii="仿宋_GB2312" w:eastAsia="仿宋_GB2312"/>
                <w:color w:val="000000"/>
              </w:rPr>
            </w:pPr>
            <w:r>
              <w:rPr>
                <w:rFonts w:hint="eastAsia" w:ascii="仿宋_GB2312" w:hAnsi="宋体" w:eastAsia="仿宋_GB2312"/>
                <w:color w:val="000000"/>
                <w:sz w:val="24"/>
              </w:rPr>
              <w:t>□E</w:t>
            </w:r>
          </w:p>
        </w:tc>
        <w:tc>
          <w:tcPr>
            <w:tcW w:w="1131" w:type="dxa"/>
            <w:gridSpan w:val="2"/>
            <w:tcBorders>
              <w:left w:val="single" w:color="auto" w:sz="4" w:space="0"/>
            </w:tcBorders>
            <w:vAlign w:val="center"/>
          </w:tcPr>
          <w:p>
            <w:pPr>
              <w:pageBreakBefore w:val="0"/>
              <w:kinsoku/>
              <w:overflowPunct/>
              <w:topLinePunct w:val="0"/>
              <w:bidi w:val="0"/>
              <w:spacing w:line="300" w:lineRule="exact"/>
              <w:jc w:val="left"/>
              <w:outlineLvl w:val="9"/>
              <w:rPr>
                <w:rFonts w:ascii="仿宋_GB2312" w:eastAsia="仿宋_GB2312"/>
                <w:color w:val="000000"/>
              </w:rPr>
            </w:pPr>
            <w:r>
              <w:rPr>
                <w:rFonts w:hint="eastAsia" w:ascii="仿宋_GB2312" w:hAnsi="宋体" w:eastAsia="仿宋_GB2312"/>
                <w:b/>
                <w:color w:val="000000"/>
                <w:sz w:val="24"/>
              </w:rPr>
              <w:t>党总支部书记（或副书记）审定签字</w:t>
            </w:r>
          </w:p>
        </w:tc>
        <w:tc>
          <w:tcPr>
            <w:tcW w:w="2310" w:type="dxa"/>
            <w:gridSpan w:val="3"/>
            <w:tcBorders>
              <w:left w:val="single" w:color="auto" w:sz="4" w:space="0"/>
            </w:tcBorders>
          </w:tcPr>
          <w:p>
            <w:pPr>
              <w:pageBreakBefore w:val="0"/>
              <w:kinsoku/>
              <w:overflowPunct/>
              <w:topLinePunct w:val="0"/>
              <w:bidi w:val="0"/>
              <w:spacing w:line="300" w:lineRule="exact"/>
              <w:outlineLvl w:val="9"/>
              <w:rPr>
                <w:rFonts w:ascii="仿宋_GB2312" w:eastAsia="仿宋_GB2312"/>
                <w:color w:val="000000"/>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82" w:hRule="atLeast"/>
          <w:jc w:val="center"/>
        </w:trPr>
        <w:tc>
          <w:tcPr>
            <w:tcW w:w="1248" w:type="dxa"/>
            <w:tcBorders>
              <w:bottom w:val="single" w:color="000000" w:sz="18" w:space="0"/>
            </w:tcBorders>
            <w:vAlign w:val="center"/>
          </w:tcPr>
          <w:p>
            <w:pPr>
              <w:pageBreakBefore w:val="0"/>
              <w:kinsoku/>
              <w:overflowPunct/>
              <w:topLinePunct w:val="0"/>
              <w:bidi w:val="0"/>
              <w:spacing w:line="300" w:lineRule="exact"/>
              <w:jc w:val="center"/>
              <w:outlineLvl w:val="9"/>
              <w:rPr>
                <w:rFonts w:ascii="仿宋_GB2312" w:eastAsia="仿宋_GB2312"/>
                <w:b/>
                <w:color w:val="000000"/>
                <w:sz w:val="24"/>
              </w:rPr>
            </w:pPr>
            <w:r>
              <w:rPr>
                <w:rFonts w:hint="eastAsia" w:ascii="仿宋_GB2312" w:eastAsia="仿宋_GB2312"/>
                <w:b/>
                <w:color w:val="000000"/>
                <w:sz w:val="24"/>
              </w:rPr>
              <w:t>学生工作处确认</w:t>
            </w:r>
          </w:p>
        </w:tc>
        <w:tc>
          <w:tcPr>
            <w:tcW w:w="8082" w:type="dxa"/>
            <w:gridSpan w:val="11"/>
            <w:tcBorders>
              <w:bottom w:val="single" w:color="000000" w:sz="18" w:space="0"/>
            </w:tcBorders>
          </w:tcPr>
          <w:p>
            <w:pPr>
              <w:pStyle w:val="19"/>
              <w:pageBreakBefore w:val="0"/>
              <w:kinsoku/>
              <w:overflowPunct/>
              <w:topLinePunct w:val="0"/>
              <w:bidi w:val="0"/>
              <w:spacing w:line="300" w:lineRule="exact"/>
              <w:outlineLvl w:val="9"/>
              <w:rPr>
                <w:rFonts w:ascii="仿宋_GB2312" w:eastAsia="仿宋_GB2312"/>
                <w:color w:val="000000"/>
              </w:rPr>
            </w:pPr>
          </w:p>
        </w:tc>
      </w:tr>
    </w:tbl>
    <w:p>
      <w:pPr>
        <w:pageBreakBefore w:val="0"/>
        <w:kinsoku/>
        <w:overflowPunct/>
        <w:topLinePunct w:val="0"/>
        <w:bidi w:val="0"/>
        <w:jc w:val="left"/>
        <w:outlineLvl w:val="9"/>
        <w:rPr>
          <w:rFonts w:eastAsia="仿宋_GB2312"/>
          <w:color w:val="000000"/>
          <w:sz w:val="24"/>
        </w:rPr>
      </w:pPr>
      <w:r>
        <w:rPr>
          <w:rFonts w:hint="eastAsia" w:eastAsia="仿宋_GB2312"/>
          <w:color w:val="000000"/>
          <w:sz w:val="24"/>
        </w:rPr>
        <w:t>（注：个人关键绩效指标每项指标权重不超过20%，个人重点、专项工作、创新工作指标每项不超过35%。）</w:t>
      </w:r>
    </w:p>
    <w:p>
      <w:pPr>
        <w:pageBreakBefore w:val="0"/>
        <w:kinsoku/>
        <w:overflowPunct/>
        <w:topLinePunct w:val="0"/>
        <w:bidi w:val="0"/>
        <w:spacing w:line="580" w:lineRule="exact"/>
        <w:outlineLvl w:val="9"/>
        <w:rPr>
          <w:rFonts w:ascii="仿宋_GB2312" w:hAnsi="仿宋_GB2312" w:eastAsia="仿宋_GB2312" w:cs="仿宋_GB2312"/>
          <w:color w:val="000000"/>
          <w:kern w:val="0"/>
          <w:sz w:val="32"/>
          <w:szCs w:val="32"/>
        </w:rPr>
        <w:sectPr>
          <w:headerReference r:id="rId15" w:type="default"/>
          <w:headerReference r:id="rId16" w:type="even"/>
          <w:pgSz w:w="11907" w:h="16840"/>
          <w:pgMar w:top="2098" w:right="1474" w:bottom="1985" w:left="1588" w:header="851" w:footer="1559" w:gutter="0"/>
          <w:pgNumType w:fmt="decimal"/>
          <w:cols w:space="720" w:num="1"/>
          <w:docGrid w:type="lines" w:linePitch="398" w:charSpace="-1216"/>
        </w:sectPr>
      </w:pPr>
    </w:p>
    <w:p>
      <w:pPr>
        <w:pageBreakBefore w:val="0"/>
        <w:widowControl/>
        <w:kinsoku/>
        <w:overflowPunct/>
        <w:topLinePunct w:val="0"/>
        <w:bidi w:val="0"/>
        <w:jc w:val="left"/>
        <w:outlineLvl w:val="9"/>
        <w:rPr>
          <w:rFonts w:hint="eastAsia" w:ascii="黑体" w:eastAsia="黑体"/>
          <w:sz w:val="32"/>
          <w:szCs w:val="32"/>
        </w:rPr>
      </w:pPr>
      <w:bookmarkStart w:id="811" w:name="_Toc32504_WPSOffice_Level1"/>
      <w:r>
        <w:rPr>
          <w:rFonts w:hint="eastAsia" w:ascii="黑体" w:eastAsia="黑体"/>
          <w:sz w:val="32"/>
          <w:szCs w:val="32"/>
        </w:rPr>
        <w:t>附表2：</w:t>
      </w:r>
      <w:bookmarkEnd w:id="811"/>
    </w:p>
    <w:p>
      <w:pPr>
        <w:pageBreakBefore w:val="0"/>
        <w:kinsoku/>
        <w:overflowPunct/>
        <w:topLinePunct w:val="0"/>
        <w:bidi w:val="0"/>
        <w:spacing w:line="596" w:lineRule="exact"/>
        <w:jc w:val="center"/>
        <w:outlineLvl w:val="9"/>
        <w:rPr>
          <w:rFonts w:hint="eastAsia"/>
          <w:b/>
          <w:color w:val="000000"/>
          <w:sz w:val="36"/>
          <w:szCs w:val="36"/>
        </w:rPr>
      </w:pPr>
      <w:bookmarkStart w:id="812" w:name="_Toc7529_WPSOffice_Level1"/>
      <w:r>
        <w:rPr>
          <w:rFonts w:hint="eastAsia"/>
          <w:b/>
          <w:color w:val="000000"/>
          <w:sz w:val="36"/>
          <w:szCs w:val="36"/>
        </w:rPr>
        <w:t>专职辅导员关键绩效考核项目和指标库</w:t>
      </w:r>
      <w:bookmarkEnd w:id="812"/>
    </w:p>
    <w:tbl>
      <w:tblPr>
        <w:tblStyle w:val="14"/>
        <w:tblpPr w:leftFromText="180" w:rightFromText="180" w:vertAnchor="page" w:horzAnchor="page" w:tblpX="1701" w:tblpY="3415"/>
        <w:tblW w:w="13338" w:type="dxa"/>
        <w:tblInd w:w="0" w:type="dxa"/>
        <w:tblLayout w:type="fixed"/>
        <w:tblCellMar>
          <w:top w:w="28" w:type="dxa"/>
          <w:left w:w="108" w:type="dxa"/>
          <w:bottom w:w="28" w:type="dxa"/>
          <w:right w:w="108" w:type="dxa"/>
        </w:tblCellMar>
      </w:tblPr>
      <w:tblGrid>
        <w:gridCol w:w="519"/>
        <w:gridCol w:w="1010"/>
        <w:gridCol w:w="431"/>
        <w:gridCol w:w="2019"/>
        <w:gridCol w:w="780"/>
        <w:gridCol w:w="779"/>
        <w:gridCol w:w="4820"/>
        <w:gridCol w:w="709"/>
        <w:gridCol w:w="1131"/>
        <w:gridCol w:w="1140"/>
      </w:tblGrid>
      <w:tr>
        <w:tblPrEx>
          <w:tblLayout w:type="fixed"/>
          <w:tblCellMar>
            <w:top w:w="28" w:type="dxa"/>
            <w:left w:w="108" w:type="dxa"/>
            <w:bottom w:w="28" w:type="dxa"/>
            <w:right w:w="108" w:type="dxa"/>
          </w:tblCellMar>
        </w:tblPrEx>
        <w:trPr>
          <w:trHeight w:val="642" w:hRule="atLeast"/>
        </w:trPr>
        <w:tc>
          <w:tcPr>
            <w:tcW w:w="519"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类目</w:t>
            </w:r>
          </w:p>
        </w:tc>
        <w:tc>
          <w:tcPr>
            <w:tcW w:w="101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关键绩效导向</w:t>
            </w:r>
          </w:p>
        </w:tc>
        <w:tc>
          <w:tcPr>
            <w:tcW w:w="431"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序号</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关键绩效项目</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指标</w:t>
            </w:r>
          </w:p>
        </w:tc>
        <w:tc>
          <w:tcPr>
            <w:tcW w:w="77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指标</w:t>
            </w:r>
            <w:r>
              <w:rPr>
                <w:rFonts w:hint="eastAsia" w:ascii="仿宋_GB2312" w:hAnsi="宋体" w:eastAsia="仿宋_GB2312" w:cs="宋体"/>
                <w:b/>
                <w:bCs/>
                <w:color w:val="000000"/>
                <w:kern w:val="0"/>
                <w:sz w:val="21"/>
                <w:szCs w:val="21"/>
              </w:rPr>
              <w:br w:type="textWrapping"/>
            </w:r>
            <w:r>
              <w:rPr>
                <w:rFonts w:hint="eastAsia" w:ascii="仿宋_GB2312" w:hAnsi="宋体" w:eastAsia="仿宋_GB2312" w:cs="宋体"/>
                <w:b/>
                <w:bCs/>
                <w:color w:val="000000"/>
                <w:kern w:val="0"/>
                <w:sz w:val="21"/>
                <w:szCs w:val="21"/>
              </w:rPr>
              <w:t>类型</w:t>
            </w:r>
          </w:p>
        </w:tc>
        <w:tc>
          <w:tcPr>
            <w:tcW w:w="482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指标说明</w:t>
            </w:r>
          </w:p>
        </w:tc>
        <w:tc>
          <w:tcPr>
            <w:tcW w:w="70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数据来源</w:t>
            </w:r>
          </w:p>
        </w:tc>
        <w:tc>
          <w:tcPr>
            <w:tcW w:w="1131"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考核归属部门</w:t>
            </w:r>
          </w:p>
        </w:tc>
        <w:tc>
          <w:tcPr>
            <w:tcW w:w="114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关联部门</w:t>
            </w:r>
          </w:p>
        </w:tc>
      </w:tr>
      <w:tr>
        <w:tblPrEx>
          <w:tblLayout w:type="fixed"/>
          <w:tblCellMar>
            <w:top w:w="28" w:type="dxa"/>
            <w:left w:w="108" w:type="dxa"/>
            <w:bottom w:w="28" w:type="dxa"/>
            <w:right w:w="108" w:type="dxa"/>
          </w:tblCellMar>
        </w:tblPrEx>
        <w:trPr>
          <w:trHeight w:val="518" w:hRule="atLeast"/>
        </w:trPr>
        <w:tc>
          <w:tcPr>
            <w:tcW w:w="519" w:type="dxa"/>
            <w:vMerge w:val="restart"/>
            <w:tcBorders>
              <w:top w:val="single" w:color="auto" w:sz="4" w:space="0"/>
              <w:left w:val="single" w:color="auto" w:sz="4" w:space="0"/>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一</w:t>
            </w:r>
          </w:p>
        </w:tc>
        <w:tc>
          <w:tcPr>
            <w:tcW w:w="1010"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思想理论教育和价值引领</w:t>
            </w: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主题班会</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每年完成5个主题的主题班会，有方案、有记录。每减少1次，扣2分。</w:t>
            </w:r>
          </w:p>
        </w:tc>
        <w:tc>
          <w:tcPr>
            <w:tcW w:w="709"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779" w:hRule="atLeast"/>
        </w:trPr>
        <w:tc>
          <w:tcPr>
            <w:tcW w:w="519"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1010"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p>
        </w:tc>
        <w:tc>
          <w:tcPr>
            <w:tcW w:w="431"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w:t>
            </w:r>
          </w:p>
        </w:tc>
        <w:tc>
          <w:tcPr>
            <w:tcW w:w="2019"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谈心谈话</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关注学生的成长，每学年与所带学生开展谈心谈话人均1次。有谈话记录。每减少1次，扣2分。</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686" w:hRule="atLeast"/>
        </w:trPr>
        <w:tc>
          <w:tcPr>
            <w:tcW w:w="519" w:type="dxa"/>
            <w:vMerge w:val="restart"/>
            <w:tcBorders>
              <w:top w:val="nil"/>
              <w:left w:val="single" w:color="auto" w:sz="4" w:space="0"/>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w:t>
            </w:r>
          </w:p>
        </w:tc>
        <w:tc>
          <w:tcPr>
            <w:tcW w:w="1010" w:type="dxa"/>
            <w:vMerge w:val="restart"/>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党团和班级建设</w:t>
            </w:r>
          </w:p>
        </w:tc>
        <w:tc>
          <w:tcPr>
            <w:tcW w:w="431"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w:t>
            </w:r>
          </w:p>
        </w:tc>
        <w:tc>
          <w:tcPr>
            <w:tcW w:w="2019"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班级品牌活动建设数</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打造班级品牌活动，具有社会影响力，获得院级或以上媒体报道，以此提升学校知名度。</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937" w:hRule="atLeast"/>
        </w:trPr>
        <w:tc>
          <w:tcPr>
            <w:tcW w:w="519"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1010"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p>
        </w:tc>
        <w:tc>
          <w:tcPr>
            <w:tcW w:w="431"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4</w:t>
            </w:r>
          </w:p>
        </w:tc>
        <w:tc>
          <w:tcPr>
            <w:tcW w:w="2019"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综合素质考评合格率</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班级合格总人数/班级总人数（假设满分为10分，合格率90%以上10分，80%-90%以下8分，70%-80%以下6分，60%—70%以下5分,60%以下0分）</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712" w:hRule="atLeast"/>
        </w:trPr>
        <w:tc>
          <w:tcPr>
            <w:tcW w:w="519"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1010"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p>
        </w:tc>
        <w:tc>
          <w:tcPr>
            <w:tcW w:w="431"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5</w:t>
            </w:r>
          </w:p>
        </w:tc>
        <w:tc>
          <w:tcPr>
            <w:tcW w:w="2019"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青年志愿者注册率</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注册率=注册学生人数/所带学生人数；注册率≥75，得满分，60%-74%，得分减半。低于60%不得分。</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团委</w:t>
            </w:r>
          </w:p>
        </w:tc>
        <w:tc>
          <w:tcPr>
            <w:tcW w:w="114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2139" w:hRule="atLeast"/>
        </w:trPr>
        <w:tc>
          <w:tcPr>
            <w:tcW w:w="519"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1010"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p>
        </w:tc>
        <w:tc>
          <w:tcPr>
            <w:tcW w:w="431"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6</w:t>
            </w:r>
          </w:p>
        </w:tc>
        <w:tc>
          <w:tcPr>
            <w:tcW w:w="2019"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集体、学生个人获得校级以上奖励</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1.班集体荣誉：区级5分，市级3分，校级2分；</w:t>
            </w:r>
          </w:p>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所带班级学生参加技能、文体、奖励等竞赛，获得国家级奖项一等奖3分、二等奖2分、三等奖1.5分、优秀奖1分；获区级奖项一等奖2分，二等奖加1.5分，三等奖加1分，优秀奖0.5分。获校级奖励一等奖加1分，二等奖加0.6分，三等奖加0.3分，优秀奖0.1分。</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kinsoku/>
        <w:overflowPunct/>
        <w:topLinePunct w:val="0"/>
        <w:bidi w:val="0"/>
        <w:spacing w:line="20" w:lineRule="exact"/>
        <w:outlineLvl w:val="9"/>
        <w:rPr>
          <w:color w:val="000000"/>
        </w:rPr>
      </w:pPr>
      <w:r>
        <w:rPr>
          <w:color w:val="000000"/>
        </w:rPr>
        <w:br w:type="page"/>
      </w:r>
    </w:p>
    <w:tbl>
      <w:tblPr>
        <w:tblStyle w:val="14"/>
        <w:tblpPr w:leftFromText="180" w:rightFromText="180" w:vertAnchor="page" w:horzAnchor="margin" w:tblpY="1696"/>
        <w:tblW w:w="13053" w:type="dxa"/>
        <w:tblInd w:w="0" w:type="dxa"/>
        <w:tblLayout w:type="fixed"/>
        <w:tblCellMar>
          <w:top w:w="28" w:type="dxa"/>
          <w:left w:w="108" w:type="dxa"/>
          <w:bottom w:w="28" w:type="dxa"/>
          <w:right w:w="108" w:type="dxa"/>
        </w:tblCellMar>
      </w:tblPr>
      <w:tblGrid>
        <w:gridCol w:w="431"/>
        <w:gridCol w:w="820"/>
        <w:gridCol w:w="431"/>
        <w:gridCol w:w="2019"/>
        <w:gridCol w:w="780"/>
        <w:gridCol w:w="779"/>
        <w:gridCol w:w="4820"/>
        <w:gridCol w:w="709"/>
        <w:gridCol w:w="1154"/>
        <w:gridCol w:w="1110"/>
      </w:tblGrid>
      <w:tr>
        <w:tblPrEx>
          <w:tblLayout w:type="fixed"/>
          <w:tblCellMar>
            <w:top w:w="28" w:type="dxa"/>
            <w:left w:w="108" w:type="dxa"/>
            <w:bottom w:w="28" w:type="dxa"/>
            <w:right w:w="108" w:type="dxa"/>
          </w:tblCellMar>
        </w:tblPrEx>
        <w:trPr>
          <w:trHeight w:val="720" w:hRule="atLeast"/>
        </w:trPr>
        <w:tc>
          <w:tcPr>
            <w:tcW w:w="431" w:type="dxa"/>
            <w:vMerge w:val="restart"/>
            <w:tcBorders>
              <w:top w:val="single" w:color="auto" w:sz="4" w:space="0"/>
              <w:left w:val="single" w:color="auto" w:sz="4" w:space="0"/>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三</w:t>
            </w:r>
          </w:p>
        </w:tc>
        <w:tc>
          <w:tcPr>
            <w:tcW w:w="820"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学风建设</w:t>
            </w: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6</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学生到课率</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到课率</w:t>
            </w:r>
          </w:p>
        </w:tc>
        <w:tc>
          <w:tcPr>
            <w:tcW w:w="779"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到课率=到课人数（所抽班级到课总人数）/（所抽班级）总人数（假设满分为10分，到课率95%及以上得10分，90%—94%得8分，85%-89%得5分，84%以下0分）</w:t>
            </w:r>
          </w:p>
        </w:tc>
        <w:tc>
          <w:tcPr>
            <w:tcW w:w="709"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67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7</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课程考核及格率</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各课程不及格总人数/（课程数*班级人数）（假设满分为10分，到课率90%以上10分，80%-90%以下8分，70%-80%以下6 分，60%—70%以下5分，60%以下0分）</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52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8</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英语B级考试通过率</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通过率</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1.鼓励学生全面发展</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2.通过率=通过英语B级学生数/班级人数</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教务与实训管理处</w:t>
            </w:r>
          </w:p>
        </w:tc>
        <w:tc>
          <w:tcPr>
            <w:tcW w:w="111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52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9</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班级专业技能初级证书通过率</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通过率</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通过率=班级必考技能初级证书数量/班级人数</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教务与实训管理处</w:t>
            </w:r>
          </w:p>
        </w:tc>
        <w:tc>
          <w:tcPr>
            <w:tcW w:w="111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52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10</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班级专业必考技能中级证书通过率</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通过率</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1.引导班级学生专业技能水平提升</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2.通过率=班级必考技能中级证书数量/班级人数</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教务与实训管理处</w:t>
            </w:r>
          </w:p>
        </w:tc>
        <w:tc>
          <w:tcPr>
            <w:tcW w:w="111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85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11</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职业资格证书获得率</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获得率</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1.引导班级学生专业技能水平提升</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w:t>
            </w:r>
            <w:r>
              <w:rPr>
                <w:rFonts w:hint="eastAsia" w:ascii="仿宋_GB2312" w:hAnsi="宋体" w:eastAsia="仿宋_GB2312" w:cs="宋体"/>
                <w:color w:val="000000"/>
                <w:spacing w:val="-6"/>
                <w:kern w:val="0"/>
                <w:sz w:val="21"/>
                <w:szCs w:val="21"/>
              </w:rPr>
              <w:t>除了专业必考证书外，学生获得的各种职业资格证书</w:t>
            </w:r>
          </w:p>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3.获得率=班级学生获得的各种职业资格证书数量/班级人数</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教务与实训管理处</w:t>
            </w:r>
          </w:p>
        </w:tc>
        <w:tc>
          <w:tcPr>
            <w:tcW w:w="111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480"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12</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辅导员听课次数</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每周下班级听课次数不少于2次，听课情况有记录、有反馈，有任课老师签名确认。</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720"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13</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第二课堂分数合格率</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合格人数/班级人数。（假设满分为10分，合格率90%以上10分，80%-90%以下8分，70%-80%以下6 分，60%—70%以下5分，60%以下0分）</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720"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14</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诚信分合格率</w:t>
            </w:r>
          </w:p>
        </w:tc>
        <w:tc>
          <w:tcPr>
            <w:tcW w:w="78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合格人数/班级人数。（假设满分为10分，合格率90%以上10分，80%-90%以下8分，70%-80%以下6  分，60%—70%以下5分，60%以下0分）</w:t>
            </w:r>
          </w:p>
        </w:tc>
        <w:tc>
          <w:tcPr>
            <w:tcW w:w="709" w:type="dxa"/>
            <w:tcBorders>
              <w:top w:val="nil"/>
              <w:left w:val="nil"/>
              <w:bottom w:val="single" w:color="auto" w:sz="4" w:space="0"/>
              <w:right w:val="single" w:color="auto" w:sz="4" w:space="0"/>
            </w:tcBorders>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widowControl/>
        <w:kinsoku/>
        <w:overflowPunct/>
        <w:topLinePunct w:val="0"/>
        <w:bidi w:val="0"/>
        <w:spacing w:line="20" w:lineRule="exact"/>
        <w:jc w:val="left"/>
        <w:outlineLvl w:val="9"/>
        <w:rPr>
          <w:rFonts w:ascii="仿宋_GB2312" w:eastAsia="仿宋_GB2312"/>
          <w:color w:val="000000"/>
        </w:rPr>
      </w:pPr>
      <w:r>
        <w:rPr>
          <w:rFonts w:ascii="仿宋_GB2312" w:eastAsia="仿宋_GB2312"/>
          <w:color w:val="000000"/>
        </w:rPr>
        <w:br w:type="page"/>
      </w:r>
    </w:p>
    <w:p>
      <w:pPr>
        <w:pageBreakBefore w:val="0"/>
        <w:kinsoku/>
        <w:overflowPunct/>
        <w:topLinePunct w:val="0"/>
        <w:bidi w:val="0"/>
        <w:spacing w:line="240" w:lineRule="exact"/>
        <w:outlineLvl w:val="9"/>
        <w:rPr>
          <w:rFonts w:ascii="仿宋_GB2312" w:eastAsia="仿宋_GB2312"/>
          <w:color w:val="000000"/>
        </w:rPr>
      </w:pPr>
    </w:p>
    <w:tbl>
      <w:tblPr>
        <w:tblStyle w:val="14"/>
        <w:tblpPr w:leftFromText="180" w:rightFromText="180" w:vertAnchor="page" w:horzAnchor="page" w:tblpX="1950" w:tblpY="2747"/>
        <w:tblW w:w="13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31"/>
        <w:gridCol w:w="820"/>
        <w:gridCol w:w="431"/>
        <w:gridCol w:w="2019"/>
        <w:gridCol w:w="780"/>
        <w:gridCol w:w="779"/>
        <w:gridCol w:w="4820"/>
        <w:gridCol w:w="709"/>
        <w:gridCol w:w="1169"/>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30" w:hRule="atLeast"/>
        </w:trPr>
        <w:tc>
          <w:tcPr>
            <w:tcW w:w="431"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15</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降低学生晚归率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晚归率</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 xml:space="preserve">假设满分为10分，学生晚归率在5%以下的，得满分；其它每增加1个百分点，得分降低1分，直到0分为止。 </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85" w:hRule="atLeast"/>
        </w:trPr>
        <w:tc>
          <w:tcPr>
            <w:tcW w:w="431" w:type="dxa"/>
            <w:vMerge w:val="restart"/>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四</w:t>
            </w:r>
          </w:p>
        </w:tc>
        <w:tc>
          <w:tcPr>
            <w:tcW w:w="820" w:type="dxa"/>
            <w:vMerge w:val="restart"/>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学生日常事务管理</w:t>
            </w: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16</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宿舍检查合格率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合格率=合格宿舍数/宿舍总数（假设满分为10分，合格率90%以上10分，80%-90%以下8分，70%-80%以下6分，60%—70%以下5分，60%以下0分）</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75"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17</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 xml:space="preserve"> 创建文明宿舍数量</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所带班级参加校级文明宿舍评比，每获得一个优秀宿舍加1分，以此类推。每获得一个合格宿舍加0.5分，以此类推。最高累计不超过此项总分。</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8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18</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辅导员下宿舍次数</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每周至少深入宿舍2次，每学期至少深入宿舍共计36次，做好工作记录。每减少1次，扣2分，扣完为止。</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2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19</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降低欠费率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欠费率</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（每年的6月、12月各统计一次，假设满分为100分）以全校平均欠费率为基准，等于学校平均欠费率得90分，每低0.1个百分点加1分，每高0.1个百分点扣1分。</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财务处</w:t>
            </w:r>
          </w:p>
        </w:tc>
        <w:tc>
          <w:tcPr>
            <w:tcW w:w="114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3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20</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学生处分率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所带学生中每3人被处分扣0.5分，以此类推，扣完为止。如处分人数1-3人扣0.5分；4-6人扣1分。</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2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21</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学生CRP信息完成量</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1.辅导员所带学生个人信息完成情况（相片、详细地址、家庭及个人电话等）</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2.未完成1-10人扣1分，以此类推，扣完为止。</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2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22</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资助管理与服务满意度</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满意度</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满意度达90%以上不扣分（不含90%），60%以下不得分（不含60%）；满意度达60%-70%，扣15分；达70%-80%扣10分；达80%-90%扣5分。</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调查数据</w:t>
            </w:r>
          </w:p>
        </w:tc>
        <w:tc>
          <w:tcPr>
            <w:tcW w:w="116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kinsoku/>
        <w:overflowPunct/>
        <w:topLinePunct w:val="0"/>
        <w:bidi w:val="0"/>
        <w:outlineLvl w:val="9"/>
        <w:rPr>
          <w:rFonts w:hint="eastAsia" w:ascii="仿宋_GB2312" w:eastAsia="仿宋_GB2312"/>
          <w:color w:val="000000"/>
        </w:rPr>
      </w:pPr>
    </w:p>
    <w:tbl>
      <w:tblPr>
        <w:tblStyle w:val="14"/>
        <w:tblpPr w:leftFromText="180" w:rightFromText="180" w:vertAnchor="page" w:horzAnchor="margin" w:tblpY="1861"/>
        <w:tblW w:w="130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
      <w:tblGrid>
        <w:gridCol w:w="431"/>
        <w:gridCol w:w="820"/>
        <w:gridCol w:w="431"/>
        <w:gridCol w:w="2019"/>
        <w:gridCol w:w="780"/>
        <w:gridCol w:w="779"/>
        <w:gridCol w:w="4820"/>
        <w:gridCol w:w="709"/>
        <w:gridCol w:w="1184"/>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675" w:hRule="atLeast"/>
        </w:trPr>
        <w:tc>
          <w:tcPr>
            <w:tcW w:w="431"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23</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资助材料合格率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1.合格率=合格材料数/上交资助材料数；</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2.合格率达100%不扣分；不合格率在1%-3%，扣3分；4%-6%扣6分；7%-10%扣10分；10%以上不得分。</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95" w:hRule="atLeast"/>
        </w:trPr>
        <w:tc>
          <w:tcPr>
            <w:tcW w:w="431" w:type="dxa"/>
            <w:vMerge w:val="restart"/>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五</w:t>
            </w:r>
          </w:p>
        </w:tc>
        <w:tc>
          <w:tcPr>
            <w:tcW w:w="820" w:type="dxa"/>
            <w:vMerge w:val="restart"/>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心理健康教育与咨询工作</w:t>
            </w: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24</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建立特殊群体学生心理档案</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根据心理普查名单，建立心理异常学生心理档案，且做好与此类学生的谈话记录。</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95"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25</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心理健康指导</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无责任事故率</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密切关注学生心理状况，给予心理疏导，发现异常情况及时处理、上报，配合学院开展心理指导和危机干预。重要谈话有记录，无心理问题责任事故，此项不扣分。</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120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26</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心理健康教育普及率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普及率</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1.每学期学生了解心理健康知识的人数；</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2.实际值=了解心理健康知识的人数/抽取的人数；</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3.按照辅导员所带学生的30%抽取学生了解心理健康知识；</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4.该项得分=区间范围得分:96%以上不扣分，95%-91%扣1分，90%-86%扣2分，85%-81%扣3分，80%以下扣完。</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调查数据</w:t>
            </w:r>
          </w:p>
        </w:tc>
        <w:tc>
          <w:tcPr>
            <w:tcW w:w="1184"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25" w:hRule="atLeast"/>
        </w:trPr>
        <w:tc>
          <w:tcPr>
            <w:tcW w:w="431" w:type="dxa"/>
            <w:vMerge w:val="restart"/>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六</w:t>
            </w:r>
          </w:p>
        </w:tc>
        <w:tc>
          <w:tcPr>
            <w:tcW w:w="820" w:type="dxa"/>
            <w:vMerge w:val="restart"/>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网络思想政治教育</w:t>
            </w: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27</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易班注册率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注册率</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每学年开学两个星期内组织学生完成注册，注册率达95%及以上，获此项满分，每低于5个百分点，扣1分，扣完此项分为止。</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2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28</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易班活跃度增量</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活跃度增量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每月易班班级群EGPA(活跃度增量）达到10分或此项满分，每减少2分，扣1分，扣完此项分为止。（外出实习和毕业班会影响易班的使用，酌情考虑）</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20" w:hRule="atLeast"/>
        </w:trPr>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七</w:t>
            </w:r>
          </w:p>
        </w:tc>
        <w:tc>
          <w:tcPr>
            <w:tcW w:w="82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校园危机事件应对</w:t>
            </w: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29</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降低事故发生率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事故发生率</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事故发生数/所带班级人数（通过学工处事故认定是否属于辅导员责任）</w:t>
            </w:r>
          </w:p>
        </w:tc>
        <w:tc>
          <w:tcPr>
            <w:tcW w:w="70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kinsoku/>
        <w:overflowPunct/>
        <w:topLinePunct w:val="0"/>
        <w:bidi w:val="0"/>
        <w:spacing w:line="20" w:lineRule="exact"/>
        <w:outlineLvl w:val="9"/>
        <w:rPr>
          <w:color w:val="000000"/>
        </w:rPr>
      </w:pPr>
      <w:r>
        <w:rPr>
          <w:color w:val="000000"/>
        </w:rPr>
        <w:br w:type="page"/>
      </w:r>
    </w:p>
    <w:tbl>
      <w:tblPr>
        <w:tblStyle w:val="14"/>
        <w:tblpPr w:leftFromText="180" w:rightFromText="180" w:vertAnchor="page" w:horzAnchor="margin" w:tblpY="1756"/>
        <w:tblW w:w="13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
      <w:tblGrid>
        <w:gridCol w:w="431"/>
        <w:gridCol w:w="820"/>
        <w:gridCol w:w="431"/>
        <w:gridCol w:w="2019"/>
        <w:gridCol w:w="780"/>
        <w:gridCol w:w="779"/>
        <w:gridCol w:w="4820"/>
        <w:gridCol w:w="633"/>
        <w:gridCol w:w="123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900" w:hRule="atLeast"/>
        </w:trPr>
        <w:tc>
          <w:tcPr>
            <w:tcW w:w="431" w:type="dxa"/>
            <w:vMerge w:val="restart"/>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八</w:t>
            </w:r>
          </w:p>
        </w:tc>
        <w:tc>
          <w:tcPr>
            <w:tcW w:w="820" w:type="dxa"/>
            <w:vMerge w:val="restart"/>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职业规划与就业创业指导</w:t>
            </w: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30</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学生一次毕业率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毕业率</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1.以每年7月的合格毕业生数据为计</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2.毕业率=毕业学生数/班级人数                                  3.（假设满分为10分，到课率90%以上10分，80%-90%以下8分，70%-80%以下6 分，60%—70%以下5分，60%以下0分）</w:t>
            </w:r>
          </w:p>
        </w:tc>
        <w:tc>
          <w:tcPr>
            <w:tcW w:w="633"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招生就业处</w:t>
            </w:r>
          </w:p>
        </w:tc>
        <w:tc>
          <w:tcPr>
            <w:tcW w:w="133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2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31</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就业率</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就业率</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（只考核毕业班辅导员）假设满分为100分）以当年7月的应届毕业生就业率为准，与本专业上一年7月的就业率相比，比去年的就业率提高0.2个百分点为满分，每降低0.1个百分点扣2分</w:t>
            </w:r>
          </w:p>
        </w:tc>
        <w:tc>
          <w:tcPr>
            <w:tcW w:w="633"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招生就业处</w:t>
            </w:r>
          </w:p>
        </w:tc>
        <w:tc>
          <w:tcPr>
            <w:tcW w:w="133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135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32</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就业管理与服务满意度</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满意度</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1.每年6月底，应届毕业生回校领取毕业证时，就业处组织二级学院开展就业管理和服务满意度调查；</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假设满分10分）高于平均满意度120%计10分，（平均满意度＜满意度≤平均满意度*120%）计9分，（平均满意度*90%＜满意度≤平均满意度）计8分，（平均满意度*60%＜满意度≤平均满意度*90%）计7分，≤平均满意度*60%计6分。</w:t>
            </w:r>
          </w:p>
        </w:tc>
        <w:tc>
          <w:tcPr>
            <w:tcW w:w="633"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调查数据</w:t>
            </w:r>
          </w:p>
        </w:tc>
        <w:tc>
          <w:tcPr>
            <w:tcW w:w="123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招生就业处</w:t>
            </w:r>
          </w:p>
        </w:tc>
        <w:tc>
          <w:tcPr>
            <w:tcW w:w="133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20" w:hRule="atLeast"/>
        </w:trPr>
        <w:tc>
          <w:tcPr>
            <w:tcW w:w="431" w:type="dxa"/>
            <w:vMerge w:val="restart"/>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九</w:t>
            </w:r>
          </w:p>
        </w:tc>
        <w:tc>
          <w:tcPr>
            <w:tcW w:w="820" w:type="dxa"/>
            <w:vMerge w:val="restart"/>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理论和实践研究</w:t>
            </w: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33</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论文数量</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（假设满分10分）个人年度内以第一作者身份公开发表1篇论文得10分；以第二作者及以后的按每相隔1名逐级递减40%的比例计分，排名第4名及以后不计分。</w:t>
            </w:r>
          </w:p>
        </w:tc>
        <w:tc>
          <w:tcPr>
            <w:tcW w:w="633"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33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05"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34</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课题数量</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（假设满分10分）以课题排名第1名身份，科研课题立项的，无论级别直接得10分；第2名以后的按每相隔1名逐级递减10%的比例计分。</w:t>
            </w:r>
          </w:p>
        </w:tc>
        <w:tc>
          <w:tcPr>
            <w:tcW w:w="633"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33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1590" w:hRule="atLeast"/>
        </w:trPr>
        <w:tc>
          <w:tcPr>
            <w:tcW w:w="431"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35</w:t>
            </w:r>
          </w:p>
        </w:tc>
        <w:tc>
          <w:tcPr>
            <w:tcW w:w="2019"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校级及以上竞赛获奖</w:t>
            </w:r>
          </w:p>
        </w:tc>
        <w:tc>
          <w:tcPr>
            <w:tcW w:w="78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overflowPunct/>
              <w:topLinePunct w:val="0"/>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该项可作为加分项（满分为20分）。年度内凡是代表学校参加市级以上竞赛获奖的：获国家级三等奖以上的加20分、获自治区级竞赛获三等奖以上的加10分，获市级竞赛三等奖以上的加5分。参加校级各类竞赛：获一等奖加5分、获二等奖加4分、获三等奖加3分。参加院级比赛获一等奖加3分、获二等奖加2分、获三等奖加1分。（根据参加各类比赛的次数，分数可以累加，但是最高不能超过20分）。</w:t>
            </w:r>
          </w:p>
        </w:tc>
        <w:tc>
          <w:tcPr>
            <w:tcW w:w="633" w:type="dxa"/>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335" w:type="dxa"/>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kinsoku/>
        <w:overflowPunct/>
        <w:topLinePunct w:val="0"/>
        <w:bidi w:val="0"/>
        <w:spacing w:line="20" w:lineRule="exact"/>
        <w:outlineLvl w:val="9"/>
        <w:rPr>
          <w:color w:val="000000"/>
        </w:rPr>
      </w:pPr>
    </w:p>
    <w:p>
      <w:pPr>
        <w:pageBreakBefore w:val="0"/>
        <w:widowControl/>
        <w:kinsoku/>
        <w:overflowPunct/>
        <w:topLinePunct w:val="0"/>
        <w:bidi w:val="0"/>
        <w:jc w:val="left"/>
        <w:outlineLvl w:val="9"/>
        <w:rPr>
          <w:rFonts w:hint="eastAsia" w:ascii="黑体" w:eastAsia="黑体"/>
          <w:sz w:val="32"/>
          <w:szCs w:val="32"/>
        </w:rPr>
      </w:pPr>
      <w:bookmarkStart w:id="813" w:name="_Toc13532_WPSOffice_Level1"/>
      <w:r>
        <w:rPr>
          <w:rFonts w:hint="eastAsia" w:ascii="黑体" w:eastAsia="黑体"/>
          <w:sz w:val="32"/>
          <w:szCs w:val="32"/>
        </w:rPr>
        <w:t>附表3：</w:t>
      </w:r>
      <w:bookmarkEnd w:id="813"/>
    </w:p>
    <w:p>
      <w:pPr>
        <w:pageBreakBefore w:val="0"/>
        <w:kinsoku/>
        <w:overflowPunct/>
        <w:topLinePunct w:val="0"/>
        <w:bidi w:val="0"/>
        <w:spacing w:line="596" w:lineRule="exact"/>
        <w:jc w:val="center"/>
        <w:outlineLvl w:val="9"/>
        <w:rPr>
          <w:rFonts w:hint="eastAsia"/>
          <w:b/>
          <w:color w:val="000000"/>
          <w:sz w:val="36"/>
          <w:szCs w:val="36"/>
        </w:rPr>
      </w:pPr>
      <w:bookmarkStart w:id="814" w:name="_Toc3164_WPSOffice_Level1"/>
      <w:r>
        <w:rPr>
          <w:rFonts w:hint="eastAsia"/>
          <w:b/>
          <w:color w:val="000000"/>
          <w:sz w:val="36"/>
          <w:szCs w:val="36"/>
        </w:rPr>
        <w:t>二级学院分团委书记关键绩效考核项目和指标库</w:t>
      </w:r>
      <w:bookmarkEnd w:id="814"/>
    </w:p>
    <w:tbl>
      <w:tblPr>
        <w:tblStyle w:val="14"/>
        <w:tblW w:w="1306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20"/>
        <w:gridCol w:w="431"/>
        <w:gridCol w:w="1738"/>
        <w:gridCol w:w="1095"/>
        <w:gridCol w:w="975"/>
        <w:gridCol w:w="4618"/>
        <w:gridCol w:w="767"/>
        <w:gridCol w:w="111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431"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类目</w:t>
            </w:r>
          </w:p>
        </w:tc>
        <w:tc>
          <w:tcPr>
            <w:tcW w:w="82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关键绩效导向</w:t>
            </w:r>
          </w:p>
        </w:tc>
        <w:tc>
          <w:tcPr>
            <w:tcW w:w="431"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序号</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关键绩效项目</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指标</w:t>
            </w:r>
          </w:p>
        </w:tc>
        <w:tc>
          <w:tcPr>
            <w:tcW w:w="97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指标</w:t>
            </w:r>
            <w:r>
              <w:rPr>
                <w:rFonts w:hint="eastAsia" w:ascii="仿宋_GB2312" w:hAnsi="宋体" w:eastAsia="仿宋_GB2312" w:cs="宋体"/>
                <w:b/>
                <w:bCs/>
                <w:color w:val="000000"/>
                <w:kern w:val="0"/>
                <w:sz w:val="22"/>
                <w:szCs w:val="22"/>
              </w:rPr>
              <w:br w:type="textWrapping"/>
            </w:r>
            <w:r>
              <w:rPr>
                <w:rFonts w:hint="eastAsia" w:ascii="仿宋_GB2312" w:hAnsi="宋体" w:eastAsia="仿宋_GB2312" w:cs="宋体"/>
                <w:b/>
                <w:bCs/>
                <w:color w:val="000000"/>
                <w:kern w:val="0"/>
                <w:sz w:val="22"/>
                <w:szCs w:val="22"/>
              </w:rPr>
              <w:t>类型</w:t>
            </w:r>
          </w:p>
        </w:tc>
        <w:tc>
          <w:tcPr>
            <w:tcW w:w="461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指标说明</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数据来源</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考核归属部门</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关联部门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trPr>
        <w:tc>
          <w:tcPr>
            <w:tcW w:w="431" w:type="dxa"/>
            <w:vMerge w:val="restart"/>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一</w:t>
            </w:r>
          </w:p>
        </w:tc>
        <w:tc>
          <w:tcPr>
            <w:tcW w:w="820" w:type="dxa"/>
            <w:vMerge w:val="restart"/>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思想政治教育</w:t>
            </w: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领导班子开展政治学习情况</w:t>
            </w:r>
          </w:p>
        </w:tc>
        <w:tc>
          <w:tcPr>
            <w:tcW w:w="109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1.每年开展专题培训次数；</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2.做好学习记录，有个人总结或心得材料。</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策划组织主题教育活动情况</w:t>
            </w:r>
          </w:p>
        </w:tc>
        <w:tc>
          <w:tcPr>
            <w:tcW w:w="109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覆盖率</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1.内容包括我的中国梦、四进四信、与信仰对话践行社会主义核心价值观、不忘初心跟党走柳职青年建新功等</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2.覆盖率指开展受益人数/学院总人数</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重要时间节点开展专题思想教育活动情况</w:t>
            </w:r>
          </w:p>
        </w:tc>
        <w:tc>
          <w:tcPr>
            <w:tcW w:w="109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重要事件节点包括“五·四”、国庆、“一二·九”等节日或纪念日等，全年开展的活动次数</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431" w:type="dxa"/>
            <w:vMerge w:val="restart"/>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w:t>
            </w:r>
          </w:p>
        </w:tc>
        <w:tc>
          <w:tcPr>
            <w:tcW w:w="820" w:type="dxa"/>
            <w:vMerge w:val="restart"/>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组织建设</w:t>
            </w: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4</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团员管理</w:t>
            </w:r>
          </w:p>
        </w:tc>
        <w:tc>
          <w:tcPr>
            <w:tcW w:w="109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是否制定团员发展、团员教育及团组织关系转移工作计划表及相关制度，并实施</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5</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三会两制一课制度执行情况</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完成率</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班级团支部“三会两制一课记录本”年度登记完成率=实际完成团支部数/应完成团支部次数。</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5"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6</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团日活动获校级奖励</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积分量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满分100分。有团支部参加校级团日活动评比得80分，按上下学期共2次评比的名次来折算，一场评比获得一等奖加10分， 二等奖加8分，三等奖加5分，一场评比多个团支部获奖不累加。如无评比则按观摩活动的展示单位予以加分，一个团支部参加展示加5分。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3"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7</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“推优育苗”工作</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是否制定工作时间表、推优名额计划，按时完成推优育苗工作，工作过程有监督机制，体现公平公开民主原则，以提交工作记录为准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8</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团干部教育培训情况</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全年开展专题团干部教育培训班数量</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优秀团支部创建培育数量</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年度创建优秀团支部数量</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31" w:type="dxa"/>
            <w:vMerge w:val="restart"/>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三</w:t>
            </w:r>
          </w:p>
        </w:tc>
        <w:tc>
          <w:tcPr>
            <w:tcW w:w="820" w:type="dxa"/>
            <w:vMerge w:val="restart"/>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宣传工作</w:t>
            </w: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10</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宣传阵地建设及更新维护</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合格率</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所属学院宣传橱窗、展板每月更新</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4"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11</w:t>
            </w:r>
          </w:p>
        </w:tc>
        <w:tc>
          <w:tcPr>
            <w:tcW w:w="173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市级以上（含市级）报纸、电视等媒体报道本学院共青团工作的新闻次数</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学院团委、学生组织（社团、志愿者分队等）学年度报道数量</w:t>
            </w:r>
          </w:p>
        </w:tc>
        <w:tc>
          <w:tcPr>
            <w:tcW w:w="767" w:type="dxa"/>
            <w:shd w:val="clear" w:color="auto" w:fill="auto"/>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12</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网络新媒体平台运营</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1.新媒体平台发布信息数量；</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2.如果所发布信息有不实、导向性错误信息，则该项不计分。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13</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新媒体平台制度建设及实施</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1.是否制定相关规定规范、约束新媒体平台使用</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2.如出现重大违规事件，则该项不计分。</w:t>
            </w:r>
          </w:p>
        </w:tc>
        <w:tc>
          <w:tcPr>
            <w:tcW w:w="767" w:type="dxa"/>
            <w:shd w:val="clear" w:color="auto" w:fill="auto"/>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14</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组建专门网络新媒体运营队伍</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是否组建专门队伍负责二级学院团委新媒体工作。</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15</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利用新媒体平台积极开展主题宣教活动</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借助新媒体平台开展形式多样的主题宣教活动数（常规活动宣传除外）</w:t>
            </w:r>
          </w:p>
        </w:tc>
        <w:tc>
          <w:tcPr>
            <w:tcW w:w="767" w:type="dxa"/>
            <w:shd w:val="clear" w:color="auto" w:fill="auto"/>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431" w:type="dxa"/>
            <w:vMerge w:val="restart"/>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四</w:t>
            </w:r>
          </w:p>
        </w:tc>
        <w:tc>
          <w:tcPr>
            <w:tcW w:w="820" w:type="dxa"/>
            <w:vMerge w:val="restart"/>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社会实践与志愿服务</w:t>
            </w: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16</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志愿服务项目</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年度指导学院各学生组织开展志愿服务项目数</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17</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志愿者保障及激励制度工作成效</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满意度</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1.每年12月初，校团委组织二级学院开展志愿者保障及激励工作满意度调查</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2.高于平均满意度120%计100分，（平均满意度＜满意度≤平均满意度*120%）计90分，（平均满意度*90%＜满意度≤平均满意度）计80分，（平均满意度*60%＜满意度≤平均满意度*90%）计70分，≤平均满意度*60%计60分。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18</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志愿者注册</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注册率</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1.注册率=注册人数/学院学生总数</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2.注册率低于0.6，该项不得分，注册率0.6-0.8该项得一半分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19</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参与校级及以上大型志愿服务工作</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完成率</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1.完成率=实际参加人数/应参加的指标人数</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2.工作过程服从安排，积极组织，如出现严重的工作失误，该项不计分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20</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暑期“三下乡”社会实践组织情况</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组建暑期社会实践服务队并获得校级立项数</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trPr>
        <w:tc>
          <w:tcPr>
            <w:tcW w:w="431" w:type="dxa"/>
            <w:vMerge w:val="restart"/>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五</w:t>
            </w:r>
          </w:p>
        </w:tc>
        <w:tc>
          <w:tcPr>
            <w:tcW w:w="820" w:type="dxa"/>
            <w:vMerge w:val="restart"/>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校园文化</w:t>
            </w: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21</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参与学校大型晚会文艺节目情况</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积分量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满分100分。参与即60分，加分规则按分别参与的每场活动累计获奖情况加分，封顶100分，一等奖加10分，二等奖加8分，三等奖加5分，优秀奖加3分。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22</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本学院群众性文化活动（包含“三走”类、学风建设类活动）</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1.本学院群众性文化活动数量</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2.其中“三走”类、学风建设类活动至少各1场，否则该项不计分。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23</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参与、承办校团委组织活动情况</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是否积极承办校团委交付的校园文化活动</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431" w:type="dxa"/>
            <w:vMerge w:val="restart"/>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六</w:t>
            </w:r>
          </w:p>
        </w:tc>
        <w:tc>
          <w:tcPr>
            <w:tcW w:w="820" w:type="dxa"/>
            <w:vMerge w:val="restart"/>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学生组织的指导</w:t>
            </w: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24</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社团评优工作</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完成率</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优秀社团+十佳社团数量/挂靠社团数</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25</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精品社团活动立项情况</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申报立项精品社团活动数量</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26</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指导院学生会工作</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是否参与及指导学生会活动，如：出席全体大会，按期换届，参与专项工作及学生活动等，以学生会工作记录表为准。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2"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27</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xml:space="preserve"> 指导志愿者服务分队的工作</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是否指导志愿者服务分队开展组织管理及活动策划指导工作。以工作记录表或新闻报道为准。无分队管理办法及职责分工，未按期换届，记零分。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7" w:hRule="atLeast"/>
        </w:trPr>
        <w:tc>
          <w:tcPr>
            <w:tcW w:w="431" w:type="dxa"/>
            <w:vMerge w:val="restart"/>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七</w:t>
            </w:r>
          </w:p>
        </w:tc>
        <w:tc>
          <w:tcPr>
            <w:tcW w:w="820" w:type="dxa"/>
            <w:vMerge w:val="restart"/>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个人发展</w:t>
            </w: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28</w:t>
            </w:r>
          </w:p>
        </w:tc>
        <w:tc>
          <w:tcPr>
            <w:tcW w:w="1738"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参与校级及以上课题及完成情况</w:t>
            </w:r>
          </w:p>
        </w:tc>
        <w:tc>
          <w:tcPr>
            <w:tcW w:w="1095" w:type="dxa"/>
            <w:shd w:val="clear" w:color="000000" w:fill="FFFFFF"/>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积分量</w:t>
            </w:r>
          </w:p>
        </w:tc>
        <w:tc>
          <w:tcPr>
            <w:tcW w:w="975" w:type="dxa"/>
            <w:shd w:val="clear" w:color="000000" w:fill="FFFFFF"/>
            <w:noWrap/>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1.以课题排名第1名身份，科研课题立项，国家级12分、教育部10、省部级6分、市厅级4分、校级2分；第2名以后的按每相隔1名逐级递减10%的比例计分，排名第5后不计分。</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2.所有课题积分量=∑（某课题对应等级和排名的分数）</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3.以共青团工作、党建工作、高校思政教育为主线的课题，其它类课题不在此计算。</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2"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29</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校级及以上评优及竞赛获奖</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积分量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代表学校参加市级以上竞赛获奖：获国家级加20分、获自治区级竞赛获三等奖以上的加10分，获市级竞赛三等奖以上的加5分。参加校级各类个人竞赛：获一等奖加5分、获二等奖加4分、获三等奖加3分。（根据参加各类比赛的次数，分数可以累加，但是最高不能超过20分）。</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2.以指导老师身份，带队参加比赛项目获奖，一等奖：区级及以上10分，市级5分，校级3分；获二等奖：区级8分，市级3分，校级2分；三等奖：区级5分，市级3分，校级2分；优秀奖：市级及以上加3分。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30</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技能培训、职业资格证书数量</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获取应急救护师以及其它与共青团工作相关证书情况</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431" w:type="dxa"/>
            <w:vMerge w:val="restart"/>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八</w:t>
            </w:r>
          </w:p>
        </w:tc>
        <w:tc>
          <w:tcPr>
            <w:tcW w:w="820" w:type="dxa"/>
            <w:vMerge w:val="restart"/>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共青团专项及创新工作</w:t>
            </w: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31</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学院党政联席会议专题讨论研究团学工作</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专题讨论会议次数，以工作记录为准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32</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学院网络团课创建</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全年创建网络团课数量，以在相关时间要求内上交网络团课视频及课件为准。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33</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先锋团支部创建</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年度创建先锋团支部数量，以创建青春红旗号或活力团支部成果展示材料为准。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34</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学生权益维护工作和帮扶机制</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制定创建机制，开展相关实效性工作，以组织实施方案、工作开展记录为准。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35</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新型团支部创建</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创新开展新型团支部的创建工作，以文字材料为准。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36</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开展“青年大学习”行动实施情况</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是否结合学院工作实际，制定有学院大学习行动具体方案及开展专题学习活动，以学习记录为准。</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37</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开展青春引擎计划，执行团干部直接联系青年制度</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覆盖率</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突破性</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开展青年引擎计划，执行团干部直接联系青年1+100制度情况，覆盖率100%。覆盖度达100%得满分，60%以下不得分（不含60%）；覆盖率达60%-70%，扣相应分值的20%；达71%-85%扣相应分值15%；达86%-99%扣相应分值5%。</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431" w:type="dxa"/>
            <w:vMerge w:val="restart"/>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九</w:t>
            </w:r>
          </w:p>
        </w:tc>
        <w:tc>
          <w:tcPr>
            <w:tcW w:w="820" w:type="dxa"/>
            <w:vMerge w:val="restart"/>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办公室工作</w:t>
            </w: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38</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档案文件经费收支管理</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1.真正落实文件上传下达，文件档案有归档整理</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2.团费收缴及开支有记录，有票据</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431"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39</w:t>
            </w:r>
          </w:p>
        </w:tc>
        <w:tc>
          <w:tcPr>
            <w:tcW w:w="1738"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学院各团组织获奖情况汇总存档</w:t>
            </w:r>
          </w:p>
        </w:tc>
        <w:tc>
          <w:tcPr>
            <w:tcW w:w="1095"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overflowPunct/>
              <w:topLinePunct w:val="0"/>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年度获奖情况按分类有记录，并存档，有相关支撑证明材料一并存档</w:t>
            </w:r>
          </w:p>
        </w:tc>
        <w:tc>
          <w:tcPr>
            <w:tcW w:w="767"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overflowPunct/>
              <w:topLinePunct w:val="0"/>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bl>
    <w:p>
      <w:pPr>
        <w:pageBreakBefore w:val="0"/>
        <w:kinsoku/>
        <w:overflowPunct/>
        <w:topLinePunct w:val="0"/>
        <w:bidi w:val="0"/>
        <w:spacing w:line="580" w:lineRule="exact"/>
        <w:outlineLvl w:val="9"/>
        <w:rPr>
          <w:rFonts w:hint="eastAsia" w:ascii="仿宋_GB2312" w:hAnsi="仿宋_GB2312" w:eastAsia="仿宋_GB2312" w:cs="仿宋_GB2312"/>
          <w:color w:val="000000"/>
          <w:kern w:val="0"/>
          <w:sz w:val="32"/>
          <w:szCs w:val="32"/>
        </w:rPr>
        <w:sectPr>
          <w:headerReference r:id="rId17" w:type="default"/>
          <w:footerReference r:id="rId19" w:type="default"/>
          <w:headerReference r:id="rId18" w:type="even"/>
          <w:footerReference r:id="rId20" w:type="even"/>
          <w:pgSz w:w="16840" w:h="11907" w:orient="landscape"/>
          <w:pgMar w:top="1588" w:right="2098" w:bottom="1474" w:left="1985" w:header="851" w:footer="1060" w:gutter="0"/>
          <w:pgNumType w:fmt="decimal"/>
          <w:cols w:space="720" w:num="1"/>
          <w:docGrid w:type="linesAndChars" w:linePitch="398" w:charSpace="-1216"/>
        </w:sectPr>
      </w:pPr>
    </w:p>
    <w:p>
      <w:pPr>
        <w:pageBreakBefore w:val="0"/>
        <w:widowControl/>
        <w:kinsoku/>
        <w:overflowPunct/>
        <w:topLinePunct w:val="0"/>
        <w:bidi w:val="0"/>
        <w:jc w:val="left"/>
        <w:outlineLvl w:val="9"/>
        <w:rPr>
          <w:rFonts w:hint="eastAsia" w:ascii="黑体" w:eastAsia="黑体"/>
          <w:sz w:val="32"/>
          <w:szCs w:val="32"/>
        </w:rPr>
      </w:pPr>
      <w:bookmarkStart w:id="815" w:name="_Toc2499_WPSOffice_Level1"/>
      <w:r>
        <w:rPr>
          <w:rFonts w:hint="eastAsia" w:ascii="黑体" w:eastAsia="黑体"/>
          <w:sz w:val="32"/>
          <w:szCs w:val="32"/>
        </w:rPr>
        <w:t>附表4：</w:t>
      </w:r>
      <w:bookmarkEnd w:id="815"/>
    </w:p>
    <w:p>
      <w:pPr>
        <w:pageBreakBefore w:val="0"/>
        <w:kinsoku/>
        <w:overflowPunct/>
        <w:topLinePunct w:val="0"/>
        <w:bidi w:val="0"/>
        <w:spacing w:line="596" w:lineRule="exact"/>
        <w:jc w:val="center"/>
        <w:outlineLvl w:val="9"/>
        <w:rPr>
          <w:rFonts w:hint="eastAsia"/>
          <w:b/>
          <w:color w:val="000000"/>
          <w:sz w:val="36"/>
          <w:szCs w:val="36"/>
        </w:rPr>
      </w:pPr>
      <w:bookmarkStart w:id="816" w:name="_Toc11658_WPSOffice_Level1"/>
      <w:r>
        <w:rPr>
          <w:rFonts w:hint="eastAsia"/>
          <w:b/>
          <w:color w:val="000000"/>
          <w:sz w:val="36"/>
          <w:szCs w:val="36"/>
        </w:rPr>
        <w:t>柳州职业技术学院辅导员绩效考核扣分项清单</w:t>
      </w:r>
      <w:bookmarkEnd w:id="816"/>
    </w:p>
    <w:tbl>
      <w:tblPr>
        <w:tblStyle w:val="14"/>
        <w:tblW w:w="8894" w:type="dxa"/>
        <w:jc w:val="center"/>
        <w:tblInd w:w="0" w:type="dxa"/>
        <w:tblLayout w:type="fixed"/>
        <w:tblCellMar>
          <w:top w:w="28" w:type="dxa"/>
          <w:left w:w="108" w:type="dxa"/>
          <w:bottom w:w="28" w:type="dxa"/>
          <w:right w:w="108" w:type="dxa"/>
        </w:tblCellMar>
      </w:tblPr>
      <w:tblGrid>
        <w:gridCol w:w="917"/>
        <w:gridCol w:w="7017"/>
        <w:gridCol w:w="960"/>
      </w:tblGrid>
      <w:tr>
        <w:tblPrEx>
          <w:tblLayout w:type="fixed"/>
          <w:tblCellMar>
            <w:top w:w="28" w:type="dxa"/>
            <w:left w:w="108" w:type="dxa"/>
            <w:bottom w:w="28" w:type="dxa"/>
            <w:right w:w="108" w:type="dxa"/>
          </w:tblCellMar>
        </w:tblPrEx>
        <w:trPr>
          <w:trHeight w:val="508" w:hRule="atLeast"/>
          <w:jc w:val="center"/>
        </w:trPr>
        <w:tc>
          <w:tcPr>
            <w:tcW w:w="917"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b/>
                <w:color w:val="000000"/>
                <w:kern w:val="0"/>
                <w:sz w:val="24"/>
              </w:rPr>
            </w:pPr>
            <w:r>
              <w:rPr>
                <w:rFonts w:hint="eastAsia" w:ascii="仿宋_GB2312" w:eastAsia="仿宋_GB2312"/>
                <w:b/>
                <w:color w:val="000000"/>
                <w:kern w:val="0"/>
                <w:sz w:val="24"/>
              </w:rPr>
              <w:t>序号</w:t>
            </w:r>
          </w:p>
        </w:tc>
        <w:tc>
          <w:tcPr>
            <w:tcW w:w="7017"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b/>
                <w:color w:val="000000"/>
                <w:kern w:val="0"/>
                <w:sz w:val="24"/>
              </w:rPr>
            </w:pPr>
            <w:r>
              <w:rPr>
                <w:rFonts w:hint="eastAsia" w:ascii="仿宋_GB2312" w:eastAsia="仿宋_GB2312"/>
                <w:b/>
                <w:color w:val="000000"/>
                <w:kern w:val="0"/>
                <w:sz w:val="24"/>
              </w:rPr>
              <w:t>违规情况</w:t>
            </w:r>
          </w:p>
        </w:tc>
        <w:tc>
          <w:tcPr>
            <w:tcW w:w="96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b/>
                <w:color w:val="000000"/>
                <w:kern w:val="0"/>
                <w:sz w:val="24"/>
              </w:rPr>
            </w:pPr>
            <w:r>
              <w:rPr>
                <w:rFonts w:hint="eastAsia" w:ascii="仿宋_GB2312" w:eastAsia="仿宋_GB2312"/>
                <w:b/>
                <w:color w:val="000000"/>
                <w:kern w:val="0"/>
                <w:sz w:val="24"/>
              </w:rPr>
              <w:t>分值</w:t>
            </w:r>
          </w:p>
        </w:tc>
      </w:tr>
      <w:tr>
        <w:tblPrEx>
          <w:tblLayout w:type="fixed"/>
          <w:tblCellMar>
            <w:top w:w="28" w:type="dxa"/>
            <w:left w:w="108" w:type="dxa"/>
            <w:bottom w:w="28" w:type="dxa"/>
            <w:right w:w="108" w:type="dxa"/>
          </w:tblCellMar>
        </w:tblPrEx>
        <w:trPr>
          <w:trHeight w:val="510" w:hRule="atLeast"/>
          <w:jc w:val="center"/>
        </w:trPr>
        <w:tc>
          <w:tcPr>
            <w:tcW w:w="917" w:type="dxa"/>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1</w:t>
            </w:r>
          </w:p>
        </w:tc>
        <w:tc>
          <w:tcPr>
            <w:tcW w:w="7017"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一级工作事故（次）</w:t>
            </w:r>
          </w:p>
        </w:tc>
        <w:tc>
          <w:tcPr>
            <w:tcW w:w="96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3</w:t>
            </w:r>
          </w:p>
        </w:tc>
      </w:tr>
      <w:tr>
        <w:tblPrEx>
          <w:tblLayout w:type="fixed"/>
          <w:tblCellMar>
            <w:top w:w="28" w:type="dxa"/>
            <w:left w:w="108" w:type="dxa"/>
            <w:bottom w:w="28" w:type="dxa"/>
            <w:right w:w="108" w:type="dxa"/>
          </w:tblCellMar>
        </w:tblPrEx>
        <w:trPr>
          <w:trHeight w:val="510" w:hRule="atLeast"/>
          <w:jc w:val="center"/>
        </w:trPr>
        <w:tc>
          <w:tcPr>
            <w:tcW w:w="917" w:type="dxa"/>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2</w:t>
            </w:r>
          </w:p>
        </w:tc>
        <w:tc>
          <w:tcPr>
            <w:tcW w:w="7017"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二级工作事故（次）</w:t>
            </w:r>
          </w:p>
        </w:tc>
        <w:tc>
          <w:tcPr>
            <w:tcW w:w="960" w:type="dxa"/>
            <w:tcBorders>
              <w:top w:val="nil"/>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2</w:t>
            </w:r>
          </w:p>
        </w:tc>
      </w:tr>
      <w:tr>
        <w:tblPrEx>
          <w:tblLayout w:type="fixed"/>
          <w:tblCellMar>
            <w:top w:w="28" w:type="dxa"/>
            <w:left w:w="108" w:type="dxa"/>
            <w:bottom w:w="28" w:type="dxa"/>
            <w:right w:w="108" w:type="dxa"/>
          </w:tblCellMar>
        </w:tblPrEx>
        <w:trPr>
          <w:trHeight w:val="510" w:hRule="atLeast"/>
          <w:jc w:val="center"/>
        </w:trPr>
        <w:tc>
          <w:tcPr>
            <w:tcW w:w="917" w:type="dxa"/>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3</w:t>
            </w:r>
          </w:p>
        </w:tc>
        <w:tc>
          <w:tcPr>
            <w:tcW w:w="7017"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4"/>
              </w:rPr>
            </w:pPr>
            <w:r>
              <w:rPr>
                <w:rFonts w:hint="eastAsia" w:ascii="仿宋_GB2312" w:hAnsi="宋体" w:eastAsia="仿宋_GB2312" w:cs="宋体"/>
                <w:color w:val="000000"/>
                <w:kern w:val="0"/>
                <w:sz w:val="24"/>
              </w:rPr>
              <w:t>三级工作事故（次）</w:t>
            </w:r>
          </w:p>
        </w:tc>
        <w:tc>
          <w:tcPr>
            <w:tcW w:w="96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1</w:t>
            </w:r>
          </w:p>
        </w:tc>
      </w:tr>
      <w:tr>
        <w:tblPrEx>
          <w:tblLayout w:type="fixed"/>
          <w:tblCellMar>
            <w:top w:w="28" w:type="dxa"/>
            <w:left w:w="108" w:type="dxa"/>
            <w:bottom w:w="28" w:type="dxa"/>
            <w:right w:w="108" w:type="dxa"/>
          </w:tblCellMar>
        </w:tblPrEx>
        <w:trPr>
          <w:trHeight w:val="510" w:hRule="atLeast"/>
          <w:jc w:val="center"/>
        </w:trPr>
        <w:tc>
          <w:tcPr>
            <w:tcW w:w="917" w:type="dxa"/>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4</w:t>
            </w:r>
          </w:p>
        </w:tc>
        <w:tc>
          <w:tcPr>
            <w:tcW w:w="7017"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hAnsi="宋体" w:eastAsia="仿宋_GB2312" w:cs="宋体"/>
                <w:color w:val="000000"/>
                <w:kern w:val="0"/>
                <w:sz w:val="24"/>
              </w:rPr>
            </w:pPr>
            <w:r>
              <w:rPr>
                <w:rFonts w:hint="eastAsia" w:ascii="仿宋_GB2312" w:hAnsi="宋体" w:eastAsia="仿宋_GB2312" w:cs="宋体"/>
                <w:color w:val="000000"/>
                <w:kern w:val="0"/>
                <w:sz w:val="24"/>
              </w:rPr>
              <w:t>督导通报批评（次）</w:t>
            </w:r>
          </w:p>
        </w:tc>
        <w:tc>
          <w:tcPr>
            <w:tcW w:w="960"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0.5</w:t>
            </w:r>
          </w:p>
        </w:tc>
      </w:tr>
    </w:tbl>
    <w:p>
      <w:pPr>
        <w:pageBreakBefore w:val="0"/>
        <w:widowControl/>
        <w:kinsoku/>
        <w:overflowPunct/>
        <w:topLinePunct w:val="0"/>
        <w:bidi w:val="0"/>
        <w:jc w:val="center"/>
        <w:outlineLvl w:val="9"/>
        <w:rPr>
          <w:rFonts w:hint="eastAsia" w:ascii="仿宋_GB2312" w:eastAsia="仿宋_GB2312"/>
          <w:bCs/>
          <w:sz w:val="32"/>
          <w:szCs w:val="32"/>
        </w:rPr>
        <w:sectPr>
          <w:pgSz w:w="11906" w:h="16838"/>
          <w:pgMar w:top="2098" w:right="1474" w:bottom="1984" w:left="1588" w:header="851" w:footer="992" w:gutter="0"/>
          <w:pgNumType w:fmt="decimal"/>
          <w:cols w:space="720" w:num="1"/>
          <w:docGrid w:type="linesAndChars" w:linePitch="381" w:charSpace="0"/>
        </w:sectPr>
      </w:pPr>
      <w:r>
        <w:rPr>
          <w:rFonts w:hint="eastAsia" w:ascii="仿宋_GB2312" w:eastAsia="仿宋_GB2312"/>
          <w:color w:val="000000"/>
          <w:sz w:val="21"/>
          <w:szCs w:val="21"/>
        </w:rPr>
        <w:t>注：根据《柳州职业技术学院工作事故认定及处理暂行办法》（柳职院字〔2017〕30号</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b/>
          <w:color w:val="000000"/>
          <w:sz w:val="36"/>
          <w:szCs w:val="36"/>
        </w:rPr>
      </w:pPr>
      <w:bookmarkStart w:id="817" w:name="_Toc6878"/>
      <w:bookmarkStart w:id="818" w:name="_Toc30890"/>
      <w:bookmarkStart w:id="819" w:name="_Toc2176"/>
      <w:bookmarkStart w:id="820" w:name="_Toc1319"/>
      <w:bookmarkStart w:id="821" w:name="_Toc14125_WPSOffice_Level1"/>
      <w:bookmarkStart w:id="822" w:name="_Toc14843"/>
      <w:r>
        <w:rPr>
          <w:rFonts w:hint="eastAsia"/>
          <w:b/>
          <w:color w:val="000000"/>
          <w:sz w:val="36"/>
          <w:szCs w:val="36"/>
        </w:rPr>
        <w:t>柳州职业技术学院学风建设指导意见</w:t>
      </w:r>
      <w:bookmarkEnd w:id="817"/>
      <w:bookmarkEnd w:id="818"/>
      <w:bookmarkEnd w:id="819"/>
      <w:bookmarkEnd w:id="820"/>
      <w:bookmarkEnd w:id="821"/>
      <w:bookmarkEnd w:id="822"/>
    </w:p>
    <w:p>
      <w:pPr>
        <w:pageBreakBefore w:val="0"/>
        <w:widowControl/>
        <w:kinsoku/>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柳职院学字〔2021〕35号)</w:t>
      </w:r>
    </w:p>
    <w:p>
      <w:pPr>
        <w:pageBreakBefore w:val="0"/>
        <w:kinsoku/>
        <w:overflowPunct/>
        <w:topLinePunct w:val="0"/>
        <w:bidi w:val="0"/>
        <w:spacing w:line="596" w:lineRule="exact"/>
        <w:jc w:val="center"/>
        <w:outlineLvl w:val="9"/>
        <w:rPr>
          <w:rFonts w:eastAsia="等线"/>
          <w:b/>
          <w:color w:val="000000"/>
          <w:sz w:val="36"/>
          <w:szCs w:val="36"/>
        </w:rPr>
      </w:pP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学风是学校的办学思想、办学理念和管理水平的重要标志，又是教师治学态度、教书育人效果和校园文化的基本体现。因此，加强学风建设是全面贯彻党的教育方针，推进素质教育的重要举措。为进一步加强我校的学风建设，根据我校的实际，现就我校的学风建设提出如下意见:</w:t>
      </w:r>
    </w:p>
    <w:p>
      <w:pPr>
        <w:pageBreakBefore w:val="0"/>
        <w:kinsoku/>
        <w:overflowPunct/>
        <w:topLinePunct w:val="0"/>
        <w:bidi w:val="0"/>
        <w:spacing w:line="596" w:lineRule="exact"/>
        <w:ind w:firstLine="630" w:firstLineChars="200"/>
        <w:outlineLvl w:val="9"/>
        <w:rPr>
          <w:rFonts w:ascii="黑体" w:hAnsi="黑体" w:eastAsia="黑体"/>
          <w:b/>
          <w:sz w:val="32"/>
          <w:szCs w:val="32"/>
        </w:rPr>
      </w:pPr>
      <w:bookmarkStart w:id="823" w:name="_Toc8334_WPSOffice_Level1"/>
      <w:r>
        <w:rPr>
          <w:rFonts w:hint="eastAsia" w:ascii="黑体" w:hAnsi="黑体" w:eastAsia="黑体"/>
          <w:b/>
          <w:sz w:val="32"/>
          <w:szCs w:val="32"/>
        </w:rPr>
        <w:t>一、指导思想</w:t>
      </w:r>
      <w:bookmarkEnd w:id="823"/>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以习近平新时代中国特色社会主义思想为指导，坚持立德树人根本任务，以培养担当民族复兴重任的时代新人为目标，深入贯彻落实国家、自治区关于职业教育的决策部署，以推动学校高质量发展为主题，以“双高”建设为抓手，紧紧围绕教书育人这一中心任务，强化学风建设推动学生专业发展，充分发挥学风建设在学生全面发展的重要作用，以学风建设促进人才培养质量提升，不断提高学校办学水平和成果。</w:t>
      </w:r>
    </w:p>
    <w:p>
      <w:pPr>
        <w:pageBreakBefore w:val="0"/>
        <w:kinsoku/>
        <w:overflowPunct/>
        <w:topLinePunct w:val="0"/>
        <w:bidi w:val="0"/>
        <w:spacing w:line="596" w:lineRule="exact"/>
        <w:ind w:firstLine="630" w:firstLineChars="200"/>
        <w:outlineLvl w:val="9"/>
        <w:rPr>
          <w:rFonts w:ascii="黑体" w:hAnsi="黑体" w:eastAsia="黑体"/>
          <w:b/>
          <w:sz w:val="32"/>
          <w:szCs w:val="32"/>
        </w:rPr>
      </w:pPr>
      <w:bookmarkStart w:id="824" w:name="_Toc25088_WPSOffice_Level1"/>
      <w:r>
        <w:rPr>
          <w:rFonts w:hint="eastAsia" w:ascii="黑体" w:hAnsi="黑体" w:eastAsia="黑体"/>
          <w:b/>
          <w:sz w:val="32"/>
          <w:szCs w:val="32"/>
        </w:rPr>
        <w:t>二、建设目标</w:t>
      </w:r>
      <w:bookmarkEnd w:id="824"/>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（一）总体目标</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以培养高素质技术技能型人才为目标，以培养学生良好的学习习惯和提高学生文明素养为重点，构建学风建设长效机制，健全以学校为主导、各二级学院统一协调配合的学风建设工作机制，明确校院两级学风建设的职责，建立二级学院学风建设考核与评价机制，优化育人环境。</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（二）具体目标</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营造良好的校园育人环境，实现“三高三低一提升”目标：</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“三高”，即学生按时到课率高；获得毕业证的比例高；就业率及就业质量高。</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“三低”，即上课迟到、旷课率低；课程补考、重修率低；课堂不文明行为率低。</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 xml:space="preserve">“一提升”，即学生的综合素养得到明显提升。 </w:t>
      </w:r>
    </w:p>
    <w:p>
      <w:pPr>
        <w:pageBreakBefore w:val="0"/>
        <w:kinsoku/>
        <w:overflowPunct/>
        <w:topLinePunct w:val="0"/>
        <w:bidi w:val="0"/>
        <w:spacing w:line="596" w:lineRule="exact"/>
        <w:ind w:firstLine="630" w:firstLineChars="200"/>
        <w:outlineLvl w:val="9"/>
        <w:rPr>
          <w:rFonts w:ascii="黑体" w:hAnsi="黑体" w:eastAsia="黑体"/>
          <w:b/>
          <w:sz w:val="32"/>
          <w:szCs w:val="32"/>
        </w:rPr>
      </w:pPr>
      <w:bookmarkStart w:id="825" w:name="_Toc13214_WPSOffice_Level1"/>
      <w:r>
        <w:rPr>
          <w:rFonts w:hint="eastAsia" w:ascii="黑体" w:hAnsi="黑体" w:eastAsia="黑体"/>
          <w:b/>
          <w:sz w:val="32"/>
          <w:szCs w:val="32"/>
        </w:rPr>
        <w:t>三、主要内容及措施</w:t>
      </w:r>
      <w:bookmarkEnd w:id="825"/>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（一）加强学生思想政治教育，激发学生学习动力</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1.开展行之有效的思想教育工作</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（1）发挥思想教育的引导、推动和育人作用</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通过思想引导和价值观念的渗透，引导学生树立正确的价值取向，树立正确的学习观和积极进取的人生态度，帮助学生树立自主学习的意识。良好的学习氛围需要通过一定的思想教育活动，促进精神环境和物质环境的建设，从而影响并引导人们的思想和行为朝着预设的方向发展。因此，要针对学生中存在的学习目的不明确、学习动力不足、学习积极性不高等问题，结合高职学生的认知特点及认知规律，采取适合学生特点、学生喜闻乐见的多种形式，包括主题班会，先进人物报告会等，开展行之有效的思想政治工作，充分发挥思想教育工作对学风建设的引导、推动和育人作用。</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（2）发挥辅导员的引领及学生党员的先锋模范作用</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要发挥辅导员在思想教育工作中的引导作用。辅导员是大学生的引路人，是大学生思想教育的主力军，要做到德育为先，育人为本，就应当要把工作的重心放到学生成长成才的全过程。</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学生党员、学生干部是学生工作的骨干力量，要充分发挥他们在学风建设中的桥梁与纽带作用。同时，要发挥学生党员的先锋模范作用，用他们的行为去影响和帮助同学，实现学生自我教育、自我管理、自我服务，促进学风建设的健康发展。</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2.发挥榜样的引领示范作用</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发挥榜样的价值导向作用。要善于及时发掘身边的学习榜样，选拔“思想表现好、学习成绩优良、综合素质高、实践（动手）能力强”的同学作为榜样，榜样的选取要尊重学生的多样性和多层次需求，让榜样可亲可敬可信。</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榜样教育要接地气。更好地发挥榜样教育和激励作用，使学生通过榜样的潜移默化的影响，使学生不断感受到榜样的力量，明确学习目标，增强学习的内动力，树立勤于学习、善于学习、终身学习的观念，培养学生良好的学习及行为习惯。</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（二）扎实有效地开展专业入门教育</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1.提高学生对专业的认知</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专业入门教育的根本目标，是提高学生对专业的认识、对专业的兴趣、对专业的热爱，增强学生专业的荣誉感和对专业的认同度，是坚定学生专业学习的前提与基础。因此，二级学院要高度重视专业入门教育，结合本院及学生的实际，制定专业入门教育计划，明确专业培养目标、专业主干课程，专业核心课程，职业资格证要求，就业与发展岗位群、实训条件及专业学习的安全要求等，引导学生端正学习态度，增强学习的内在动力，激发学生专业学习的积极性、主动性。</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2.开展新生学情调研</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学校的教学活动不是教师单方的活动，需要教师与学生的互动交流来完成的，教学活动成功与否，更多的是要看学生在教学活动中是否能够积极主动地学习，是否能够有效地吸收和运用知识。因此，教师在进行教学活动时，除了要研究教材，还要研究学生。教师要研究学生的知识基础，能力水平，还要研究学生的可接受性，以提高教学效果。要建立新生学情调研分析制度，了解和掌握新生的学业基础、学习习惯、学习目标和学业困惑，有针对性地开展大学学习适应教育。专业入门教育要根据学生的认知特点和认知规律，根据专业人才培养目标和未来就业方向，结合行业产业发展实际及学生未来职业岗位要求进行。</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（三）加强教师思想政治工作和师德师风建设</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1.加强教师思想政治工作</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加强教师政治理论学习，强化理想信念教育，引导教师坚持正确的政治方向，准确把握和践行社会主义核心价值观，进一步坚定道路自信、理论自信、制度自信和文化自信。以基层党建创新带动教师思想政治工作，把思想政治建设作为开展党内政治生活的核心任务，充分发挥基层教师党支部的黏合剂作用，助力教师专业能力提升和思想政治素养提升。强化教师党员的表率作用，加强教师党员教育培训，充分发挥教师党员在政治思想、职业道德、职业素养、学科发展、教学科研等方面的表率作用。</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2.加强教师师德师风建设</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 xml:space="preserve">（1）加强教师的师德师风建设。把师德师风建设摆在更加突出的位置，不断完善机制、创新方法，努力促进教师队伍职业道德水平的全面提升，要做到率先垂范和言传身教，最终实现优良的师德师风来带动学风进步。 </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 xml:space="preserve">（2）加强辅导员的师德师风建设。建设一支具有马克思主义理论素养、政治过硬、业务精湛、作风优良的专职辅导员队伍，促进良好学风的形成。 </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（四）强化教学管理，规范教学行为</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1.加强课堂教学管理</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教师应当以课堂教学或实践教学为切入点，发挥在学风建设中的主导及核心作用；任课教师是课堂纪律的第一责任人，要加强课堂管理，提高课堂教学质量，严格管控课堂秩序，狠抓旷课和上课迟到、早退等现象，保证到课率；对于上课时间玩手机、吃早餐、睡觉以及沉迷网络游戏等不良现象，任课老师要及时批评指正。</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2.遵循学生认知特点，因材施教</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 xml:space="preserve">深化教学改革与课程改革，合理设计教学计划、改进教学方法，增强教学过程中学生的参与性和师生的互动性，引导学生明确学习的目标，提高学习的兴趣和热情，注重培养学生实际动手能力，形成有利于知识传授和人才培养的新模式；任课教师要根据不同层次学生的特点及认知规律，不断改进教学方法，科学设定课程目标要求，因材施教，因人施教。 </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3.完善教考分离制度</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考试是教育教学工作的重要环节，是对教师的教与学生的学的客观评价。教考分离有利于教学考核的公平、公正，有利于教学评价的科学、有效，有利于教风、学风的根本好转。通过考来提高教的水平，通过考来提升学生的学习动力，使考试服务于教学，从而有效地提高教学质量，能有效地指导学生学，引导教师教的目的。</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（五）完善学业帮扶体系</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1.开展学情调研</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导致学生学习困难的因素是多方面的，归结起来主要是主观因素和客观因素两方面。主观方面的因素主要有：学习目的不明确、学习缺乏主动性积极性；客观方面的因素主要有：学习基础、学习方法、心理、经济等多方面的因素，因此，各二级学院、各班级要认真开展调研，了解导致学生学习困难的具体原因。</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2.采取有效的帮扶措施</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要根据学习困难学生的实际，针对学业困难、家庭经济困难、少数民族等不同群体学生需求，进行分类引导和帮扶。针对导致其学习困难的具体原因，制定具体的学习帮扶计划；既要注重学习困难学生群体的帮扶，也要特别关注学习困难学生的个性化帮扶需求；把学业帮扶与心理帮扶、思想帮扶、经济帮扶结合起来，要创造条件构建学生网上学习资源平台，设立学习互动场所，组建学生学习兴趣社团，开展小型多样的学习交流活动。</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3.完善学业预警制度</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完善学业预警制度，建立学业预警动态持续的档案资料。本着以学生为中心的原则，建立学校、学生、家长三位一体的预警机制，及早关注学业困难的学生，了解问题之所在，对预警学生进行教育引导，分析其在学习和生活中出现的不良情况，切实引导帮助学生解决学习过程中遇到的困难，改变学习中的不良习惯，以充分的耐心关怀帮助他们。</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（六）加强学生日常管理</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发挥班级在日常管理中的作用，加强优良班风建设，完善先进班集体建设指标体系，加大对班级学风建设的考核力度。鼓励二级学院开展早锻炼，在新生阶段开展晚自习制度；加强宿舍学生行为管理，晚归管理，完善宿舍评优制度。组建校院两级校园行为规范督察队伍，按区域划分责任区，加强校园学生行为规范督察。</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（七）抓好班级建设</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1.发挥各级组织在班级建设中的作用</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班级是学校学风建设的基本单元，要以创建“先进班级”为契机，二级学院要加强对班级学风建设工作的领导，辅导员、专业班主任要加强对班级学风工作的具体指导，要充分发挥学生党员、入党积极分子、学生干部在班级学风建设中的骨干和示范作用，发挥班委会、团支部在学风建设中的战斗堡垒作用，充分发挥各级团学组织的“自我教育、自我管理、自我服务”作用。</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2.构建班级学风建设的长效机制</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班级学风建设的主要目标在于营造良好的班级育人学习环境，培养学生良好的行为习惯。其主要内容重在维持课堂教学和学习纪律，宿舍文化建设，主要体现为不迟到、不旷课、不早退。因此，班级学风建设应当确立明确的目标，建立班级学风建设相关制度，引入量化考核制度，将考勤与综合素质评价相结合。</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组织引导学生制定个人的学习计划，结合学生的学习、生活、思想，引导和带领学生建设班级目标。组织学生制定个人的学习计划，加大对学生上课、自习、早锻炼、晚归的考勤和检查力度；开展丰富多彩、健康有益的班级活动，创建求知上进、生动活泼、团结互助、争先创优的良好班风。</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（八）抓好学生公寓管理</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1.思想教育进公寓</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学生在校有三分之一的时间是在公寓度过的，公寓是学生学习、生活、交友的重要阵地，公寓环境秩序对学生的影响是潜移默化的，因此，学校各部门、二级学院要推进辅导员进公寓、学生党团组织进公寓、思想政治教育进公寓、学生自律组织进公寓、校园文化建设进公寓活动；要加大对学生宿舍的检查与治理，重点解决存在的睡懒觉、沉迷网络、违章使用违规电器以及脏乱差的现象。</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2.把公寓作为精神文明建设的重要阵地</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学校各部门、二级学院党团组织要立足学生公寓这一阵地，组织开展形式多样的活动，丰富学生的课余生活，营造健康文明的公寓文化，陶冶学生情操，把学生公寓作为精神文明建设的重要阵地。要定期组织开展具有公寓特色的思想教育、校园文化科技活动。开展“党团员示范宿舍”“党团员示范园区”“大学生志愿者服务”“文明宿舍”等树立宿舍榜样等活动，营造团结进取、互助和谐的人际环境，培养学生良好的学习和生活习惯，营造良好的学习氛围，树立公寓文明新风尚，促进优良学风的形成。</w:t>
      </w:r>
    </w:p>
    <w:p>
      <w:pPr>
        <w:pageBreakBefore w:val="0"/>
        <w:kinsoku/>
        <w:overflowPunct/>
        <w:topLinePunct w:val="0"/>
        <w:bidi w:val="0"/>
        <w:spacing w:line="596" w:lineRule="exact"/>
        <w:ind w:firstLine="630" w:firstLineChars="200"/>
        <w:outlineLvl w:val="9"/>
        <w:rPr>
          <w:rFonts w:ascii="黑体" w:hAnsi="黑体" w:eastAsia="黑体"/>
          <w:b/>
          <w:sz w:val="32"/>
          <w:szCs w:val="32"/>
        </w:rPr>
      </w:pPr>
      <w:bookmarkStart w:id="826" w:name="_Toc4311_WPSOffice_Level1"/>
      <w:r>
        <w:rPr>
          <w:rFonts w:hint="eastAsia" w:ascii="黑体" w:hAnsi="黑体" w:eastAsia="黑体"/>
          <w:b/>
          <w:sz w:val="32"/>
          <w:szCs w:val="32"/>
        </w:rPr>
        <w:t>四、保障机制</w:t>
      </w:r>
      <w:bookmarkEnd w:id="826"/>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（一）加强领导，统筹兼顾</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学风建设不仅是学生的事，也是教师的事；不仅是二级学院的事，也是学校各级职能部门的事，学风建设是一项复杂的系统工程，良好学风的形成有赖于学校各部门的积极配合和多种举措的落实。因此，学校要把学风建设提高到关系学校生存和发展的高度来认识，加强思想教育，建立和完善学风建设制度，把学风建设作为学校的一项经常性重点工作来抓。</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学校领导、各职能部门领导、二级学院领导要高度重视学风建设，要将学风建设工作常规化，摆在更加突出的位置，突出学风建设在学生思想政治工作中的重要性；学校成立校、院两级学风建设领导小组，统筹安排和协调全校及二级学院的学风建设工作。督促和协调广大师生积极参与学风建设，以教风带动学风，以管理促进学风，以服务护助学风，以环境养育学风，形成齐抓共管，全员育人的良好局面。</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（二）建立学风建设责任制</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1.落实学风建设目标责任制</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学风建设是一项长期的工作，二级学院领导是学风建设的第一责任人，同时要落实具体的分管领导，要把学风建设工作列入学院工作的重要内容，落实具体的建设目标，完善目标责任制，落实问责机制；二级学院领导每学期至少要召开一次专题研究学风建设的工作会议。</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2.完善学风建设方案</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学院教学与学生工作部门每月要召开一次学风建设情况通报或研讨会议；教学与学生工作部门相互协调，并根据学校学风建设指导意见的精神，结合本学院实际，制定和完善本学院学风建设具体实施方案，落实具体的学风检查措施，使学风检查制度化、常态化。</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（三）完善学风建设机制</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1.学风建设是一项系统工程，要构建学校统一领导，相关部门和各二级学院齐抓共管、全校师生共同参与的工作机制，形成学风建设的合力。</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2.党委宣传部主要负责师德师风建设及校园文化建设，围绕学风建设加强舆论引导，以师德师风建设带动学风建设。</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3.教务与实训管理处主要负责教学改革和教学管理，抓好教风，协同党委宣传部开展师德建设。</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4.党委学生工作部主要负责辅导员的队伍建设以及学生的教育引导和行为管理。</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5.团委主要负责组织校园文化活动，营造积极向上的氛围。</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6.马克思主义学院主要负责“三全育人”活动的开展，协同党委宣传部、教务与实训管理处开展师德建设和教风建设。</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7.各二级学院作为学风建设的直接责任单位，全面负责本学院的学风建设工作；辅导员是班级学风建设的第一责任人，全面负责班级的学风建设工作。</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（四）激励措施</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1.完善先进班级、先进团支部、学生党支部考核评比办法，把学风建设成效作为考核的主要条件之一。</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2.完善二级学院教学及学生工作考核评价办法，把学风建设的成效，作为二级学院教学及学生工作考核评价的一项重要的考核指标。</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3.完善学生综合素质评价办法，探索和完善符合高职办学特点和人才培养规律的学生考评指标体系。</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4.每学年度对于在学风建设工作中作出突出贡献的集体，给予表彰和奖励；对在学风建设中取得显著成效的个人，列入其工作业绩考核，给予表彰和奖励。</w:t>
      </w:r>
    </w:p>
    <w:p>
      <w:pPr>
        <w:pageBreakBefore w:val="0"/>
        <w:kinsoku/>
        <w:overflowPunct/>
        <w:topLinePunct w:val="0"/>
        <w:bidi w:val="0"/>
        <w:spacing w:line="596" w:lineRule="exact"/>
        <w:ind w:firstLine="630" w:firstLineChars="200"/>
        <w:outlineLvl w:val="9"/>
        <w:rPr>
          <w:rFonts w:ascii="黑体" w:hAnsi="黑体" w:eastAsia="黑体"/>
          <w:b/>
          <w:sz w:val="32"/>
          <w:szCs w:val="32"/>
        </w:rPr>
      </w:pPr>
      <w:bookmarkStart w:id="827" w:name="_Toc1825_WPSOffice_Level1"/>
      <w:r>
        <w:rPr>
          <w:rFonts w:hint="eastAsia" w:ascii="黑体" w:hAnsi="黑体" w:eastAsia="黑体"/>
          <w:b/>
          <w:sz w:val="32"/>
          <w:szCs w:val="32"/>
        </w:rPr>
        <w:t>五、考核与评价</w:t>
      </w:r>
      <w:bookmarkEnd w:id="827"/>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楷体_GB2312" w:eastAsia="楷体_GB2312"/>
          <w:b/>
          <w:sz w:val="32"/>
          <w:szCs w:val="32"/>
        </w:rPr>
        <w:t>（一）建立二级学院学风建设监督、考核与评价制度</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 xml:space="preserve">由校学生工作处负责制订完善二级学院学风建设考核与评价办法，每学期进行一次考核与评价；把学风建设作为评价教学工作与学生工作的重要内容；将班级、宿舍学风建设的开展情况与二级学院的教学、团学工作考评相结合；把优良学风作为分团委、先进班集体、团支部考核的主要条件；将课堂教学效果评价及课堂纪律情况列入教师、辅导员工作业绩考核。 </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（二）建立班级及宿舍考核评价制度</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二级学院要根据本院的实际，制订完善班级及宿舍考核评价制度，实行过程管理，开展经常性的教风、学风督查，完善督查通报制度，及时把握动态，加强对学风建设工作和效果的考核。</w:t>
      </w:r>
    </w:p>
    <w:p>
      <w:pPr>
        <w:pageBreakBefore w:val="0"/>
        <w:kinsoku/>
        <w:overflowPunct/>
        <w:topLinePunct w:val="0"/>
        <w:bidi w:val="0"/>
        <w:spacing w:line="596" w:lineRule="exact"/>
        <w:ind w:firstLine="630" w:firstLineChars="200"/>
        <w:outlineLvl w:val="9"/>
        <w:rPr>
          <w:rFonts w:ascii="楷体_GB2312" w:eastAsia="楷体_GB2312"/>
          <w:b/>
          <w:sz w:val="32"/>
          <w:szCs w:val="32"/>
        </w:rPr>
      </w:pPr>
      <w:r>
        <w:rPr>
          <w:rFonts w:hint="eastAsia" w:ascii="楷体_GB2312" w:eastAsia="楷体_GB2312"/>
          <w:b/>
          <w:sz w:val="32"/>
          <w:szCs w:val="32"/>
        </w:rPr>
        <w:t>（三）完善师德考核与评价制度</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1.建立教师师德考核与评价制度</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把教师的职责、师德规范的主要内容具体化。把教师师德师风的表现、教育教学的成效与教师的绩效考核、职务晋升结合起来，引导教师努力钻研业务，研究教育教学方法，探索教学规律，提高课堂教学对学生的吸引力，使教师成为“知识的传授者”和“学生成才的引导者”。</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2.建立辅导员考核与评价制度</w:t>
      </w:r>
    </w:p>
    <w:p>
      <w:pPr>
        <w:pageBreakBefore w:val="0"/>
        <w:kinsoku/>
        <w:overflowPunct/>
        <w:topLinePunct w:val="0"/>
        <w:bidi w:val="0"/>
        <w:spacing w:line="596" w:lineRule="exact"/>
        <w:ind w:firstLine="630" w:firstLineChars="200"/>
        <w:outlineLvl w:val="9"/>
        <w:rPr>
          <w:rFonts w:ascii="仿宋_GB2312" w:eastAsia="仿宋_GB2312"/>
          <w:sz w:val="32"/>
          <w:szCs w:val="32"/>
        </w:rPr>
      </w:pPr>
      <w:r>
        <w:rPr>
          <w:rFonts w:hint="eastAsia" w:ascii="仿宋_GB2312" w:eastAsia="仿宋_GB2312"/>
          <w:sz w:val="32"/>
          <w:szCs w:val="32"/>
        </w:rPr>
        <w:t>把辅导员的职责具体化，辅导员师德师风规范具体化，把辅导员所带班级的学风建设成效与辅导员的绩效考核、辅导员的职务晋升结合起来，引导辅导员不断提升马克思主义理论素养，成为学生学习、生活上的导师，思想上的引路人。</w:t>
      </w:r>
    </w:p>
    <w:p>
      <w:pPr>
        <w:pageBreakBefore w:val="0"/>
        <w:kinsoku/>
        <w:overflowPunct/>
        <w:topLinePunct w:val="0"/>
        <w:bidi w:val="0"/>
        <w:spacing w:line="20" w:lineRule="exact"/>
        <w:outlineLvl w:val="9"/>
        <w:rPr>
          <w:rFonts w:ascii="仿宋_GB2312" w:eastAsia="仿宋_GB2312"/>
          <w:szCs w:val="28"/>
        </w:rPr>
      </w:pPr>
    </w:p>
    <w:p>
      <w:pPr>
        <w:pageBreakBefore w:val="0"/>
        <w:widowControl/>
        <w:kinsoku/>
        <w:overflowPunct/>
        <w:topLinePunct w:val="0"/>
        <w:bidi w:val="0"/>
        <w:jc w:val="left"/>
        <w:outlineLvl w:val="9"/>
        <w:rPr>
          <w:rFonts w:ascii="仿宋_GB2312" w:eastAsia="仿宋_GB2312"/>
          <w:bCs/>
          <w:sz w:val="32"/>
          <w:szCs w:val="32"/>
        </w:rPr>
      </w:pPr>
      <w:r>
        <w:rPr>
          <w:rFonts w:ascii="仿宋_GB2312" w:eastAsia="仿宋_GB2312"/>
          <w:bCs/>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828" w:name="_Toc882"/>
      <w:bookmarkStart w:id="829" w:name="_Toc11500"/>
      <w:bookmarkStart w:id="830" w:name="_Toc22047"/>
      <w:bookmarkStart w:id="831" w:name="_Toc30768"/>
      <w:bookmarkStart w:id="832" w:name="_Toc12192"/>
      <w:bookmarkStart w:id="833" w:name="_Toc11729_WPSOffice_Level1"/>
      <w:r>
        <w:rPr>
          <w:rFonts w:hint="eastAsia"/>
          <w:b/>
          <w:color w:val="000000"/>
          <w:sz w:val="36"/>
          <w:szCs w:val="36"/>
        </w:rPr>
        <w:t>柳州职业技术学院学生工作年度考核办法</w:t>
      </w:r>
      <w:bookmarkEnd w:id="828"/>
      <w:bookmarkEnd w:id="829"/>
      <w:bookmarkEnd w:id="830"/>
      <w:bookmarkEnd w:id="831"/>
      <w:bookmarkEnd w:id="832"/>
      <w:bookmarkEnd w:id="833"/>
    </w:p>
    <w:p>
      <w:pPr>
        <w:pageBreakBefore w:val="0"/>
        <w:widowControl/>
        <w:kinsoku/>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柳职院学字〔2021〕54号)</w:t>
      </w:r>
    </w:p>
    <w:p>
      <w:pPr>
        <w:pageBreakBefore w:val="0"/>
        <w:kinsoku/>
        <w:overflowPunct/>
        <w:topLinePunct w:val="0"/>
        <w:bidi w:val="0"/>
        <w:jc w:val="center"/>
        <w:outlineLvl w:val="9"/>
        <w:rPr>
          <w:szCs w:val="28"/>
        </w:rPr>
      </w:pP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为深入贯彻中共中央、国务院《关于进一步加强和改进大学生思想政治教育的意见》</w:t>
      </w:r>
      <w:r>
        <w:rPr>
          <w:rFonts w:hint="eastAsia" w:ascii="仿宋_GB2312" w:eastAsia="仿宋_GB2312"/>
          <w:sz w:val="32"/>
          <w:szCs w:val="32"/>
        </w:rPr>
        <w:t>(中发〔2004〕16号文)</w:t>
      </w:r>
      <w:r>
        <w:rPr>
          <w:rFonts w:ascii="仿宋_GB2312" w:eastAsia="仿宋_GB2312"/>
          <w:sz w:val="32"/>
          <w:szCs w:val="32"/>
        </w:rPr>
        <w:t> </w:t>
      </w:r>
      <w:r>
        <w:rPr>
          <w:rFonts w:hint="eastAsia" w:ascii="仿宋_GB2312" w:hAnsi="宋体" w:eastAsia="仿宋_GB2312"/>
          <w:bCs/>
          <w:sz w:val="32"/>
          <w:szCs w:val="32"/>
        </w:rPr>
        <w:t>的精神，进一步加强和提高学生思想教育工作和管理水平，着力构建“三全育人”工作体系，实现学生工作科学化、规范化、制度化，提高我校学生工作的整体水平，更好地为学生成长成才服务。特制定本考核办法。</w:t>
      </w:r>
    </w:p>
    <w:p>
      <w:pPr>
        <w:pageBreakBefore w:val="0"/>
        <w:kinsoku/>
        <w:overflowPunct/>
        <w:topLinePunct w:val="0"/>
        <w:bidi w:val="0"/>
        <w:spacing w:line="580" w:lineRule="exact"/>
        <w:ind w:firstLine="630" w:firstLineChars="200"/>
        <w:outlineLvl w:val="9"/>
        <w:rPr>
          <w:rFonts w:ascii="黑体" w:hAnsi="宋体" w:eastAsia="黑体"/>
          <w:b/>
          <w:bCs/>
          <w:sz w:val="32"/>
          <w:szCs w:val="32"/>
        </w:rPr>
      </w:pPr>
      <w:bookmarkStart w:id="834" w:name="_Toc17095_WPSOffice_Level1"/>
      <w:r>
        <w:rPr>
          <w:rFonts w:hint="eastAsia" w:ascii="黑体" w:hAnsi="宋体" w:eastAsia="黑体"/>
          <w:b/>
          <w:bCs/>
          <w:sz w:val="32"/>
          <w:szCs w:val="32"/>
        </w:rPr>
        <w:t>一、考核目的</w:t>
      </w:r>
      <w:bookmarkEnd w:id="834"/>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考核旨在以评促建，以评促改，以评促管，以评促效，充分调动和激发二级学院开展学生工作的积极性、主动性与创造性，推动我校学生工作上台阶，上水平。</w:t>
      </w:r>
    </w:p>
    <w:p>
      <w:pPr>
        <w:pageBreakBefore w:val="0"/>
        <w:kinsoku/>
        <w:overflowPunct/>
        <w:topLinePunct w:val="0"/>
        <w:bidi w:val="0"/>
        <w:spacing w:line="580" w:lineRule="exact"/>
        <w:ind w:firstLine="630" w:firstLineChars="200"/>
        <w:outlineLvl w:val="9"/>
        <w:rPr>
          <w:rFonts w:ascii="黑体" w:hAnsi="宋体" w:eastAsia="黑体"/>
          <w:b/>
          <w:bCs/>
          <w:sz w:val="32"/>
          <w:szCs w:val="32"/>
        </w:rPr>
      </w:pPr>
      <w:bookmarkStart w:id="835" w:name="_Toc14272_WPSOffice_Level1"/>
      <w:r>
        <w:rPr>
          <w:rFonts w:hint="eastAsia" w:ascii="黑体" w:hAnsi="宋体" w:eastAsia="黑体"/>
          <w:b/>
          <w:bCs/>
          <w:sz w:val="32"/>
          <w:szCs w:val="32"/>
        </w:rPr>
        <w:t>二、考核内容及标准</w:t>
      </w:r>
      <w:bookmarkEnd w:id="835"/>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（一）考核内容包括“领导重视、思想政治教育、辅导员队伍建设、学风建设、日常管理、资助管理、心理健康教育、学生获奖情况、共青团工作、特色创新工作”等十个项目。</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（二）考核总分为100分，具体考核管理办法参照当年的《柳州职业技术学院学生工作年度考核指标》。</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（三）具有下列情况之一者，实行评优一票否决：</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1.安全稳定重大隐患未能及时发现，造成严重后果的；</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2.问题发生后不能及时处理或处理不当，导致事态升级，造成恶劣后果的；</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3.不按学校要求进行学生安全教育，学生发生重大人身伤亡（病故，意外交通事故伤亡、不可抗拒的自然灾害的伤亡除外）或刑事案件的；</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4.学生不良行为在媒体曝光，造成恶劣社会影响的；</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5.发生学生群体事件，产生恶劣影响的；</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6.由于违规使用大功率电器、私拉电源等引起火灾或事故的；</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7.学校认定的其他严重问题。</w:t>
      </w:r>
    </w:p>
    <w:p>
      <w:pPr>
        <w:pageBreakBefore w:val="0"/>
        <w:kinsoku/>
        <w:overflowPunct/>
        <w:topLinePunct w:val="0"/>
        <w:bidi w:val="0"/>
        <w:spacing w:line="580" w:lineRule="exact"/>
        <w:ind w:firstLine="630" w:firstLineChars="200"/>
        <w:outlineLvl w:val="9"/>
        <w:rPr>
          <w:rFonts w:ascii="黑体" w:hAnsi="宋体" w:eastAsia="黑体"/>
          <w:b/>
          <w:bCs/>
          <w:sz w:val="32"/>
          <w:szCs w:val="32"/>
        </w:rPr>
      </w:pPr>
      <w:bookmarkStart w:id="836" w:name="_Toc4214_WPSOffice_Level1"/>
      <w:r>
        <w:rPr>
          <w:rFonts w:hint="eastAsia" w:ascii="黑体" w:hAnsi="宋体" w:eastAsia="黑体"/>
          <w:b/>
          <w:bCs/>
          <w:sz w:val="32"/>
          <w:szCs w:val="32"/>
        </w:rPr>
        <w:t>三、考核原则</w:t>
      </w:r>
      <w:bookmarkEnd w:id="836"/>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学生工作考核指标是反映二级学院学生工作整体水平的主要内容和关键环节，考核采取量化考核方式，考核工作坚持公开、公平、公正的原则。</w:t>
      </w:r>
    </w:p>
    <w:p>
      <w:pPr>
        <w:pageBreakBefore w:val="0"/>
        <w:kinsoku/>
        <w:overflowPunct/>
        <w:topLinePunct w:val="0"/>
        <w:bidi w:val="0"/>
        <w:spacing w:line="580" w:lineRule="exact"/>
        <w:ind w:firstLine="630" w:firstLineChars="200"/>
        <w:outlineLvl w:val="9"/>
        <w:rPr>
          <w:rFonts w:ascii="黑体" w:hAnsi="宋体" w:eastAsia="黑体"/>
          <w:b/>
          <w:bCs/>
          <w:sz w:val="32"/>
          <w:szCs w:val="32"/>
        </w:rPr>
      </w:pPr>
      <w:bookmarkStart w:id="837" w:name="_Toc9703_WPSOffice_Level1"/>
      <w:r>
        <w:rPr>
          <w:rFonts w:hint="eastAsia" w:ascii="黑体" w:hAnsi="宋体" w:eastAsia="黑体"/>
          <w:b/>
          <w:bCs/>
          <w:sz w:val="32"/>
          <w:szCs w:val="32"/>
        </w:rPr>
        <w:t>四、考核方式</w:t>
      </w:r>
      <w:bookmarkEnd w:id="837"/>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考核工作由学校统一部署，由学生工作处组织实施。</w:t>
      </w:r>
    </w:p>
    <w:p>
      <w:pPr>
        <w:pageBreakBefore w:val="0"/>
        <w:kinsoku/>
        <w:overflowPunct/>
        <w:topLinePunct w:val="0"/>
        <w:bidi w:val="0"/>
        <w:spacing w:line="580" w:lineRule="exact"/>
        <w:ind w:firstLine="630" w:firstLineChars="200"/>
        <w:outlineLvl w:val="9"/>
        <w:rPr>
          <w:rFonts w:ascii="黑体" w:hAnsi="宋体" w:eastAsia="黑体"/>
          <w:b/>
          <w:bCs/>
          <w:sz w:val="32"/>
          <w:szCs w:val="32"/>
        </w:rPr>
      </w:pPr>
      <w:bookmarkStart w:id="838" w:name="_Toc29577_WPSOffice_Level1"/>
      <w:r>
        <w:rPr>
          <w:rFonts w:hint="eastAsia" w:ascii="黑体" w:hAnsi="宋体" w:eastAsia="黑体"/>
          <w:b/>
          <w:bCs/>
          <w:sz w:val="32"/>
          <w:szCs w:val="32"/>
        </w:rPr>
        <w:t>五、考核程序</w:t>
      </w:r>
      <w:bookmarkEnd w:id="838"/>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考核每年进行一次，各二级学院自评应在当年12月中旬完成，学校考核在当年12月底前完成。</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一）二级学院自评。各二级学院根据考核指标、内容，坚持全面、客观、准确的原则，实事求是地组织自评，填报自评表，必要时附上相关佐证材料，按时报送学生工作处；二级学院自评分仅作为考核的参考依据。</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（二）学校考核。学生工作处参照二级学院自评情况，通过工作汇报、查阅材料等方式进行考评，考核结果报学校审定。</w:t>
      </w:r>
    </w:p>
    <w:p>
      <w:pPr>
        <w:pageBreakBefore w:val="0"/>
        <w:kinsoku/>
        <w:overflowPunct/>
        <w:topLinePunct w:val="0"/>
        <w:bidi w:val="0"/>
        <w:spacing w:line="580" w:lineRule="exact"/>
        <w:ind w:firstLine="630" w:firstLineChars="200"/>
        <w:outlineLvl w:val="9"/>
        <w:rPr>
          <w:rFonts w:ascii="黑体" w:hAnsi="宋体" w:eastAsia="黑体"/>
          <w:b/>
          <w:bCs/>
          <w:sz w:val="32"/>
          <w:szCs w:val="32"/>
        </w:rPr>
      </w:pPr>
      <w:bookmarkStart w:id="839" w:name="_Toc23217_WPSOffice_Level1"/>
      <w:r>
        <w:rPr>
          <w:rFonts w:hint="eastAsia" w:ascii="黑体" w:hAnsi="宋体" w:eastAsia="黑体"/>
          <w:b/>
          <w:bCs/>
          <w:sz w:val="32"/>
          <w:szCs w:val="32"/>
        </w:rPr>
        <w:t>六、奖惩办法</w:t>
      </w:r>
      <w:bookmarkEnd w:id="839"/>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（一）根据考核得分，评定优秀、良好、合格、基本合格和不合格五个等级，具体如下：</w:t>
      </w:r>
    </w:p>
    <w:tbl>
      <w:tblPr>
        <w:tblStyle w:val="14"/>
        <w:tblW w:w="9330" w:type="dxa"/>
        <w:tblInd w:w="0" w:type="dxa"/>
        <w:tblLayout w:type="fixed"/>
        <w:tblCellMar>
          <w:top w:w="0" w:type="dxa"/>
          <w:left w:w="108" w:type="dxa"/>
          <w:bottom w:w="0" w:type="dxa"/>
          <w:right w:w="108" w:type="dxa"/>
        </w:tblCellMar>
      </w:tblPr>
      <w:tblGrid>
        <w:gridCol w:w="1221"/>
        <w:gridCol w:w="1417"/>
        <w:gridCol w:w="1775"/>
        <w:gridCol w:w="236"/>
        <w:gridCol w:w="1705"/>
        <w:gridCol w:w="1700"/>
        <w:gridCol w:w="1276"/>
      </w:tblGrid>
      <w:tr>
        <w:tblPrEx>
          <w:tblLayout w:type="fixed"/>
          <w:tblCellMar>
            <w:top w:w="0" w:type="dxa"/>
            <w:left w:w="108" w:type="dxa"/>
            <w:bottom w:w="0" w:type="dxa"/>
            <w:right w:w="108" w:type="dxa"/>
          </w:tblCellMar>
        </w:tblPrEx>
        <w:trPr>
          <w:trHeight w:val="624" w:hRule="atLeast"/>
        </w:trPr>
        <w:tc>
          <w:tcPr>
            <w:tcW w:w="1221"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jc w:val="center"/>
              <w:outlineLvl w:val="9"/>
              <w:rPr>
                <w:rFonts w:ascii="仿宋_GB2312" w:eastAsia="仿宋_GB2312" w:cs="Arial" w:hAnsiTheme="minorEastAsia"/>
                <w:b/>
                <w:kern w:val="0"/>
                <w:szCs w:val="21"/>
              </w:rPr>
            </w:pPr>
            <w:r>
              <w:rPr>
                <w:rFonts w:hint="eastAsia" w:ascii="仿宋_GB2312" w:eastAsia="仿宋_GB2312" w:cs="Arial" w:hAnsiTheme="minorEastAsia"/>
                <w:b/>
                <w:kern w:val="0"/>
                <w:szCs w:val="21"/>
              </w:rPr>
              <w:t>考核</w:t>
            </w:r>
          </w:p>
          <w:p>
            <w:pPr>
              <w:pageBreakBefore w:val="0"/>
              <w:widowControl/>
              <w:kinsoku/>
              <w:overflowPunct/>
              <w:topLinePunct w:val="0"/>
              <w:bidi w:val="0"/>
              <w:jc w:val="center"/>
              <w:outlineLvl w:val="9"/>
              <w:rPr>
                <w:rFonts w:ascii="仿宋_GB2312" w:eastAsia="仿宋_GB2312" w:cs="Arial" w:hAnsiTheme="minorEastAsia"/>
                <w:b/>
                <w:kern w:val="0"/>
                <w:szCs w:val="21"/>
              </w:rPr>
            </w:pPr>
            <w:r>
              <w:rPr>
                <w:rFonts w:hint="eastAsia" w:ascii="仿宋_GB2312" w:eastAsia="仿宋_GB2312" w:cs="Arial" w:hAnsiTheme="minorEastAsia"/>
                <w:b/>
                <w:kern w:val="0"/>
                <w:szCs w:val="21"/>
              </w:rPr>
              <w:t>得分</w:t>
            </w:r>
          </w:p>
        </w:tc>
        <w:tc>
          <w:tcPr>
            <w:tcW w:w="1417"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jc w:val="center"/>
              <w:outlineLvl w:val="9"/>
              <w:rPr>
                <w:rFonts w:ascii="仿宋_GB2312" w:eastAsia="仿宋_GB2312" w:cs="Arial" w:hAnsiTheme="minorEastAsia"/>
                <w:kern w:val="0"/>
                <w:szCs w:val="21"/>
              </w:rPr>
            </w:pPr>
            <w:r>
              <w:rPr>
                <w:rFonts w:hint="eastAsia" w:ascii="仿宋_GB2312" w:eastAsia="仿宋_GB2312" w:hAnsiTheme="minorEastAsia"/>
                <w:szCs w:val="21"/>
              </w:rPr>
              <w:t>总得分≥90</w:t>
            </w:r>
          </w:p>
        </w:tc>
        <w:tc>
          <w:tcPr>
            <w:tcW w:w="1775"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jc w:val="center"/>
              <w:outlineLvl w:val="9"/>
              <w:rPr>
                <w:rFonts w:ascii="仿宋_GB2312" w:eastAsia="仿宋_GB2312" w:hAnsiTheme="minorEastAsia"/>
                <w:szCs w:val="21"/>
              </w:rPr>
            </w:pPr>
            <w:r>
              <w:rPr>
                <w:rFonts w:hint="eastAsia" w:ascii="仿宋_GB2312" w:eastAsia="仿宋_GB2312" w:hAnsiTheme="minorEastAsia"/>
                <w:szCs w:val="21"/>
              </w:rPr>
              <w:t>80≤总得分＜90</w:t>
            </w:r>
          </w:p>
        </w:tc>
        <w:tc>
          <w:tcPr>
            <w:tcW w:w="236" w:type="dxa"/>
            <w:tcBorders>
              <w:top w:val="single" w:color="auto" w:sz="4" w:space="0"/>
              <w:left w:val="single" w:color="auto" w:sz="4" w:space="0"/>
              <w:bottom w:val="single" w:color="auto" w:sz="4" w:space="0"/>
              <w:right w:val="nil"/>
            </w:tcBorders>
          </w:tcPr>
          <w:p>
            <w:pPr>
              <w:pageBreakBefore w:val="0"/>
              <w:widowControl/>
              <w:kinsoku/>
              <w:overflowPunct/>
              <w:topLinePunct w:val="0"/>
              <w:bidi w:val="0"/>
              <w:jc w:val="center"/>
              <w:outlineLvl w:val="9"/>
              <w:rPr>
                <w:rFonts w:ascii="仿宋_GB2312" w:eastAsia="仿宋_GB2312" w:hAnsiTheme="minorEastAsia"/>
                <w:szCs w:val="21"/>
              </w:rPr>
            </w:pPr>
          </w:p>
        </w:tc>
        <w:tc>
          <w:tcPr>
            <w:tcW w:w="1705"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jc w:val="center"/>
              <w:outlineLvl w:val="9"/>
              <w:rPr>
                <w:rFonts w:ascii="仿宋_GB2312" w:eastAsia="仿宋_GB2312" w:cs="Arial" w:hAnsiTheme="minorEastAsia"/>
                <w:kern w:val="0"/>
                <w:szCs w:val="21"/>
              </w:rPr>
            </w:pPr>
            <w:r>
              <w:rPr>
                <w:rFonts w:hint="eastAsia" w:ascii="仿宋_GB2312" w:eastAsia="仿宋_GB2312" w:hAnsiTheme="minorEastAsia"/>
                <w:szCs w:val="21"/>
              </w:rPr>
              <w:t>70≤总得分＜80</w:t>
            </w:r>
          </w:p>
        </w:tc>
        <w:tc>
          <w:tcPr>
            <w:tcW w:w="1700"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jc w:val="center"/>
              <w:outlineLvl w:val="9"/>
              <w:rPr>
                <w:rFonts w:ascii="仿宋_GB2312" w:eastAsia="仿宋_GB2312" w:cs="Arial" w:hAnsiTheme="minorEastAsia"/>
                <w:kern w:val="0"/>
                <w:szCs w:val="21"/>
              </w:rPr>
            </w:pPr>
            <w:r>
              <w:rPr>
                <w:rFonts w:hint="eastAsia" w:ascii="仿宋_GB2312" w:eastAsia="仿宋_GB2312" w:hAnsiTheme="minorEastAsia"/>
                <w:szCs w:val="21"/>
              </w:rPr>
              <w:t>60≤总得分＜70</w:t>
            </w:r>
          </w:p>
        </w:tc>
        <w:tc>
          <w:tcPr>
            <w:tcW w:w="1276"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jc w:val="center"/>
              <w:outlineLvl w:val="9"/>
              <w:rPr>
                <w:rFonts w:ascii="仿宋_GB2312" w:eastAsia="仿宋_GB2312" w:cs="Arial" w:hAnsiTheme="minorEastAsia"/>
                <w:kern w:val="0"/>
                <w:szCs w:val="21"/>
              </w:rPr>
            </w:pPr>
            <w:r>
              <w:rPr>
                <w:rFonts w:hint="eastAsia" w:ascii="仿宋_GB2312" w:eastAsia="仿宋_GB2312" w:hAnsiTheme="minorEastAsia"/>
                <w:szCs w:val="21"/>
              </w:rPr>
              <w:t>总得分＜60</w:t>
            </w:r>
          </w:p>
        </w:tc>
      </w:tr>
      <w:tr>
        <w:tblPrEx>
          <w:tblLayout w:type="fixed"/>
          <w:tblCellMar>
            <w:top w:w="0" w:type="dxa"/>
            <w:left w:w="108" w:type="dxa"/>
            <w:bottom w:w="0" w:type="dxa"/>
            <w:right w:w="108" w:type="dxa"/>
          </w:tblCellMar>
        </w:tblPrEx>
        <w:trPr>
          <w:trHeight w:val="624" w:hRule="atLeast"/>
        </w:trPr>
        <w:tc>
          <w:tcPr>
            <w:tcW w:w="122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jc w:val="center"/>
              <w:outlineLvl w:val="9"/>
              <w:rPr>
                <w:rFonts w:ascii="仿宋_GB2312" w:hAnsi="仿宋" w:eastAsia="仿宋_GB2312" w:cs="Arial"/>
                <w:b/>
                <w:kern w:val="0"/>
                <w:szCs w:val="28"/>
              </w:rPr>
            </w:pPr>
            <w:r>
              <w:rPr>
                <w:rFonts w:hint="eastAsia" w:ascii="仿宋_GB2312" w:hAnsi="仿宋" w:eastAsia="仿宋_GB2312" w:cs="Arial"/>
                <w:b/>
                <w:kern w:val="0"/>
                <w:szCs w:val="28"/>
              </w:rPr>
              <w:t>等级</w:t>
            </w:r>
          </w:p>
        </w:tc>
        <w:tc>
          <w:tcPr>
            <w:tcW w:w="1417"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napToGrid w:val="0"/>
              <w:jc w:val="center"/>
              <w:outlineLvl w:val="9"/>
              <w:rPr>
                <w:rFonts w:ascii="仿宋_GB2312" w:hAnsi="仿宋" w:eastAsia="仿宋_GB2312" w:cs="Arial"/>
                <w:b/>
                <w:kern w:val="0"/>
                <w:szCs w:val="28"/>
              </w:rPr>
            </w:pPr>
            <w:r>
              <w:rPr>
                <w:rFonts w:hint="eastAsia" w:ascii="仿宋_GB2312" w:hAnsi="仿宋" w:eastAsia="仿宋_GB2312"/>
                <w:b/>
                <w:szCs w:val="28"/>
              </w:rPr>
              <w:t>优秀</w:t>
            </w:r>
          </w:p>
        </w:tc>
        <w:tc>
          <w:tcPr>
            <w:tcW w:w="1775"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napToGrid w:val="0"/>
              <w:jc w:val="center"/>
              <w:outlineLvl w:val="9"/>
              <w:rPr>
                <w:rFonts w:ascii="仿宋_GB2312" w:hAnsi="仿宋" w:eastAsia="仿宋_GB2312"/>
                <w:b/>
                <w:szCs w:val="28"/>
              </w:rPr>
            </w:pPr>
            <w:r>
              <w:rPr>
                <w:rFonts w:hint="eastAsia" w:ascii="仿宋_GB2312" w:hAnsi="仿宋" w:eastAsia="仿宋_GB2312"/>
                <w:b/>
                <w:szCs w:val="28"/>
              </w:rPr>
              <w:t>良好</w:t>
            </w:r>
          </w:p>
        </w:tc>
        <w:tc>
          <w:tcPr>
            <w:tcW w:w="236" w:type="dxa"/>
            <w:tcBorders>
              <w:top w:val="single" w:color="auto" w:sz="4" w:space="0"/>
              <w:left w:val="single" w:color="auto" w:sz="4" w:space="0"/>
              <w:bottom w:val="single" w:color="auto" w:sz="4" w:space="0"/>
              <w:right w:val="nil"/>
            </w:tcBorders>
          </w:tcPr>
          <w:p>
            <w:pPr>
              <w:pageBreakBefore w:val="0"/>
              <w:widowControl/>
              <w:kinsoku/>
              <w:overflowPunct/>
              <w:topLinePunct w:val="0"/>
              <w:bidi w:val="0"/>
              <w:snapToGrid w:val="0"/>
              <w:jc w:val="center"/>
              <w:outlineLvl w:val="9"/>
              <w:rPr>
                <w:rFonts w:ascii="仿宋_GB2312" w:hAnsi="仿宋" w:eastAsia="仿宋_GB2312"/>
                <w:b/>
                <w:szCs w:val="28"/>
              </w:rPr>
            </w:pPr>
          </w:p>
        </w:tc>
        <w:tc>
          <w:tcPr>
            <w:tcW w:w="1705"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napToGrid w:val="0"/>
              <w:jc w:val="center"/>
              <w:outlineLvl w:val="9"/>
              <w:rPr>
                <w:rFonts w:ascii="仿宋_GB2312" w:hAnsi="仿宋" w:eastAsia="仿宋_GB2312" w:cs="Arial"/>
                <w:b/>
                <w:kern w:val="0"/>
                <w:szCs w:val="28"/>
              </w:rPr>
            </w:pPr>
            <w:r>
              <w:rPr>
                <w:rFonts w:hint="eastAsia" w:ascii="仿宋_GB2312" w:hAnsi="仿宋" w:eastAsia="仿宋_GB2312"/>
                <w:b/>
                <w:szCs w:val="28"/>
              </w:rPr>
              <w:t>合格</w:t>
            </w:r>
          </w:p>
        </w:tc>
        <w:tc>
          <w:tcPr>
            <w:tcW w:w="1700" w:type="dxa"/>
            <w:tcBorders>
              <w:top w:val="single" w:color="auto" w:sz="4" w:space="0"/>
              <w:left w:val="nil"/>
              <w:bottom w:val="single" w:color="auto" w:sz="4" w:space="0"/>
              <w:right w:val="single" w:color="auto" w:sz="4" w:space="0"/>
            </w:tcBorders>
            <w:noWrap/>
            <w:vAlign w:val="center"/>
          </w:tcPr>
          <w:p>
            <w:pPr>
              <w:pageBreakBefore w:val="0"/>
              <w:widowControl/>
              <w:kinsoku/>
              <w:overflowPunct/>
              <w:topLinePunct w:val="0"/>
              <w:bidi w:val="0"/>
              <w:snapToGrid w:val="0"/>
              <w:jc w:val="center"/>
              <w:outlineLvl w:val="9"/>
              <w:rPr>
                <w:rFonts w:ascii="仿宋_GB2312" w:hAnsi="仿宋" w:eastAsia="仿宋_GB2312" w:cs="Arial"/>
                <w:b/>
                <w:kern w:val="0"/>
                <w:szCs w:val="28"/>
              </w:rPr>
            </w:pPr>
            <w:r>
              <w:rPr>
                <w:rFonts w:hint="eastAsia" w:ascii="仿宋_GB2312" w:hAnsi="仿宋" w:eastAsia="仿宋_GB2312"/>
                <w:b/>
                <w:szCs w:val="28"/>
              </w:rPr>
              <w:t>基本合格</w:t>
            </w:r>
          </w:p>
        </w:tc>
        <w:tc>
          <w:tcPr>
            <w:tcW w:w="1276" w:type="dxa"/>
            <w:tcBorders>
              <w:top w:val="single" w:color="auto" w:sz="4" w:space="0"/>
              <w:left w:val="nil"/>
              <w:bottom w:val="single" w:color="auto" w:sz="4" w:space="0"/>
              <w:right w:val="single" w:color="auto" w:sz="4" w:space="0"/>
            </w:tcBorders>
            <w:vAlign w:val="center"/>
          </w:tcPr>
          <w:p>
            <w:pPr>
              <w:pageBreakBefore w:val="0"/>
              <w:widowControl/>
              <w:kinsoku/>
              <w:overflowPunct/>
              <w:topLinePunct w:val="0"/>
              <w:bidi w:val="0"/>
              <w:snapToGrid w:val="0"/>
              <w:jc w:val="center"/>
              <w:outlineLvl w:val="9"/>
              <w:rPr>
                <w:rFonts w:ascii="仿宋_GB2312" w:hAnsi="仿宋" w:eastAsia="仿宋_GB2312" w:cs="Arial"/>
                <w:b/>
                <w:kern w:val="0"/>
                <w:szCs w:val="28"/>
              </w:rPr>
            </w:pPr>
            <w:r>
              <w:rPr>
                <w:rFonts w:hint="eastAsia" w:ascii="仿宋_GB2312" w:hAnsi="仿宋" w:eastAsia="仿宋_GB2312"/>
                <w:b/>
                <w:szCs w:val="28"/>
              </w:rPr>
              <w:t>不合格</w:t>
            </w:r>
          </w:p>
        </w:tc>
      </w:tr>
    </w:tbl>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（二）获得优秀且前20%的二级学院，授予“柳州职业技术学院xx年度学生工作先进单位”荣誉称号并授牌。</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（三）获得优秀且前20%的二级学院，按辅导员奖励绩效总额的1.2系数下拨。</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（四）对于获得“学生工作先进单位”的二级学院，学校在年度的学生工作类评优评先，外派学习及交流等方面给予相应政策倾斜。</w:t>
      </w:r>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（五）考核结果为合格等级的，不奖不罚；考核等级为基本合格或不合格的，由党委学生工作部、学生工作处督促其制定整改措施，限期改正。</w:t>
      </w:r>
    </w:p>
    <w:p>
      <w:pPr>
        <w:pageBreakBefore w:val="0"/>
        <w:kinsoku/>
        <w:overflowPunct/>
        <w:topLinePunct w:val="0"/>
        <w:bidi w:val="0"/>
        <w:spacing w:line="580" w:lineRule="exact"/>
        <w:ind w:firstLine="630" w:firstLineChars="200"/>
        <w:outlineLvl w:val="9"/>
        <w:rPr>
          <w:rFonts w:ascii="黑体" w:hAnsi="宋体" w:eastAsia="黑体"/>
          <w:b/>
          <w:bCs/>
          <w:sz w:val="32"/>
          <w:szCs w:val="32"/>
        </w:rPr>
      </w:pPr>
      <w:bookmarkStart w:id="840" w:name="_Toc1853_WPSOffice_Level1"/>
      <w:r>
        <w:rPr>
          <w:rFonts w:hint="eastAsia" w:ascii="黑体" w:hAnsi="宋体" w:eastAsia="黑体"/>
          <w:b/>
          <w:bCs/>
          <w:sz w:val="32"/>
          <w:szCs w:val="32"/>
        </w:rPr>
        <w:t>七、其它</w:t>
      </w:r>
      <w:bookmarkEnd w:id="840"/>
    </w:p>
    <w:p>
      <w:pPr>
        <w:pageBreakBefore w:val="0"/>
        <w:kinsoku/>
        <w:overflowPunct/>
        <w:topLinePunct w:val="0"/>
        <w:bidi w:val="0"/>
        <w:spacing w:line="580" w:lineRule="exact"/>
        <w:ind w:firstLine="630" w:firstLineChars="200"/>
        <w:outlineLvl w:val="9"/>
        <w:rPr>
          <w:rFonts w:ascii="仿宋_GB2312" w:hAnsi="宋体" w:eastAsia="仿宋_GB2312"/>
          <w:bCs/>
          <w:sz w:val="32"/>
          <w:szCs w:val="32"/>
        </w:rPr>
      </w:pPr>
      <w:r>
        <w:rPr>
          <w:rFonts w:hint="eastAsia" w:ascii="仿宋_GB2312" w:hAnsi="宋体" w:eastAsia="仿宋_GB2312"/>
          <w:bCs/>
          <w:sz w:val="32"/>
          <w:szCs w:val="32"/>
        </w:rPr>
        <w:t>1.本办法由学生工作处负责解释。</w:t>
      </w:r>
    </w:p>
    <w:p>
      <w:pPr>
        <w:pageBreakBefore w:val="0"/>
        <w:kinsoku/>
        <w:overflowPunct/>
        <w:topLinePunct w:val="0"/>
        <w:bidi w:val="0"/>
        <w:spacing w:line="580" w:lineRule="exact"/>
        <w:ind w:firstLine="630" w:firstLineChars="200"/>
        <w:outlineLvl w:val="9"/>
        <w:rPr>
          <w:rFonts w:hint="eastAsia" w:ascii="仿宋_GB2312" w:hAnsi="宋体" w:eastAsia="仿宋_GB2312"/>
          <w:bCs/>
          <w:sz w:val="32"/>
          <w:szCs w:val="32"/>
        </w:rPr>
        <w:sectPr>
          <w:headerReference r:id="rId21" w:type="default"/>
          <w:footerReference r:id="rId23" w:type="default"/>
          <w:headerReference r:id="rId22" w:type="even"/>
          <w:footerReference r:id="rId24" w:type="even"/>
          <w:pgSz w:w="11907" w:h="16840"/>
          <w:pgMar w:top="2098" w:right="1474" w:bottom="1985" w:left="1588" w:header="851" w:footer="1588" w:gutter="0"/>
          <w:pgNumType w:fmt="decimal"/>
          <w:cols w:space="425" w:num="1"/>
          <w:docGrid w:type="linesAndChars" w:linePitch="398" w:charSpace="-1216"/>
        </w:sectPr>
      </w:pPr>
      <w:r>
        <w:rPr>
          <w:rFonts w:hint="eastAsia" w:ascii="仿宋_GB2312" w:hAnsi="宋体" w:eastAsia="仿宋_GB2312"/>
          <w:bCs/>
          <w:sz w:val="32"/>
          <w:szCs w:val="32"/>
        </w:rPr>
        <w:t>2.本办法自发布之日开始实施。</w:t>
      </w:r>
    </w:p>
    <w:p>
      <w:pPr>
        <w:pageBreakBefore w:val="0"/>
        <w:kinsoku/>
        <w:overflowPunct/>
        <w:topLinePunct w:val="0"/>
        <w:bidi w:val="0"/>
        <w:jc w:val="center"/>
        <w:outlineLvl w:val="9"/>
        <w:rPr>
          <w:rFonts w:ascii="黑体" w:eastAsia="黑体"/>
          <w:sz w:val="32"/>
          <w:szCs w:val="32"/>
        </w:rPr>
      </w:pPr>
      <w:bookmarkStart w:id="841" w:name="_Toc9472_WPSOffice_Level1"/>
      <w:r>
        <w:rPr>
          <w:rFonts w:hint="eastAsia"/>
          <w:b/>
          <w:color w:val="000000"/>
          <w:sz w:val="36"/>
          <w:szCs w:val="36"/>
        </w:rPr>
        <w:t>柳州职业技术学院学生工作年度考核指标（2021年）</w:t>
      </w:r>
      <w:bookmarkEnd w:id="841"/>
    </w:p>
    <w:tbl>
      <w:tblPr>
        <w:tblStyle w:val="14"/>
        <w:tblW w:w="14972" w:type="dxa"/>
        <w:jc w:val="center"/>
        <w:tblInd w:w="0" w:type="dxa"/>
        <w:tblLayout w:type="fixed"/>
        <w:tblCellMar>
          <w:top w:w="0" w:type="dxa"/>
          <w:left w:w="108" w:type="dxa"/>
          <w:bottom w:w="0" w:type="dxa"/>
          <w:right w:w="108" w:type="dxa"/>
        </w:tblCellMar>
      </w:tblPr>
      <w:tblGrid>
        <w:gridCol w:w="621"/>
        <w:gridCol w:w="1207"/>
        <w:gridCol w:w="1912"/>
        <w:gridCol w:w="447"/>
        <w:gridCol w:w="6585"/>
        <w:gridCol w:w="4200"/>
      </w:tblGrid>
      <w:tr>
        <w:tblPrEx>
          <w:tblLayout w:type="fixed"/>
          <w:tblCellMar>
            <w:top w:w="0" w:type="dxa"/>
            <w:left w:w="108" w:type="dxa"/>
            <w:bottom w:w="0" w:type="dxa"/>
            <w:right w:w="108" w:type="dxa"/>
          </w:tblCellMar>
        </w:tblPrEx>
        <w:trPr>
          <w:trHeight w:val="825" w:hRule="atLeast"/>
          <w:jc w:val="center"/>
        </w:trPr>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1207"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考核项目</w:t>
            </w:r>
          </w:p>
        </w:tc>
        <w:tc>
          <w:tcPr>
            <w:tcW w:w="1912"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考核指标</w:t>
            </w:r>
          </w:p>
        </w:tc>
        <w:tc>
          <w:tcPr>
            <w:tcW w:w="447"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分值</w:t>
            </w:r>
          </w:p>
        </w:tc>
        <w:tc>
          <w:tcPr>
            <w:tcW w:w="658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评分标准</w:t>
            </w:r>
          </w:p>
        </w:tc>
        <w:tc>
          <w:tcPr>
            <w:tcW w:w="4200"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备注</w:t>
            </w:r>
          </w:p>
        </w:tc>
      </w:tr>
      <w:tr>
        <w:tblPrEx>
          <w:tblLayout w:type="fixed"/>
          <w:tblCellMar>
            <w:top w:w="0" w:type="dxa"/>
            <w:left w:w="108" w:type="dxa"/>
            <w:bottom w:w="0" w:type="dxa"/>
            <w:right w:w="108" w:type="dxa"/>
          </w:tblCellMar>
        </w:tblPrEx>
        <w:trPr>
          <w:trHeight w:val="900" w:hRule="atLeast"/>
          <w:jc w:val="center"/>
        </w:trPr>
        <w:tc>
          <w:tcPr>
            <w:tcW w:w="621" w:type="dxa"/>
            <w:tcBorders>
              <w:top w:val="nil"/>
              <w:left w:val="single" w:color="auto" w:sz="4" w:space="0"/>
              <w:bottom w:val="nil"/>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1207" w:type="dxa"/>
            <w:tcBorders>
              <w:top w:val="nil"/>
              <w:left w:val="nil"/>
              <w:bottom w:val="nil"/>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领导重视        （2分）</w:t>
            </w: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学院领导重视学生工作情况</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二级学院党政联席会议每学期召开专题会议研究学生工作（不含共青团）≥1次（全年≥2）计2分，每减少1次扣1分。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会议应有明确主题，要形成推动工作的具体决议。证明材料包括会议签到表、会议记录、图片、会议决议等材料。</w:t>
            </w:r>
          </w:p>
        </w:tc>
      </w:tr>
      <w:tr>
        <w:tblPrEx>
          <w:tblLayout w:type="fixed"/>
          <w:tblCellMar>
            <w:top w:w="0" w:type="dxa"/>
            <w:left w:w="108" w:type="dxa"/>
            <w:bottom w:w="0" w:type="dxa"/>
            <w:right w:w="108" w:type="dxa"/>
          </w:tblCellMar>
        </w:tblPrEx>
        <w:trPr>
          <w:trHeight w:val="708" w:hRule="atLeast"/>
          <w:jc w:val="center"/>
        </w:trPr>
        <w:tc>
          <w:tcPr>
            <w:tcW w:w="62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12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思想政治教育（6分）</w:t>
            </w: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掌握学生思想动态情况</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每学期召开1次（1年2次）学生思想状况调研会，有文字记录并有整改意见。少1次扣1分。</w:t>
            </w:r>
          </w:p>
        </w:tc>
        <w:tc>
          <w:tcPr>
            <w:tcW w:w="4200"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w:t>
            </w:r>
          </w:p>
        </w:tc>
      </w:tr>
      <w:tr>
        <w:tblPrEx>
          <w:tblLayout w:type="fixed"/>
          <w:tblCellMar>
            <w:top w:w="0" w:type="dxa"/>
            <w:left w:w="108" w:type="dxa"/>
            <w:bottom w:w="0" w:type="dxa"/>
            <w:right w:w="108" w:type="dxa"/>
          </w:tblCellMar>
        </w:tblPrEx>
        <w:trPr>
          <w:trHeight w:val="692" w:hRule="atLeast"/>
          <w:jc w:val="center"/>
        </w:trPr>
        <w:tc>
          <w:tcPr>
            <w:tcW w:w="62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素质大讲堂讲座开展情况</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每年开展二级学院素质大讲堂≥4场（含承办校级素质大讲堂），每减少1场扣0.5分。</w:t>
            </w:r>
          </w:p>
        </w:tc>
        <w:tc>
          <w:tcPr>
            <w:tcW w:w="4200"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w:t>
            </w:r>
          </w:p>
        </w:tc>
      </w:tr>
      <w:tr>
        <w:tblPrEx>
          <w:tblLayout w:type="fixed"/>
          <w:tblCellMar>
            <w:top w:w="0" w:type="dxa"/>
            <w:left w:w="108" w:type="dxa"/>
            <w:bottom w:w="0" w:type="dxa"/>
            <w:right w:w="108" w:type="dxa"/>
          </w:tblCellMar>
        </w:tblPrEx>
        <w:trPr>
          <w:trHeight w:val="762" w:hRule="atLeast"/>
          <w:jc w:val="center"/>
        </w:trPr>
        <w:tc>
          <w:tcPr>
            <w:tcW w:w="62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主题班会课程化开展情况</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辅导员参与率=100%计2分，90%≦参与率&lt; 99% 计1分，低于90%计0分。</w:t>
            </w:r>
          </w:p>
        </w:tc>
        <w:tc>
          <w:tcPr>
            <w:tcW w:w="4200"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w:t>
            </w:r>
          </w:p>
        </w:tc>
      </w:tr>
      <w:tr>
        <w:tblPrEx>
          <w:tblLayout w:type="fixed"/>
          <w:tblCellMar>
            <w:top w:w="0" w:type="dxa"/>
            <w:left w:w="108" w:type="dxa"/>
            <w:bottom w:w="0" w:type="dxa"/>
            <w:right w:w="108" w:type="dxa"/>
          </w:tblCellMar>
        </w:tblPrEx>
        <w:trPr>
          <w:trHeight w:val="761" w:hRule="atLeast"/>
          <w:jc w:val="center"/>
        </w:trPr>
        <w:tc>
          <w:tcPr>
            <w:tcW w:w="621"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1207"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辅导员队伍建设（9分）</w:t>
            </w: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辅导员参加能力素质大赛参赛率</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参赛率≥95%计2分，90%≦参赛率&lt; 95%计1分， 90%以下计0分。</w:t>
            </w:r>
          </w:p>
        </w:tc>
        <w:tc>
          <w:tcPr>
            <w:tcW w:w="4200"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含院级初赛，休产假辅导员不计。</w:t>
            </w:r>
          </w:p>
        </w:tc>
      </w:tr>
      <w:tr>
        <w:tblPrEx>
          <w:tblLayout w:type="fixed"/>
          <w:tblCellMar>
            <w:top w:w="0" w:type="dxa"/>
            <w:left w:w="108" w:type="dxa"/>
            <w:bottom w:w="0" w:type="dxa"/>
            <w:right w:w="108" w:type="dxa"/>
          </w:tblCellMar>
        </w:tblPrEx>
        <w:trPr>
          <w:trHeight w:val="761" w:hRule="atLeast"/>
          <w:jc w:val="center"/>
        </w:trPr>
        <w:tc>
          <w:tcPr>
            <w:tcW w:w="62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辅导员“五个一”工程完成率</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完成率≥90%计6分，80%≦完成率&lt; 90%计4分，70%≦完成率&lt;80%计2分， 70%以下计0分。</w:t>
            </w:r>
          </w:p>
        </w:tc>
        <w:tc>
          <w:tcPr>
            <w:tcW w:w="4200"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五个一：1次培训、1门课程、1次比赛、1篇论文、1项课题（两年为一周期，提供当年和上一年的相关材料。课题研究时长最多三年）。</w:t>
            </w:r>
          </w:p>
        </w:tc>
      </w:tr>
      <w:tr>
        <w:tblPrEx>
          <w:tblLayout w:type="fixed"/>
          <w:tblCellMar>
            <w:top w:w="0" w:type="dxa"/>
            <w:left w:w="108" w:type="dxa"/>
            <w:bottom w:w="0" w:type="dxa"/>
            <w:right w:w="108" w:type="dxa"/>
          </w:tblCellMar>
        </w:tblPrEx>
        <w:trPr>
          <w:trHeight w:val="584" w:hRule="atLeast"/>
          <w:jc w:val="center"/>
        </w:trPr>
        <w:tc>
          <w:tcPr>
            <w:tcW w:w="62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辅导员获得荣誉</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获得省（部）级及以上各种荣誉1分（非学生管理相关工作）。</w:t>
            </w:r>
          </w:p>
        </w:tc>
        <w:tc>
          <w:tcPr>
            <w:tcW w:w="4200"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w:t>
            </w:r>
          </w:p>
        </w:tc>
      </w:tr>
      <w:tr>
        <w:tblPrEx>
          <w:tblLayout w:type="fixed"/>
          <w:tblCellMar>
            <w:top w:w="0" w:type="dxa"/>
            <w:left w:w="108" w:type="dxa"/>
            <w:bottom w:w="0" w:type="dxa"/>
            <w:right w:w="108" w:type="dxa"/>
          </w:tblCellMar>
        </w:tblPrEx>
        <w:trPr>
          <w:trHeight w:val="660" w:hRule="atLeast"/>
          <w:jc w:val="center"/>
        </w:trPr>
        <w:tc>
          <w:tcPr>
            <w:tcW w:w="621" w:type="dxa"/>
            <w:vMerge w:val="restart"/>
            <w:tcBorders>
              <w:top w:val="single" w:color="auto" w:sz="4" w:space="0"/>
              <w:left w:val="single" w:color="auto" w:sz="4" w:space="0"/>
              <w:bottom w:val="nil"/>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1207" w:type="dxa"/>
            <w:vMerge w:val="restart"/>
            <w:tcBorders>
              <w:top w:val="single" w:color="auto" w:sz="4" w:space="0"/>
              <w:left w:val="single" w:color="auto" w:sz="4" w:space="0"/>
              <w:bottom w:val="nil"/>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日常管理        （14分）</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学风建设情况</w:t>
            </w:r>
          </w:p>
        </w:tc>
        <w:tc>
          <w:tcPr>
            <w:tcW w:w="44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年初有学风建设计划、年底有学风建设总结，平时有具体实施情况记录，少一项扣1分。</w:t>
            </w:r>
          </w:p>
        </w:tc>
        <w:tc>
          <w:tcPr>
            <w:tcW w:w="4200"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w:t>
            </w:r>
          </w:p>
        </w:tc>
      </w:tr>
      <w:tr>
        <w:tblPrEx>
          <w:tblLayout w:type="fixed"/>
          <w:tblCellMar>
            <w:top w:w="0" w:type="dxa"/>
            <w:left w:w="108" w:type="dxa"/>
            <w:bottom w:w="0" w:type="dxa"/>
            <w:right w:w="108" w:type="dxa"/>
          </w:tblCellMar>
        </w:tblPrEx>
        <w:trPr>
          <w:trHeight w:val="705"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学生第二课堂活动达标率</w:t>
            </w:r>
          </w:p>
        </w:tc>
        <w:tc>
          <w:tcPr>
            <w:tcW w:w="44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585"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合格率≥97%计4分，90%≦合格率&lt; 97%计2分，低于90%计0分。</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以学生工作处统计的数据为准。</w:t>
            </w:r>
          </w:p>
        </w:tc>
      </w:tr>
      <w:tr>
        <w:tblPrEx>
          <w:tblLayout w:type="fixed"/>
          <w:tblCellMar>
            <w:top w:w="0" w:type="dxa"/>
            <w:left w:w="108" w:type="dxa"/>
            <w:bottom w:w="0" w:type="dxa"/>
            <w:right w:w="108" w:type="dxa"/>
          </w:tblCellMar>
        </w:tblPrEx>
        <w:trPr>
          <w:trHeight w:val="705"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学生综合素质考评合格率</w:t>
            </w:r>
          </w:p>
        </w:tc>
        <w:tc>
          <w:tcPr>
            <w:tcW w:w="44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585"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合格率≥95%计4分，90%≦合格率&lt; 95%计2分，低于90%计0分。</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以学生工作处统计的数据为准。</w:t>
            </w:r>
          </w:p>
        </w:tc>
      </w:tr>
      <w:tr>
        <w:tblPrEx>
          <w:tblLayout w:type="fixed"/>
          <w:tblCellMar>
            <w:top w:w="0" w:type="dxa"/>
            <w:left w:w="108" w:type="dxa"/>
            <w:bottom w:w="0" w:type="dxa"/>
            <w:right w:w="108" w:type="dxa"/>
          </w:tblCellMar>
        </w:tblPrEx>
        <w:trPr>
          <w:trHeight w:val="705" w:hRule="atLeast"/>
          <w:jc w:val="center"/>
        </w:trPr>
        <w:tc>
          <w:tcPr>
            <w:tcW w:w="621"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学生文明素养提升建设工作</w:t>
            </w:r>
          </w:p>
        </w:tc>
        <w:tc>
          <w:tcPr>
            <w:tcW w:w="44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58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1.落实文明素养提升活动的主题班会召开率≥95%计2分，90%≦合格率&lt; 95%计1分，低于90%计0分；</w:t>
            </w:r>
          </w:p>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2.新生入学教育之易班网优课平台《行为规范》考试参与率≥95%计2分，90%≦合格率&lt; 95%计1分，低于90%计0分。</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w:t>
            </w:r>
          </w:p>
        </w:tc>
      </w:tr>
      <w:tr>
        <w:tblPrEx>
          <w:tblLayout w:type="fixed"/>
          <w:tblCellMar>
            <w:top w:w="0" w:type="dxa"/>
            <w:left w:w="108" w:type="dxa"/>
            <w:bottom w:w="0" w:type="dxa"/>
            <w:right w:w="108" w:type="dxa"/>
          </w:tblCellMar>
        </w:tblPrEx>
        <w:trPr>
          <w:trHeight w:val="705" w:hRule="atLeast"/>
          <w:jc w:val="center"/>
        </w:trPr>
        <w:tc>
          <w:tcPr>
            <w:tcW w:w="62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12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宿舍管理（12分）</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宿舍检查情况</w:t>
            </w:r>
          </w:p>
        </w:tc>
        <w:tc>
          <w:tcPr>
            <w:tcW w:w="44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58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每月下宿舍检查不低于2次，每年不低于16次，每少一次扣0.5分。</w:t>
            </w:r>
          </w:p>
        </w:tc>
        <w:tc>
          <w:tcPr>
            <w:tcW w:w="4200"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以学生工作处统计的数据为准。</w:t>
            </w:r>
          </w:p>
        </w:tc>
      </w:tr>
      <w:tr>
        <w:tblPrEx>
          <w:tblLayout w:type="fixed"/>
          <w:tblCellMar>
            <w:top w:w="0" w:type="dxa"/>
            <w:left w:w="108" w:type="dxa"/>
            <w:bottom w:w="0" w:type="dxa"/>
            <w:right w:w="108" w:type="dxa"/>
          </w:tblCellMar>
        </w:tblPrEx>
        <w:trPr>
          <w:trHeight w:val="705" w:hRule="atLeast"/>
          <w:jc w:val="center"/>
        </w:trPr>
        <w:tc>
          <w:tcPr>
            <w:tcW w:w="62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星级宿舍建设情况</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585"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五星级宿舍一次计0.2分，四星级宿舍一次计0.1分，不合格宿舍一次扣0.1分。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以办公系统公布结果为准。</w:t>
            </w:r>
          </w:p>
        </w:tc>
      </w:tr>
      <w:tr>
        <w:tblPrEx>
          <w:tblLayout w:type="fixed"/>
          <w:tblCellMar>
            <w:top w:w="0" w:type="dxa"/>
            <w:left w:w="108" w:type="dxa"/>
            <w:bottom w:w="0" w:type="dxa"/>
            <w:right w:w="108" w:type="dxa"/>
          </w:tblCellMar>
        </w:tblPrEx>
        <w:trPr>
          <w:trHeight w:val="1050" w:hRule="atLeast"/>
          <w:jc w:val="center"/>
        </w:trPr>
        <w:tc>
          <w:tcPr>
            <w:tcW w:w="62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12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资助管理        （4分）</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学生资助材料报送情况</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贫困认定审核有无遗漏；材料是否规范、齐全；奖助申报材料是否准确；抽查形式，发现问题一次扣0.2分，扣完为止。</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以学生工作处统计的数据为准。</w:t>
            </w:r>
          </w:p>
        </w:tc>
      </w:tr>
      <w:tr>
        <w:tblPrEx>
          <w:tblLayout w:type="fixed"/>
          <w:tblCellMar>
            <w:top w:w="0" w:type="dxa"/>
            <w:left w:w="108" w:type="dxa"/>
            <w:bottom w:w="0" w:type="dxa"/>
            <w:right w:w="108" w:type="dxa"/>
          </w:tblCellMar>
        </w:tblPrEx>
        <w:trPr>
          <w:trHeight w:val="735" w:hRule="atLeast"/>
          <w:jc w:val="center"/>
        </w:trPr>
        <w:tc>
          <w:tcPr>
            <w:tcW w:w="62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资助育人活动开展情况</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开展院级资助育人活动（诚信教育、感恩教育等），1次计0.5分，累加分不超过2分。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非校级统一安排的活动；提供活动方案、总结或新闻报道等证明材料。</w:t>
            </w:r>
          </w:p>
        </w:tc>
      </w:tr>
      <w:tr>
        <w:tblPrEx>
          <w:tblLayout w:type="fixed"/>
          <w:tblCellMar>
            <w:top w:w="0" w:type="dxa"/>
            <w:left w:w="108" w:type="dxa"/>
            <w:bottom w:w="0" w:type="dxa"/>
            <w:right w:w="108" w:type="dxa"/>
          </w:tblCellMar>
        </w:tblPrEx>
        <w:trPr>
          <w:trHeight w:val="810" w:hRule="atLeast"/>
          <w:jc w:val="center"/>
        </w:trPr>
        <w:tc>
          <w:tcPr>
            <w:tcW w:w="62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7</w:t>
            </w:r>
          </w:p>
        </w:tc>
        <w:tc>
          <w:tcPr>
            <w:tcW w:w="12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心理健康教育（5分）</w:t>
            </w:r>
          </w:p>
        </w:tc>
        <w:tc>
          <w:tcPr>
            <w:tcW w:w="1912"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二级心理工作站建设情况</w:t>
            </w:r>
          </w:p>
        </w:tc>
        <w:tc>
          <w:tcPr>
            <w:tcW w:w="447"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每学期二级心理工作站每学期召开学生心理问题案例研讨会≥2次（全年≥4次），每减少1次扣0.5分。</w:t>
            </w:r>
          </w:p>
        </w:tc>
        <w:tc>
          <w:tcPr>
            <w:tcW w:w="4200"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w:t>
            </w:r>
          </w:p>
        </w:tc>
      </w:tr>
      <w:tr>
        <w:tblPrEx>
          <w:tblLayout w:type="fixed"/>
          <w:tblCellMar>
            <w:top w:w="0" w:type="dxa"/>
            <w:left w:w="108" w:type="dxa"/>
            <w:bottom w:w="0" w:type="dxa"/>
            <w:right w:w="108" w:type="dxa"/>
          </w:tblCellMar>
        </w:tblPrEx>
        <w:trPr>
          <w:trHeight w:val="1170" w:hRule="atLeast"/>
          <w:jc w:val="center"/>
        </w:trPr>
        <w:tc>
          <w:tcPr>
            <w:tcW w:w="62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心理异常学生档案完整率</w:t>
            </w:r>
          </w:p>
        </w:tc>
        <w:tc>
          <w:tcPr>
            <w:tcW w:w="447"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585"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1.完整率=心理异常学生档案（指约谈记录单或心理健康档案）份数 /心理异常学生总人数；</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2.完整率≥90%计3分，80%≦完整率&lt; 90%计2分，70%≦完整率&lt; 80%计1分，低于70%计0分。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心理档案包括：</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1.《新生心理普查约谈记录单》；</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2.《学生心理健康档案》；</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3.《学生心理健康跟踪记录表》。</w:t>
            </w:r>
          </w:p>
        </w:tc>
      </w:tr>
      <w:tr>
        <w:tblPrEx>
          <w:tblLayout w:type="fixed"/>
          <w:tblCellMar>
            <w:top w:w="0" w:type="dxa"/>
            <w:left w:w="108" w:type="dxa"/>
            <w:bottom w:w="0" w:type="dxa"/>
            <w:right w:w="108" w:type="dxa"/>
          </w:tblCellMar>
        </w:tblPrEx>
        <w:trPr>
          <w:trHeight w:val="675" w:hRule="atLeast"/>
          <w:jc w:val="center"/>
        </w:trPr>
        <w:tc>
          <w:tcPr>
            <w:tcW w:w="621" w:type="dxa"/>
            <w:vMerge w:val="restart"/>
            <w:tcBorders>
              <w:top w:val="single" w:color="auto" w:sz="4" w:space="0"/>
              <w:left w:val="single" w:color="auto" w:sz="4" w:space="0"/>
              <w:bottom w:val="nil"/>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1207" w:type="dxa"/>
            <w:vMerge w:val="restart"/>
            <w:tcBorders>
              <w:top w:val="single" w:color="auto" w:sz="4" w:space="0"/>
              <w:left w:val="single" w:color="auto" w:sz="4" w:space="0"/>
              <w:bottom w:val="nil"/>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共青团工作      （18分）</w:t>
            </w:r>
          </w:p>
        </w:tc>
        <w:tc>
          <w:tcPr>
            <w:tcW w:w="1912"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“青年大学习”网上主题团课团员参与率</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585"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全年团员平均参与率达100%记1分，每少5%扣0.5分。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由校团委提供数据。</w:t>
            </w:r>
          </w:p>
        </w:tc>
      </w:tr>
      <w:tr>
        <w:tblPrEx>
          <w:tblLayout w:type="fixed"/>
          <w:tblCellMar>
            <w:top w:w="0" w:type="dxa"/>
            <w:left w:w="108" w:type="dxa"/>
            <w:bottom w:w="0" w:type="dxa"/>
            <w:right w:w="108" w:type="dxa"/>
          </w:tblCellMar>
        </w:tblPrEx>
        <w:trPr>
          <w:trHeight w:val="825"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“青年大学习”网上主题团课青年参与率</w:t>
            </w:r>
          </w:p>
        </w:tc>
        <w:tc>
          <w:tcPr>
            <w:tcW w:w="44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全年青年学生平均参与率（参与率=当期学习人数/当期本院学生总数）达87%记2分，每少1%扣0.1分。</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由校团委提供数据。</w:t>
            </w:r>
          </w:p>
        </w:tc>
      </w:tr>
      <w:tr>
        <w:tblPrEx>
          <w:tblLayout w:type="fixed"/>
          <w:tblCellMar>
            <w:top w:w="0" w:type="dxa"/>
            <w:left w:w="108" w:type="dxa"/>
            <w:bottom w:w="0" w:type="dxa"/>
            <w:right w:w="108" w:type="dxa"/>
          </w:tblCellMar>
        </w:tblPrEx>
        <w:trPr>
          <w:trHeight w:val="750"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青马工程情况</w:t>
            </w:r>
          </w:p>
        </w:tc>
        <w:tc>
          <w:tcPr>
            <w:tcW w:w="44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本年度开办院级青马班且培训学生人数达学院学生总数的5%得1分，每少0.1%扣0.1分；院级青马工程学员100%提交入党申请书得1分，每少1%扣0.1分。</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二级学院提供证明材料。如培训新闻、学员名册、抽查学员入党志愿书原件等。</w:t>
            </w:r>
          </w:p>
        </w:tc>
      </w:tr>
      <w:tr>
        <w:tblPrEx>
          <w:tblLayout w:type="fixed"/>
          <w:tblCellMar>
            <w:top w:w="0" w:type="dxa"/>
            <w:left w:w="108" w:type="dxa"/>
            <w:bottom w:w="0" w:type="dxa"/>
            <w:right w:w="108" w:type="dxa"/>
          </w:tblCellMar>
        </w:tblPrEx>
        <w:trPr>
          <w:trHeight w:val="750"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学社衔接工作完成情况</w:t>
            </w:r>
          </w:p>
        </w:tc>
        <w:tc>
          <w:tcPr>
            <w:tcW w:w="447"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“学社衔接”率达到100%得1分，每少0.1%扣0.1分；“升学衔接”率达到100%得1分，每少0.1%扣0.1分。</w:t>
            </w:r>
          </w:p>
        </w:tc>
        <w:tc>
          <w:tcPr>
            <w:tcW w:w="4200"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由校团委提供数据。</w:t>
            </w:r>
          </w:p>
        </w:tc>
      </w:tr>
      <w:tr>
        <w:tblPrEx>
          <w:tblLayout w:type="fixed"/>
          <w:tblCellMar>
            <w:top w:w="0" w:type="dxa"/>
            <w:left w:w="108" w:type="dxa"/>
            <w:bottom w:w="0" w:type="dxa"/>
            <w:right w:w="108" w:type="dxa"/>
          </w:tblCellMar>
        </w:tblPrEx>
        <w:trPr>
          <w:trHeight w:val="750"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党史学习教育情况</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585"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党史学习教育工作按照规定时间录入，记1分，每少一个团支部未完成减0.5分。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由校团委提供数据。</w:t>
            </w:r>
          </w:p>
        </w:tc>
      </w:tr>
      <w:tr>
        <w:tblPrEx>
          <w:tblLayout w:type="fixed"/>
          <w:tblCellMar>
            <w:top w:w="0" w:type="dxa"/>
            <w:left w:w="108" w:type="dxa"/>
            <w:bottom w:w="0" w:type="dxa"/>
            <w:right w:w="108" w:type="dxa"/>
          </w:tblCellMar>
        </w:tblPrEx>
        <w:trPr>
          <w:trHeight w:val="891"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团员团组织录入完成率</w:t>
            </w:r>
          </w:p>
        </w:tc>
        <w:tc>
          <w:tcPr>
            <w:tcW w:w="447"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团员、团组织信息录入完成率达100%记1分，每少0.1%扣0.1分；新发展团员编号录入率达100%记1分，每少1人扣1分。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由校团委提供数据。</w:t>
            </w:r>
          </w:p>
        </w:tc>
      </w:tr>
      <w:tr>
        <w:tblPrEx>
          <w:tblLayout w:type="fixed"/>
          <w:tblCellMar>
            <w:top w:w="0" w:type="dxa"/>
            <w:left w:w="108" w:type="dxa"/>
            <w:bottom w:w="0" w:type="dxa"/>
            <w:right w:w="108" w:type="dxa"/>
          </w:tblCellMar>
        </w:tblPrEx>
        <w:trPr>
          <w:trHeight w:val="960"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推优入党工作</w:t>
            </w:r>
          </w:p>
        </w:tc>
        <w:tc>
          <w:tcPr>
            <w:tcW w:w="447"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二级学院发展党员年度计划中体现推优入党有关内容得1分，未体现不得分；推优工作规范开展，有记录得1分，未开展或不规范不得分。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二级学院提供证明材料。如党员发展计划、推优工作材料记录等。</w:t>
            </w:r>
          </w:p>
        </w:tc>
      </w:tr>
      <w:tr>
        <w:tblPrEx>
          <w:tblLayout w:type="fixed"/>
          <w:tblCellMar>
            <w:top w:w="0" w:type="dxa"/>
            <w:left w:w="108" w:type="dxa"/>
            <w:bottom w:w="0" w:type="dxa"/>
            <w:right w:w="108" w:type="dxa"/>
          </w:tblCellMar>
        </w:tblPrEx>
        <w:trPr>
          <w:trHeight w:val="945"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团员青年注册为志愿者</w:t>
            </w:r>
          </w:p>
        </w:tc>
        <w:tc>
          <w:tcPr>
            <w:tcW w:w="447"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新生注册成为志愿者比率达95%得1分，每少1%扣0.5分；学院总注册志愿者比率（志愿云总注册数/学院学生总人数）达95%得1分，每少1%扣0.5分。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由校团委提供数据。</w:t>
            </w:r>
          </w:p>
        </w:tc>
      </w:tr>
      <w:tr>
        <w:tblPrEx>
          <w:tblLayout w:type="fixed"/>
          <w:tblCellMar>
            <w:top w:w="0" w:type="dxa"/>
            <w:left w:w="108" w:type="dxa"/>
            <w:bottom w:w="0" w:type="dxa"/>
            <w:right w:w="108" w:type="dxa"/>
          </w:tblCellMar>
        </w:tblPrEx>
        <w:trPr>
          <w:trHeight w:val="945"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注册志愿者开展活动情况</w:t>
            </w:r>
          </w:p>
        </w:tc>
        <w:tc>
          <w:tcPr>
            <w:tcW w:w="447"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585"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学院注册志愿者在当年均有志愿服务时长得1分，未达到要求不得分；学生团员每年志愿服务时长平均达到20小时得1分，未达到20小时得每少1小时扣0.1分。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由校团委提供数据。</w:t>
            </w:r>
          </w:p>
        </w:tc>
      </w:tr>
      <w:tr>
        <w:tblPrEx>
          <w:tblLayout w:type="fixed"/>
          <w:tblCellMar>
            <w:top w:w="0" w:type="dxa"/>
            <w:left w:w="108" w:type="dxa"/>
            <w:bottom w:w="0" w:type="dxa"/>
            <w:right w:w="108" w:type="dxa"/>
          </w:tblCellMar>
        </w:tblPrEx>
        <w:trPr>
          <w:trHeight w:val="603" w:hRule="atLeast"/>
          <w:jc w:val="center"/>
        </w:trPr>
        <w:tc>
          <w:tcPr>
            <w:tcW w:w="621"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nil"/>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学生会改革完成情况</w:t>
            </w:r>
          </w:p>
        </w:tc>
        <w:tc>
          <w:tcPr>
            <w:tcW w:w="447"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585"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按照要求完成学生会改革得1分，未按要求完成改革不得分。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二级学院提供证明材料。</w:t>
            </w:r>
          </w:p>
        </w:tc>
      </w:tr>
      <w:tr>
        <w:tblPrEx>
          <w:tblLayout w:type="fixed"/>
          <w:tblCellMar>
            <w:top w:w="0" w:type="dxa"/>
            <w:left w:w="108" w:type="dxa"/>
            <w:bottom w:w="0" w:type="dxa"/>
            <w:right w:w="108" w:type="dxa"/>
          </w:tblCellMar>
        </w:tblPrEx>
        <w:trPr>
          <w:trHeight w:val="675" w:hRule="atLeast"/>
          <w:jc w:val="center"/>
        </w:trPr>
        <w:tc>
          <w:tcPr>
            <w:tcW w:w="621"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nil"/>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日常工作完成情况</w:t>
            </w:r>
          </w:p>
        </w:tc>
        <w:tc>
          <w:tcPr>
            <w:tcW w:w="447" w:type="dxa"/>
            <w:tcBorders>
              <w:top w:val="nil"/>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585"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校团委组织的其他各项工作参与情况，全部按时参与得1分，每缺1项扣0.2分。</w:t>
            </w:r>
          </w:p>
        </w:tc>
        <w:tc>
          <w:tcPr>
            <w:tcW w:w="4200" w:type="dxa"/>
            <w:tcBorders>
              <w:top w:val="nil"/>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由校团委提供数据。</w:t>
            </w:r>
          </w:p>
        </w:tc>
      </w:tr>
      <w:tr>
        <w:tblPrEx>
          <w:tblLayout w:type="fixed"/>
          <w:tblCellMar>
            <w:top w:w="0" w:type="dxa"/>
            <w:left w:w="108" w:type="dxa"/>
            <w:bottom w:w="0" w:type="dxa"/>
            <w:right w:w="108" w:type="dxa"/>
          </w:tblCellMar>
        </w:tblPrEx>
        <w:trPr>
          <w:trHeight w:val="2908" w:hRule="atLeast"/>
          <w:jc w:val="center"/>
        </w:trPr>
        <w:tc>
          <w:tcPr>
            <w:tcW w:w="62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9</w:t>
            </w:r>
          </w:p>
        </w:tc>
        <w:tc>
          <w:tcPr>
            <w:tcW w:w="12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获奖情况      （10分）</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学生获奖情况                 </w:t>
            </w:r>
          </w:p>
        </w:tc>
        <w:tc>
          <w:tcPr>
            <w:tcW w:w="447"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58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1.集体（含班集体）：国家级5分，省级3分，市级1分，校级0.5分；</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 xml:space="preserve">2.个人（含技能竞赛、文体）：获得国家级奖项一等奖4分、二等奖3分、三等奖2分、优秀奖1.5分；获省级奖项一等奖3分，二等奖2分，三等奖1分，优秀奖0.5分。获校级奖励一等奖1分，二等奖0.5分，三等奖0.2分，优秀奖0.1分。（注：获先进个人荣誉称号的，按同级别的一等奖计分）                                                            </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 xml:space="preserve">3.积分量≥100 计6分，90≦积分量&lt;100 计4分，80≦积分量&lt;  90 计2分，70≦积分量&lt; 80 计1分，积分量低于70记0分。                                                                      </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4.累加分不超过6分。</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1.国家奖学金、励志奖学金，自治区政府奖学金等不纳入统计范围；</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2.分配名额到二级学院的评先评优，如优秀干部、三好学生、优秀团员、优秀团干等不纳入统计范围。</w:t>
            </w:r>
          </w:p>
        </w:tc>
      </w:tr>
      <w:tr>
        <w:tblPrEx>
          <w:tblLayout w:type="fixed"/>
          <w:tblCellMar>
            <w:top w:w="0" w:type="dxa"/>
            <w:left w:w="108" w:type="dxa"/>
            <w:bottom w:w="0" w:type="dxa"/>
            <w:right w:w="108" w:type="dxa"/>
          </w:tblCellMar>
        </w:tblPrEx>
        <w:trPr>
          <w:trHeight w:val="929" w:hRule="atLeast"/>
          <w:jc w:val="center"/>
        </w:trPr>
        <w:tc>
          <w:tcPr>
            <w:tcW w:w="62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1207"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学生工作人员获奖情况</w:t>
            </w:r>
          </w:p>
        </w:tc>
        <w:tc>
          <w:tcPr>
            <w:tcW w:w="44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585" w:type="dxa"/>
            <w:tcBorders>
              <w:top w:val="single" w:color="auto" w:sz="4" w:space="0"/>
              <w:left w:val="single" w:color="auto" w:sz="4" w:space="0"/>
              <w:bottom w:val="single" w:color="auto" w:sz="4" w:space="0"/>
              <w:right w:val="single" w:color="auto" w:sz="4" w:space="0"/>
            </w:tcBorders>
            <w:shd w:val="clear" w:color="000000" w:fill="FFFFFF"/>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1.获国家级荣誉，每人每次计3分；                                        </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 xml:space="preserve">2.获省级荣誉的，每人每次计2分；                                    </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 xml:space="preserve">3.获市级荣誉，每人每次加1分；                                         </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4.累加分不超过4分。</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1.获奖类型必须是学生工作方面的奖励；   </w:t>
            </w:r>
            <w:r>
              <w:rPr>
                <w:rFonts w:hint="eastAsia" w:ascii="仿宋_GB2312" w:hAnsi="宋体" w:eastAsia="仿宋_GB2312" w:cs="宋体"/>
                <w:color w:val="000000"/>
                <w:kern w:val="0"/>
                <w:sz w:val="24"/>
                <w:lang w:bidi="ar"/>
              </w:rPr>
              <w:br w:type="textWrapping"/>
            </w:r>
            <w:r>
              <w:rPr>
                <w:rFonts w:hint="eastAsia" w:ascii="仿宋_GB2312" w:hAnsi="宋体" w:eastAsia="仿宋_GB2312" w:cs="宋体"/>
                <w:color w:val="000000"/>
                <w:kern w:val="0"/>
                <w:sz w:val="24"/>
                <w:lang w:bidi="ar"/>
              </w:rPr>
              <w:t>2.二级学院提供佐证材料；</w:t>
            </w:r>
          </w:p>
        </w:tc>
      </w:tr>
      <w:tr>
        <w:tblPrEx>
          <w:tblLayout w:type="fixed"/>
          <w:tblCellMar>
            <w:top w:w="0" w:type="dxa"/>
            <w:left w:w="108" w:type="dxa"/>
            <w:bottom w:w="0" w:type="dxa"/>
            <w:right w:w="108" w:type="dxa"/>
          </w:tblCellMar>
        </w:tblPrEx>
        <w:trPr>
          <w:trHeight w:val="675" w:hRule="atLeast"/>
          <w:jc w:val="center"/>
        </w:trPr>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1207" w:type="dxa"/>
            <w:tcBorders>
              <w:top w:val="single" w:color="auto" w:sz="4" w:space="0"/>
              <w:left w:val="nil"/>
              <w:bottom w:val="nil"/>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特色与创新（20分）</w:t>
            </w:r>
          </w:p>
        </w:tc>
        <w:tc>
          <w:tcPr>
            <w:tcW w:w="1912" w:type="dxa"/>
            <w:tcBorders>
              <w:top w:val="single" w:color="auto" w:sz="4" w:space="0"/>
              <w:left w:val="nil"/>
              <w:bottom w:val="nil"/>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特色与创新情况</w:t>
            </w:r>
          </w:p>
        </w:tc>
        <w:tc>
          <w:tcPr>
            <w:tcW w:w="447" w:type="dxa"/>
            <w:tcBorders>
              <w:top w:val="single" w:color="auto" w:sz="4" w:space="0"/>
              <w:left w:val="nil"/>
              <w:bottom w:val="nil"/>
              <w:right w:val="single" w:color="auto" w:sz="4" w:space="0"/>
            </w:tcBorders>
            <w:shd w:val="clear" w:color="auto" w:fill="auto"/>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20</w:t>
            </w:r>
          </w:p>
        </w:tc>
        <w:tc>
          <w:tcPr>
            <w:tcW w:w="6585" w:type="dxa"/>
            <w:tcBorders>
              <w:top w:val="single" w:color="auto" w:sz="4" w:space="0"/>
              <w:left w:val="nil"/>
              <w:bottom w:val="nil"/>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由二级学院自行申报，统一安排现场汇报。</w:t>
            </w:r>
          </w:p>
        </w:tc>
        <w:tc>
          <w:tcPr>
            <w:tcW w:w="4200" w:type="dxa"/>
            <w:tcBorders>
              <w:top w:val="single" w:color="auto" w:sz="4" w:space="0"/>
              <w:left w:val="nil"/>
              <w:bottom w:val="nil"/>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评委根据现场汇报进行赋分（现场公布分数）。</w:t>
            </w:r>
          </w:p>
        </w:tc>
      </w:tr>
      <w:tr>
        <w:tblPrEx>
          <w:tblLayout w:type="fixed"/>
          <w:tblCellMar>
            <w:top w:w="0" w:type="dxa"/>
            <w:left w:w="108" w:type="dxa"/>
            <w:bottom w:w="0" w:type="dxa"/>
            <w:right w:w="108" w:type="dxa"/>
          </w:tblCellMar>
        </w:tblPrEx>
        <w:trPr>
          <w:trHeight w:val="645" w:hRule="atLeast"/>
          <w:jc w:val="center"/>
        </w:trPr>
        <w:tc>
          <w:tcPr>
            <w:tcW w:w="621"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11</w:t>
            </w:r>
          </w:p>
        </w:tc>
        <w:tc>
          <w:tcPr>
            <w:tcW w:w="1207"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扣分项</w:t>
            </w:r>
          </w:p>
        </w:tc>
        <w:tc>
          <w:tcPr>
            <w:tcW w:w="1912"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事故、督导通报情况</w:t>
            </w:r>
          </w:p>
        </w:tc>
        <w:tc>
          <w:tcPr>
            <w:tcW w:w="447"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p>
        </w:tc>
        <w:tc>
          <w:tcPr>
            <w:tcW w:w="6585"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督导通报批评（学生管理方面）一次扣1分。</w:t>
            </w:r>
          </w:p>
        </w:tc>
        <w:tc>
          <w:tcPr>
            <w:tcW w:w="4200"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扣分依据督导通报。</w:t>
            </w:r>
          </w:p>
        </w:tc>
      </w:tr>
    </w:tbl>
    <w:p>
      <w:pPr>
        <w:pageBreakBefore w:val="0"/>
        <w:kinsoku/>
        <w:overflowPunct/>
        <w:topLinePunct w:val="0"/>
        <w:bidi w:val="0"/>
        <w:spacing w:line="590" w:lineRule="exact"/>
        <w:outlineLvl w:val="9"/>
        <w:rPr>
          <w:rFonts w:ascii="仿宋_GB2312" w:eastAsia="仿宋_GB2312"/>
          <w:szCs w:val="28"/>
        </w:rPr>
      </w:pPr>
    </w:p>
    <w:p>
      <w:pPr>
        <w:pageBreakBefore w:val="0"/>
        <w:kinsoku/>
        <w:overflowPunct/>
        <w:topLinePunct w:val="0"/>
        <w:bidi w:val="0"/>
        <w:spacing w:line="20" w:lineRule="exact"/>
        <w:outlineLvl w:val="9"/>
        <w:rPr>
          <w:rFonts w:ascii="仿宋_GB2312" w:eastAsia="仿宋_GB2312"/>
          <w:szCs w:val="28"/>
        </w:rPr>
      </w:pPr>
    </w:p>
    <w:p>
      <w:pPr>
        <w:pageBreakBefore w:val="0"/>
        <w:widowControl/>
        <w:kinsoku/>
        <w:overflowPunct/>
        <w:topLinePunct w:val="0"/>
        <w:bidi w:val="0"/>
        <w:jc w:val="center"/>
        <w:outlineLvl w:val="9"/>
        <w:rPr>
          <w:rFonts w:ascii="仿宋_GB2312" w:eastAsia="仿宋_GB2312"/>
          <w:bCs/>
          <w:sz w:val="32"/>
          <w:szCs w:val="32"/>
        </w:rPr>
        <w:sectPr>
          <w:pgSz w:w="16840" w:h="11907" w:orient="landscape"/>
          <w:pgMar w:top="1588" w:right="2098" w:bottom="1474" w:left="1984" w:header="851" w:footer="1587" w:gutter="0"/>
          <w:pgNumType w:fmt="decimal"/>
          <w:cols w:space="0" w:num="1"/>
          <w:docGrid w:type="linesAndChars" w:linePitch="398" w:charSpace="-1216"/>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842" w:name="_Toc2190"/>
      <w:bookmarkStart w:id="843" w:name="_Toc13400"/>
      <w:bookmarkStart w:id="844" w:name="_Toc24148"/>
      <w:bookmarkStart w:id="845" w:name="_Toc25033"/>
      <w:bookmarkStart w:id="846" w:name="_Toc17719_WPSOffice_Level1"/>
      <w:bookmarkStart w:id="847" w:name="_Toc20552"/>
      <w:r>
        <w:rPr>
          <w:rFonts w:hint="eastAsia"/>
          <w:b/>
          <w:color w:val="000000"/>
          <w:sz w:val="36"/>
          <w:szCs w:val="36"/>
        </w:rPr>
        <w:t>柳州职业技术学院学生勤工助学活动管理办法</w:t>
      </w:r>
      <w:bookmarkEnd w:id="842"/>
      <w:bookmarkEnd w:id="843"/>
      <w:bookmarkEnd w:id="844"/>
      <w:bookmarkEnd w:id="845"/>
      <w:bookmarkEnd w:id="846"/>
      <w:bookmarkEnd w:id="847"/>
    </w:p>
    <w:p>
      <w:pPr>
        <w:pageBreakBefore w:val="0"/>
        <w:widowControl/>
        <w:kinsoku/>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w:t>
      </w:r>
      <w:r>
        <w:rPr>
          <w:rFonts w:hint="eastAsia" w:ascii="仿宋_GB2312" w:eastAsia="仿宋_GB2312"/>
          <w:sz w:val="32"/>
          <w:szCs w:val="32"/>
        </w:rPr>
        <w:t>柳职院学字〔2021〕66号)</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48" w:name="_Toc3328_WPSOffice_Level1"/>
      <w:r>
        <w:rPr>
          <w:rFonts w:hint="eastAsia" w:ascii="黑体" w:hAnsi="黑体" w:eastAsia="黑体" w:cs="黑体"/>
          <w:b/>
          <w:bCs/>
          <w:sz w:val="32"/>
          <w:szCs w:val="32"/>
        </w:rPr>
        <w:t>第一章  总  则</w:t>
      </w:r>
      <w:bookmarkEnd w:id="848"/>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rPr>
        <w:t xml:space="preserve">第一条 </w:t>
      </w:r>
      <w:r>
        <w:rPr>
          <w:rFonts w:hint="eastAsia" w:ascii="仿宋" w:hAnsi="仿宋" w:eastAsia="仿宋" w:cs="仿宋"/>
          <w:sz w:val="32"/>
          <w:szCs w:val="32"/>
        </w:rPr>
        <w:t>为了加强对学生勤工助学活动的管理，保障学生的合法权益，培养学生自立自强精神，增强学生社会实践能力，帮助贫困家庭学生顺利完成学业，根据《教育部 财政部关于印发&lt;高等学校勤工助学理办法（2018年修订）&gt;的通知》（教财〔2018〕12号）的有关精神，结合我校实际情况，特制定本办法。</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rPr>
        <w:t xml:space="preserve">第二条 </w:t>
      </w:r>
      <w:r>
        <w:rPr>
          <w:rFonts w:hint="eastAsia" w:ascii="仿宋" w:hAnsi="仿宋" w:eastAsia="仿宋" w:cs="仿宋"/>
          <w:sz w:val="32"/>
          <w:szCs w:val="32"/>
        </w:rPr>
        <w:t>本办法中的学生是指我校全日制在校生。</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rPr>
        <w:t xml:space="preserve">第三条 </w:t>
      </w:r>
      <w:r>
        <w:rPr>
          <w:rFonts w:hint="eastAsia" w:ascii="仿宋" w:hAnsi="仿宋" w:eastAsia="仿宋" w:cs="仿宋"/>
          <w:sz w:val="32"/>
          <w:szCs w:val="32"/>
        </w:rPr>
        <w:t>勤工助学活动是指学生在学校的组织下利用课余时间，通过劳动取得合法报酬，用于改善学习和生活条件的实践活动。</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rPr>
        <w:t xml:space="preserve">第四条 </w:t>
      </w:r>
      <w:r>
        <w:rPr>
          <w:rFonts w:hint="eastAsia" w:ascii="仿宋" w:hAnsi="仿宋" w:eastAsia="仿宋" w:cs="仿宋"/>
          <w:sz w:val="32"/>
          <w:szCs w:val="32"/>
        </w:rPr>
        <w:t>勤工助学活动必须坚持“立足校园、服务社会”的宗旨，按照学有余力、自愿申请、信息公开、扶困优先、竞争上岗、遵纪守法的原则，由学校在不影响正常教学秩序和学生正常学习的前提下有组织地开展。</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rPr>
        <w:t xml:space="preserve">第五条 </w:t>
      </w:r>
      <w:r>
        <w:rPr>
          <w:rFonts w:hint="eastAsia" w:ascii="仿宋" w:hAnsi="仿宋" w:eastAsia="仿宋" w:cs="仿宋"/>
          <w:sz w:val="32"/>
          <w:szCs w:val="32"/>
        </w:rPr>
        <w:t>学生参加勤工助学活动，必须遵守国家的法律法规和有关的规章制度。</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rPr>
        <w:t xml:space="preserve">第六条 </w:t>
      </w:r>
      <w:r>
        <w:rPr>
          <w:rFonts w:hint="eastAsia" w:ascii="仿宋" w:hAnsi="仿宋" w:eastAsia="仿宋" w:cs="仿宋"/>
          <w:sz w:val="32"/>
          <w:szCs w:val="32"/>
        </w:rPr>
        <w:t>勤工助学活动由学校统一组织和管理。学生私自在校外兼职的行为，不在本办法规定之列。</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49" w:name="_Toc15754_WPSOffice_Level1"/>
      <w:r>
        <w:rPr>
          <w:rFonts w:hint="eastAsia" w:ascii="黑体" w:hAnsi="黑体" w:eastAsia="黑体" w:cs="黑体"/>
          <w:b/>
          <w:bCs/>
          <w:sz w:val="32"/>
          <w:szCs w:val="32"/>
        </w:rPr>
        <w:t>第二章  组织机构</w:t>
      </w:r>
      <w:bookmarkEnd w:id="849"/>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lang w:val="zh-CN"/>
        </w:rPr>
        <w:t>第七条</w:t>
      </w:r>
      <w:r>
        <w:rPr>
          <w:rFonts w:hint="eastAsia" w:ascii="仿宋" w:hAnsi="仿宋" w:eastAsia="仿宋" w:cs="仿宋"/>
          <w:b/>
          <w:bCs/>
          <w:sz w:val="32"/>
          <w:szCs w:val="32"/>
        </w:rPr>
        <w:t xml:space="preserve"> </w:t>
      </w:r>
      <w:r>
        <w:rPr>
          <w:rFonts w:hint="eastAsia" w:ascii="仿宋" w:hAnsi="仿宋" w:eastAsia="仿宋" w:cs="仿宋"/>
          <w:sz w:val="32"/>
          <w:szCs w:val="32"/>
        </w:rPr>
        <w:t>学校成立“柳州职业技术学院勤工助学管理中心”，负责全面规划、领导、管理全校勤工助学工作。</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lang w:val="zh-CN"/>
        </w:rPr>
        <w:t>第八条</w:t>
      </w:r>
      <w:r>
        <w:rPr>
          <w:rFonts w:hint="eastAsia" w:ascii="仿宋" w:hAnsi="仿宋" w:eastAsia="仿宋" w:cs="仿宋"/>
          <w:b/>
          <w:bCs/>
          <w:sz w:val="32"/>
          <w:szCs w:val="32"/>
        </w:rPr>
        <w:t xml:space="preserve"> </w:t>
      </w:r>
      <w:r>
        <w:rPr>
          <w:rFonts w:hint="eastAsia" w:ascii="仿宋" w:hAnsi="仿宋" w:eastAsia="仿宋" w:cs="仿宋"/>
          <w:sz w:val="32"/>
          <w:szCs w:val="32"/>
        </w:rPr>
        <w:t>学校勤工助学管理中心的职责包括：</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 指导、管理、协调全校勤工助学工作，鼓励各部门开展勤工助学活动，鼓励学生积极参加有组织的勤工助学活动；</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2.积极收集校内外勤工助学信息，开拓勤工助学渠道，发布勤工助学招聘信息，组织各类勤工助学招聘活动；</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3.优先推荐和安排家庭经济困难学生参加勤工助学活动；</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4.对因参加勤工助学活动而影响专业学习或违反校规校纪的学生，调整或终止其勤工助学岗位；</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5.负责审核各部门每月上报的勤工助学学生工作量，做好勤工助学学生的薪酬发放工作；</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6.保障参加勤工助学活动学生的合法权益，及时帮助解决勤工助学活动中出现的问题，保障学生勤工助学应得的合理报酬，防止克扣和拖欠。</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lang w:val="zh-CN"/>
        </w:rPr>
        <w:t>第九条</w:t>
      </w:r>
      <w:r>
        <w:rPr>
          <w:rFonts w:hint="eastAsia" w:ascii="仿宋" w:hAnsi="仿宋" w:eastAsia="仿宋" w:cs="仿宋"/>
          <w:sz w:val="32"/>
          <w:szCs w:val="32"/>
        </w:rPr>
        <w:t xml:space="preserve"> 各二级学院应成立勤工助学工作领导小组，由分管学生工作的党总支书记（或副书记）任组长，学生科科长、分团委书记、学生专干、辅导员等为成员，组织和开展本学院勤工助学工作，对本学院申请参加勤工助学活动的学生进行资格审查。</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50" w:name="_Toc20653_WPSOffice_Level1"/>
      <w:r>
        <w:rPr>
          <w:rFonts w:hint="eastAsia" w:ascii="黑体" w:hAnsi="黑体" w:eastAsia="黑体" w:cs="黑体"/>
          <w:b/>
          <w:bCs/>
          <w:sz w:val="32"/>
          <w:szCs w:val="32"/>
        </w:rPr>
        <w:t>第三章  校内勤工助学岗位的设置</w:t>
      </w:r>
      <w:bookmarkEnd w:id="850"/>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lang w:val="zh-CN"/>
        </w:rPr>
        <w:t>第十条</w:t>
      </w:r>
      <w:r>
        <w:rPr>
          <w:rFonts w:hint="eastAsia" w:ascii="仿宋" w:hAnsi="仿宋" w:eastAsia="仿宋" w:cs="仿宋"/>
          <w:b/>
          <w:bCs/>
          <w:sz w:val="32"/>
          <w:szCs w:val="32"/>
        </w:rPr>
        <w:t xml:space="preserve"> </w:t>
      </w:r>
      <w:r>
        <w:rPr>
          <w:rFonts w:hint="eastAsia" w:ascii="仿宋" w:hAnsi="仿宋" w:eastAsia="仿宋" w:cs="仿宋"/>
          <w:sz w:val="32"/>
          <w:szCs w:val="32"/>
        </w:rPr>
        <w:t>校内勤工助学岗位的设置，必须坚持因事设置、按需设置和合理设置的原则。校内勤工助学岗位设置以校内教学助理、科研助理、行政管理助理和学校公共服务等为主。</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lang w:val="zh-CN"/>
        </w:rPr>
        <w:t>第十一条</w:t>
      </w:r>
      <w:r>
        <w:rPr>
          <w:rFonts w:hint="eastAsia" w:ascii="仿宋" w:hAnsi="仿宋" w:eastAsia="仿宋" w:cs="仿宋"/>
          <w:b/>
          <w:bCs/>
          <w:sz w:val="32"/>
          <w:szCs w:val="32"/>
        </w:rPr>
        <w:t xml:space="preserve"> </w:t>
      </w:r>
      <w:r>
        <w:rPr>
          <w:rFonts w:hint="eastAsia" w:ascii="仿宋" w:hAnsi="仿宋" w:eastAsia="仿宋" w:cs="仿宋"/>
          <w:sz w:val="32"/>
          <w:szCs w:val="32"/>
        </w:rPr>
        <w:t>校内勤工助学岗位分固定岗位和临时岗位。</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1．固定岗位是指持续一个学期以上的长期性岗位和寒暑假期间的连续性岗位；</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2．临时岗位是指不具有长期性，通过一次或几次勤工助学活动即完成任务的工作岗位；</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lang w:val="zh-CN"/>
        </w:rPr>
        <w:t>第十二条</w:t>
      </w:r>
      <w:r>
        <w:rPr>
          <w:rFonts w:hint="eastAsia" w:ascii="仿宋" w:hAnsi="仿宋" w:eastAsia="仿宋" w:cs="仿宋"/>
          <w:sz w:val="32"/>
          <w:szCs w:val="32"/>
        </w:rPr>
        <w:t xml:space="preserve"> 校内勤工助学岗位的申报、审批程序：</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学校各部门向学校勤工助学管理中心提出岗位申请；</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学校勤工助学管理中心负责对勤工助学岗位审核；</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临时岗位申请须提前一周提出申请，报学校勤工助学管理中心批准，由学校勤工助学管理中心安排落实。</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51" w:name="_Toc13227_WPSOffice_Level1"/>
      <w:r>
        <w:rPr>
          <w:rFonts w:hint="eastAsia" w:ascii="黑体" w:hAnsi="黑体" w:eastAsia="黑体" w:cs="黑体"/>
          <w:b/>
          <w:bCs/>
          <w:sz w:val="32"/>
          <w:szCs w:val="32"/>
        </w:rPr>
        <w:t>第四章  校内勤工助学岗位的申请和审批</w:t>
      </w:r>
      <w:bookmarkEnd w:id="851"/>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lang w:val="zh-CN"/>
        </w:rPr>
        <w:t>第十三条</w:t>
      </w:r>
      <w:r>
        <w:rPr>
          <w:rFonts w:hint="eastAsia" w:ascii="仿宋" w:hAnsi="仿宋" w:eastAsia="仿宋" w:cs="仿宋"/>
          <w:b/>
          <w:bCs/>
          <w:sz w:val="32"/>
          <w:szCs w:val="32"/>
        </w:rPr>
        <w:t xml:space="preserve"> </w:t>
      </w:r>
      <w:r>
        <w:rPr>
          <w:rFonts w:hint="eastAsia" w:ascii="仿宋" w:hAnsi="仿宋" w:eastAsia="仿宋" w:cs="仿宋"/>
          <w:sz w:val="32"/>
          <w:szCs w:val="32"/>
        </w:rPr>
        <w:t>申请校内勤工助学岗位的条件：</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学习勤奋努力，学有余力；</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遵守校规校纪；</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家庭经济困难，对继续完成在校学业造成影响，特困生予以优先安排。</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lang w:val="zh-CN"/>
        </w:rPr>
        <w:t>第十四条</w:t>
      </w:r>
      <w:r>
        <w:rPr>
          <w:rFonts w:hint="eastAsia" w:ascii="仿宋" w:hAnsi="仿宋" w:eastAsia="仿宋" w:cs="仿宋"/>
          <w:sz w:val="32"/>
          <w:szCs w:val="32"/>
        </w:rPr>
        <w:t xml:space="preserve"> 学生从事勤工助学活动的申请、审批程序：</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学校勤工助学管理中心统一发布校内勤工助学岗位招聘信息；</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学校勤工助学管理中心组织校内各用工部门开展勤工助学岗位公开招聘工作；</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3.学生本人自愿报名，填写《柳州职业技术学院勤工助学申请表》，提交校内用工部门审批；</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4.用工部门收集学生的《柳州职业技术学院勤工助学申请表》并签署录用意见，报学校勤工助学管理中心审批。</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eastAsia="zh-CN"/>
        </w:rPr>
        <w:t>.</w:t>
      </w:r>
      <w:r>
        <w:rPr>
          <w:rFonts w:hint="eastAsia" w:ascii="仿宋" w:hAnsi="仿宋" w:eastAsia="仿宋" w:cs="仿宋"/>
          <w:sz w:val="32"/>
          <w:szCs w:val="32"/>
        </w:rPr>
        <w:t>学校勤工助学管理中心审核、批准上岗。</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rPr>
        <w:t xml:space="preserve">第十五条 </w:t>
      </w:r>
      <w:r>
        <w:rPr>
          <w:rFonts w:hint="eastAsia" w:ascii="仿宋" w:hAnsi="仿宋" w:eastAsia="仿宋" w:cs="仿宋"/>
          <w:sz w:val="32"/>
          <w:szCs w:val="32"/>
        </w:rPr>
        <w:t>学校任何部门未经申请而使用学生参加勤工助学活动的，学校勤工助学管理中心不予以认证，不向学生发放勤工助学报酬。</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rPr>
        <w:t xml:space="preserve">第十六条 </w:t>
      </w:r>
      <w:r>
        <w:rPr>
          <w:rFonts w:hint="eastAsia" w:ascii="仿宋" w:hAnsi="仿宋" w:eastAsia="仿宋" w:cs="仿宋"/>
          <w:sz w:val="32"/>
          <w:szCs w:val="32"/>
        </w:rPr>
        <w:t>凡未获得审批的学生，不得从事勤工助学活动，学校内任何部门也不予接收和安排工作。</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rPr>
      </w:pPr>
      <w:r>
        <w:rPr>
          <w:rFonts w:hint="eastAsia" w:ascii="仿宋" w:hAnsi="仿宋" w:eastAsia="仿宋" w:cs="仿宋"/>
          <w:b/>
          <w:bCs/>
          <w:sz w:val="32"/>
          <w:szCs w:val="32"/>
        </w:rPr>
        <w:t xml:space="preserve">第十七条 </w:t>
      </w:r>
      <w:r>
        <w:rPr>
          <w:rFonts w:hint="eastAsia" w:ascii="仿宋" w:hAnsi="仿宋" w:eastAsia="仿宋" w:cs="仿宋"/>
          <w:sz w:val="32"/>
          <w:szCs w:val="32"/>
        </w:rPr>
        <w:t>学生自行到社会从事勤工助学工作的，责任由本人负责。</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52" w:name="_Toc21868_WPSOffice_Level1"/>
      <w:r>
        <w:rPr>
          <w:rFonts w:hint="eastAsia" w:ascii="黑体" w:hAnsi="黑体" w:eastAsia="黑体" w:cs="黑体"/>
          <w:b/>
          <w:bCs/>
          <w:sz w:val="32"/>
          <w:szCs w:val="32"/>
        </w:rPr>
        <w:t>第五章  校内勤工助学岗位的管理</w:t>
      </w:r>
      <w:bookmarkEnd w:id="852"/>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第十八条</w:t>
      </w:r>
      <w:r>
        <w:rPr>
          <w:rFonts w:hint="eastAsia" w:ascii="仿宋" w:hAnsi="仿宋" w:eastAsia="仿宋" w:cs="仿宋"/>
          <w:sz w:val="32"/>
          <w:szCs w:val="32"/>
          <w:lang w:val="zh-CN"/>
        </w:rPr>
        <w:t xml:space="preserve"> 学校勤工助学管理中心负责规划、领导、管理全校勤工助学工作，对各部门的勤工助学工作进行指导和监督。</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 xml:space="preserve">第十九条 </w:t>
      </w:r>
      <w:r>
        <w:rPr>
          <w:rFonts w:hint="eastAsia" w:ascii="仿宋" w:hAnsi="仿宋" w:eastAsia="仿宋" w:cs="仿宋"/>
          <w:sz w:val="32"/>
          <w:szCs w:val="32"/>
          <w:lang w:val="zh-CN"/>
        </w:rPr>
        <w:t>本着“谁用人谁管理”的原则，各部门应安排专人负责本部门的勤工助学管理工作，对勤工助学学生进行岗前培训和安全教育，指导和监管学生的勤工助学活动，做好勤工助学学生的日常考核和工作量上报工作。</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第二十条</w:t>
      </w:r>
      <w:r>
        <w:rPr>
          <w:rFonts w:hint="eastAsia" w:ascii="仿宋" w:hAnsi="仿宋" w:eastAsia="仿宋" w:cs="仿宋"/>
          <w:sz w:val="32"/>
          <w:szCs w:val="32"/>
          <w:lang w:val="zh-CN"/>
        </w:rPr>
        <w:t xml:space="preserve"> 各用人部门需要更换本部门勤工助学学生时，须向学校勤工助学管理中心提出申请，由学校勤工助学管理中心进行协调更换。</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第二十一条</w:t>
      </w:r>
      <w:r>
        <w:rPr>
          <w:rFonts w:hint="eastAsia" w:ascii="仿宋" w:hAnsi="仿宋" w:eastAsia="仿宋" w:cs="仿宋"/>
          <w:sz w:val="32"/>
          <w:szCs w:val="32"/>
          <w:lang w:val="zh-CN"/>
        </w:rPr>
        <w:t xml:space="preserve"> 学生参加勤工助学活动，应限于假期或课余时间，为了保证学生的学习时间，学生参加勤工助学的时间原则上每周不超过8小时，每月不超过40小时。寒暑假勤工助学时间原则上一天不超过8小时，每周工作五天。</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第二十二条</w:t>
      </w:r>
      <w:r>
        <w:rPr>
          <w:rFonts w:hint="eastAsia" w:ascii="仿宋" w:hAnsi="仿宋" w:eastAsia="仿宋" w:cs="仿宋"/>
          <w:sz w:val="32"/>
          <w:szCs w:val="32"/>
          <w:lang w:val="zh-CN"/>
        </w:rPr>
        <w:t xml:space="preserve"> 各用人部门不得无故延长学生勤工助学工作时间，不得将职工的工作任务转嫁给勤工助学的学生。</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53" w:name="_Toc28715_WPSOffice_Level1"/>
      <w:r>
        <w:rPr>
          <w:rFonts w:hint="eastAsia" w:ascii="黑体" w:hAnsi="黑体" w:eastAsia="黑体" w:cs="黑体"/>
          <w:b/>
          <w:bCs/>
          <w:sz w:val="32"/>
          <w:szCs w:val="32"/>
        </w:rPr>
        <w:t>第六章  校外勤工助学活动的管理</w:t>
      </w:r>
      <w:bookmarkEnd w:id="853"/>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第二十三条</w:t>
      </w:r>
      <w:r>
        <w:rPr>
          <w:rFonts w:hint="eastAsia" w:ascii="仿宋" w:hAnsi="仿宋" w:eastAsia="仿宋" w:cs="仿宋"/>
          <w:sz w:val="32"/>
          <w:szCs w:val="32"/>
          <w:lang w:val="zh-CN"/>
        </w:rPr>
        <w:t xml:space="preserve"> 校外勤工助学活动由学校勤工助学管理中心统一管理，并注重与学生学业的有机结合。</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第二十四条</w:t>
      </w:r>
      <w:r>
        <w:rPr>
          <w:rFonts w:hint="eastAsia" w:ascii="仿宋" w:hAnsi="仿宋" w:eastAsia="仿宋" w:cs="仿宋"/>
          <w:sz w:val="32"/>
          <w:szCs w:val="32"/>
          <w:lang w:val="zh-CN"/>
        </w:rPr>
        <w:t xml:space="preserve"> 校外用人单位聘用学生勤工助学，须向学校勤工助学管理中心提出申请，提供法人资格证书副本和相关的证明文件。经学校审核同意后，推荐适合用人单位工作要求的学生参加勤工助学活动。</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54" w:name="_Toc16217_WPSOffice_Level1"/>
      <w:r>
        <w:rPr>
          <w:rFonts w:hint="eastAsia" w:ascii="黑体" w:hAnsi="黑体" w:eastAsia="黑体" w:cs="黑体"/>
          <w:b/>
          <w:bCs/>
          <w:sz w:val="32"/>
          <w:szCs w:val="32"/>
        </w:rPr>
        <w:t>第七章  勤工助学经费的管理和使用</w:t>
      </w:r>
      <w:bookmarkEnd w:id="854"/>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第二十五条</w:t>
      </w:r>
      <w:r>
        <w:rPr>
          <w:rFonts w:hint="eastAsia" w:ascii="仿宋" w:hAnsi="仿宋" w:eastAsia="仿宋" w:cs="仿宋"/>
          <w:sz w:val="32"/>
          <w:szCs w:val="32"/>
          <w:lang w:val="zh-CN"/>
        </w:rPr>
        <w:t xml:space="preserve"> 学校设立勤工助学专项资金，用于支付参加校内勤工助学活动学生的劳动报酬、勤工助学活动的日常管理费用和其他相关工作的支出。学校勤工助学管理中心协同学校财务处共同管理和使用勤工助学专项资金。</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第二十六条</w:t>
      </w:r>
      <w:r>
        <w:rPr>
          <w:rFonts w:hint="eastAsia" w:ascii="仿宋" w:hAnsi="仿宋" w:eastAsia="仿宋" w:cs="仿宋"/>
          <w:sz w:val="32"/>
          <w:szCs w:val="32"/>
          <w:lang w:val="zh-CN"/>
        </w:rPr>
        <w:t xml:space="preserve"> 勤工助学酬金标准及支付：</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sz w:val="32"/>
          <w:szCs w:val="32"/>
          <w:lang w:val="zh-CN"/>
        </w:rPr>
        <w:t>1.校内固定岗位按月计酬。以每月40个工时的酬金原则上不低于当地政府或有关部门制定的最低工资标准或居民最低生活保障标准为计酬基准，可适当上下浮动。每月工时不满40小时按15元/小时计酬；达到40小时按605元/月计酬；超过40小时不计酬（寒暑假除外）。寒暑假按15元/小时计酬，每天工作不超8小时，每周休息2天。</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sz w:val="32"/>
          <w:szCs w:val="32"/>
          <w:lang w:val="zh-CN"/>
        </w:rPr>
        <w:t>2.校内临时岗位按小时计酬。每小时酬金可参照学校当地政府或有关部门规定的最低小时工资标准合理确定，按12元/小时计酬。</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sz w:val="32"/>
          <w:szCs w:val="32"/>
          <w:lang w:val="zh-CN"/>
        </w:rPr>
        <w:t>3.各用人部门于每月初将本部门勤工助学学生的考核情况上报学校勤工助学管理中心，由学校勤工助学管理中心审核发放勤工助学薪酬，用人部门不参与勤工助学薪酬的发放；</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sz w:val="32"/>
          <w:szCs w:val="32"/>
          <w:lang w:val="zh-CN"/>
        </w:rPr>
        <w:t>4.勤工助学劳动报酬，校外工作原则上由接受勤工助学服务的单位来支付，校内固定工作劳动报酬由学校勤工助学管理中心结合每月的考核情况统一发放支付，临时性工作报酬视工作具体情况而定。</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sz w:val="32"/>
          <w:szCs w:val="32"/>
          <w:lang w:val="zh-CN"/>
        </w:rPr>
        <w:t xml:space="preserve">5.校外勤工助学酬金标准不应低于学校当地政府或有关部门规定的最低工资标准，由用人单位、学校与学生协商确定，并写入聘用协议。 </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55" w:name="_Toc21818_WPSOffice_Level1"/>
      <w:r>
        <w:rPr>
          <w:rFonts w:hint="eastAsia" w:ascii="黑体" w:hAnsi="黑体" w:eastAsia="黑体" w:cs="黑体"/>
          <w:b/>
          <w:bCs/>
          <w:sz w:val="32"/>
          <w:szCs w:val="32"/>
        </w:rPr>
        <w:t>第八章</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教育管理</w:t>
      </w:r>
      <w:bookmarkEnd w:id="855"/>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第二十七条</w:t>
      </w:r>
      <w:r>
        <w:rPr>
          <w:rFonts w:hint="eastAsia" w:ascii="仿宋" w:hAnsi="仿宋" w:eastAsia="仿宋" w:cs="仿宋"/>
          <w:sz w:val="32"/>
          <w:szCs w:val="32"/>
          <w:lang w:val="zh-CN"/>
        </w:rPr>
        <w:t xml:space="preserve"> 学校勤工助学管理中心及用人部门要加强对勤工助学学生的思想政治教育，培养学生热爱劳动、自强不息、创新创业的奋斗精神，增强学生综合素质，充分发挥勤工助学育人功能。</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第二十八条</w:t>
      </w:r>
      <w:r>
        <w:rPr>
          <w:rFonts w:hint="eastAsia" w:ascii="仿宋" w:hAnsi="仿宋" w:eastAsia="仿宋" w:cs="仿宋"/>
          <w:sz w:val="32"/>
          <w:szCs w:val="32"/>
          <w:lang w:val="zh-CN"/>
        </w:rPr>
        <w:t xml:space="preserve"> 学校勤工助学管理中心对在勤工助学活动中表现突出的学生予以表彰和奖励；对违反勤工助学相关规定的学生，可按照规定停止其勤工助学活动。对在勤工助学活动中违反校纪校规的，按照校纪校规进行教育和处理。</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56" w:name="_Toc9288_WPSOffice_Level1"/>
      <w:r>
        <w:rPr>
          <w:rFonts w:hint="eastAsia" w:ascii="黑体" w:hAnsi="黑体" w:eastAsia="黑体" w:cs="黑体"/>
          <w:b/>
          <w:bCs/>
          <w:sz w:val="32"/>
          <w:szCs w:val="32"/>
        </w:rPr>
        <w:t>第九章</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法律责任</w:t>
      </w:r>
      <w:bookmarkEnd w:id="856"/>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第二十九条</w:t>
      </w:r>
      <w:r>
        <w:rPr>
          <w:rFonts w:hint="eastAsia" w:ascii="仿宋" w:hAnsi="仿宋" w:eastAsia="仿宋" w:cs="仿宋"/>
          <w:sz w:val="32"/>
          <w:szCs w:val="32"/>
          <w:lang w:val="zh-CN"/>
        </w:rPr>
        <w:t xml:space="preserve"> 在校内开展勤工助学活动的，学生及用人单位须遵守国家及学校勤工助学相关管理规定。学生在校外开展勤工助学活动的，勤工助学管理服务组织必须经学校授权，代表学校与用人单位和学生三方签订具有法律效力的协议书。签订协议书并办理相关聘用手续后，学生方可开展勤工助学活动。协议书必须明确学校、用人单位和学生等各方的权利和义务，开展勤工助学活动的学生如发生意外伤害事故的处理办法以及争议解决方法。</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 xml:space="preserve">第三十条 </w:t>
      </w:r>
      <w:r>
        <w:rPr>
          <w:rFonts w:hint="eastAsia" w:ascii="仿宋" w:hAnsi="仿宋" w:eastAsia="仿宋" w:cs="仿宋"/>
          <w:sz w:val="32"/>
          <w:szCs w:val="32"/>
          <w:lang w:val="zh-CN"/>
        </w:rPr>
        <w:t>在勤工助学活动中，若出现协议纠纷或学生意外伤害事故，协议各方应按照签订的协议协商解决。如不能达成一致意见，按照有关法律法规规定的程序办理。</w:t>
      </w:r>
    </w:p>
    <w:p>
      <w:pPr>
        <w:keepNext w:val="0"/>
        <w:keepLines w:val="0"/>
        <w:pageBreakBefore w:val="0"/>
        <w:kinsoku/>
        <w:wordWrap/>
        <w:overflowPunct/>
        <w:topLinePunct w:val="0"/>
        <w:autoSpaceDE/>
        <w:autoSpaceDN/>
        <w:bidi w:val="0"/>
        <w:adjustRightInd/>
        <w:snapToGrid/>
        <w:spacing w:line="596" w:lineRule="exact"/>
        <w:jc w:val="center"/>
        <w:textAlignment w:val="auto"/>
        <w:outlineLvl w:val="9"/>
        <w:rPr>
          <w:rFonts w:hint="eastAsia" w:ascii="黑体" w:hAnsi="黑体" w:eastAsia="黑体" w:cs="黑体"/>
          <w:b/>
          <w:bCs/>
          <w:sz w:val="32"/>
          <w:szCs w:val="32"/>
        </w:rPr>
      </w:pPr>
      <w:bookmarkStart w:id="857" w:name="_Toc29754_WPSOffice_Level1"/>
      <w:r>
        <w:rPr>
          <w:rFonts w:hint="eastAsia" w:ascii="黑体" w:hAnsi="黑体" w:eastAsia="黑体" w:cs="黑体"/>
          <w:b/>
          <w:bCs/>
          <w:sz w:val="32"/>
          <w:szCs w:val="32"/>
        </w:rPr>
        <w:t>第十章</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附  则</w:t>
      </w:r>
      <w:bookmarkEnd w:id="857"/>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r>
        <w:rPr>
          <w:rFonts w:hint="eastAsia" w:ascii="仿宋" w:hAnsi="仿宋" w:eastAsia="仿宋" w:cs="仿宋"/>
          <w:b/>
          <w:bCs/>
          <w:sz w:val="32"/>
          <w:szCs w:val="32"/>
          <w:lang w:val="zh-CN"/>
        </w:rPr>
        <w:t>第三十一条</w:t>
      </w:r>
      <w:r>
        <w:rPr>
          <w:rFonts w:hint="eastAsia" w:ascii="仿宋" w:hAnsi="仿宋" w:eastAsia="仿宋" w:cs="仿宋"/>
          <w:sz w:val="32"/>
          <w:szCs w:val="32"/>
          <w:lang w:val="zh-CN"/>
        </w:rPr>
        <w:t xml:space="preserve"> 本办法自公布之日起施行,原《柳州职业技术学院学生勤工助学活动管理办法》（柳职院字〔2011〕8 号）同时废止。</w:t>
      </w:r>
    </w:p>
    <w:p>
      <w:pPr>
        <w:keepNext w:val="0"/>
        <w:keepLines w:val="0"/>
        <w:pageBreakBefore w:val="0"/>
        <w:widowControl w:val="0"/>
        <w:kinsoku/>
        <w:wordWrap/>
        <w:overflowPunct/>
        <w:topLinePunct w:val="0"/>
        <w:autoSpaceDE/>
        <w:autoSpaceDN/>
        <w:bidi w:val="0"/>
        <w:adjustRightInd/>
        <w:snapToGrid/>
        <w:spacing w:line="596" w:lineRule="exact"/>
        <w:ind w:firstLine="640"/>
        <w:jc w:val="left"/>
        <w:textAlignment w:val="auto"/>
        <w:outlineLvl w:val="9"/>
        <w:rPr>
          <w:rFonts w:hint="eastAsia" w:ascii="仿宋" w:hAnsi="仿宋" w:eastAsia="仿宋" w:cs="仿宋"/>
          <w:sz w:val="32"/>
          <w:szCs w:val="32"/>
          <w:lang w:val="zh-CN"/>
        </w:rPr>
      </w:pPr>
      <w:bookmarkStart w:id="858" w:name="_Toc16263_WPSOffice_Level1"/>
      <w:r>
        <w:rPr>
          <w:rFonts w:hint="eastAsia" w:ascii="仿宋" w:hAnsi="仿宋" w:eastAsia="仿宋" w:cs="仿宋"/>
          <w:b/>
          <w:bCs/>
          <w:sz w:val="32"/>
          <w:szCs w:val="32"/>
          <w:lang w:val="zh-CN"/>
        </w:rPr>
        <w:t>第三十二条</w:t>
      </w:r>
      <w:r>
        <w:rPr>
          <w:rFonts w:hint="eastAsia" w:ascii="仿宋" w:hAnsi="仿宋" w:eastAsia="仿宋" w:cs="仿宋"/>
          <w:sz w:val="32"/>
          <w:szCs w:val="32"/>
          <w:lang w:val="zh-CN"/>
        </w:rPr>
        <w:t xml:space="preserve"> 本办法由校学生工作部（处）负责解释。</w:t>
      </w:r>
      <w:bookmarkEnd w:id="858"/>
    </w:p>
    <w:p>
      <w:pPr>
        <w:pageBreakBefore w:val="0"/>
        <w:kinsoku/>
        <w:overflowPunct/>
        <w:topLinePunct w:val="0"/>
        <w:bidi w:val="0"/>
        <w:outlineLvl w:val="9"/>
      </w:pPr>
    </w:p>
    <w:p>
      <w:pPr>
        <w:pageBreakBefore w:val="0"/>
        <w:numPr>
          <w:ilvl w:val="0"/>
          <w:numId w:val="0"/>
        </w:numPr>
        <w:kinsoku/>
        <w:overflowPunct/>
        <w:topLinePunct w:val="0"/>
        <w:bidi w:val="0"/>
        <w:outlineLvl w:val="9"/>
        <w:rPr>
          <w:rFonts w:hint="default"/>
          <w:sz w:val="32"/>
          <w:szCs w:val="32"/>
          <w:lang w:val="en-US" w:eastAsia="zh-CN"/>
        </w:rPr>
      </w:pPr>
    </w:p>
    <w:p>
      <w:pPr>
        <w:rPr>
          <w:rFonts w:hint="eastAsia" w:ascii="仿宋" w:hAnsi="仿宋" w:eastAsia="仿宋" w:cs="仿宋"/>
          <w:sz w:val="32"/>
          <w:szCs w:val="32"/>
        </w:rPr>
      </w:pPr>
    </w:p>
    <w:p>
      <w:pPr>
        <w:spacing w:before="146"/>
        <w:ind w:left="1037" w:right="0" w:firstLine="0"/>
        <w:jc w:val="left"/>
        <w:outlineLvl w:val="9"/>
        <w:rPr>
          <w:rFonts w:hint="eastAsia" w:ascii="黑体" w:hAnsi="黑体" w:eastAsia="黑体" w:cs="黑体"/>
          <w:b/>
          <w:sz w:val="36"/>
        </w:rPr>
      </w:pPr>
      <w:bookmarkStart w:id="859" w:name="_Toc5352_WPSOffice_Level1"/>
      <w:bookmarkStart w:id="860" w:name="_Toc14683"/>
      <w:bookmarkStart w:id="861" w:name="_Toc13250"/>
      <w:r>
        <w:rPr>
          <w:rFonts w:hint="eastAsia" w:ascii="黑体" w:hAnsi="黑体" w:eastAsia="黑体" w:cs="黑体"/>
          <w:b/>
          <w:sz w:val="36"/>
        </w:rPr>
        <w:t>柳州职业技术学院普通高等教育专科招生工作管理办法</w:t>
      </w:r>
      <w:bookmarkEnd w:id="859"/>
      <w:bookmarkEnd w:id="860"/>
      <w:bookmarkEnd w:id="861"/>
    </w:p>
    <w:p>
      <w:pPr>
        <w:pStyle w:val="4"/>
        <w:rPr>
          <w:rFonts w:ascii="宋体"/>
          <w:b/>
          <w:sz w:val="36"/>
        </w:rPr>
      </w:pPr>
    </w:p>
    <w:p>
      <w:pPr>
        <w:pStyle w:val="4"/>
        <w:spacing w:before="5"/>
        <w:rPr>
          <w:rFonts w:ascii="宋体"/>
          <w:b/>
          <w:sz w:val="36"/>
        </w:rPr>
      </w:pPr>
    </w:p>
    <w:p>
      <w:pPr>
        <w:pStyle w:val="4"/>
        <w:tabs>
          <w:tab w:val="left" w:pos="1792"/>
        </w:tabs>
        <w:ind w:left="513"/>
        <w:jc w:val="center"/>
        <w:outlineLvl w:val="9"/>
        <w:rPr>
          <w:rFonts w:hint="eastAsia" w:ascii="黑体" w:eastAsia="黑体"/>
        </w:rPr>
      </w:pPr>
      <w:bookmarkStart w:id="862" w:name="_Toc28063"/>
      <w:bookmarkStart w:id="863" w:name="_Toc29916_WPSOffice_Level1"/>
      <w:bookmarkStart w:id="864" w:name="_Toc5943"/>
      <w:r>
        <w:rPr>
          <w:rFonts w:hint="eastAsia" w:ascii="黑体" w:eastAsia="黑体"/>
        </w:rPr>
        <w:t>第一章</w:t>
      </w:r>
      <w:r>
        <w:rPr>
          <w:rFonts w:hint="eastAsia" w:ascii="黑体" w:eastAsia="黑体"/>
        </w:rPr>
        <w:tab/>
      </w:r>
      <w:r>
        <w:rPr>
          <w:rFonts w:hint="eastAsia" w:ascii="黑体" w:eastAsia="黑体"/>
        </w:rPr>
        <w:t>总 则</w:t>
      </w:r>
      <w:bookmarkEnd w:id="862"/>
      <w:bookmarkEnd w:id="863"/>
      <w:bookmarkEnd w:id="864"/>
    </w:p>
    <w:p>
      <w:pPr>
        <w:pStyle w:val="4"/>
        <w:spacing w:before="8"/>
        <w:rPr>
          <w:rFonts w:ascii="黑体"/>
          <w:sz w:val="26"/>
        </w:rPr>
      </w:pPr>
    </w:p>
    <w:p>
      <w:pPr>
        <w:pStyle w:val="4"/>
        <w:spacing w:line="348" w:lineRule="auto"/>
        <w:ind w:left="948" w:right="431" w:firstLine="638"/>
        <w:jc w:val="both"/>
      </w:pPr>
      <w:r>
        <w:rPr>
          <w:b/>
          <w:spacing w:val="-3"/>
        </w:rPr>
        <w:t xml:space="preserve">第一条 </w:t>
      </w:r>
      <w:r>
        <w:t>为确保学校招生工作合法、规范、公平、有序的进</w:t>
      </w:r>
      <w:r>
        <w:rPr>
          <w:spacing w:val="-10"/>
          <w:w w:val="95"/>
        </w:rPr>
        <w:t>行，促进学校招生工作科学化、规范化和制度化，根据《中华人 民共和国教育法</w:t>
      </w:r>
      <w:r>
        <w:rPr>
          <w:spacing w:val="-24"/>
          <w:w w:val="95"/>
        </w:rPr>
        <w:t xml:space="preserve">》《中华人民共和国高等教育法》，教育部、自治 </w:t>
      </w:r>
      <w:r>
        <w:rPr>
          <w:spacing w:val="-26"/>
        </w:rPr>
        <w:t>区教育厅相关文件要求及《柳州职业技术学院章程》，结合学校招生工作实际，制定办法。</w:t>
      </w:r>
    </w:p>
    <w:p>
      <w:pPr>
        <w:pStyle w:val="4"/>
        <w:spacing w:before="164" w:line="348" w:lineRule="auto"/>
        <w:ind w:left="948" w:right="433" w:firstLine="638"/>
        <w:jc w:val="both"/>
      </w:pPr>
      <w:r>
        <w:rPr>
          <w:b/>
          <w:spacing w:val="-3"/>
        </w:rPr>
        <w:t xml:space="preserve">第二条 </w:t>
      </w:r>
      <w:r>
        <w:t>学校招生工作坚持全面贯彻落实教育部关于高校招</w:t>
      </w:r>
      <w:r>
        <w:rPr>
          <w:spacing w:val="-11"/>
          <w:w w:val="95"/>
        </w:rPr>
        <w:t xml:space="preserve">生工作实施“阳光工程”的通知精神，积极探索招生工作改革的 </w:t>
      </w:r>
      <w:r>
        <w:rPr>
          <w:spacing w:val="-12"/>
          <w:w w:val="95"/>
        </w:rPr>
        <w:t xml:space="preserve">新途径，以提高生源质量为目标，以“公正选拔、公开程序、全 面考核、综合评价、择优录取”为原则，坚持依法招生，维护考 </w:t>
      </w:r>
      <w:r>
        <w:rPr>
          <w:spacing w:val="-12"/>
        </w:rPr>
        <w:t>生合法权益，使学校生源质量与学校整体发展水平相适应。</w:t>
      </w:r>
    </w:p>
    <w:p>
      <w:pPr>
        <w:pStyle w:val="4"/>
        <w:spacing w:before="8"/>
        <w:rPr>
          <w:sz w:val="8"/>
        </w:rPr>
      </w:pPr>
    </w:p>
    <w:p>
      <w:pPr>
        <w:pStyle w:val="4"/>
        <w:spacing w:before="54"/>
        <w:ind w:left="1587"/>
      </w:pPr>
      <w:r>
        <w:rPr>
          <w:b/>
        </w:rPr>
        <w:t xml:space="preserve">第三条 </w:t>
      </w:r>
      <w:r>
        <w:t>学校招生工作坚持重大问题报告制度和民主决策制</w:t>
      </w:r>
    </w:p>
    <w:p>
      <w:pPr>
        <w:pStyle w:val="4"/>
        <w:spacing w:before="185"/>
        <w:ind w:left="948"/>
      </w:pPr>
      <w:r>
        <w:t>度。</w:t>
      </w:r>
    </w:p>
    <w:p>
      <w:pPr>
        <w:pStyle w:val="4"/>
        <w:spacing w:before="5"/>
        <w:rPr>
          <w:sz w:val="22"/>
        </w:rPr>
      </w:pPr>
    </w:p>
    <w:p>
      <w:pPr>
        <w:pStyle w:val="4"/>
        <w:spacing w:before="54" w:line="350" w:lineRule="auto"/>
        <w:ind w:left="948" w:right="274" w:firstLine="638"/>
      </w:pPr>
      <w:r>
        <w:rPr>
          <w:b/>
          <w:spacing w:val="-3"/>
        </w:rPr>
        <w:t xml:space="preserve">第四条 </w:t>
      </w:r>
      <w:r>
        <w:rPr>
          <w:spacing w:val="-7"/>
        </w:rPr>
        <w:t>学校招生工作接受纪检监察部门、新闻媒体、考生、家长及社会各界的监督。</w:t>
      </w:r>
    </w:p>
    <w:p>
      <w:pPr>
        <w:pStyle w:val="4"/>
      </w:pPr>
    </w:p>
    <w:p>
      <w:pPr>
        <w:pStyle w:val="4"/>
        <w:spacing w:before="6"/>
        <w:rPr>
          <w:sz w:val="38"/>
        </w:rPr>
      </w:pPr>
    </w:p>
    <w:p>
      <w:pPr>
        <w:pStyle w:val="4"/>
        <w:ind w:left="512"/>
        <w:jc w:val="center"/>
        <w:outlineLvl w:val="9"/>
        <w:rPr>
          <w:rFonts w:hint="eastAsia" w:ascii="黑体" w:eastAsia="黑体"/>
        </w:rPr>
      </w:pPr>
      <w:bookmarkStart w:id="865" w:name="_Toc25326_WPSOffice_Level1"/>
      <w:bookmarkStart w:id="866" w:name="_Toc4010"/>
      <w:bookmarkStart w:id="867" w:name="_Toc1925"/>
      <w:r>
        <w:rPr>
          <w:rFonts w:hint="eastAsia" w:ascii="黑体" w:eastAsia="黑体"/>
        </w:rPr>
        <w:t>第二章 组织机构</w:t>
      </w:r>
      <w:bookmarkEnd w:id="865"/>
      <w:bookmarkEnd w:id="866"/>
      <w:bookmarkEnd w:id="867"/>
    </w:p>
    <w:p>
      <w:pPr>
        <w:spacing w:after="0"/>
        <w:jc w:val="center"/>
        <w:rPr>
          <w:rFonts w:hint="eastAsia" w:ascii="黑体" w:eastAsia="黑体"/>
        </w:rPr>
        <w:sectPr>
          <w:pgSz w:w="11910" w:h="16840"/>
          <w:pgMar w:top="1580" w:right="1040" w:bottom="1300" w:left="640" w:header="0" w:footer="1115" w:gutter="0"/>
          <w:pgNumType w:fmt="decimal"/>
        </w:sectPr>
      </w:pPr>
    </w:p>
    <w:p>
      <w:pPr>
        <w:pStyle w:val="4"/>
        <w:rPr>
          <w:rFonts w:ascii="黑体"/>
          <w:sz w:val="16"/>
        </w:rPr>
      </w:pPr>
    </w:p>
    <w:p>
      <w:pPr>
        <w:spacing w:before="54"/>
        <w:ind w:left="1587" w:right="0" w:firstLine="0"/>
        <w:jc w:val="left"/>
        <w:rPr>
          <w:sz w:val="32"/>
        </w:rPr>
      </w:pPr>
      <w:r>
        <w:rPr>
          <w:b/>
          <w:sz w:val="32"/>
        </w:rPr>
        <w:t xml:space="preserve">第五条 </w:t>
      </w:r>
      <w:r>
        <w:rPr>
          <w:sz w:val="32"/>
        </w:rPr>
        <w:t>成立招生工作委员会，具体如下：</w:t>
      </w:r>
    </w:p>
    <w:p>
      <w:pPr>
        <w:pStyle w:val="4"/>
        <w:spacing w:before="8"/>
        <w:rPr>
          <w:sz w:val="26"/>
        </w:rPr>
      </w:pPr>
    </w:p>
    <w:p>
      <w:pPr>
        <w:pStyle w:val="4"/>
        <w:spacing w:before="1"/>
        <w:ind w:left="1587"/>
        <w:outlineLvl w:val="9"/>
      </w:pPr>
      <w:r>
        <w:t>（一）招生工作领导小组</w:t>
      </w:r>
    </w:p>
    <w:p>
      <w:pPr>
        <w:pStyle w:val="4"/>
        <w:spacing w:before="10"/>
        <w:rPr>
          <w:sz w:val="26"/>
        </w:rPr>
      </w:pPr>
    </w:p>
    <w:p>
      <w:pPr>
        <w:pStyle w:val="4"/>
        <w:spacing w:line="348" w:lineRule="auto"/>
        <w:ind w:left="948" w:right="431" w:firstLine="638"/>
      </w:pPr>
      <w:r>
        <w:rPr>
          <w:spacing w:val="-5"/>
        </w:rPr>
        <w:t>学校招生工作领导小组主任由学校书记和校长担任，副主任由学校副校长级领导担任。</w:t>
      </w:r>
    </w:p>
    <w:p>
      <w:pPr>
        <w:pStyle w:val="4"/>
        <w:spacing w:before="157"/>
        <w:ind w:left="1587"/>
        <w:outlineLvl w:val="9"/>
      </w:pPr>
      <w:r>
        <w:t>（二）招生工作委员单位</w:t>
      </w:r>
    </w:p>
    <w:p>
      <w:pPr>
        <w:pStyle w:val="4"/>
        <w:spacing w:before="11"/>
        <w:rPr>
          <w:sz w:val="26"/>
        </w:rPr>
      </w:pPr>
    </w:p>
    <w:p>
      <w:pPr>
        <w:pStyle w:val="4"/>
        <w:spacing w:line="348" w:lineRule="auto"/>
        <w:ind w:left="948" w:right="431" w:firstLine="638"/>
      </w:pPr>
      <w:r>
        <w:rPr>
          <w:spacing w:val="-7"/>
        </w:rPr>
        <w:t>委员单位为学校行政部门及二级学院。委员单位负责人代表委员单位行使职能。</w:t>
      </w:r>
    </w:p>
    <w:p>
      <w:pPr>
        <w:pStyle w:val="4"/>
        <w:spacing w:before="157" w:line="348" w:lineRule="auto"/>
        <w:ind w:left="948" w:right="316" w:firstLine="638"/>
        <w:jc w:val="both"/>
      </w:pPr>
      <w:r>
        <w:rPr>
          <w:b/>
          <w:spacing w:val="38"/>
        </w:rPr>
        <w:t xml:space="preserve">第六条 </w:t>
      </w:r>
      <w:r>
        <w:rPr>
          <w:spacing w:val="-7"/>
        </w:rPr>
        <w:t>招生工作委员会下设招生计划组、招生宣传组、招</w:t>
      </w:r>
      <w:r>
        <w:rPr>
          <w:spacing w:val="-15"/>
        </w:rPr>
        <w:t>生录取组、网络信息安全组、招生工作保障组、“阳光工程”监督组等机构，负责我校招生全过程的组织实施、后勤保障和纪检监督工作。工作职责见《关于调整学校招生工作委员会的通知》</w:t>
      </w:r>
    </w:p>
    <w:p>
      <w:pPr>
        <w:pStyle w:val="4"/>
        <w:spacing w:before="8"/>
        <w:ind w:left="948"/>
        <w:jc w:val="both"/>
      </w:pPr>
      <w:r>
        <w:t>（柳职院字〔2021〕54</w:t>
      </w:r>
      <w:r>
        <w:rPr>
          <w:spacing w:val="-42"/>
        </w:rPr>
        <w:t xml:space="preserve"> 号</w:t>
      </w:r>
      <w:r>
        <w:rPr>
          <w:spacing w:val="-161"/>
        </w:rPr>
        <w:t>）</w:t>
      </w:r>
      <w:r>
        <w:t>。</w:t>
      </w:r>
    </w:p>
    <w:p>
      <w:pPr>
        <w:pStyle w:val="4"/>
        <w:spacing w:before="8"/>
        <w:rPr>
          <w:sz w:val="26"/>
        </w:rPr>
      </w:pPr>
    </w:p>
    <w:p>
      <w:pPr>
        <w:pStyle w:val="4"/>
        <w:ind w:left="512"/>
        <w:jc w:val="center"/>
        <w:outlineLvl w:val="9"/>
        <w:rPr>
          <w:rFonts w:hint="eastAsia" w:ascii="黑体" w:eastAsia="黑体"/>
        </w:rPr>
      </w:pPr>
      <w:bookmarkStart w:id="868" w:name="_Toc17968"/>
      <w:bookmarkStart w:id="869" w:name="_Toc9307_WPSOffice_Level1"/>
      <w:bookmarkStart w:id="870" w:name="_Toc28938"/>
      <w:r>
        <w:rPr>
          <w:rFonts w:hint="eastAsia" w:ascii="黑体" w:eastAsia="黑体"/>
        </w:rPr>
        <w:t>第三章 招生工作内容</w:t>
      </w:r>
      <w:bookmarkEnd w:id="868"/>
      <w:bookmarkEnd w:id="869"/>
      <w:bookmarkEnd w:id="870"/>
    </w:p>
    <w:p>
      <w:pPr>
        <w:pStyle w:val="4"/>
        <w:spacing w:before="8"/>
        <w:rPr>
          <w:rFonts w:ascii="黑体"/>
          <w:sz w:val="26"/>
        </w:rPr>
      </w:pPr>
    </w:p>
    <w:p>
      <w:pPr>
        <w:tabs>
          <w:tab w:val="left" w:pos="2873"/>
        </w:tabs>
        <w:spacing w:before="0"/>
        <w:ind w:left="1587" w:right="0" w:firstLine="0"/>
        <w:jc w:val="left"/>
        <w:rPr>
          <w:sz w:val="32"/>
        </w:rPr>
      </w:pPr>
      <w:r>
        <w:rPr>
          <w:b/>
          <w:sz w:val="32"/>
        </w:rPr>
        <w:t>第七条</w:t>
      </w:r>
      <w:r>
        <w:rPr>
          <w:b/>
          <w:sz w:val="32"/>
        </w:rPr>
        <w:tab/>
      </w:r>
      <w:r>
        <w:rPr>
          <w:sz w:val="32"/>
        </w:rPr>
        <w:t>招生类型</w:t>
      </w:r>
    </w:p>
    <w:p>
      <w:pPr>
        <w:pStyle w:val="4"/>
        <w:spacing w:before="10"/>
        <w:rPr>
          <w:sz w:val="26"/>
        </w:rPr>
      </w:pPr>
    </w:p>
    <w:p>
      <w:pPr>
        <w:pStyle w:val="4"/>
        <w:spacing w:before="1" w:line="348" w:lineRule="auto"/>
        <w:ind w:left="948" w:right="274" w:firstLine="638"/>
      </w:pPr>
      <w:r>
        <w:t xml:space="preserve">我校全日制招生类型根据教育部和自治区教育管理部门的 </w:t>
      </w:r>
      <w:r>
        <w:rPr>
          <w:spacing w:val="-5"/>
        </w:rPr>
        <w:t>规定分为分类招生</w:t>
      </w:r>
      <w:r>
        <w:t>（</w:t>
      </w:r>
      <w:r>
        <w:rPr>
          <w:spacing w:val="-8"/>
        </w:rPr>
        <w:t>高职单独招生、高职对口中职自主招生、高</w:t>
      </w:r>
      <w:r>
        <w:rPr>
          <w:spacing w:val="-8"/>
          <w:w w:val="95"/>
        </w:rPr>
        <w:t>职扩招等</w:t>
      </w:r>
      <w:r>
        <w:rPr>
          <w:spacing w:val="-109"/>
          <w:w w:val="95"/>
        </w:rPr>
        <w:t>）</w:t>
      </w:r>
      <w:r>
        <w:rPr>
          <w:spacing w:val="-15"/>
          <w:w w:val="95"/>
        </w:rPr>
        <w:t xml:space="preserve">，由广西公办高职高专联盟联合开展考试、招生工作； </w:t>
      </w:r>
      <w:r>
        <w:rPr>
          <w:spacing w:val="-3"/>
          <w:w w:val="99"/>
        </w:rPr>
        <w:t>全国统一招生</w:t>
      </w:r>
      <w:r>
        <w:rPr>
          <w:w w:val="99"/>
        </w:rPr>
        <w:t>（简称统招</w:t>
      </w:r>
      <w:r>
        <w:rPr>
          <w:spacing w:val="-159"/>
          <w:w w:val="99"/>
        </w:rPr>
        <w:t>）</w:t>
      </w:r>
      <w:r>
        <w:rPr>
          <w:w w:val="99"/>
        </w:rPr>
        <w:t>，由教育部和自治区招生考试管理部</w:t>
      </w:r>
      <w:r>
        <w:t>门统筹，我校按照要求具体实施。</w:t>
      </w:r>
    </w:p>
    <w:p>
      <w:pPr>
        <w:pStyle w:val="4"/>
        <w:spacing w:before="161"/>
        <w:ind w:left="1587"/>
      </w:pPr>
      <w:r>
        <w:rPr>
          <w:b/>
        </w:rPr>
        <w:t xml:space="preserve">第八条 </w:t>
      </w:r>
      <w:r>
        <w:t>制定招生工作制度、工作规范、招生宣传方案和招</w:t>
      </w:r>
    </w:p>
    <w:p>
      <w:pPr>
        <w:spacing w:after="0"/>
        <w:sectPr>
          <w:pgSz w:w="11910" w:h="16840"/>
          <w:pgMar w:top="1580" w:right="1040" w:bottom="1300" w:left="640" w:header="0" w:footer="1115" w:gutter="0"/>
          <w:pgNumType w:fmt="decimal"/>
        </w:sectPr>
      </w:pPr>
    </w:p>
    <w:p>
      <w:pPr>
        <w:pStyle w:val="4"/>
        <w:rPr>
          <w:sz w:val="16"/>
        </w:rPr>
      </w:pPr>
    </w:p>
    <w:p>
      <w:pPr>
        <w:pStyle w:val="4"/>
        <w:spacing w:before="54"/>
        <w:ind w:left="948"/>
      </w:pPr>
      <w:r>
        <w:t>生录取方案：</w:t>
      </w:r>
    </w:p>
    <w:p>
      <w:pPr>
        <w:pStyle w:val="4"/>
        <w:spacing w:before="8"/>
        <w:rPr>
          <w:sz w:val="26"/>
        </w:rPr>
      </w:pPr>
    </w:p>
    <w:p>
      <w:pPr>
        <w:pStyle w:val="4"/>
        <w:spacing w:before="1" w:line="348" w:lineRule="auto"/>
        <w:ind w:left="948" w:right="433" w:firstLine="638"/>
        <w:jc w:val="both"/>
      </w:pPr>
      <w:r>
        <w:t>（一</w:t>
      </w:r>
      <w:r>
        <w:rPr>
          <w:spacing w:val="-58"/>
        </w:rPr>
        <w:t>）</w:t>
      </w:r>
      <w:r>
        <w:rPr>
          <w:spacing w:val="-5"/>
        </w:rPr>
        <w:t>依据国家和自治区有关规定，结合学校人才培养目标</w:t>
      </w:r>
      <w:r>
        <w:rPr>
          <w:spacing w:val="-12"/>
          <w:w w:val="95"/>
        </w:rPr>
        <w:t xml:space="preserve">和培养模式，在学校招生工作领导小组指导下，制定学校招生工 </w:t>
      </w:r>
      <w:r>
        <w:rPr>
          <w:spacing w:val="-12"/>
        </w:rPr>
        <w:t>作制度和工作方案。</w:t>
      </w:r>
    </w:p>
    <w:p>
      <w:pPr>
        <w:pStyle w:val="4"/>
        <w:spacing w:before="160" w:line="350" w:lineRule="auto"/>
        <w:ind w:left="948" w:right="433" w:firstLine="638"/>
      </w:pPr>
      <w:r>
        <w:t>（二</w:t>
      </w:r>
      <w:r>
        <w:rPr>
          <w:spacing w:val="-58"/>
        </w:rPr>
        <w:t>）</w:t>
      </w:r>
      <w:r>
        <w:rPr>
          <w:spacing w:val="-4"/>
        </w:rPr>
        <w:t>严格执行招生工作制度和工作规范，保持招生工作制度的相对稳定性和连续性，维护招生工作的严肃性。</w:t>
      </w:r>
    </w:p>
    <w:p>
      <w:pPr>
        <w:pStyle w:val="4"/>
        <w:spacing w:before="152"/>
        <w:ind w:left="1587"/>
      </w:pPr>
      <w:r>
        <w:rPr>
          <w:b/>
        </w:rPr>
        <w:t xml:space="preserve">第九条 </w:t>
      </w:r>
      <w:r>
        <w:t>招生就业处负责牵头编制全日制招生计划：</w:t>
      </w:r>
    </w:p>
    <w:p>
      <w:pPr>
        <w:pStyle w:val="4"/>
        <w:spacing w:before="8"/>
        <w:rPr>
          <w:sz w:val="26"/>
        </w:rPr>
      </w:pPr>
    </w:p>
    <w:p>
      <w:pPr>
        <w:pStyle w:val="4"/>
        <w:spacing w:line="348" w:lineRule="auto"/>
        <w:ind w:left="948" w:right="431" w:firstLine="638"/>
        <w:jc w:val="both"/>
      </w:pPr>
      <w:r>
        <w:t>（一</w:t>
      </w:r>
      <w:r>
        <w:rPr>
          <w:spacing w:val="-58"/>
        </w:rPr>
        <w:t>）</w:t>
      </w:r>
      <w:r>
        <w:rPr>
          <w:spacing w:val="-4"/>
        </w:rPr>
        <w:t>根据国家发展战略需要和政策规定，考虑不同地区经</w:t>
      </w:r>
      <w:r>
        <w:rPr>
          <w:spacing w:val="-9"/>
        </w:rPr>
        <w:t>济社会发展对人才的需求以及人才培养的长远发展，从有利于学</w:t>
      </w:r>
      <w:r>
        <w:rPr>
          <w:spacing w:val="-14"/>
          <w:w w:val="95"/>
        </w:rPr>
        <w:t xml:space="preserve">校教育教学改革与发展、优化优质教学资源配置的角度，编制年 </w:t>
      </w:r>
      <w:r>
        <w:rPr>
          <w:spacing w:val="-14"/>
        </w:rPr>
        <w:t>度招生计划。</w:t>
      </w:r>
    </w:p>
    <w:p>
      <w:pPr>
        <w:pStyle w:val="4"/>
        <w:spacing w:before="163" w:line="348" w:lineRule="auto"/>
        <w:ind w:left="948" w:right="316" w:firstLine="638"/>
      </w:pPr>
      <w:r>
        <w:t>（二）做好全校各专业招生结构调配，使招生计划在专业、区域等结构分布上更加科学合理，促进生源总体质量不断优化，</w:t>
      </w:r>
    </w:p>
    <w:p>
      <w:pPr>
        <w:pStyle w:val="4"/>
        <w:spacing w:before="2"/>
        <w:ind w:left="948"/>
      </w:pPr>
      <w:r>
        <w:rPr>
          <w:w w:val="99"/>
        </w:rPr>
        <w:t>（具体工作流程见附件</w:t>
      </w:r>
      <w:r>
        <w:rPr>
          <w:spacing w:val="-81"/>
        </w:rPr>
        <w:t xml:space="preserve"> </w:t>
      </w:r>
      <w:r>
        <w:rPr>
          <w:spacing w:val="1"/>
          <w:w w:val="99"/>
        </w:rPr>
        <w:t>1</w:t>
      </w:r>
      <w:r>
        <w:rPr>
          <w:spacing w:val="-159"/>
          <w:w w:val="99"/>
        </w:rPr>
        <w:t>）</w:t>
      </w:r>
      <w:r>
        <w:rPr>
          <w:w w:val="99"/>
        </w:rPr>
        <w:t>。</w:t>
      </w:r>
    </w:p>
    <w:p>
      <w:pPr>
        <w:pStyle w:val="4"/>
        <w:spacing w:before="10"/>
        <w:rPr>
          <w:sz w:val="26"/>
        </w:rPr>
      </w:pPr>
    </w:p>
    <w:p>
      <w:pPr>
        <w:pStyle w:val="4"/>
        <w:spacing w:line="348" w:lineRule="auto"/>
        <w:ind w:left="948" w:right="433" w:firstLine="638"/>
      </w:pPr>
      <w:r>
        <w:t>（三</w:t>
      </w:r>
      <w:r>
        <w:rPr>
          <w:spacing w:val="-58"/>
        </w:rPr>
        <w:t>）</w:t>
      </w:r>
      <w:r>
        <w:rPr>
          <w:spacing w:val="-6"/>
        </w:rPr>
        <w:t>经教育主管部门批准，通过学校招生网站发布年度招生计划和招生章程，向社会公布有关招生政策和信息。</w:t>
      </w:r>
    </w:p>
    <w:p>
      <w:pPr>
        <w:spacing w:before="158"/>
        <w:ind w:left="1587" w:right="0" w:firstLine="0"/>
        <w:jc w:val="left"/>
        <w:rPr>
          <w:sz w:val="32"/>
        </w:rPr>
      </w:pPr>
      <w:r>
        <w:rPr>
          <w:b/>
          <w:sz w:val="32"/>
        </w:rPr>
        <w:t xml:space="preserve">第十条 </w:t>
      </w:r>
      <w:r>
        <w:rPr>
          <w:sz w:val="32"/>
        </w:rPr>
        <w:t>分类招生工作</w:t>
      </w:r>
    </w:p>
    <w:p>
      <w:pPr>
        <w:pStyle w:val="4"/>
        <w:spacing w:before="10"/>
        <w:rPr>
          <w:sz w:val="26"/>
        </w:rPr>
      </w:pPr>
    </w:p>
    <w:p>
      <w:pPr>
        <w:pStyle w:val="4"/>
        <w:spacing w:line="348" w:lineRule="auto"/>
        <w:ind w:left="948" w:right="316" w:firstLine="638"/>
      </w:pPr>
      <w:r>
        <w:rPr>
          <w:spacing w:val="-7"/>
        </w:rPr>
        <w:t>学校开展分类招生</w:t>
      </w:r>
      <w:r>
        <w:t>（单独招生/对口招生</w:t>
      </w:r>
      <w:r>
        <w:rPr>
          <w:spacing w:val="-109"/>
        </w:rPr>
        <w:t>）</w:t>
      </w:r>
      <w:r>
        <w:rPr>
          <w:spacing w:val="-16"/>
        </w:rPr>
        <w:t>，招生就业处负责编制分类招生工作方案、教务与实训管理处负责考务工作方案， 两处共同组织实施各项工作，进一步完善多样化选拔录取机制。</w:t>
      </w:r>
    </w:p>
    <w:p>
      <w:pPr>
        <w:spacing w:after="0" w:line="348" w:lineRule="auto"/>
        <w:sectPr>
          <w:pgSz w:w="11910" w:h="16840"/>
          <w:pgMar w:top="1580" w:right="1040" w:bottom="1300" w:left="640" w:header="0" w:footer="1115" w:gutter="0"/>
          <w:pgNumType w:fmt="decimal"/>
        </w:sectPr>
      </w:pPr>
    </w:p>
    <w:p>
      <w:pPr>
        <w:pStyle w:val="4"/>
        <w:rPr>
          <w:sz w:val="16"/>
        </w:rPr>
      </w:pPr>
    </w:p>
    <w:p>
      <w:pPr>
        <w:spacing w:before="54"/>
        <w:ind w:left="1587" w:right="0" w:firstLine="0"/>
        <w:jc w:val="left"/>
        <w:rPr>
          <w:sz w:val="32"/>
        </w:rPr>
      </w:pPr>
      <w:r>
        <w:rPr>
          <w:b/>
          <w:sz w:val="32"/>
        </w:rPr>
        <w:t xml:space="preserve">第十一条 </w:t>
      </w:r>
      <w:r>
        <w:rPr>
          <w:sz w:val="32"/>
        </w:rPr>
        <w:t>招生宣传工作</w:t>
      </w:r>
    </w:p>
    <w:p>
      <w:pPr>
        <w:pStyle w:val="4"/>
        <w:spacing w:before="8"/>
        <w:rPr>
          <w:sz w:val="26"/>
        </w:rPr>
      </w:pPr>
    </w:p>
    <w:p>
      <w:pPr>
        <w:pStyle w:val="4"/>
        <w:spacing w:before="1" w:line="350" w:lineRule="auto"/>
        <w:ind w:left="948" w:right="274" w:firstLine="638"/>
      </w:pPr>
      <w:r>
        <w:t>（一</w:t>
      </w:r>
      <w:r>
        <w:rPr>
          <w:spacing w:val="-91"/>
        </w:rPr>
        <w:t>）</w:t>
      </w:r>
      <w:r>
        <w:rPr>
          <w:spacing w:val="-11"/>
        </w:rPr>
        <w:t xml:space="preserve">按照当年制定的招生宣传工作方案，坚持真实、客观， </w:t>
      </w:r>
      <w:r>
        <w:t>以诚取信，注重方法创新，讲求工作实效，做好招生宣传工作。</w:t>
      </w:r>
    </w:p>
    <w:p>
      <w:pPr>
        <w:pStyle w:val="4"/>
        <w:spacing w:before="151" w:line="348" w:lineRule="auto"/>
        <w:ind w:left="948" w:right="433" w:firstLine="638"/>
      </w:pPr>
      <w:r>
        <w:t>（二</w:t>
      </w:r>
      <w:r>
        <w:rPr>
          <w:spacing w:val="-39"/>
        </w:rPr>
        <w:t>）</w:t>
      </w:r>
      <w:r>
        <w:rPr>
          <w:spacing w:val="-6"/>
        </w:rPr>
        <w:t>招生就业处与二级学院、相关部门共同编制、更新招生宣传册、宣传品等招生宣传材料。</w:t>
      </w:r>
    </w:p>
    <w:p>
      <w:pPr>
        <w:pStyle w:val="4"/>
        <w:spacing w:before="160" w:line="348" w:lineRule="auto"/>
        <w:ind w:left="948" w:right="274" w:firstLine="638"/>
      </w:pPr>
      <w:r>
        <w:rPr>
          <w:w w:val="95"/>
        </w:rPr>
        <w:t>（三</w:t>
      </w:r>
      <w:r>
        <w:rPr>
          <w:spacing w:val="-137"/>
          <w:w w:val="95"/>
        </w:rPr>
        <w:t>）</w:t>
      </w:r>
      <w:r>
        <w:rPr>
          <w:spacing w:val="-7"/>
          <w:w w:val="95"/>
        </w:rPr>
        <w:t xml:space="preserve">招生就业处对参加招生宣传工作人员开展政策、纪律、 </w:t>
      </w:r>
      <w:r>
        <w:rPr>
          <w:spacing w:val="-7"/>
        </w:rPr>
        <w:t>业务等方面培训，提高招生宣传工作人员的工作质量和工作水 平。</w:t>
      </w:r>
    </w:p>
    <w:p>
      <w:pPr>
        <w:spacing w:before="160"/>
        <w:ind w:left="1587" w:right="0" w:firstLine="0"/>
        <w:jc w:val="left"/>
        <w:rPr>
          <w:sz w:val="32"/>
        </w:rPr>
      </w:pPr>
      <w:r>
        <w:rPr>
          <w:b/>
          <w:sz w:val="32"/>
        </w:rPr>
        <w:t xml:space="preserve">第十二条 </w:t>
      </w:r>
      <w:r>
        <w:rPr>
          <w:sz w:val="32"/>
        </w:rPr>
        <w:t>招生录取工作</w:t>
      </w:r>
    </w:p>
    <w:p>
      <w:pPr>
        <w:pStyle w:val="4"/>
        <w:spacing w:before="8"/>
        <w:rPr>
          <w:sz w:val="26"/>
        </w:rPr>
      </w:pPr>
    </w:p>
    <w:p>
      <w:pPr>
        <w:pStyle w:val="4"/>
        <w:spacing w:before="1" w:line="348" w:lineRule="auto"/>
        <w:ind w:left="948" w:right="431" w:firstLine="638"/>
        <w:jc w:val="both"/>
      </w:pPr>
      <w:r>
        <w:rPr>
          <w:spacing w:val="-6"/>
        </w:rPr>
        <w:t>招生录取工作按照当年制定的录取工作方案，由学校招生工</w:t>
      </w:r>
      <w:r>
        <w:rPr>
          <w:spacing w:val="-13"/>
        </w:rPr>
        <w:t>作领导小组指导，招生就业处具体组织实施，拟录取结果须按工</w:t>
      </w:r>
      <w:r>
        <w:rPr>
          <w:spacing w:val="-18"/>
        </w:rPr>
        <w:t>作流程提交校领导审批后方可报自治区招生考试院。</w:t>
      </w:r>
      <w:r>
        <w:t>（录取工作</w:t>
      </w:r>
      <w:r>
        <w:rPr>
          <w:spacing w:val="-14"/>
        </w:rPr>
        <w:t xml:space="preserve">流程见附件 </w:t>
      </w:r>
      <w:r>
        <w:rPr>
          <w:rFonts w:ascii="Times New Roman" w:eastAsia="Times New Roman"/>
        </w:rPr>
        <w:t>2</w:t>
      </w:r>
      <w:r>
        <w:t>）。</w:t>
      </w:r>
    </w:p>
    <w:p>
      <w:pPr>
        <w:pStyle w:val="4"/>
        <w:spacing w:before="161" w:line="348" w:lineRule="auto"/>
        <w:ind w:left="948" w:right="274" w:firstLine="638"/>
        <w:jc w:val="both"/>
      </w:pPr>
      <w:r>
        <w:t xml:space="preserve">（一）严格执行国家、各省（自治区）及学校的有关政策， </w:t>
      </w:r>
      <w:r>
        <w:rPr>
          <w:spacing w:val="-19"/>
          <w:w w:val="95"/>
        </w:rPr>
        <w:t xml:space="preserve">按照当年公布的《招生章程》执行，保证录取工作的公开、公平、 </w:t>
      </w:r>
      <w:r>
        <w:rPr>
          <w:spacing w:val="-19"/>
        </w:rPr>
        <w:t>公正。</w:t>
      </w:r>
    </w:p>
    <w:p>
      <w:pPr>
        <w:pStyle w:val="4"/>
        <w:spacing w:before="160" w:line="348" w:lineRule="auto"/>
        <w:ind w:left="948" w:right="433" w:firstLine="638"/>
        <w:jc w:val="both"/>
      </w:pPr>
      <w:r>
        <w:t>（二</w:t>
      </w:r>
      <w:r>
        <w:rPr>
          <w:spacing w:val="-39"/>
        </w:rPr>
        <w:t>）</w:t>
      </w:r>
      <w:r>
        <w:rPr>
          <w:spacing w:val="-7"/>
        </w:rPr>
        <w:t>学校根据国家政策、生源情况和宣传口径，在自治区</w:t>
      </w:r>
      <w:r>
        <w:rPr>
          <w:spacing w:val="-13"/>
          <w:w w:val="95"/>
        </w:rPr>
        <w:t xml:space="preserve">招生考试院的许可下，确定调阅考生档案的具体比例，录取原则 </w:t>
      </w:r>
      <w:r>
        <w:rPr>
          <w:spacing w:val="-13"/>
        </w:rPr>
        <w:t>以学校当年公布的《招生章程》为准。</w:t>
      </w:r>
    </w:p>
    <w:p>
      <w:pPr>
        <w:spacing w:after="0" w:line="348" w:lineRule="auto"/>
        <w:jc w:val="both"/>
        <w:sectPr>
          <w:pgSz w:w="11910" w:h="16840"/>
          <w:pgMar w:top="1580" w:right="1040" w:bottom="1300" w:left="640" w:header="0" w:footer="1115" w:gutter="0"/>
          <w:pgNumType w:fmt="decimal"/>
        </w:sectPr>
      </w:pPr>
    </w:p>
    <w:p>
      <w:pPr>
        <w:pStyle w:val="4"/>
        <w:rPr>
          <w:sz w:val="16"/>
        </w:rPr>
      </w:pPr>
    </w:p>
    <w:p>
      <w:pPr>
        <w:pStyle w:val="4"/>
        <w:spacing w:before="54" w:line="348" w:lineRule="auto"/>
        <w:ind w:left="948" w:right="433" w:firstLine="638"/>
      </w:pPr>
      <w:r>
        <w:t>（三</w:t>
      </w:r>
      <w:r>
        <w:rPr>
          <w:spacing w:val="-58"/>
        </w:rPr>
        <w:t>）</w:t>
      </w:r>
      <w:r>
        <w:rPr>
          <w:spacing w:val="-4"/>
        </w:rPr>
        <w:t>招生就业处依据录取原则制定切实可行、严密规范的工作程序，确保招生录取工作顺利进行。</w:t>
      </w:r>
    </w:p>
    <w:p>
      <w:pPr>
        <w:tabs>
          <w:tab w:val="left" w:pos="3192"/>
        </w:tabs>
        <w:spacing w:before="160"/>
        <w:ind w:left="1587" w:right="0" w:firstLine="0"/>
        <w:jc w:val="left"/>
        <w:rPr>
          <w:sz w:val="32"/>
        </w:rPr>
      </w:pPr>
      <w:r>
        <w:rPr>
          <w:b/>
          <w:sz w:val="32"/>
        </w:rPr>
        <w:t>第十三条</w:t>
      </w:r>
      <w:r>
        <w:rPr>
          <w:b/>
          <w:sz w:val="32"/>
        </w:rPr>
        <w:tab/>
      </w:r>
      <w:r>
        <w:rPr>
          <w:sz w:val="32"/>
        </w:rPr>
        <w:t>其它工作内容</w:t>
      </w:r>
    </w:p>
    <w:p>
      <w:pPr>
        <w:pStyle w:val="4"/>
        <w:spacing w:before="8"/>
        <w:rPr>
          <w:sz w:val="26"/>
        </w:rPr>
      </w:pPr>
    </w:p>
    <w:p>
      <w:pPr>
        <w:pStyle w:val="4"/>
        <w:spacing w:line="348" w:lineRule="auto"/>
        <w:ind w:left="948" w:right="433" w:firstLine="638"/>
        <w:jc w:val="both"/>
      </w:pPr>
      <w:r>
        <w:t>（一</w:t>
      </w:r>
      <w:r>
        <w:rPr>
          <w:spacing w:val="-58"/>
        </w:rPr>
        <w:t>）</w:t>
      </w:r>
      <w:r>
        <w:rPr>
          <w:spacing w:val="-4"/>
        </w:rPr>
        <w:t>新生录取通知书的制作及邮寄工作。招生就业处按照</w:t>
      </w:r>
      <w:r>
        <w:rPr>
          <w:spacing w:val="-10"/>
          <w:w w:val="95"/>
        </w:rPr>
        <w:t xml:space="preserve">上级招生管理部门要求将录取名单向社会公示，公示期结束后按 </w:t>
      </w:r>
      <w:r>
        <w:rPr>
          <w:spacing w:val="-10"/>
        </w:rPr>
        <w:t>要求向新生邮寄录取通知书（</w:t>
      </w:r>
      <w:r>
        <w:rPr>
          <w:spacing w:val="-19"/>
        </w:rPr>
        <w:t xml:space="preserve">工作流程见附件 </w:t>
      </w:r>
      <w:r>
        <w:rPr>
          <w:rFonts w:ascii="Times New Roman" w:eastAsia="Times New Roman"/>
        </w:rPr>
        <w:t>3</w:t>
      </w:r>
      <w:r>
        <w:t>）。</w:t>
      </w:r>
    </w:p>
    <w:p>
      <w:pPr>
        <w:pStyle w:val="4"/>
        <w:spacing w:before="161" w:line="348" w:lineRule="auto"/>
        <w:ind w:left="948" w:right="433" w:firstLine="638"/>
      </w:pPr>
      <w:r>
        <w:t>（二</w:t>
      </w:r>
      <w:r>
        <w:rPr>
          <w:spacing w:val="-29"/>
        </w:rPr>
        <w:t>）</w:t>
      </w:r>
      <w:r>
        <w:rPr>
          <w:spacing w:val="-7"/>
        </w:rPr>
        <w:t>新生报到前稳定工作。录取结束后，新生报到前，招生就业处组织二级学院和相关部门共同开展新生报到前的稳定工作。</w:t>
      </w:r>
    </w:p>
    <w:p>
      <w:pPr>
        <w:pStyle w:val="4"/>
        <w:spacing w:before="160"/>
        <w:ind w:left="1587"/>
      </w:pPr>
      <w:r>
        <w:t>（三）其它招生相关工作。</w:t>
      </w:r>
    </w:p>
    <w:p>
      <w:pPr>
        <w:pStyle w:val="4"/>
        <w:spacing w:before="5"/>
        <w:rPr>
          <w:sz w:val="36"/>
        </w:rPr>
      </w:pPr>
    </w:p>
    <w:p>
      <w:pPr>
        <w:pStyle w:val="4"/>
        <w:ind w:left="4169"/>
        <w:outlineLvl w:val="9"/>
        <w:rPr>
          <w:rFonts w:hint="eastAsia" w:ascii="黑体" w:eastAsia="黑体"/>
        </w:rPr>
      </w:pPr>
      <w:bookmarkStart w:id="871" w:name="_Toc23767_WPSOffice_Level1"/>
      <w:bookmarkStart w:id="872" w:name="_Toc4916"/>
      <w:bookmarkStart w:id="873" w:name="_Toc5067"/>
      <w:r>
        <w:rPr>
          <w:rFonts w:hint="eastAsia" w:ascii="黑体" w:eastAsia="黑体"/>
        </w:rPr>
        <w:t>第四章 招生工作纪律</w:t>
      </w:r>
      <w:bookmarkEnd w:id="871"/>
      <w:bookmarkEnd w:id="872"/>
      <w:bookmarkEnd w:id="873"/>
    </w:p>
    <w:p>
      <w:pPr>
        <w:pStyle w:val="4"/>
        <w:spacing w:before="5"/>
        <w:rPr>
          <w:rFonts w:ascii="黑体"/>
          <w:sz w:val="36"/>
        </w:rPr>
      </w:pPr>
    </w:p>
    <w:p>
      <w:pPr>
        <w:pStyle w:val="4"/>
        <w:tabs>
          <w:tab w:val="left" w:pos="3192"/>
        </w:tabs>
        <w:spacing w:line="348" w:lineRule="auto"/>
        <w:ind w:left="948" w:right="274" w:firstLine="638"/>
      </w:pPr>
      <w:r>
        <w:rPr>
          <w:b/>
        </w:rPr>
        <w:t>第十四条</w:t>
      </w:r>
      <w:r>
        <w:rPr>
          <w:b/>
        </w:rPr>
        <w:tab/>
      </w:r>
      <w:r>
        <w:t>贯彻实施高</w:t>
      </w:r>
      <w:r>
        <w:rPr>
          <w:spacing w:val="-29"/>
        </w:rPr>
        <w:t>考</w:t>
      </w:r>
      <w:r>
        <w:rPr>
          <w:spacing w:val="-3"/>
        </w:rPr>
        <w:t>“</w:t>
      </w:r>
      <w:r>
        <w:t>阳光工程</w:t>
      </w:r>
      <w:r>
        <w:rPr>
          <w:spacing w:val="-30"/>
        </w:rPr>
        <w:t>”，</w:t>
      </w:r>
      <w:r>
        <w:t>规范招生工作</w:t>
      </w:r>
      <w:r>
        <w:rPr>
          <w:spacing w:val="-29"/>
        </w:rPr>
        <w:t>，</w:t>
      </w:r>
      <w:r>
        <w:t>根</w:t>
      </w:r>
      <w:r>
        <w:rPr>
          <w:spacing w:val="-139"/>
          <w:w w:val="95"/>
        </w:rPr>
        <w:t>据</w:t>
      </w:r>
      <w:r>
        <w:rPr>
          <w:w w:val="95"/>
        </w:rPr>
        <w:t>《教育部关于进一步推进高校招生信息公开工作的通知</w:t>
      </w:r>
      <w:r>
        <w:rPr>
          <w:spacing w:val="-137"/>
          <w:w w:val="95"/>
        </w:rPr>
        <w:t>》</w:t>
      </w:r>
      <w:r>
        <w:rPr>
          <w:w w:val="95"/>
        </w:rPr>
        <w:t xml:space="preserve">要求， </w:t>
      </w:r>
      <w:r>
        <w:t>做到招生章程</w:t>
      </w:r>
      <w:r>
        <w:rPr>
          <w:spacing w:val="-29"/>
        </w:rPr>
        <w:t>、</w:t>
      </w:r>
      <w:r>
        <w:t>招生计划</w:t>
      </w:r>
      <w:r>
        <w:rPr>
          <w:spacing w:val="-29"/>
        </w:rPr>
        <w:t>、</w:t>
      </w:r>
      <w:r>
        <w:t>考生资格</w:t>
      </w:r>
      <w:r>
        <w:rPr>
          <w:spacing w:val="-29"/>
        </w:rPr>
        <w:t>、</w:t>
      </w:r>
      <w:r>
        <w:t>录取结果</w:t>
      </w:r>
      <w:r>
        <w:rPr>
          <w:spacing w:val="-27"/>
        </w:rPr>
        <w:t>、</w:t>
      </w:r>
      <w:r>
        <w:t>咨询及申诉渠道、录取新生复查结果公开。</w:t>
      </w:r>
    </w:p>
    <w:p>
      <w:pPr>
        <w:pStyle w:val="4"/>
        <w:tabs>
          <w:tab w:val="left" w:pos="3192"/>
        </w:tabs>
        <w:spacing w:before="161" w:line="348" w:lineRule="auto"/>
        <w:ind w:left="948" w:right="431" w:firstLine="638"/>
      </w:pPr>
      <w:r>
        <w:rPr>
          <w:b/>
        </w:rPr>
        <w:t>第十五条</w:t>
      </w:r>
      <w:r>
        <w:rPr>
          <w:b/>
        </w:rPr>
        <w:tab/>
      </w:r>
      <w:r>
        <w:t>招生工作人员应严格遵守招生工作中的“十公</w:t>
      </w:r>
      <w:r>
        <w:rPr>
          <w:w w:val="99"/>
        </w:rPr>
        <w:t>开</w:t>
      </w:r>
      <w:r>
        <w:rPr>
          <w:spacing w:val="-5"/>
          <w:w w:val="99"/>
        </w:rPr>
        <w:t>”</w:t>
      </w:r>
      <w:r>
        <w:rPr>
          <w:w w:val="99"/>
        </w:rPr>
        <w:t>制度</w:t>
      </w:r>
      <w:r>
        <w:rPr>
          <w:spacing w:val="-163"/>
          <w:w w:val="99"/>
        </w:rPr>
        <w:t>、</w:t>
      </w:r>
      <w:r>
        <w:rPr>
          <w:w w:val="99"/>
        </w:rPr>
        <w:t>“六</w:t>
      </w:r>
      <w:r>
        <w:rPr>
          <w:spacing w:val="2"/>
          <w:w w:val="99"/>
        </w:rPr>
        <w:t>不</w:t>
      </w:r>
      <w:r>
        <w:rPr>
          <w:w w:val="99"/>
        </w:rPr>
        <w:t>准</w:t>
      </w:r>
      <w:r>
        <w:rPr>
          <w:spacing w:val="-5"/>
          <w:w w:val="99"/>
        </w:rPr>
        <w:t>”</w:t>
      </w:r>
      <w:r>
        <w:rPr>
          <w:w w:val="99"/>
        </w:rPr>
        <w:t>纪律</w:t>
      </w:r>
      <w:r>
        <w:rPr>
          <w:spacing w:val="-163"/>
          <w:w w:val="99"/>
        </w:rPr>
        <w:t>、</w:t>
      </w:r>
      <w:r>
        <w:rPr>
          <w:w w:val="99"/>
        </w:rPr>
        <w:t>“十</w:t>
      </w:r>
      <w:r>
        <w:rPr>
          <w:spacing w:val="2"/>
          <w:w w:val="99"/>
        </w:rPr>
        <w:t>二</w:t>
      </w:r>
      <w:r>
        <w:rPr>
          <w:w w:val="99"/>
        </w:rPr>
        <w:t>条禁</w:t>
      </w:r>
      <w:r>
        <w:rPr>
          <w:spacing w:val="2"/>
          <w:w w:val="99"/>
        </w:rPr>
        <w:t>令</w:t>
      </w:r>
      <w:r>
        <w:rPr>
          <w:spacing w:val="-166"/>
          <w:w w:val="99"/>
        </w:rPr>
        <w:t>”</w:t>
      </w:r>
      <w:r>
        <w:rPr>
          <w:w w:val="99"/>
        </w:rPr>
        <w:t>“</w:t>
      </w:r>
      <w:r>
        <w:rPr>
          <w:spacing w:val="1"/>
          <w:w w:val="99"/>
        </w:rPr>
        <w:t>3</w:t>
      </w:r>
      <w:r>
        <w:rPr>
          <w:w w:val="99"/>
        </w:rPr>
        <w:t>0</w:t>
      </w:r>
      <w:r>
        <w:rPr>
          <w:spacing w:val="-80"/>
        </w:rPr>
        <w:t xml:space="preserve"> </w:t>
      </w:r>
      <w:r>
        <w:rPr>
          <w:w w:val="99"/>
        </w:rPr>
        <w:t>个</w:t>
      </w:r>
      <w:r>
        <w:rPr>
          <w:spacing w:val="2"/>
          <w:w w:val="99"/>
        </w:rPr>
        <w:t>不</w:t>
      </w:r>
      <w:r>
        <w:rPr>
          <w:w w:val="99"/>
        </w:rPr>
        <w:t>得</w:t>
      </w:r>
      <w:r>
        <w:rPr>
          <w:spacing w:val="-5"/>
          <w:w w:val="99"/>
        </w:rPr>
        <w:t>”</w:t>
      </w:r>
      <w:r>
        <w:rPr>
          <w:w w:val="99"/>
        </w:rPr>
        <w:t>等</w:t>
      </w:r>
      <w:r>
        <w:rPr>
          <w:spacing w:val="2"/>
          <w:w w:val="99"/>
        </w:rPr>
        <w:t>相</w:t>
      </w:r>
      <w:r>
        <w:rPr>
          <w:w w:val="99"/>
        </w:rPr>
        <w:t>关</w:t>
      </w:r>
      <w:r>
        <w:t>规定。</w:t>
      </w:r>
    </w:p>
    <w:p>
      <w:pPr>
        <w:pStyle w:val="4"/>
        <w:spacing w:before="161" w:line="350" w:lineRule="auto"/>
        <w:ind w:left="948" w:right="433" w:firstLine="638"/>
      </w:pPr>
      <w:r>
        <w:t>（一</w:t>
      </w:r>
      <w:r>
        <w:rPr>
          <w:spacing w:val="-24"/>
        </w:rPr>
        <w:t>）</w:t>
      </w:r>
      <w:r>
        <w:rPr>
          <w:spacing w:val="-9"/>
        </w:rPr>
        <w:t>廉洁奉公，严以律己，秉公办事，依法招生，坚决抵制不正之风。</w:t>
      </w:r>
    </w:p>
    <w:p>
      <w:pPr>
        <w:spacing w:after="0" w:line="350" w:lineRule="auto"/>
        <w:sectPr>
          <w:pgSz w:w="11910" w:h="16840"/>
          <w:pgMar w:top="1580" w:right="1040" w:bottom="1300" w:left="640" w:header="0" w:footer="1115" w:gutter="0"/>
          <w:pgNumType w:fmt="decimal"/>
        </w:sectPr>
      </w:pPr>
    </w:p>
    <w:p>
      <w:pPr>
        <w:pStyle w:val="4"/>
        <w:rPr>
          <w:sz w:val="16"/>
        </w:rPr>
      </w:pPr>
    </w:p>
    <w:p>
      <w:pPr>
        <w:pStyle w:val="4"/>
        <w:spacing w:before="54" w:line="348" w:lineRule="auto"/>
        <w:ind w:left="948" w:right="433" w:firstLine="638"/>
      </w:pPr>
      <w:r>
        <w:t>（二</w:t>
      </w:r>
      <w:r>
        <w:rPr>
          <w:spacing w:val="-24"/>
        </w:rPr>
        <w:t>）</w:t>
      </w:r>
      <w:r>
        <w:rPr>
          <w:spacing w:val="-9"/>
        </w:rPr>
        <w:t>爱岗敬业，忠于职守，办事规范，高效务实，及时完成工作任务。</w:t>
      </w:r>
    </w:p>
    <w:p>
      <w:pPr>
        <w:pStyle w:val="4"/>
        <w:spacing w:before="160" w:line="348" w:lineRule="auto"/>
        <w:ind w:left="948" w:right="433" w:firstLine="638"/>
      </w:pPr>
      <w:r>
        <w:rPr>
          <w:w w:val="95"/>
        </w:rPr>
        <w:t>（三</w:t>
      </w:r>
      <w:r>
        <w:rPr>
          <w:spacing w:val="-29"/>
          <w:w w:val="95"/>
        </w:rPr>
        <w:t>）</w:t>
      </w:r>
      <w:r>
        <w:rPr>
          <w:spacing w:val="-9"/>
          <w:w w:val="95"/>
        </w:rPr>
        <w:t xml:space="preserve">加强业务学习，开展调查研究，探求工作规律，创新 </w:t>
      </w:r>
      <w:r>
        <w:rPr>
          <w:spacing w:val="-9"/>
        </w:rPr>
        <w:t>工作方法，全面提高招生工作管理水平。</w:t>
      </w:r>
    </w:p>
    <w:p>
      <w:pPr>
        <w:pStyle w:val="4"/>
        <w:spacing w:before="158" w:line="350" w:lineRule="auto"/>
        <w:ind w:left="948" w:right="433" w:firstLine="638"/>
      </w:pPr>
      <w:r>
        <w:t>（四</w:t>
      </w:r>
      <w:r>
        <w:rPr>
          <w:spacing w:val="-58"/>
        </w:rPr>
        <w:t>）</w:t>
      </w:r>
      <w:r>
        <w:rPr>
          <w:spacing w:val="-4"/>
        </w:rPr>
        <w:t>任何个人不得擅自特批和办理特批录取，不得利用职权要求违规录取考生。</w:t>
      </w:r>
    </w:p>
    <w:p>
      <w:pPr>
        <w:pStyle w:val="4"/>
        <w:tabs>
          <w:tab w:val="left" w:pos="3192"/>
        </w:tabs>
        <w:spacing w:before="151" w:line="348" w:lineRule="auto"/>
        <w:ind w:left="948" w:right="316" w:firstLine="638"/>
      </w:pPr>
      <w:r>
        <w:rPr>
          <w:b/>
        </w:rPr>
        <w:t>第十六条</w:t>
      </w:r>
      <w:r>
        <w:rPr>
          <w:b/>
        </w:rPr>
        <w:tab/>
      </w:r>
      <w:r>
        <w:t>严肃招生工作纪律</w:t>
      </w:r>
      <w:r>
        <w:rPr>
          <w:spacing w:val="-120"/>
        </w:rPr>
        <w:t>，</w:t>
      </w:r>
      <w:r>
        <w:t>严格落实高等学校招生责任追究办法</w:t>
      </w:r>
      <w:r>
        <w:rPr>
          <w:spacing w:val="-39"/>
        </w:rPr>
        <w:t>，</w:t>
      </w:r>
      <w:r>
        <w:t>纪检监察部门加强对招生录取工作的监督</w:t>
      </w:r>
      <w:r>
        <w:rPr>
          <w:spacing w:val="-39"/>
        </w:rPr>
        <w:t>、</w:t>
      </w:r>
      <w:r>
        <w:t>执纪</w:t>
      </w:r>
      <w:r>
        <w:rPr>
          <w:spacing w:val="-39"/>
        </w:rPr>
        <w:t>、</w:t>
      </w:r>
      <w:r>
        <w:t>问责。按照“谁主管，谁负责”的原则，对未认真履行工作职责、违反工作规定的部门</w:t>
      </w:r>
      <w:r>
        <w:rPr>
          <w:rFonts w:ascii="Times New Roman" w:hAnsi="Times New Roman" w:eastAsia="Times New Roman"/>
          <w:spacing w:val="-3"/>
        </w:rPr>
        <w:t>/</w:t>
      </w:r>
      <w:r>
        <w:t>二级学院和个人，按照相关规定给予相应处分，涉嫌构成犯罪的依法移送司法机关追究刑事责任。</w:t>
      </w:r>
    </w:p>
    <w:p>
      <w:pPr>
        <w:pStyle w:val="4"/>
        <w:tabs>
          <w:tab w:val="left" w:pos="1792"/>
          <w:tab w:val="left" w:pos="2430"/>
        </w:tabs>
        <w:spacing w:before="287"/>
        <w:ind w:left="510"/>
        <w:jc w:val="center"/>
        <w:outlineLvl w:val="9"/>
        <w:rPr>
          <w:rFonts w:hint="eastAsia" w:ascii="黑体" w:eastAsia="黑体"/>
        </w:rPr>
      </w:pPr>
      <w:bookmarkStart w:id="874" w:name="_Toc16916"/>
      <w:bookmarkStart w:id="875" w:name="_Toc7688_WPSOffice_Level1"/>
      <w:bookmarkStart w:id="876" w:name="_Toc9859"/>
      <w:r>
        <w:rPr>
          <w:rFonts w:hint="eastAsia" w:ascii="黑体" w:eastAsia="黑体"/>
        </w:rPr>
        <w:t>第五章</w:t>
      </w:r>
      <w:r>
        <w:rPr>
          <w:rFonts w:hint="eastAsia" w:ascii="黑体" w:eastAsia="黑体"/>
        </w:rPr>
        <w:tab/>
      </w:r>
      <w:r>
        <w:rPr>
          <w:rFonts w:hint="eastAsia" w:ascii="黑体" w:eastAsia="黑体"/>
        </w:rPr>
        <w:t>附</w:t>
      </w:r>
      <w:r>
        <w:rPr>
          <w:rFonts w:hint="eastAsia" w:ascii="黑体" w:eastAsia="黑体"/>
        </w:rPr>
        <w:tab/>
      </w:r>
      <w:r>
        <w:rPr>
          <w:rFonts w:hint="eastAsia" w:ascii="黑体" w:eastAsia="黑体"/>
        </w:rPr>
        <w:t>则</w:t>
      </w:r>
      <w:bookmarkEnd w:id="874"/>
      <w:bookmarkEnd w:id="875"/>
      <w:bookmarkEnd w:id="876"/>
    </w:p>
    <w:p>
      <w:pPr>
        <w:pStyle w:val="4"/>
        <w:spacing w:before="5"/>
        <w:rPr>
          <w:rFonts w:ascii="黑体"/>
          <w:sz w:val="36"/>
        </w:rPr>
      </w:pPr>
    </w:p>
    <w:p>
      <w:pPr>
        <w:tabs>
          <w:tab w:val="left" w:pos="3192"/>
        </w:tabs>
        <w:spacing w:before="0" w:line="441" w:lineRule="auto"/>
        <w:ind w:left="1587" w:right="1912" w:firstLine="0"/>
        <w:jc w:val="left"/>
        <w:rPr>
          <w:sz w:val="32"/>
        </w:rPr>
      </w:pPr>
      <w:r>
        <w:rPr>
          <w:b/>
          <w:sz w:val="32"/>
        </w:rPr>
        <w:t>第十七条</w:t>
      </w:r>
      <w:r>
        <w:rPr>
          <w:b/>
          <w:sz w:val="32"/>
        </w:rPr>
        <w:tab/>
      </w:r>
      <w:r>
        <w:rPr>
          <w:sz w:val="32"/>
        </w:rPr>
        <w:t>本办法由学校招生就业处负责解释</w:t>
      </w:r>
      <w:r>
        <w:rPr>
          <w:spacing w:val="-13"/>
          <w:sz w:val="32"/>
        </w:rPr>
        <w:t>。</w:t>
      </w:r>
      <w:r>
        <w:rPr>
          <w:b/>
          <w:sz w:val="32"/>
        </w:rPr>
        <w:t>第十八条</w:t>
      </w:r>
      <w:r>
        <w:rPr>
          <w:b/>
          <w:sz w:val="32"/>
        </w:rPr>
        <w:tab/>
      </w:r>
      <w:r>
        <w:rPr>
          <w:sz w:val="32"/>
        </w:rPr>
        <w:t>本办法自发布之日起施行。</w:t>
      </w:r>
    </w:p>
    <w:p>
      <w:pPr>
        <w:pStyle w:val="4"/>
        <w:spacing w:line="406" w:lineRule="exact"/>
        <w:ind w:left="1587"/>
        <w:outlineLvl w:val="9"/>
      </w:pPr>
      <w:bookmarkStart w:id="877" w:name="_Toc22813"/>
      <w:bookmarkStart w:id="878" w:name="_Toc5656"/>
      <w:bookmarkStart w:id="879" w:name="_Toc14262_WPSOffice_Level1"/>
      <w:r>
        <w:t>附件：</w:t>
      </w:r>
      <w:r>
        <w:rPr>
          <w:rFonts w:ascii="Times New Roman" w:eastAsia="Times New Roman"/>
        </w:rPr>
        <w:t>1</w:t>
      </w:r>
      <w:r>
        <w:t>．招生计划设置工作流程</w:t>
      </w:r>
      <w:bookmarkEnd w:id="877"/>
      <w:bookmarkEnd w:id="878"/>
      <w:bookmarkEnd w:id="879"/>
    </w:p>
    <w:p>
      <w:pPr>
        <w:pStyle w:val="4"/>
        <w:spacing w:before="8"/>
        <w:rPr>
          <w:sz w:val="26"/>
        </w:rPr>
      </w:pPr>
    </w:p>
    <w:p>
      <w:pPr>
        <w:pStyle w:val="20"/>
        <w:numPr>
          <w:ilvl w:val="0"/>
          <w:numId w:val="3"/>
        </w:numPr>
        <w:tabs>
          <w:tab w:val="left" w:pos="3028"/>
        </w:tabs>
        <w:spacing w:before="0" w:after="0" w:line="240" w:lineRule="auto"/>
        <w:ind w:left="3028" w:right="0" w:hanging="481"/>
        <w:jc w:val="left"/>
        <w:outlineLvl w:val="9"/>
        <w:rPr>
          <w:sz w:val="32"/>
        </w:rPr>
      </w:pPr>
      <w:r>
        <w:rPr>
          <w:sz w:val="32"/>
        </w:rPr>
        <w:t>招生录取工作流程</w:t>
      </w:r>
    </w:p>
    <w:p>
      <w:pPr>
        <w:pStyle w:val="4"/>
        <w:spacing w:before="10"/>
        <w:rPr>
          <w:sz w:val="26"/>
        </w:rPr>
      </w:pPr>
    </w:p>
    <w:p>
      <w:pPr>
        <w:pStyle w:val="20"/>
        <w:numPr>
          <w:ilvl w:val="0"/>
          <w:numId w:val="3"/>
        </w:numPr>
        <w:tabs>
          <w:tab w:val="left" w:pos="3028"/>
        </w:tabs>
        <w:spacing w:before="0" w:after="0" w:line="240" w:lineRule="auto"/>
        <w:ind w:left="3028" w:right="0" w:hanging="481"/>
        <w:jc w:val="left"/>
        <w:outlineLvl w:val="9"/>
        <w:rPr>
          <w:sz w:val="32"/>
        </w:rPr>
      </w:pPr>
      <w:r>
        <w:rPr>
          <w:sz w:val="32"/>
        </w:rPr>
        <w:t>录取通知书邮寄工作流程</w:t>
      </w:r>
    </w:p>
    <w:p>
      <w:pPr>
        <w:spacing w:after="0" w:line="240" w:lineRule="auto"/>
        <w:jc w:val="left"/>
        <w:rPr>
          <w:sz w:val="32"/>
        </w:rPr>
        <w:sectPr>
          <w:pgSz w:w="11910" w:h="16840"/>
          <w:pgMar w:top="1580" w:right="1040" w:bottom="1300" w:left="640" w:header="0" w:footer="1115" w:gutter="0"/>
          <w:pgNumType w:fmt="decimal"/>
        </w:sectPr>
      </w:pPr>
    </w:p>
    <w:p>
      <w:pPr>
        <w:pStyle w:val="4"/>
        <w:spacing w:before="3"/>
        <w:rPr>
          <w:sz w:val="13"/>
        </w:rPr>
      </w:pPr>
      <w:r>
        <mc:AlternateContent>
          <mc:Choice Requires="wps">
            <w:drawing>
              <wp:anchor distT="0" distB="0" distL="114300" distR="114300" simplePos="0" relativeHeight="252763136" behindDoc="0" locked="0" layoutInCell="1" allowOverlap="1">
                <wp:simplePos x="0" y="0"/>
                <wp:positionH relativeFrom="page">
                  <wp:posOffset>508000</wp:posOffset>
                </wp:positionH>
                <wp:positionV relativeFrom="page">
                  <wp:posOffset>1458595</wp:posOffset>
                </wp:positionV>
                <wp:extent cx="6285865" cy="796988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6285865" cy="7969885"/>
                        </a:xfrm>
                        <a:prstGeom prst="rect">
                          <a:avLst/>
                        </a:prstGeom>
                        <a:noFill/>
                        <a:ln>
                          <a:noFill/>
                        </a:ln>
                      </wps:spPr>
                      <wps:txbx>
                        <w:txbxContent>
                          <w:tbl>
                            <w:tblPr>
                              <w:tblStyle w:val="14"/>
                              <w:tblW w:w="9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4"/>
                              <w:gridCol w:w="1418"/>
                              <w:gridCol w:w="4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6" w:hRule="atLeast"/>
                              </w:trPr>
                              <w:tc>
                                <w:tcPr>
                                  <w:tcW w:w="3964" w:type="dxa"/>
                                </w:tcPr>
                                <w:p>
                                  <w:pPr>
                                    <w:pStyle w:val="21"/>
                                    <w:spacing w:before="6"/>
                                    <w:rPr>
                                      <w:rFonts w:ascii="宋体"/>
                                      <w:sz w:val="27"/>
                                    </w:rPr>
                                  </w:pPr>
                                </w:p>
                                <w:p>
                                  <w:pPr>
                                    <w:pStyle w:val="21"/>
                                    <w:ind w:left="1645" w:right="1635"/>
                                    <w:jc w:val="center"/>
                                    <w:rPr>
                                      <w:rFonts w:hint="eastAsia" w:ascii="宋体" w:eastAsia="宋体"/>
                                      <w:b/>
                                      <w:sz w:val="21"/>
                                    </w:rPr>
                                  </w:pPr>
                                  <w:r>
                                    <w:rPr>
                                      <w:rFonts w:hint="eastAsia" w:ascii="宋体" w:eastAsia="宋体"/>
                                      <w:b/>
                                      <w:sz w:val="21"/>
                                    </w:rPr>
                                    <w:t>流程图</w:t>
                                  </w:r>
                                </w:p>
                              </w:tc>
                              <w:tc>
                                <w:tcPr>
                                  <w:tcW w:w="1418" w:type="dxa"/>
                                </w:tcPr>
                                <w:p>
                                  <w:pPr>
                                    <w:pStyle w:val="21"/>
                                    <w:spacing w:before="4"/>
                                    <w:rPr>
                                      <w:rFonts w:ascii="宋体"/>
                                      <w:sz w:val="15"/>
                                    </w:rPr>
                                  </w:pPr>
                                </w:p>
                                <w:p>
                                  <w:pPr>
                                    <w:pStyle w:val="21"/>
                                    <w:spacing w:line="278" w:lineRule="auto"/>
                                    <w:ind w:left="393" w:right="381"/>
                                    <w:rPr>
                                      <w:rFonts w:hint="eastAsia" w:ascii="宋体" w:eastAsia="宋体"/>
                                      <w:b/>
                                      <w:sz w:val="21"/>
                                    </w:rPr>
                                  </w:pPr>
                                  <w:r>
                                    <w:rPr>
                                      <w:rFonts w:hint="eastAsia" w:ascii="宋体" w:eastAsia="宋体"/>
                                      <w:b/>
                                      <w:sz w:val="21"/>
                                    </w:rPr>
                                    <w:t>校内实施部门</w:t>
                                  </w:r>
                                </w:p>
                              </w:tc>
                              <w:tc>
                                <w:tcPr>
                                  <w:tcW w:w="4502" w:type="dxa"/>
                                </w:tcPr>
                                <w:p>
                                  <w:pPr>
                                    <w:pStyle w:val="21"/>
                                    <w:spacing w:before="6"/>
                                    <w:rPr>
                                      <w:rFonts w:ascii="宋体"/>
                                      <w:sz w:val="27"/>
                                    </w:rPr>
                                  </w:pPr>
                                </w:p>
                                <w:p>
                                  <w:pPr>
                                    <w:pStyle w:val="21"/>
                                    <w:ind w:left="1305"/>
                                    <w:rPr>
                                      <w:rFonts w:hint="eastAsia" w:ascii="宋体" w:eastAsia="宋体"/>
                                      <w:b/>
                                      <w:sz w:val="21"/>
                                    </w:rPr>
                                  </w:pPr>
                                  <w:r>
                                    <w:rPr>
                                      <w:rFonts w:hint="eastAsia" w:ascii="宋体" w:eastAsia="宋体"/>
                                      <w:b/>
                                      <w:sz w:val="21"/>
                                    </w:rPr>
                                    <w:t>过程描述及注意事项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5" w:hRule="atLeast"/>
                              </w:trPr>
                              <w:tc>
                                <w:tcPr>
                                  <w:tcW w:w="3964" w:type="dxa"/>
                                  <w:vMerge w:val="restart"/>
                                </w:tcPr>
                                <w:p>
                                  <w:pPr>
                                    <w:pStyle w:val="21"/>
                                    <w:rPr>
                                      <w:rFonts w:ascii="宋体"/>
                                      <w:sz w:val="20"/>
                                    </w:rPr>
                                  </w:pPr>
                                </w:p>
                                <w:p>
                                  <w:pPr>
                                    <w:pStyle w:val="21"/>
                                    <w:spacing w:before="7"/>
                                    <w:rPr>
                                      <w:rFonts w:ascii="宋体"/>
                                      <w:sz w:val="10"/>
                                    </w:rPr>
                                  </w:pPr>
                                </w:p>
                                <w:p>
                                  <w:pPr>
                                    <w:pStyle w:val="21"/>
                                    <w:ind w:left="322"/>
                                    <w:rPr>
                                      <w:rFonts w:ascii="宋体"/>
                                      <w:sz w:val="20"/>
                                    </w:rPr>
                                  </w:pPr>
                                  <w:r>
                                    <w:rPr>
                                      <w:rFonts w:ascii="宋体"/>
                                      <w:sz w:val="20"/>
                                    </w:rPr>
                                    <w:drawing>
                                      <wp:inline distT="0" distB="0" distL="0" distR="0">
                                        <wp:extent cx="2200275" cy="6847840"/>
                                        <wp:effectExtent l="0" t="0" r="9525" b="10160"/>
                                        <wp:docPr id="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jpeg"/>
                                                <pic:cNvPicPr>
                                                  <a:picLocks noChangeAspect="1"/>
                                                </pic:cNvPicPr>
                                              </pic:nvPicPr>
                                              <pic:blipFill>
                                                <a:blip r:embed="rId47" cstate="print"/>
                                                <a:stretch>
                                                  <a:fillRect/>
                                                </a:stretch>
                                              </pic:blipFill>
                                              <pic:spPr>
                                                <a:xfrm>
                                                  <a:off x="0" y="0"/>
                                                  <a:ext cx="2200539" cy="6848094"/>
                                                </a:xfrm>
                                                <a:prstGeom prst="rect">
                                                  <a:avLst/>
                                                </a:prstGeom>
                                              </pic:spPr>
                                            </pic:pic>
                                          </a:graphicData>
                                        </a:graphic>
                                      </wp:inline>
                                    </w:drawing>
                                  </w:r>
                                </w:p>
                              </w:tc>
                              <w:tc>
                                <w:tcPr>
                                  <w:tcW w:w="1418" w:type="dxa"/>
                                </w:tcPr>
                                <w:p>
                                  <w:pPr>
                                    <w:pStyle w:val="21"/>
                                    <w:rPr>
                                      <w:rFonts w:ascii="宋体"/>
                                      <w:sz w:val="18"/>
                                    </w:rPr>
                                  </w:pPr>
                                </w:p>
                                <w:p>
                                  <w:pPr>
                                    <w:pStyle w:val="21"/>
                                    <w:rPr>
                                      <w:rFonts w:ascii="宋体"/>
                                      <w:sz w:val="18"/>
                                    </w:rPr>
                                  </w:pPr>
                                </w:p>
                                <w:p>
                                  <w:pPr>
                                    <w:pStyle w:val="21"/>
                                    <w:spacing w:before="10"/>
                                    <w:rPr>
                                      <w:rFonts w:ascii="宋体"/>
                                      <w:sz w:val="19"/>
                                    </w:rPr>
                                  </w:pPr>
                                </w:p>
                                <w:p>
                                  <w:pPr>
                                    <w:pStyle w:val="21"/>
                                    <w:spacing w:line="324" w:lineRule="auto"/>
                                    <w:ind w:left="390" w:right="26" w:hanging="272"/>
                                    <w:rPr>
                                      <w:rFonts w:hint="eastAsia" w:ascii="宋体" w:eastAsia="宋体"/>
                                      <w:sz w:val="18"/>
                                    </w:rPr>
                                  </w:pPr>
                                  <w:r>
                                    <w:rPr>
                                      <w:rFonts w:hint="eastAsia" w:ascii="宋体" w:eastAsia="宋体"/>
                                      <w:sz w:val="18"/>
                                    </w:rPr>
                                    <w:t>相关行政部门、二级学院</w:t>
                                  </w:r>
                                </w:p>
                              </w:tc>
                              <w:tc>
                                <w:tcPr>
                                  <w:tcW w:w="4502" w:type="dxa"/>
                                </w:tcPr>
                                <w:p>
                                  <w:pPr>
                                    <w:pStyle w:val="21"/>
                                    <w:numPr>
                                      <w:ilvl w:val="0"/>
                                      <w:numId w:val="4"/>
                                    </w:numPr>
                                    <w:tabs>
                                      <w:tab w:val="left" w:pos="288"/>
                                    </w:tabs>
                                    <w:spacing w:before="91" w:after="0" w:line="324" w:lineRule="auto"/>
                                    <w:ind w:left="107" w:right="242" w:firstLine="0"/>
                                    <w:jc w:val="left"/>
                                    <w:rPr>
                                      <w:rFonts w:hint="eastAsia" w:ascii="宋体" w:eastAsia="宋体"/>
                                      <w:sz w:val="18"/>
                                    </w:rPr>
                                  </w:pPr>
                                  <w:r>
                                    <w:rPr>
                                      <w:rFonts w:hint="eastAsia" w:ascii="宋体" w:eastAsia="宋体"/>
                                      <w:spacing w:val="-1"/>
                                      <w:sz w:val="18"/>
                                    </w:rPr>
                                    <w:t>招生就业处组织生源市场调研并完成《生源分析报</w:t>
                                  </w:r>
                                  <w:r>
                                    <w:rPr>
                                      <w:rFonts w:hint="eastAsia" w:ascii="宋体" w:eastAsia="宋体"/>
                                      <w:spacing w:val="-31"/>
                                      <w:sz w:val="18"/>
                                    </w:rPr>
                                    <w:t>告》。</w:t>
                                  </w:r>
                                </w:p>
                                <w:p>
                                  <w:pPr>
                                    <w:pStyle w:val="21"/>
                                    <w:numPr>
                                      <w:ilvl w:val="0"/>
                                      <w:numId w:val="4"/>
                                    </w:numPr>
                                    <w:tabs>
                                      <w:tab w:val="left" w:pos="288"/>
                                    </w:tabs>
                                    <w:spacing w:before="1" w:after="0" w:line="324" w:lineRule="auto"/>
                                    <w:ind w:left="107" w:right="62" w:firstLine="0"/>
                                    <w:jc w:val="both"/>
                                    <w:rPr>
                                      <w:rFonts w:hint="eastAsia" w:ascii="宋体" w:eastAsia="宋体"/>
                                      <w:sz w:val="18"/>
                                    </w:rPr>
                                  </w:pPr>
                                  <w:r>
                                    <w:rPr>
                                      <w:rFonts w:hint="eastAsia" w:ascii="宋体" w:eastAsia="宋体"/>
                                      <w:spacing w:val="-1"/>
                                      <w:sz w:val="18"/>
                                    </w:rPr>
                                    <w:t>招生就业处、发展规划与质量管理处、教务与实训管理处、学生工作部、后勤保障处等行政部门及二级学院举行计划编制研讨会，根据学校发展规划和教学资源等</w:t>
                                  </w:r>
                                </w:p>
                                <w:p>
                                  <w:pPr>
                                    <w:pStyle w:val="21"/>
                                    <w:spacing w:before="2"/>
                                    <w:ind w:left="107"/>
                                    <w:rPr>
                                      <w:rFonts w:hint="eastAsia" w:ascii="宋体" w:eastAsia="宋体"/>
                                      <w:sz w:val="18"/>
                                    </w:rPr>
                                  </w:pPr>
                                  <w:r>
                                    <w:rPr>
                                      <w:rFonts w:hint="eastAsia" w:ascii="宋体" w:eastAsia="宋体"/>
                                      <w:sz w:val="18"/>
                                    </w:rPr>
                                    <w:t>拟定学校招生计划总盘。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36"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spacing w:before="5"/>
                                    <w:rPr>
                                      <w:rFonts w:ascii="宋体"/>
                                      <w:sz w:val="13"/>
                                    </w:rPr>
                                  </w:pPr>
                                </w:p>
                                <w:p>
                                  <w:pPr>
                                    <w:pStyle w:val="21"/>
                                    <w:spacing w:before="1"/>
                                    <w:ind w:left="99" w:right="8"/>
                                    <w:jc w:val="center"/>
                                    <w:rPr>
                                      <w:rFonts w:hint="eastAsia" w:ascii="宋体" w:eastAsia="宋体"/>
                                      <w:sz w:val="18"/>
                                    </w:rPr>
                                  </w:pPr>
                                  <w:r>
                                    <w:rPr>
                                      <w:rFonts w:hint="eastAsia" w:ascii="宋体" w:eastAsia="宋体"/>
                                      <w:sz w:val="18"/>
                                    </w:rPr>
                                    <w:t>招生工作委员会</w:t>
                                  </w:r>
                                </w:p>
                              </w:tc>
                              <w:tc>
                                <w:tcPr>
                                  <w:tcW w:w="4502" w:type="dxa"/>
                                </w:tcPr>
                                <w:p>
                                  <w:pPr>
                                    <w:pStyle w:val="21"/>
                                    <w:spacing w:before="3"/>
                                    <w:rPr>
                                      <w:rFonts w:ascii="宋体"/>
                                      <w:sz w:val="19"/>
                                    </w:rPr>
                                  </w:pPr>
                                </w:p>
                                <w:p>
                                  <w:pPr>
                                    <w:pStyle w:val="21"/>
                                    <w:spacing w:line="324" w:lineRule="auto"/>
                                    <w:ind w:left="107" w:right="47"/>
                                    <w:rPr>
                                      <w:rFonts w:hint="eastAsia" w:ascii="宋体" w:eastAsia="宋体"/>
                                      <w:sz w:val="18"/>
                                    </w:rPr>
                                  </w:pPr>
                                  <w:r>
                                    <w:rPr>
                                      <w:rFonts w:hint="eastAsia" w:ascii="宋体" w:eastAsia="宋体"/>
                                      <w:sz w:val="18"/>
                                    </w:rPr>
                                    <w:t>审议招生总盘计划，经审核通过，提交校长办公会审议不通过，重新调整。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5"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spacing w:before="9"/>
                                    <w:rPr>
                                      <w:rFonts w:ascii="宋体"/>
                                      <w:sz w:val="18"/>
                                    </w:rPr>
                                  </w:pPr>
                                </w:p>
                                <w:p>
                                  <w:pPr>
                                    <w:pStyle w:val="21"/>
                                    <w:ind w:left="99" w:right="8"/>
                                    <w:jc w:val="center"/>
                                    <w:rPr>
                                      <w:rFonts w:hint="eastAsia" w:ascii="宋体" w:eastAsia="宋体"/>
                                      <w:sz w:val="18"/>
                                    </w:rPr>
                                  </w:pPr>
                                  <w:r>
                                    <w:rPr>
                                      <w:rFonts w:hint="eastAsia" w:ascii="宋体" w:eastAsia="宋体"/>
                                      <w:sz w:val="18"/>
                                    </w:rPr>
                                    <w:t>校长办公会</w:t>
                                  </w:r>
                                </w:p>
                              </w:tc>
                              <w:tc>
                                <w:tcPr>
                                  <w:tcW w:w="4502" w:type="dxa"/>
                                </w:tcPr>
                                <w:p>
                                  <w:pPr>
                                    <w:pStyle w:val="21"/>
                                    <w:rPr>
                                      <w:rFonts w:ascii="宋体"/>
                                      <w:sz w:val="18"/>
                                    </w:rPr>
                                  </w:pPr>
                                </w:p>
                                <w:p>
                                  <w:pPr>
                                    <w:pStyle w:val="21"/>
                                    <w:spacing w:before="6"/>
                                    <w:rPr>
                                      <w:rFonts w:ascii="宋体"/>
                                      <w:sz w:val="24"/>
                                    </w:rPr>
                                  </w:pPr>
                                </w:p>
                                <w:p>
                                  <w:pPr>
                                    <w:pStyle w:val="21"/>
                                    <w:spacing w:before="1" w:line="324" w:lineRule="auto"/>
                                    <w:ind w:left="107" w:right="62"/>
                                    <w:rPr>
                                      <w:rFonts w:hint="eastAsia" w:ascii="宋体" w:eastAsia="宋体"/>
                                      <w:sz w:val="18"/>
                                    </w:rPr>
                                  </w:pPr>
                                  <w:r>
                                    <w:rPr>
                                      <w:rFonts w:hint="eastAsia" w:ascii="宋体" w:eastAsia="宋体"/>
                                      <w:sz w:val="18"/>
                                    </w:rPr>
                                    <w:t>审议招生总盘计划，经审核通过，由招就处牵头组织二级学院拟定分专业计划；不通过，重新调整。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7"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spacing w:before="1"/>
                                    <w:rPr>
                                      <w:rFonts w:ascii="宋体"/>
                                      <w:sz w:val="14"/>
                                    </w:rPr>
                                  </w:pPr>
                                </w:p>
                                <w:p>
                                  <w:pPr>
                                    <w:pStyle w:val="21"/>
                                    <w:spacing w:line="324" w:lineRule="auto"/>
                                    <w:ind w:left="390" w:right="206" w:hanging="92"/>
                                    <w:rPr>
                                      <w:rFonts w:hint="eastAsia" w:ascii="宋体" w:eastAsia="宋体"/>
                                      <w:sz w:val="18"/>
                                    </w:rPr>
                                  </w:pPr>
                                  <w:r>
                                    <w:rPr>
                                      <w:rFonts w:hint="eastAsia" w:ascii="宋体" w:eastAsia="宋体"/>
                                      <w:sz w:val="18"/>
                                    </w:rPr>
                                    <w:t>招生就业处二级学院</w:t>
                                  </w:r>
                                </w:p>
                              </w:tc>
                              <w:tc>
                                <w:tcPr>
                                  <w:tcW w:w="4502" w:type="dxa"/>
                                </w:tcPr>
                                <w:p>
                                  <w:pPr>
                                    <w:pStyle w:val="21"/>
                                    <w:rPr>
                                      <w:rFonts w:ascii="宋体"/>
                                      <w:sz w:val="18"/>
                                    </w:rPr>
                                  </w:pPr>
                                </w:p>
                                <w:p>
                                  <w:pPr>
                                    <w:pStyle w:val="21"/>
                                    <w:rPr>
                                      <w:rFonts w:ascii="宋体"/>
                                      <w:sz w:val="18"/>
                                    </w:rPr>
                                  </w:pPr>
                                </w:p>
                                <w:p>
                                  <w:pPr>
                                    <w:pStyle w:val="21"/>
                                    <w:spacing w:before="1"/>
                                    <w:rPr>
                                      <w:rFonts w:ascii="宋体"/>
                                      <w:sz w:val="14"/>
                                    </w:rPr>
                                  </w:pPr>
                                </w:p>
                                <w:p>
                                  <w:pPr>
                                    <w:pStyle w:val="21"/>
                                    <w:spacing w:line="324" w:lineRule="auto"/>
                                    <w:ind w:left="107" w:right="62"/>
                                    <w:rPr>
                                      <w:rFonts w:hint="eastAsia" w:ascii="宋体" w:eastAsia="宋体"/>
                                      <w:sz w:val="18"/>
                                    </w:rPr>
                                  </w:pPr>
                                  <w:r>
                                    <w:rPr>
                                      <w:rFonts w:hint="eastAsia" w:ascii="宋体" w:eastAsia="宋体"/>
                                      <w:sz w:val="18"/>
                                    </w:rPr>
                                    <w:t>招生就业处牵头，组织二级学院根据学院发展规划和教学资源等拟定分专业招生计划。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6"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spacing w:before="8"/>
                                    <w:rPr>
                                      <w:rFonts w:ascii="宋体"/>
                                      <w:sz w:val="15"/>
                                    </w:rPr>
                                  </w:pPr>
                                </w:p>
                                <w:p>
                                  <w:pPr>
                                    <w:pStyle w:val="21"/>
                                    <w:ind w:left="99" w:right="8"/>
                                    <w:jc w:val="center"/>
                                    <w:rPr>
                                      <w:rFonts w:hint="eastAsia" w:ascii="宋体" w:eastAsia="宋体"/>
                                      <w:sz w:val="18"/>
                                    </w:rPr>
                                  </w:pPr>
                                  <w:r>
                                    <w:rPr>
                                      <w:rFonts w:hint="eastAsia" w:ascii="宋体" w:eastAsia="宋体"/>
                                      <w:sz w:val="18"/>
                                    </w:rPr>
                                    <w:t>校长办公会</w:t>
                                  </w:r>
                                </w:p>
                              </w:tc>
                              <w:tc>
                                <w:tcPr>
                                  <w:tcW w:w="4502" w:type="dxa"/>
                                </w:tcPr>
                                <w:p>
                                  <w:pPr>
                                    <w:pStyle w:val="21"/>
                                    <w:rPr>
                                      <w:rFonts w:ascii="宋体"/>
                                      <w:sz w:val="18"/>
                                    </w:rPr>
                                  </w:pPr>
                                </w:p>
                                <w:p>
                                  <w:pPr>
                                    <w:pStyle w:val="21"/>
                                    <w:spacing w:before="6"/>
                                    <w:rPr>
                                      <w:rFonts w:ascii="宋体"/>
                                      <w:sz w:val="21"/>
                                    </w:rPr>
                                  </w:pPr>
                                </w:p>
                                <w:p>
                                  <w:pPr>
                                    <w:pStyle w:val="21"/>
                                    <w:spacing w:line="324" w:lineRule="auto"/>
                                    <w:ind w:left="107" w:right="62"/>
                                    <w:rPr>
                                      <w:rFonts w:hint="eastAsia" w:ascii="宋体" w:eastAsia="宋体"/>
                                      <w:sz w:val="18"/>
                                    </w:rPr>
                                  </w:pPr>
                                  <w:r>
                                    <w:rPr>
                                      <w:rFonts w:hint="eastAsia" w:ascii="宋体" w:eastAsia="宋体"/>
                                      <w:sz w:val="18"/>
                                    </w:rPr>
                                    <w:t>审议分专业招生计划，经审核通过，提交教育厅审核； 不通过，重新调整。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40"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spacing w:before="2"/>
                                    <w:rPr>
                                      <w:rFonts w:ascii="宋体"/>
                                      <w:sz w:val="15"/>
                                    </w:rPr>
                                  </w:pPr>
                                </w:p>
                                <w:p>
                                  <w:pPr>
                                    <w:pStyle w:val="21"/>
                                    <w:ind w:left="99" w:right="8"/>
                                    <w:jc w:val="center"/>
                                    <w:rPr>
                                      <w:rFonts w:hint="eastAsia" w:ascii="宋体" w:eastAsia="宋体"/>
                                      <w:sz w:val="18"/>
                                    </w:rPr>
                                  </w:pPr>
                                  <w:r>
                                    <w:rPr>
                                      <w:rFonts w:hint="eastAsia" w:ascii="宋体" w:eastAsia="宋体"/>
                                      <w:sz w:val="18"/>
                                    </w:rPr>
                                    <w:t>招生就业处</w:t>
                                  </w:r>
                                </w:p>
                              </w:tc>
                              <w:tc>
                                <w:tcPr>
                                  <w:tcW w:w="4502" w:type="dxa"/>
                                </w:tcPr>
                                <w:p>
                                  <w:pPr>
                                    <w:pStyle w:val="21"/>
                                    <w:rPr>
                                      <w:rFonts w:ascii="宋体"/>
                                      <w:sz w:val="18"/>
                                    </w:rPr>
                                  </w:pPr>
                                </w:p>
                                <w:p>
                                  <w:pPr>
                                    <w:pStyle w:val="21"/>
                                    <w:rPr>
                                      <w:rFonts w:ascii="宋体"/>
                                      <w:sz w:val="21"/>
                                    </w:rPr>
                                  </w:pPr>
                                </w:p>
                                <w:p>
                                  <w:pPr>
                                    <w:pStyle w:val="21"/>
                                    <w:spacing w:line="324" w:lineRule="auto"/>
                                    <w:ind w:left="107" w:right="62"/>
                                    <w:rPr>
                                      <w:rFonts w:hint="eastAsia" w:ascii="宋体" w:eastAsia="宋体"/>
                                      <w:sz w:val="18"/>
                                    </w:rPr>
                                  </w:pPr>
                                  <w:r>
                                    <w:rPr>
                                      <w:rFonts w:hint="eastAsia" w:ascii="宋体" w:eastAsia="宋体"/>
                                      <w:sz w:val="18"/>
                                    </w:rPr>
                                    <w:t>提交自治区教育厅审核。经审核通过，向社会公布；不通过，重新调整。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12"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rPr>
                                      <w:rFonts w:ascii="宋体"/>
                                      <w:sz w:val="18"/>
                                    </w:rPr>
                                  </w:pPr>
                                </w:p>
                                <w:p>
                                  <w:pPr>
                                    <w:pStyle w:val="21"/>
                                    <w:spacing w:before="148"/>
                                    <w:ind w:left="99" w:right="8"/>
                                    <w:jc w:val="center"/>
                                    <w:rPr>
                                      <w:rFonts w:hint="eastAsia" w:ascii="宋体" w:eastAsia="宋体"/>
                                      <w:sz w:val="18"/>
                                    </w:rPr>
                                  </w:pPr>
                                  <w:r>
                                    <w:rPr>
                                      <w:rFonts w:hint="eastAsia" w:ascii="宋体" w:eastAsia="宋体"/>
                                      <w:sz w:val="18"/>
                                    </w:rPr>
                                    <w:t>招生就业处</w:t>
                                  </w:r>
                                </w:p>
                              </w:tc>
                              <w:tc>
                                <w:tcPr>
                                  <w:tcW w:w="4502" w:type="dxa"/>
                                </w:tcPr>
                                <w:p>
                                  <w:pPr>
                                    <w:pStyle w:val="21"/>
                                    <w:rPr>
                                      <w:rFonts w:ascii="宋体"/>
                                      <w:sz w:val="18"/>
                                    </w:rPr>
                                  </w:pPr>
                                </w:p>
                                <w:p>
                                  <w:pPr>
                                    <w:pStyle w:val="21"/>
                                    <w:rPr>
                                      <w:rFonts w:ascii="宋体"/>
                                      <w:sz w:val="18"/>
                                    </w:rPr>
                                  </w:pPr>
                                </w:p>
                                <w:p>
                                  <w:pPr>
                                    <w:pStyle w:val="21"/>
                                    <w:spacing w:before="5"/>
                                    <w:rPr>
                                      <w:rFonts w:ascii="宋体"/>
                                      <w:sz w:val="17"/>
                                    </w:rPr>
                                  </w:pPr>
                                </w:p>
                                <w:p>
                                  <w:pPr>
                                    <w:pStyle w:val="21"/>
                                    <w:spacing w:line="324" w:lineRule="auto"/>
                                    <w:ind w:left="107" w:right="62"/>
                                    <w:rPr>
                                      <w:rFonts w:hint="eastAsia" w:ascii="宋体" w:eastAsia="宋体"/>
                                      <w:sz w:val="18"/>
                                    </w:rPr>
                                  </w:pPr>
                                  <w:r>
                                    <w:rPr>
                                      <w:rFonts w:hint="eastAsia" w:ascii="宋体" w:eastAsia="宋体"/>
                                      <w:sz w:val="18"/>
                                    </w:rPr>
                                    <w:t>将经学校招生委员会、校长办公会通过的招生专业和招生计划上报教育厅审核通过，向社会公布。</w:t>
                                  </w:r>
                                </w:p>
                              </w:tc>
                            </w:tr>
                          </w:tbl>
                          <w:p>
                            <w:pPr>
                              <w:pStyle w:val="4"/>
                            </w:pPr>
                          </w:p>
                        </w:txbxContent>
                      </wps:txbx>
                      <wps:bodyPr lIns="0" tIns="0" rIns="0" bIns="0" upright="1"/>
                    </wps:wsp>
                  </a:graphicData>
                </a:graphic>
              </wp:anchor>
            </w:drawing>
          </mc:Choice>
          <mc:Fallback>
            <w:pict>
              <v:shape id="_x0000_s1026" o:spid="_x0000_s1026" o:spt="202" type="#_x0000_t202" style="position:absolute;left:0pt;margin-left:40pt;margin-top:114.85pt;height:627.55pt;width:494.95pt;mso-position-horizontal-relative:page;mso-position-vertical-relative:page;z-index:252763136;mso-width-relative:page;mso-height-relative:page;" filled="f" stroked="f" coordsize="21600,21600" o:gfxdata="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n1OF3tsAAAAMAQAADwAA&#10;AAAAAAABACAAAAAiAAAAZHJzL2Rvd25yZXYueG1sUEsBAhQAFAAAAAgAh07iQG57WO2hAQAAJwMA&#10;AA4AAAAAAAAAAQAgAAAAKgEAAGRycy9lMm9Eb2MueG1sUEsFBgAAAAAGAAYAWQEAAD0FAAAAAA==&#10;">
                <v:fill on="f" focussize="0,0"/>
                <v:stroke on="f"/>
                <v:imagedata o:title=""/>
                <o:lock v:ext="edit" aspectratio="f"/>
                <v:textbox inset="0mm,0mm,0mm,0mm">
                  <w:txbxContent>
                    <w:tbl>
                      <w:tblPr>
                        <w:tblStyle w:val="14"/>
                        <w:tblW w:w="98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4"/>
                        <w:gridCol w:w="1418"/>
                        <w:gridCol w:w="4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6" w:hRule="atLeast"/>
                        </w:trPr>
                        <w:tc>
                          <w:tcPr>
                            <w:tcW w:w="3964" w:type="dxa"/>
                          </w:tcPr>
                          <w:p>
                            <w:pPr>
                              <w:pStyle w:val="21"/>
                              <w:spacing w:before="6"/>
                              <w:rPr>
                                <w:rFonts w:ascii="宋体"/>
                                <w:sz w:val="27"/>
                              </w:rPr>
                            </w:pPr>
                          </w:p>
                          <w:p>
                            <w:pPr>
                              <w:pStyle w:val="21"/>
                              <w:ind w:left="1645" w:right="1635"/>
                              <w:jc w:val="center"/>
                              <w:rPr>
                                <w:rFonts w:hint="eastAsia" w:ascii="宋体" w:eastAsia="宋体"/>
                                <w:b/>
                                <w:sz w:val="21"/>
                              </w:rPr>
                            </w:pPr>
                            <w:r>
                              <w:rPr>
                                <w:rFonts w:hint="eastAsia" w:ascii="宋体" w:eastAsia="宋体"/>
                                <w:b/>
                                <w:sz w:val="21"/>
                              </w:rPr>
                              <w:t>流程图</w:t>
                            </w:r>
                          </w:p>
                        </w:tc>
                        <w:tc>
                          <w:tcPr>
                            <w:tcW w:w="1418" w:type="dxa"/>
                          </w:tcPr>
                          <w:p>
                            <w:pPr>
                              <w:pStyle w:val="21"/>
                              <w:spacing w:before="4"/>
                              <w:rPr>
                                <w:rFonts w:ascii="宋体"/>
                                <w:sz w:val="15"/>
                              </w:rPr>
                            </w:pPr>
                          </w:p>
                          <w:p>
                            <w:pPr>
                              <w:pStyle w:val="21"/>
                              <w:spacing w:line="278" w:lineRule="auto"/>
                              <w:ind w:left="393" w:right="381"/>
                              <w:rPr>
                                <w:rFonts w:hint="eastAsia" w:ascii="宋体" w:eastAsia="宋体"/>
                                <w:b/>
                                <w:sz w:val="21"/>
                              </w:rPr>
                            </w:pPr>
                            <w:r>
                              <w:rPr>
                                <w:rFonts w:hint="eastAsia" w:ascii="宋体" w:eastAsia="宋体"/>
                                <w:b/>
                                <w:sz w:val="21"/>
                              </w:rPr>
                              <w:t>校内实施部门</w:t>
                            </w:r>
                          </w:p>
                        </w:tc>
                        <w:tc>
                          <w:tcPr>
                            <w:tcW w:w="4502" w:type="dxa"/>
                          </w:tcPr>
                          <w:p>
                            <w:pPr>
                              <w:pStyle w:val="21"/>
                              <w:spacing w:before="6"/>
                              <w:rPr>
                                <w:rFonts w:ascii="宋体"/>
                                <w:sz w:val="27"/>
                              </w:rPr>
                            </w:pPr>
                          </w:p>
                          <w:p>
                            <w:pPr>
                              <w:pStyle w:val="21"/>
                              <w:ind w:left="1305"/>
                              <w:rPr>
                                <w:rFonts w:hint="eastAsia" w:ascii="宋体" w:eastAsia="宋体"/>
                                <w:b/>
                                <w:sz w:val="21"/>
                              </w:rPr>
                            </w:pPr>
                            <w:r>
                              <w:rPr>
                                <w:rFonts w:hint="eastAsia" w:ascii="宋体" w:eastAsia="宋体"/>
                                <w:b/>
                                <w:sz w:val="21"/>
                              </w:rPr>
                              <w:t>过程描述及注意事项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5" w:hRule="atLeast"/>
                        </w:trPr>
                        <w:tc>
                          <w:tcPr>
                            <w:tcW w:w="3964" w:type="dxa"/>
                            <w:vMerge w:val="restart"/>
                          </w:tcPr>
                          <w:p>
                            <w:pPr>
                              <w:pStyle w:val="21"/>
                              <w:rPr>
                                <w:rFonts w:ascii="宋体"/>
                                <w:sz w:val="20"/>
                              </w:rPr>
                            </w:pPr>
                          </w:p>
                          <w:p>
                            <w:pPr>
                              <w:pStyle w:val="21"/>
                              <w:spacing w:before="7"/>
                              <w:rPr>
                                <w:rFonts w:ascii="宋体"/>
                                <w:sz w:val="10"/>
                              </w:rPr>
                            </w:pPr>
                          </w:p>
                          <w:p>
                            <w:pPr>
                              <w:pStyle w:val="21"/>
                              <w:ind w:left="322"/>
                              <w:rPr>
                                <w:rFonts w:ascii="宋体"/>
                                <w:sz w:val="20"/>
                              </w:rPr>
                            </w:pPr>
                            <w:r>
                              <w:rPr>
                                <w:rFonts w:ascii="宋体"/>
                                <w:sz w:val="20"/>
                              </w:rPr>
                              <w:drawing>
                                <wp:inline distT="0" distB="0" distL="0" distR="0">
                                  <wp:extent cx="2200275" cy="6847840"/>
                                  <wp:effectExtent l="0" t="0" r="9525" b="10160"/>
                                  <wp:docPr id="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jpeg"/>
                                          <pic:cNvPicPr>
                                            <a:picLocks noChangeAspect="1"/>
                                          </pic:cNvPicPr>
                                        </pic:nvPicPr>
                                        <pic:blipFill>
                                          <a:blip r:embed="rId47" cstate="print"/>
                                          <a:stretch>
                                            <a:fillRect/>
                                          </a:stretch>
                                        </pic:blipFill>
                                        <pic:spPr>
                                          <a:xfrm>
                                            <a:off x="0" y="0"/>
                                            <a:ext cx="2200539" cy="6848094"/>
                                          </a:xfrm>
                                          <a:prstGeom prst="rect">
                                            <a:avLst/>
                                          </a:prstGeom>
                                        </pic:spPr>
                                      </pic:pic>
                                    </a:graphicData>
                                  </a:graphic>
                                </wp:inline>
                              </w:drawing>
                            </w:r>
                          </w:p>
                        </w:tc>
                        <w:tc>
                          <w:tcPr>
                            <w:tcW w:w="1418" w:type="dxa"/>
                          </w:tcPr>
                          <w:p>
                            <w:pPr>
                              <w:pStyle w:val="21"/>
                              <w:rPr>
                                <w:rFonts w:ascii="宋体"/>
                                <w:sz w:val="18"/>
                              </w:rPr>
                            </w:pPr>
                          </w:p>
                          <w:p>
                            <w:pPr>
                              <w:pStyle w:val="21"/>
                              <w:rPr>
                                <w:rFonts w:ascii="宋体"/>
                                <w:sz w:val="18"/>
                              </w:rPr>
                            </w:pPr>
                          </w:p>
                          <w:p>
                            <w:pPr>
                              <w:pStyle w:val="21"/>
                              <w:spacing w:before="10"/>
                              <w:rPr>
                                <w:rFonts w:ascii="宋体"/>
                                <w:sz w:val="19"/>
                              </w:rPr>
                            </w:pPr>
                          </w:p>
                          <w:p>
                            <w:pPr>
                              <w:pStyle w:val="21"/>
                              <w:spacing w:line="324" w:lineRule="auto"/>
                              <w:ind w:left="390" w:right="26" w:hanging="272"/>
                              <w:rPr>
                                <w:rFonts w:hint="eastAsia" w:ascii="宋体" w:eastAsia="宋体"/>
                                <w:sz w:val="18"/>
                              </w:rPr>
                            </w:pPr>
                            <w:r>
                              <w:rPr>
                                <w:rFonts w:hint="eastAsia" w:ascii="宋体" w:eastAsia="宋体"/>
                                <w:sz w:val="18"/>
                              </w:rPr>
                              <w:t>相关行政部门、二级学院</w:t>
                            </w:r>
                          </w:p>
                        </w:tc>
                        <w:tc>
                          <w:tcPr>
                            <w:tcW w:w="4502" w:type="dxa"/>
                          </w:tcPr>
                          <w:p>
                            <w:pPr>
                              <w:pStyle w:val="21"/>
                              <w:numPr>
                                <w:ilvl w:val="0"/>
                                <w:numId w:val="4"/>
                              </w:numPr>
                              <w:tabs>
                                <w:tab w:val="left" w:pos="288"/>
                              </w:tabs>
                              <w:spacing w:before="91" w:after="0" w:line="324" w:lineRule="auto"/>
                              <w:ind w:left="107" w:right="242" w:firstLine="0"/>
                              <w:jc w:val="left"/>
                              <w:rPr>
                                <w:rFonts w:hint="eastAsia" w:ascii="宋体" w:eastAsia="宋体"/>
                                <w:sz w:val="18"/>
                              </w:rPr>
                            </w:pPr>
                            <w:r>
                              <w:rPr>
                                <w:rFonts w:hint="eastAsia" w:ascii="宋体" w:eastAsia="宋体"/>
                                <w:spacing w:val="-1"/>
                                <w:sz w:val="18"/>
                              </w:rPr>
                              <w:t>招生就业处组织生源市场调研并完成《生源分析报</w:t>
                            </w:r>
                            <w:r>
                              <w:rPr>
                                <w:rFonts w:hint="eastAsia" w:ascii="宋体" w:eastAsia="宋体"/>
                                <w:spacing w:val="-31"/>
                                <w:sz w:val="18"/>
                              </w:rPr>
                              <w:t>告》。</w:t>
                            </w:r>
                          </w:p>
                          <w:p>
                            <w:pPr>
                              <w:pStyle w:val="21"/>
                              <w:numPr>
                                <w:ilvl w:val="0"/>
                                <w:numId w:val="4"/>
                              </w:numPr>
                              <w:tabs>
                                <w:tab w:val="left" w:pos="288"/>
                              </w:tabs>
                              <w:spacing w:before="1" w:after="0" w:line="324" w:lineRule="auto"/>
                              <w:ind w:left="107" w:right="62" w:firstLine="0"/>
                              <w:jc w:val="both"/>
                              <w:rPr>
                                <w:rFonts w:hint="eastAsia" w:ascii="宋体" w:eastAsia="宋体"/>
                                <w:sz w:val="18"/>
                              </w:rPr>
                            </w:pPr>
                            <w:r>
                              <w:rPr>
                                <w:rFonts w:hint="eastAsia" w:ascii="宋体" w:eastAsia="宋体"/>
                                <w:spacing w:val="-1"/>
                                <w:sz w:val="18"/>
                              </w:rPr>
                              <w:t>招生就业处、发展规划与质量管理处、教务与实训管理处、学生工作部、后勤保障处等行政部门及二级学院举行计划编制研讨会，根据学校发展规划和教学资源等</w:t>
                            </w:r>
                          </w:p>
                          <w:p>
                            <w:pPr>
                              <w:pStyle w:val="21"/>
                              <w:spacing w:before="2"/>
                              <w:ind w:left="107"/>
                              <w:rPr>
                                <w:rFonts w:hint="eastAsia" w:ascii="宋体" w:eastAsia="宋体"/>
                                <w:sz w:val="18"/>
                              </w:rPr>
                            </w:pPr>
                            <w:r>
                              <w:rPr>
                                <w:rFonts w:hint="eastAsia" w:ascii="宋体" w:eastAsia="宋体"/>
                                <w:sz w:val="18"/>
                              </w:rPr>
                              <w:t>拟定学校招生计划总盘。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36"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spacing w:before="5"/>
                              <w:rPr>
                                <w:rFonts w:ascii="宋体"/>
                                <w:sz w:val="13"/>
                              </w:rPr>
                            </w:pPr>
                          </w:p>
                          <w:p>
                            <w:pPr>
                              <w:pStyle w:val="21"/>
                              <w:spacing w:before="1"/>
                              <w:ind w:left="99" w:right="8"/>
                              <w:jc w:val="center"/>
                              <w:rPr>
                                <w:rFonts w:hint="eastAsia" w:ascii="宋体" w:eastAsia="宋体"/>
                                <w:sz w:val="18"/>
                              </w:rPr>
                            </w:pPr>
                            <w:r>
                              <w:rPr>
                                <w:rFonts w:hint="eastAsia" w:ascii="宋体" w:eastAsia="宋体"/>
                                <w:sz w:val="18"/>
                              </w:rPr>
                              <w:t>招生工作委员会</w:t>
                            </w:r>
                          </w:p>
                        </w:tc>
                        <w:tc>
                          <w:tcPr>
                            <w:tcW w:w="4502" w:type="dxa"/>
                          </w:tcPr>
                          <w:p>
                            <w:pPr>
                              <w:pStyle w:val="21"/>
                              <w:spacing w:before="3"/>
                              <w:rPr>
                                <w:rFonts w:ascii="宋体"/>
                                <w:sz w:val="19"/>
                              </w:rPr>
                            </w:pPr>
                          </w:p>
                          <w:p>
                            <w:pPr>
                              <w:pStyle w:val="21"/>
                              <w:spacing w:line="324" w:lineRule="auto"/>
                              <w:ind w:left="107" w:right="47"/>
                              <w:rPr>
                                <w:rFonts w:hint="eastAsia" w:ascii="宋体" w:eastAsia="宋体"/>
                                <w:sz w:val="18"/>
                              </w:rPr>
                            </w:pPr>
                            <w:r>
                              <w:rPr>
                                <w:rFonts w:hint="eastAsia" w:ascii="宋体" w:eastAsia="宋体"/>
                                <w:sz w:val="18"/>
                              </w:rPr>
                              <w:t>审议招生总盘计划，经审核通过，提交校长办公会审议不通过，重新调整。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5"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spacing w:before="9"/>
                              <w:rPr>
                                <w:rFonts w:ascii="宋体"/>
                                <w:sz w:val="18"/>
                              </w:rPr>
                            </w:pPr>
                          </w:p>
                          <w:p>
                            <w:pPr>
                              <w:pStyle w:val="21"/>
                              <w:ind w:left="99" w:right="8"/>
                              <w:jc w:val="center"/>
                              <w:rPr>
                                <w:rFonts w:hint="eastAsia" w:ascii="宋体" w:eastAsia="宋体"/>
                                <w:sz w:val="18"/>
                              </w:rPr>
                            </w:pPr>
                            <w:r>
                              <w:rPr>
                                <w:rFonts w:hint="eastAsia" w:ascii="宋体" w:eastAsia="宋体"/>
                                <w:sz w:val="18"/>
                              </w:rPr>
                              <w:t>校长办公会</w:t>
                            </w:r>
                          </w:p>
                        </w:tc>
                        <w:tc>
                          <w:tcPr>
                            <w:tcW w:w="4502" w:type="dxa"/>
                          </w:tcPr>
                          <w:p>
                            <w:pPr>
                              <w:pStyle w:val="21"/>
                              <w:rPr>
                                <w:rFonts w:ascii="宋体"/>
                                <w:sz w:val="18"/>
                              </w:rPr>
                            </w:pPr>
                          </w:p>
                          <w:p>
                            <w:pPr>
                              <w:pStyle w:val="21"/>
                              <w:spacing w:before="6"/>
                              <w:rPr>
                                <w:rFonts w:ascii="宋体"/>
                                <w:sz w:val="24"/>
                              </w:rPr>
                            </w:pPr>
                          </w:p>
                          <w:p>
                            <w:pPr>
                              <w:pStyle w:val="21"/>
                              <w:spacing w:before="1" w:line="324" w:lineRule="auto"/>
                              <w:ind w:left="107" w:right="62"/>
                              <w:rPr>
                                <w:rFonts w:hint="eastAsia" w:ascii="宋体" w:eastAsia="宋体"/>
                                <w:sz w:val="18"/>
                              </w:rPr>
                            </w:pPr>
                            <w:r>
                              <w:rPr>
                                <w:rFonts w:hint="eastAsia" w:ascii="宋体" w:eastAsia="宋体"/>
                                <w:sz w:val="18"/>
                              </w:rPr>
                              <w:t>审议招生总盘计划，经审核通过，由招就处牵头组织二级学院拟定分专业计划；不通过，重新调整。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7"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spacing w:before="1"/>
                              <w:rPr>
                                <w:rFonts w:ascii="宋体"/>
                                <w:sz w:val="14"/>
                              </w:rPr>
                            </w:pPr>
                          </w:p>
                          <w:p>
                            <w:pPr>
                              <w:pStyle w:val="21"/>
                              <w:spacing w:line="324" w:lineRule="auto"/>
                              <w:ind w:left="390" w:right="206" w:hanging="92"/>
                              <w:rPr>
                                <w:rFonts w:hint="eastAsia" w:ascii="宋体" w:eastAsia="宋体"/>
                                <w:sz w:val="18"/>
                              </w:rPr>
                            </w:pPr>
                            <w:r>
                              <w:rPr>
                                <w:rFonts w:hint="eastAsia" w:ascii="宋体" w:eastAsia="宋体"/>
                                <w:sz w:val="18"/>
                              </w:rPr>
                              <w:t>招生就业处二级学院</w:t>
                            </w:r>
                          </w:p>
                        </w:tc>
                        <w:tc>
                          <w:tcPr>
                            <w:tcW w:w="4502" w:type="dxa"/>
                          </w:tcPr>
                          <w:p>
                            <w:pPr>
                              <w:pStyle w:val="21"/>
                              <w:rPr>
                                <w:rFonts w:ascii="宋体"/>
                                <w:sz w:val="18"/>
                              </w:rPr>
                            </w:pPr>
                          </w:p>
                          <w:p>
                            <w:pPr>
                              <w:pStyle w:val="21"/>
                              <w:rPr>
                                <w:rFonts w:ascii="宋体"/>
                                <w:sz w:val="18"/>
                              </w:rPr>
                            </w:pPr>
                          </w:p>
                          <w:p>
                            <w:pPr>
                              <w:pStyle w:val="21"/>
                              <w:spacing w:before="1"/>
                              <w:rPr>
                                <w:rFonts w:ascii="宋体"/>
                                <w:sz w:val="14"/>
                              </w:rPr>
                            </w:pPr>
                          </w:p>
                          <w:p>
                            <w:pPr>
                              <w:pStyle w:val="21"/>
                              <w:spacing w:line="324" w:lineRule="auto"/>
                              <w:ind w:left="107" w:right="62"/>
                              <w:rPr>
                                <w:rFonts w:hint="eastAsia" w:ascii="宋体" w:eastAsia="宋体"/>
                                <w:sz w:val="18"/>
                              </w:rPr>
                            </w:pPr>
                            <w:r>
                              <w:rPr>
                                <w:rFonts w:hint="eastAsia" w:ascii="宋体" w:eastAsia="宋体"/>
                                <w:sz w:val="18"/>
                              </w:rPr>
                              <w:t>招生就业处牵头，组织二级学院根据学院发展规划和教学资源等拟定分专业招生计划。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6"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spacing w:before="8"/>
                              <w:rPr>
                                <w:rFonts w:ascii="宋体"/>
                                <w:sz w:val="15"/>
                              </w:rPr>
                            </w:pPr>
                          </w:p>
                          <w:p>
                            <w:pPr>
                              <w:pStyle w:val="21"/>
                              <w:ind w:left="99" w:right="8"/>
                              <w:jc w:val="center"/>
                              <w:rPr>
                                <w:rFonts w:hint="eastAsia" w:ascii="宋体" w:eastAsia="宋体"/>
                                <w:sz w:val="18"/>
                              </w:rPr>
                            </w:pPr>
                            <w:r>
                              <w:rPr>
                                <w:rFonts w:hint="eastAsia" w:ascii="宋体" w:eastAsia="宋体"/>
                                <w:sz w:val="18"/>
                              </w:rPr>
                              <w:t>校长办公会</w:t>
                            </w:r>
                          </w:p>
                        </w:tc>
                        <w:tc>
                          <w:tcPr>
                            <w:tcW w:w="4502" w:type="dxa"/>
                          </w:tcPr>
                          <w:p>
                            <w:pPr>
                              <w:pStyle w:val="21"/>
                              <w:rPr>
                                <w:rFonts w:ascii="宋体"/>
                                <w:sz w:val="18"/>
                              </w:rPr>
                            </w:pPr>
                          </w:p>
                          <w:p>
                            <w:pPr>
                              <w:pStyle w:val="21"/>
                              <w:spacing w:before="6"/>
                              <w:rPr>
                                <w:rFonts w:ascii="宋体"/>
                                <w:sz w:val="21"/>
                              </w:rPr>
                            </w:pPr>
                          </w:p>
                          <w:p>
                            <w:pPr>
                              <w:pStyle w:val="21"/>
                              <w:spacing w:line="324" w:lineRule="auto"/>
                              <w:ind w:left="107" w:right="62"/>
                              <w:rPr>
                                <w:rFonts w:hint="eastAsia" w:ascii="宋体" w:eastAsia="宋体"/>
                                <w:sz w:val="18"/>
                              </w:rPr>
                            </w:pPr>
                            <w:r>
                              <w:rPr>
                                <w:rFonts w:hint="eastAsia" w:ascii="宋体" w:eastAsia="宋体"/>
                                <w:sz w:val="18"/>
                              </w:rPr>
                              <w:t>审议分专业招生计划，经审核通过，提交教育厅审核； 不通过，重新调整。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40"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spacing w:before="2"/>
                              <w:rPr>
                                <w:rFonts w:ascii="宋体"/>
                                <w:sz w:val="15"/>
                              </w:rPr>
                            </w:pPr>
                          </w:p>
                          <w:p>
                            <w:pPr>
                              <w:pStyle w:val="21"/>
                              <w:ind w:left="99" w:right="8"/>
                              <w:jc w:val="center"/>
                              <w:rPr>
                                <w:rFonts w:hint="eastAsia" w:ascii="宋体" w:eastAsia="宋体"/>
                                <w:sz w:val="18"/>
                              </w:rPr>
                            </w:pPr>
                            <w:r>
                              <w:rPr>
                                <w:rFonts w:hint="eastAsia" w:ascii="宋体" w:eastAsia="宋体"/>
                                <w:sz w:val="18"/>
                              </w:rPr>
                              <w:t>招生就业处</w:t>
                            </w:r>
                          </w:p>
                        </w:tc>
                        <w:tc>
                          <w:tcPr>
                            <w:tcW w:w="4502" w:type="dxa"/>
                          </w:tcPr>
                          <w:p>
                            <w:pPr>
                              <w:pStyle w:val="21"/>
                              <w:rPr>
                                <w:rFonts w:ascii="宋体"/>
                                <w:sz w:val="18"/>
                              </w:rPr>
                            </w:pPr>
                          </w:p>
                          <w:p>
                            <w:pPr>
                              <w:pStyle w:val="21"/>
                              <w:rPr>
                                <w:rFonts w:ascii="宋体"/>
                                <w:sz w:val="21"/>
                              </w:rPr>
                            </w:pPr>
                          </w:p>
                          <w:p>
                            <w:pPr>
                              <w:pStyle w:val="21"/>
                              <w:spacing w:line="324" w:lineRule="auto"/>
                              <w:ind w:left="107" w:right="62"/>
                              <w:rPr>
                                <w:rFonts w:hint="eastAsia" w:ascii="宋体" w:eastAsia="宋体"/>
                                <w:sz w:val="18"/>
                              </w:rPr>
                            </w:pPr>
                            <w:r>
                              <w:rPr>
                                <w:rFonts w:hint="eastAsia" w:ascii="宋体" w:eastAsia="宋体"/>
                                <w:sz w:val="18"/>
                              </w:rPr>
                              <w:t>提交自治区教育厅审核。经审核通过，向社会公布；不通过，重新调整。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12" w:hRule="atLeast"/>
                        </w:trPr>
                        <w:tc>
                          <w:tcPr>
                            <w:tcW w:w="3964" w:type="dxa"/>
                            <w:vMerge w:val="continue"/>
                            <w:tcBorders>
                              <w:top w:val="nil"/>
                            </w:tcBorders>
                          </w:tcPr>
                          <w:p>
                            <w:pPr>
                              <w:rPr>
                                <w:sz w:val="2"/>
                                <w:szCs w:val="2"/>
                              </w:rPr>
                            </w:pPr>
                          </w:p>
                        </w:tc>
                        <w:tc>
                          <w:tcPr>
                            <w:tcW w:w="1418" w:type="dxa"/>
                          </w:tcPr>
                          <w:p>
                            <w:pPr>
                              <w:pStyle w:val="21"/>
                              <w:rPr>
                                <w:rFonts w:ascii="宋体"/>
                                <w:sz w:val="18"/>
                              </w:rPr>
                            </w:pPr>
                          </w:p>
                          <w:p>
                            <w:pPr>
                              <w:pStyle w:val="21"/>
                              <w:rPr>
                                <w:rFonts w:ascii="宋体"/>
                                <w:sz w:val="18"/>
                              </w:rPr>
                            </w:pPr>
                          </w:p>
                          <w:p>
                            <w:pPr>
                              <w:pStyle w:val="21"/>
                              <w:rPr>
                                <w:rFonts w:ascii="宋体"/>
                                <w:sz w:val="18"/>
                              </w:rPr>
                            </w:pPr>
                          </w:p>
                          <w:p>
                            <w:pPr>
                              <w:pStyle w:val="21"/>
                              <w:spacing w:before="148"/>
                              <w:ind w:left="99" w:right="8"/>
                              <w:jc w:val="center"/>
                              <w:rPr>
                                <w:rFonts w:hint="eastAsia" w:ascii="宋体" w:eastAsia="宋体"/>
                                <w:sz w:val="18"/>
                              </w:rPr>
                            </w:pPr>
                            <w:r>
                              <w:rPr>
                                <w:rFonts w:hint="eastAsia" w:ascii="宋体" w:eastAsia="宋体"/>
                                <w:sz w:val="18"/>
                              </w:rPr>
                              <w:t>招生就业处</w:t>
                            </w:r>
                          </w:p>
                        </w:tc>
                        <w:tc>
                          <w:tcPr>
                            <w:tcW w:w="4502" w:type="dxa"/>
                          </w:tcPr>
                          <w:p>
                            <w:pPr>
                              <w:pStyle w:val="21"/>
                              <w:rPr>
                                <w:rFonts w:ascii="宋体"/>
                                <w:sz w:val="18"/>
                              </w:rPr>
                            </w:pPr>
                          </w:p>
                          <w:p>
                            <w:pPr>
                              <w:pStyle w:val="21"/>
                              <w:rPr>
                                <w:rFonts w:ascii="宋体"/>
                                <w:sz w:val="18"/>
                              </w:rPr>
                            </w:pPr>
                          </w:p>
                          <w:p>
                            <w:pPr>
                              <w:pStyle w:val="21"/>
                              <w:spacing w:before="5"/>
                              <w:rPr>
                                <w:rFonts w:ascii="宋体"/>
                                <w:sz w:val="17"/>
                              </w:rPr>
                            </w:pPr>
                          </w:p>
                          <w:p>
                            <w:pPr>
                              <w:pStyle w:val="21"/>
                              <w:spacing w:line="324" w:lineRule="auto"/>
                              <w:ind w:left="107" w:right="62"/>
                              <w:rPr>
                                <w:rFonts w:hint="eastAsia" w:ascii="宋体" w:eastAsia="宋体"/>
                                <w:sz w:val="18"/>
                              </w:rPr>
                            </w:pPr>
                            <w:r>
                              <w:rPr>
                                <w:rFonts w:hint="eastAsia" w:ascii="宋体" w:eastAsia="宋体"/>
                                <w:sz w:val="18"/>
                              </w:rPr>
                              <w:t>将经学校招生委员会、校长办公会通过的招生专业和招生计划上报教育厅审核通过，向社会公布。</w:t>
                            </w:r>
                          </w:p>
                        </w:tc>
                      </w:tr>
                    </w:tbl>
                    <w:p>
                      <w:pPr>
                        <w:pStyle w:val="4"/>
                      </w:pPr>
                    </w:p>
                  </w:txbxContent>
                </v:textbox>
              </v:shape>
            </w:pict>
          </mc:Fallback>
        </mc:AlternateContent>
      </w:r>
    </w:p>
    <w:p>
      <w:pPr>
        <w:tabs>
          <w:tab w:val="left" w:pos="3267"/>
        </w:tabs>
        <w:spacing w:before="50"/>
        <w:ind w:left="948" w:right="0" w:firstLine="0"/>
        <w:jc w:val="left"/>
        <w:outlineLvl w:val="9"/>
        <w:rPr>
          <w:rFonts w:hint="eastAsia" w:ascii="宋体" w:eastAsia="宋体"/>
          <w:b/>
          <w:sz w:val="36"/>
        </w:rPr>
      </w:pPr>
      <w:bookmarkStart w:id="880" w:name="_Toc20705"/>
      <w:bookmarkStart w:id="881" w:name="_Toc15196_WPSOffice_Level1"/>
      <w:bookmarkStart w:id="882" w:name="_Toc11755"/>
      <w:r>
        <w:rPr>
          <w:rFonts w:hint="eastAsia" w:ascii="黑体" w:eastAsia="黑体"/>
          <w:sz w:val="32"/>
        </w:rPr>
        <w:t>附件</w:t>
      </w:r>
      <w:r>
        <w:rPr>
          <w:rFonts w:hint="eastAsia" w:ascii="黑体" w:eastAsia="黑体"/>
          <w:spacing w:val="-81"/>
          <w:sz w:val="32"/>
        </w:rPr>
        <w:t xml:space="preserve"> </w:t>
      </w:r>
      <w:r>
        <w:rPr>
          <w:rFonts w:hint="eastAsia" w:ascii="黑体" w:eastAsia="黑体"/>
          <w:sz w:val="32"/>
        </w:rPr>
        <w:t>1：</w:t>
      </w:r>
      <w:r>
        <w:rPr>
          <w:rFonts w:hint="eastAsia" w:ascii="黑体" w:eastAsia="黑体"/>
          <w:sz w:val="32"/>
        </w:rPr>
        <w:tab/>
      </w:r>
      <w:r>
        <w:rPr>
          <w:rFonts w:hint="eastAsia" w:ascii="宋体" w:eastAsia="宋体"/>
          <w:b/>
          <w:sz w:val="36"/>
        </w:rPr>
        <w:t>招生计划设置工作流程</w:t>
      </w:r>
      <w:bookmarkEnd w:id="880"/>
      <w:bookmarkEnd w:id="881"/>
      <w:bookmarkEnd w:id="882"/>
    </w:p>
    <w:p>
      <w:pPr>
        <w:pStyle w:val="4"/>
        <w:rPr>
          <w:rFonts w:ascii="宋体"/>
          <w:b/>
          <w:sz w:val="36"/>
        </w:rPr>
      </w:pPr>
    </w:p>
    <w:p>
      <w:pPr>
        <w:pStyle w:val="4"/>
        <w:rPr>
          <w:rFonts w:ascii="宋体"/>
          <w:b/>
          <w:sz w:val="36"/>
        </w:rPr>
      </w:pPr>
    </w:p>
    <w:p>
      <w:pPr>
        <w:pStyle w:val="4"/>
        <w:rPr>
          <w:rFonts w:ascii="宋体"/>
          <w:b/>
          <w:sz w:val="36"/>
        </w:rPr>
      </w:pPr>
    </w:p>
    <w:p>
      <w:pPr>
        <w:pStyle w:val="4"/>
        <w:rPr>
          <w:rFonts w:ascii="宋体"/>
          <w:b/>
          <w:sz w:val="36"/>
        </w:rPr>
      </w:pPr>
    </w:p>
    <w:p>
      <w:pPr>
        <w:pStyle w:val="4"/>
        <w:rPr>
          <w:rFonts w:ascii="宋体"/>
          <w:b/>
          <w:sz w:val="36"/>
        </w:rPr>
      </w:pPr>
    </w:p>
    <w:p>
      <w:pPr>
        <w:pStyle w:val="4"/>
        <w:rPr>
          <w:rFonts w:ascii="宋体"/>
          <w:b/>
          <w:sz w:val="36"/>
        </w:rPr>
      </w:pPr>
    </w:p>
    <w:p>
      <w:pPr>
        <w:pStyle w:val="4"/>
        <w:spacing w:before="5"/>
        <w:rPr>
          <w:rFonts w:ascii="宋体"/>
          <w:b/>
          <w:sz w:val="37"/>
        </w:rPr>
      </w:pPr>
    </w:p>
    <w:p>
      <w:pPr>
        <w:spacing w:before="0"/>
        <w:ind w:left="0" w:right="109" w:firstLine="0"/>
        <w:jc w:val="right"/>
        <w:rPr>
          <w:rFonts w:hint="eastAsia" w:ascii="宋体" w:eastAsia="宋体"/>
          <w:sz w:val="18"/>
        </w:rPr>
      </w:pPr>
      <w:r>
        <w:rPr>
          <w:rFonts w:hint="eastAsia" w:ascii="宋体" w:eastAsia="宋体"/>
          <w:sz w:val="18"/>
        </w:rPr>
        <w:t>，</w:t>
      </w:r>
    </w:p>
    <w:p>
      <w:pPr>
        <w:spacing w:after="0"/>
        <w:jc w:val="right"/>
        <w:rPr>
          <w:rFonts w:hint="eastAsia" w:ascii="宋体" w:eastAsia="宋体"/>
          <w:sz w:val="18"/>
        </w:rPr>
        <w:sectPr>
          <w:pgSz w:w="11910" w:h="16840"/>
          <w:pgMar w:top="1580" w:right="1040" w:bottom="1300" w:left="640" w:header="0" w:footer="1115" w:gutter="0"/>
          <w:pgNumType w:fmt="decimal"/>
        </w:sectPr>
      </w:pPr>
    </w:p>
    <w:p>
      <w:pPr>
        <w:pStyle w:val="4"/>
        <w:rPr>
          <w:rFonts w:ascii="宋体"/>
          <w:sz w:val="11"/>
        </w:rPr>
      </w:pPr>
    </w:p>
    <w:p>
      <w:pPr>
        <w:tabs>
          <w:tab w:val="left" w:pos="3588"/>
        </w:tabs>
        <w:spacing w:before="50"/>
        <w:ind w:left="948" w:right="0" w:firstLine="0"/>
        <w:jc w:val="left"/>
        <w:outlineLvl w:val="9"/>
        <w:rPr>
          <w:rFonts w:hint="eastAsia" w:ascii="宋体" w:eastAsia="宋体"/>
          <w:b/>
          <w:sz w:val="36"/>
        </w:rPr>
      </w:pPr>
      <w:bookmarkStart w:id="883" w:name="_Toc16823"/>
      <w:bookmarkStart w:id="884" w:name="_Toc4894"/>
      <w:bookmarkStart w:id="885" w:name="_Toc17670_WPSOffice_Level1"/>
      <w:r>
        <w:rPr>
          <w:rFonts w:hint="eastAsia" w:ascii="黑体" w:eastAsia="黑体"/>
          <w:sz w:val="32"/>
        </w:rPr>
        <w:t>附件</w:t>
      </w:r>
      <w:r>
        <w:rPr>
          <w:rFonts w:hint="eastAsia" w:ascii="黑体" w:eastAsia="黑体"/>
          <w:spacing w:val="-81"/>
          <w:sz w:val="32"/>
        </w:rPr>
        <w:t xml:space="preserve"> </w:t>
      </w:r>
      <w:r>
        <w:rPr>
          <w:rFonts w:hint="eastAsia" w:ascii="黑体" w:eastAsia="黑体"/>
          <w:sz w:val="32"/>
        </w:rPr>
        <w:t>2</w:t>
      </w:r>
      <w:r>
        <w:rPr>
          <w:sz w:val="32"/>
        </w:rPr>
        <w:t>：</w:t>
      </w:r>
      <w:r>
        <w:rPr>
          <w:sz w:val="32"/>
        </w:rPr>
        <w:tab/>
      </w:r>
      <w:r>
        <w:rPr>
          <w:rFonts w:hint="eastAsia" w:ascii="宋体" w:eastAsia="宋体"/>
          <w:b/>
          <w:sz w:val="36"/>
        </w:rPr>
        <w:t>招生录取工作流程</w:t>
      </w:r>
      <w:bookmarkEnd w:id="883"/>
      <w:bookmarkEnd w:id="884"/>
      <w:bookmarkEnd w:id="885"/>
    </w:p>
    <w:p>
      <w:pPr>
        <w:pStyle w:val="4"/>
        <w:spacing w:before="8" w:after="1"/>
        <w:rPr>
          <w:rFonts w:ascii="宋体"/>
          <w:b/>
          <w:sz w:val="22"/>
        </w:rPr>
      </w:pPr>
    </w:p>
    <w:tbl>
      <w:tblPr>
        <w:tblStyle w:val="14"/>
        <w:tblW w:w="9918"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9"/>
        <w:gridCol w:w="1524"/>
        <w:gridCol w:w="3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0" w:hRule="atLeast"/>
        </w:trPr>
        <w:tc>
          <w:tcPr>
            <w:tcW w:w="4689" w:type="dxa"/>
          </w:tcPr>
          <w:p>
            <w:pPr>
              <w:pStyle w:val="21"/>
              <w:spacing w:before="107"/>
              <w:ind w:left="1963" w:right="1953"/>
              <w:jc w:val="center"/>
              <w:rPr>
                <w:b/>
                <w:sz w:val="24"/>
              </w:rPr>
            </w:pPr>
            <w:r>
              <w:rPr>
                <w:b/>
                <w:sz w:val="24"/>
              </w:rPr>
              <w:t>流程图</w:t>
            </w:r>
          </w:p>
        </w:tc>
        <w:tc>
          <w:tcPr>
            <w:tcW w:w="1524" w:type="dxa"/>
          </w:tcPr>
          <w:p>
            <w:pPr>
              <w:pStyle w:val="21"/>
              <w:spacing w:before="9" w:line="260" w:lineRule="exact"/>
              <w:ind w:left="402" w:right="387"/>
              <w:rPr>
                <w:b/>
                <w:sz w:val="24"/>
              </w:rPr>
            </w:pPr>
            <w:r>
              <w:rPr>
                <w:b/>
                <w:sz w:val="24"/>
              </w:rPr>
              <w:t>校内实施部门</w:t>
            </w:r>
          </w:p>
        </w:tc>
        <w:tc>
          <w:tcPr>
            <w:tcW w:w="3705" w:type="dxa"/>
          </w:tcPr>
          <w:p>
            <w:pPr>
              <w:pStyle w:val="21"/>
              <w:spacing w:before="107"/>
              <w:ind w:left="771"/>
              <w:rPr>
                <w:b/>
                <w:sz w:val="24"/>
              </w:rPr>
            </w:pPr>
            <w:r>
              <w:rPr>
                <w:b/>
                <w:sz w:val="24"/>
              </w:rPr>
              <w:t>过程描述及注意事项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31" w:hRule="atLeast"/>
        </w:trPr>
        <w:tc>
          <w:tcPr>
            <w:tcW w:w="4689" w:type="dxa"/>
            <w:vMerge w:val="restart"/>
          </w:tcPr>
          <w:p>
            <w:pPr>
              <w:pStyle w:val="21"/>
              <w:spacing w:before="4"/>
              <w:rPr>
                <w:rFonts w:ascii="宋体"/>
                <w:b/>
                <w:sz w:val="11"/>
              </w:rPr>
            </w:pPr>
          </w:p>
          <w:p>
            <w:pPr>
              <w:pStyle w:val="21"/>
              <w:ind w:left="109"/>
              <w:rPr>
                <w:rFonts w:ascii="宋体"/>
                <w:sz w:val="20"/>
              </w:rPr>
            </w:pPr>
            <w:r>
              <w:rPr>
                <w:rFonts w:ascii="宋体"/>
                <w:sz w:val="20"/>
              </w:rPr>
              <w:drawing>
                <wp:inline distT="0" distB="0" distL="0" distR="0">
                  <wp:extent cx="2625725" cy="7212965"/>
                  <wp:effectExtent l="0" t="0" r="3175" b="6985"/>
                  <wp:docPr id="8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jpeg"/>
                          <pic:cNvPicPr>
                            <a:picLocks noChangeAspect="1"/>
                          </pic:cNvPicPr>
                        </pic:nvPicPr>
                        <pic:blipFill>
                          <a:blip r:embed="rId48" cstate="print"/>
                          <a:stretch>
                            <a:fillRect/>
                          </a:stretch>
                        </pic:blipFill>
                        <pic:spPr>
                          <a:xfrm>
                            <a:off x="0" y="0"/>
                            <a:ext cx="2625872" cy="7212996"/>
                          </a:xfrm>
                          <a:prstGeom prst="rect">
                            <a:avLst/>
                          </a:prstGeom>
                        </pic:spPr>
                      </pic:pic>
                    </a:graphicData>
                  </a:graphic>
                </wp:inline>
              </w:drawing>
            </w:r>
          </w:p>
        </w:tc>
        <w:tc>
          <w:tcPr>
            <w:tcW w:w="1524" w:type="dxa"/>
          </w:tcPr>
          <w:p>
            <w:pPr>
              <w:pStyle w:val="21"/>
              <w:spacing w:before="11"/>
              <w:rPr>
                <w:rFonts w:ascii="宋体"/>
                <w:b/>
                <w:sz w:val="27"/>
              </w:rPr>
            </w:pPr>
          </w:p>
          <w:p>
            <w:pPr>
              <w:pStyle w:val="21"/>
              <w:ind w:left="107"/>
              <w:rPr>
                <w:sz w:val="24"/>
              </w:rPr>
            </w:pPr>
            <w:r>
              <w:rPr>
                <w:sz w:val="24"/>
              </w:rPr>
              <w:t>招生就业处</w:t>
            </w:r>
          </w:p>
        </w:tc>
        <w:tc>
          <w:tcPr>
            <w:tcW w:w="3705" w:type="dxa"/>
          </w:tcPr>
          <w:p>
            <w:pPr>
              <w:pStyle w:val="21"/>
              <w:numPr>
                <w:ilvl w:val="0"/>
                <w:numId w:val="5"/>
              </w:numPr>
              <w:tabs>
                <w:tab w:val="left" w:pos="349"/>
              </w:tabs>
              <w:spacing w:before="7" w:after="0" w:line="201" w:lineRule="auto"/>
              <w:ind w:left="107" w:right="96" w:firstLine="0"/>
              <w:jc w:val="left"/>
              <w:rPr>
                <w:sz w:val="24"/>
              </w:rPr>
            </w:pPr>
            <w:r>
              <w:rPr>
                <w:spacing w:val="-12"/>
                <w:sz w:val="24"/>
              </w:rPr>
              <w:t>布置录取场所，安装调试录取设</w:t>
            </w:r>
            <w:r>
              <w:rPr>
                <w:sz w:val="24"/>
              </w:rPr>
              <w:t>备；</w:t>
            </w:r>
          </w:p>
          <w:p>
            <w:pPr>
              <w:pStyle w:val="21"/>
              <w:numPr>
                <w:ilvl w:val="0"/>
                <w:numId w:val="5"/>
              </w:numPr>
              <w:tabs>
                <w:tab w:val="left" w:pos="349"/>
              </w:tabs>
              <w:spacing w:before="0" w:after="0" w:line="248" w:lineRule="exact"/>
              <w:ind w:left="348" w:right="0" w:hanging="242"/>
              <w:jc w:val="left"/>
              <w:rPr>
                <w:sz w:val="24"/>
              </w:rPr>
            </w:pPr>
            <w:r>
              <w:rPr>
                <w:spacing w:val="-11"/>
                <w:sz w:val="24"/>
              </w:rPr>
              <w:t>收集录取文件，做出各省录取时</w:t>
            </w:r>
          </w:p>
          <w:p>
            <w:pPr>
              <w:pStyle w:val="21"/>
              <w:spacing w:line="239" w:lineRule="exact"/>
              <w:ind w:left="107"/>
              <w:rPr>
                <w:sz w:val="24"/>
              </w:rPr>
            </w:pPr>
            <w:r>
              <w:rPr>
                <w:sz w:val="24"/>
              </w:rPr>
              <w:t>间安排表。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36" w:hRule="atLeast"/>
        </w:trPr>
        <w:tc>
          <w:tcPr>
            <w:tcW w:w="4689" w:type="dxa"/>
            <w:vMerge w:val="continue"/>
            <w:tcBorders>
              <w:top w:val="nil"/>
            </w:tcBorders>
          </w:tcPr>
          <w:p>
            <w:pPr>
              <w:rPr>
                <w:sz w:val="2"/>
                <w:szCs w:val="2"/>
              </w:rPr>
            </w:pPr>
          </w:p>
        </w:tc>
        <w:tc>
          <w:tcPr>
            <w:tcW w:w="1524" w:type="dxa"/>
          </w:tcPr>
          <w:p>
            <w:pPr>
              <w:pStyle w:val="21"/>
              <w:spacing w:before="6"/>
              <w:rPr>
                <w:rFonts w:ascii="宋体"/>
                <w:b/>
                <w:sz w:val="28"/>
              </w:rPr>
            </w:pPr>
          </w:p>
          <w:p>
            <w:pPr>
              <w:pStyle w:val="21"/>
              <w:ind w:left="107"/>
              <w:rPr>
                <w:sz w:val="24"/>
              </w:rPr>
            </w:pPr>
            <w:r>
              <w:rPr>
                <w:sz w:val="24"/>
              </w:rPr>
              <w:t>招生就业处</w:t>
            </w:r>
          </w:p>
        </w:tc>
        <w:tc>
          <w:tcPr>
            <w:tcW w:w="3705" w:type="dxa"/>
          </w:tcPr>
          <w:p>
            <w:pPr>
              <w:pStyle w:val="21"/>
              <w:spacing w:before="5"/>
              <w:rPr>
                <w:rFonts w:ascii="宋体"/>
                <w:b/>
                <w:sz w:val="21"/>
              </w:rPr>
            </w:pPr>
          </w:p>
          <w:p>
            <w:pPr>
              <w:pStyle w:val="21"/>
              <w:spacing w:line="201" w:lineRule="auto"/>
              <w:ind w:left="107" w:right="96"/>
              <w:rPr>
                <w:sz w:val="24"/>
              </w:rPr>
            </w:pPr>
            <w:r>
              <w:rPr>
                <w:spacing w:val="-12"/>
                <w:sz w:val="24"/>
              </w:rPr>
              <w:t>登录各省服务器、浏览各批次录取</w:t>
            </w:r>
            <w:r>
              <w:rPr>
                <w:sz w:val="24"/>
              </w:rPr>
              <w:t>控制分数线、核对计划。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1" w:hRule="atLeast"/>
        </w:trPr>
        <w:tc>
          <w:tcPr>
            <w:tcW w:w="4689" w:type="dxa"/>
            <w:vMerge w:val="continue"/>
            <w:tcBorders>
              <w:top w:val="nil"/>
            </w:tcBorders>
          </w:tcPr>
          <w:p>
            <w:pPr>
              <w:rPr>
                <w:sz w:val="2"/>
                <w:szCs w:val="2"/>
              </w:rPr>
            </w:pPr>
          </w:p>
        </w:tc>
        <w:tc>
          <w:tcPr>
            <w:tcW w:w="1524" w:type="dxa"/>
          </w:tcPr>
          <w:p>
            <w:pPr>
              <w:pStyle w:val="21"/>
              <w:spacing w:before="11"/>
              <w:rPr>
                <w:rFonts w:ascii="宋体"/>
                <w:b/>
                <w:sz w:val="31"/>
              </w:rPr>
            </w:pPr>
          </w:p>
          <w:p>
            <w:pPr>
              <w:pStyle w:val="21"/>
              <w:spacing w:before="1"/>
              <w:ind w:left="107"/>
              <w:rPr>
                <w:sz w:val="24"/>
              </w:rPr>
            </w:pPr>
            <w:r>
              <w:rPr>
                <w:sz w:val="24"/>
              </w:rPr>
              <w:t>招生就业处</w:t>
            </w:r>
          </w:p>
        </w:tc>
        <w:tc>
          <w:tcPr>
            <w:tcW w:w="3705" w:type="dxa"/>
          </w:tcPr>
          <w:p>
            <w:pPr>
              <w:pStyle w:val="21"/>
              <w:spacing w:before="5"/>
              <w:rPr>
                <w:rFonts w:ascii="宋体"/>
                <w:b/>
                <w:sz w:val="24"/>
              </w:rPr>
            </w:pPr>
          </w:p>
          <w:p>
            <w:pPr>
              <w:pStyle w:val="21"/>
              <w:spacing w:line="204" w:lineRule="auto"/>
              <w:ind w:left="107" w:right="96"/>
              <w:rPr>
                <w:sz w:val="24"/>
              </w:rPr>
            </w:pPr>
            <w:r>
              <w:rPr>
                <w:spacing w:val="-12"/>
                <w:sz w:val="24"/>
              </w:rPr>
              <w:t>根据生源情况，确定投档比例，并</w:t>
            </w:r>
            <w:r>
              <w:rPr>
                <w:sz w:val="24"/>
              </w:rPr>
              <w:t>提交各省招生考试院。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0" w:hRule="atLeast"/>
        </w:trPr>
        <w:tc>
          <w:tcPr>
            <w:tcW w:w="4689" w:type="dxa"/>
            <w:vMerge w:val="continue"/>
            <w:tcBorders>
              <w:top w:val="nil"/>
            </w:tcBorders>
          </w:tcPr>
          <w:p>
            <w:pPr>
              <w:rPr>
                <w:sz w:val="2"/>
                <w:szCs w:val="2"/>
              </w:rPr>
            </w:pPr>
          </w:p>
        </w:tc>
        <w:tc>
          <w:tcPr>
            <w:tcW w:w="1524" w:type="dxa"/>
          </w:tcPr>
          <w:p>
            <w:pPr>
              <w:pStyle w:val="21"/>
              <w:spacing w:before="12"/>
              <w:rPr>
                <w:rFonts w:ascii="宋体"/>
                <w:b/>
                <w:sz w:val="34"/>
              </w:rPr>
            </w:pPr>
          </w:p>
          <w:p>
            <w:pPr>
              <w:pStyle w:val="21"/>
              <w:ind w:left="107"/>
              <w:rPr>
                <w:sz w:val="24"/>
              </w:rPr>
            </w:pPr>
            <w:r>
              <w:rPr>
                <w:sz w:val="24"/>
              </w:rPr>
              <w:t>招生就业处</w:t>
            </w:r>
          </w:p>
        </w:tc>
        <w:tc>
          <w:tcPr>
            <w:tcW w:w="3705" w:type="dxa"/>
          </w:tcPr>
          <w:p>
            <w:pPr>
              <w:pStyle w:val="21"/>
              <w:spacing w:before="12"/>
              <w:rPr>
                <w:rFonts w:ascii="宋体"/>
                <w:b/>
                <w:sz w:val="34"/>
              </w:rPr>
            </w:pPr>
          </w:p>
          <w:p>
            <w:pPr>
              <w:pStyle w:val="21"/>
              <w:ind w:left="107"/>
              <w:rPr>
                <w:sz w:val="24"/>
              </w:rPr>
            </w:pPr>
            <w:r>
              <w:rPr>
                <w:sz w:val="24"/>
              </w:rPr>
              <w:t>下载各省投出的考生档案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00" w:hRule="atLeast"/>
        </w:trPr>
        <w:tc>
          <w:tcPr>
            <w:tcW w:w="4689" w:type="dxa"/>
            <w:vMerge w:val="continue"/>
            <w:tcBorders>
              <w:top w:val="nil"/>
            </w:tcBorders>
          </w:tcPr>
          <w:p>
            <w:pPr>
              <w:rPr>
                <w:sz w:val="2"/>
                <w:szCs w:val="2"/>
              </w:rPr>
            </w:pPr>
          </w:p>
        </w:tc>
        <w:tc>
          <w:tcPr>
            <w:tcW w:w="1524" w:type="dxa"/>
          </w:tcPr>
          <w:p>
            <w:pPr>
              <w:pStyle w:val="21"/>
              <w:spacing w:before="15" w:line="201" w:lineRule="auto"/>
              <w:ind w:left="107" w:right="96"/>
              <w:rPr>
                <w:sz w:val="24"/>
              </w:rPr>
            </w:pPr>
            <w:r>
              <w:rPr>
                <w:sz w:val="24"/>
              </w:rPr>
              <w:t>招生就业处</w:t>
            </w:r>
            <w:r>
              <w:rPr>
                <w:spacing w:val="17"/>
                <w:sz w:val="24"/>
              </w:rPr>
              <w:t>纪委办公室</w:t>
            </w:r>
          </w:p>
          <w:p>
            <w:pPr>
              <w:pStyle w:val="21"/>
              <w:spacing w:before="5" w:line="201" w:lineRule="auto"/>
              <w:ind w:left="107" w:right="96"/>
              <w:rPr>
                <w:sz w:val="24"/>
              </w:rPr>
            </w:pPr>
            <w:r>
              <w:rPr>
                <w:sz w:val="24"/>
              </w:rPr>
              <w:t xml:space="preserve">（监察室） </w:t>
            </w:r>
            <w:r>
              <w:rPr>
                <w:spacing w:val="17"/>
                <w:sz w:val="24"/>
              </w:rPr>
              <w:t>二级学院代</w:t>
            </w:r>
          </w:p>
          <w:p>
            <w:pPr>
              <w:pStyle w:val="21"/>
              <w:spacing w:line="227" w:lineRule="exact"/>
              <w:ind w:left="107"/>
              <w:rPr>
                <w:sz w:val="24"/>
              </w:rPr>
            </w:pPr>
            <w:r>
              <w:rPr>
                <w:sz w:val="24"/>
              </w:rPr>
              <w:t>表</w:t>
            </w:r>
          </w:p>
        </w:tc>
        <w:tc>
          <w:tcPr>
            <w:tcW w:w="3705" w:type="dxa"/>
          </w:tcPr>
          <w:p>
            <w:pPr>
              <w:pStyle w:val="21"/>
              <w:numPr>
                <w:ilvl w:val="0"/>
                <w:numId w:val="6"/>
              </w:numPr>
              <w:tabs>
                <w:tab w:val="left" w:pos="349"/>
              </w:tabs>
              <w:spacing w:before="145" w:after="0" w:line="201" w:lineRule="auto"/>
              <w:ind w:left="107" w:right="96" w:firstLine="0"/>
              <w:jc w:val="left"/>
              <w:rPr>
                <w:sz w:val="24"/>
              </w:rPr>
            </w:pPr>
            <w:r>
              <w:rPr>
                <w:spacing w:val="-13"/>
                <w:sz w:val="24"/>
              </w:rPr>
              <w:t>根据录取原则，逐一阅档，进行</w:t>
            </w:r>
            <w:r>
              <w:rPr>
                <w:sz w:val="24"/>
              </w:rPr>
              <w:t>预录工作；</w:t>
            </w:r>
          </w:p>
          <w:p>
            <w:pPr>
              <w:pStyle w:val="21"/>
              <w:numPr>
                <w:ilvl w:val="0"/>
                <w:numId w:val="6"/>
              </w:numPr>
              <w:tabs>
                <w:tab w:val="left" w:pos="357"/>
              </w:tabs>
              <w:spacing w:before="4" w:after="0" w:line="201" w:lineRule="auto"/>
              <w:ind w:left="107" w:right="96" w:firstLine="0"/>
              <w:jc w:val="left"/>
              <w:rPr>
                <w:sz w:val="24"/>
              </w:rPr>
            </w:pPr>
            <w:r>
              <w:rPr>
                <w:spacing w:val="7"/>
                <w:sz w:val="24"/>
              </w:rPr>
              <w:t>对提出退档学生按退档程序办</w:t>
            </w:r>
            <w:r>
              <w:rPr>
                <w:sz w:val="24"/>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11" w:hRule="atLeast"/>
        </w:trPr>
        <w:tc>
          <w:tcPr>
            <w:tcW w:w="4689" w:type="dxa"/>
            <w:vMerge w:val="continue"/>
            <w:tcBorders>
              <w:top w:val="nil"/>
            </w:tcBorders>
          </w:tcPr>
          <w:p>
            <w:pPr>
              <w:rPr>
                <w:sz w:val="2"/>
                <w:szCs w:val="2"/>
              </w:rPr>
            </w:pPr>
          </w:p>
        </w:tc>
        <w:tc>
          <w:tcPr>
            <w:tcW w:w="1524" w:type="dxa"/>
          </w:tcPr>
          <w:p>
            <w:pPr>
              <w:pStyle w:val="21"/>
              <w:spacing w:before="1"/>
              <w:rPr>
                <w:rFonts w:ascii="宋体"/>
                <w:b/>
                <w:sz w:val="33"/>
              </w:rPr>
            </w:pPr>
          </w:p>
          <w:p>
            <w:pPr>
              <w:pStyle w:val="21"/>
              <w:spacing w:line="283" w:lineRule="exact"/>
              <w:ind w:left="107"/>
              <w:rPr>
                <w:sz w:val="24"/>
              </w:rPr>
            </w:pPr>
            <w:r>
              <w:rPr>
                <w:sz w:val="24"/>
              </w:rPr>
              <w:t>校领导</w:t>
            </w:r>
          </w:p>
          <w:p>
            <w:pPr>
              <w:pStyle w:val="21"/>
              <w:spacing w:line="283" w:lineRule="exact"/>
              <w:ind w:left="107"/>
              <w:rPr>
                <w:sz w:val="24"/>
              </w:rPr>
            </w:pPr>
            <w:r>
              <w:rPr>
                <w:sz w:val="24"/>
              </w:rPr>
              <w:t>招生就业处</w:t>
            </w:r>
          </w:p>
        </w:tc>
        <w:tc>
          <w:tcPr>
            <w:tcW w:w="3705" w:type="dxa"/>
          </w:tcPr>
          <w:p>
            <w:pPr>
              <w:pStyle w:val="21"/>
              <w:spacing w:before="7"/>
              <w:rPr>
                <w:rFonts w:ascii="宋体"/>
                <w:b/>
                <w:sz w:val="25"/>
              </w:rPr>
            </w:pPr>
          </w:p>
          <w:p>
            <w:pPr>
              <w:pStyle w:val="21"/>
              <w:spacing w:before="1" w:line="204" w:lineRule="auto"/>
              <w:ind w:left="107" w:right="96"/>
              <w:jc w:val="both"/>
              <w:rPr>
                <w:sz w:val="24"/>
              </w:rPr>
            </w:pPr>
            <w:r>
              <w:rPr>
                <w:spacing w:val="-12"/>
                <w:sz w:val="24"/>
              </w:rPr>
              <w:t>将预录结果</w:t>
            </w:r>
            <w:r>
              <w:rPr>
                <w:sz w:val="24"/>
              </w:rPr>
              <w:t>（含退档</w:t>
            </w:r>
            <w:r>
              <w:rPr>
                <w:spacing w:val="-56"/>
                <w:sz w:val="24"/>
              </w:rPr>
              <w:t>）</w:t>
            </w:r>
            <w:r>
              <w:rPr>
                <w:spacing w:val="-4"/>
                <w:sz w:val="24"/>
              </w:rPr>
              <w:t>提交校级领</w:t>
            </w:r>
            <w:r>
              <w:rPr>
                <w:spacing w:val="-13"/>
                <w:sz w:val="24"/>
              </w:rPr>
              <w:t>导审批，审核通过提交招生考试院</w:t>
            </w:r>
            <w:r>
              <w:rPr>
                <w:sz w:val="24"/>
              </w:rPr>
              <w:t>录检组很合，不通过调整。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4" w:hRule="atLeast"/>
        </w:trPr>
        <w:tc>
          <w:tcPr>
            <w:tcW w:w="4689" w:type="dxa"/>
            <w:vMerge w:val="continue"/>
            <w:tcBorders>
              <w:top w:val="nil"/>
            </w:tcBorders>
          </w:tcPr>
          <w:p>
            <w:pPr>
              <w:rPr>
                <w:sz w:val="2"/>
                <w:szCs w:val="2"/>
              </w:rPr>
            </w:pPr>
          </w:p>
        </w:tc>
        <w:tc>
          <w:tcPr>
            <w:tcW w:w="1524" w:type="dxa"/>
          </w:tcPr>
          <w:p>
            <w:pPr>
              <w:pStyle w:val="21"/>
              <w:rPr>
                <w:rFonts w:ascii="宋体"/>
                <w:b/>
                <w:sz w:val="24"/>
              </w:rPr>
            </w:pPr>
          </w:p>
          <w:p>
            <w:pPr>
              <w:pStyle w:val="21"/>
              <w:spacing w:before="12"/>
              <w:rPr>
                <w:rFonts w:ascii="宋体"/>
                <w:b/>
                <w:sz w:val="18"/>
              </w:rPr>
            </w:pPr>
          </w:p>
          <w:p>
            <w:pPr>
              <w:pStyle w:val="21"/>
              <w:ind w:left="107"/>
              <w:rPr>
                <w:sz w:val="24"/>
              </w:rPr>
            </w:pPr>
            <w:r>
              <w:rPr>
                <w:sz w:val="24"/>
              </w:rPr>
              <w:t>招生就业处</w:t>
            </w:r>
          </w:p>
        </w:tc>
        <w:tc>
          <w:tcPr>
            <w:tcW w:w="3705" w:type="dxa"/>
          </w:tcPr>
          <w:p>
            <w:pPr>
              <w:pStyle w:val="21"/>
              <w:spacing w:before="67" w:line="201" w:lineRule="auto"/>
              <w:ind w:left="107" w:right="96"/>
              <w:jc w:val="both"/>
              <w:rPr>
                <w:sz w:val="24"/>
              </w:rPr>
            </w:pPr>
            <w:r>
              <w:rPr>
                <w:sz w:val="24"/>
              </w:rPr>
              <w:t>1.</w:t>
            </w:r>
            <w:r>
              <w:rPr>
                <w:spacing w:val="-1"/>
                <w:sz w:val="24"/>
              </w:rPr>
              <w:t xml:space="preserve"> 根据各专业的预录情况，调整</w:t>
            </w:r>
            <w:r>
              <w:rPr>
                <w:spacing w:val="7"/>
                <w:sz w:val="24"/>
              </w:rPr>
              <w:t>招生计划并向各省招生考试院上</w:t>
            </w:r>
            <w:r>
              <w:rPr>
                <w:spacing w:val="-10"/>
                <w:sz w:val="24"/>
              </w:rPr>
              <w:t>传计划调整表和预录结果。</w:t>
            </w:r>
            <w:r>
              <w:rPr>
                <w:sz w:val="24"/>
              </w:rPr>
              <w:t>2.</w:t>
            </w:r>
            <w:r>
              <w:rPr>
                <w:spacing w:val="-9"/>
                <w:sz w:val="24"/>
              </w:rPr>
              <w:t>同时</w:t>
            </w:r>
            <w:r>
              <w:rPr>
                <w:spacing w:val="7"/>
                <w:sz w:val="24"/>
              </w:rPr>
              <w:t>下载考生电子档案含体检表、照</w:t>
            </w:r>
            <w:r>
              <w:rPr>
                <w:sz w:val="24"/>
              </w:rPr>
              <w:t>片、成绩等信息。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0" w:hRule="atLeast"/>
        </w:trPr>
        <w:tc>
          <w:tcPr>
            <w:tcW w:w="4689" w:type="dxa"/>
            <w:vMerge w:val="continue"/>
            <w:tcBorders>
              <w:top w:val="nil"/>
            </w:tcBorders>
          </w:tcPr>
          <w:p>
            <w:pPr>
              <w:rPr>
                <w:sz w:val="2"/>
                <w:szCs w:val="2"/>
              </w:rPr>
            </w:pPr>
          </w:p>
        </w:tc>
        <w:tc>
          <w:tcPr>
            <w:tcW w:w="1524" w:type="dxa"/>
          </w:tcPr>
          <w:p>
            <w:pPr>
              <w:pStyle w:val="21"/>
              <w:spacing w:before="7"/>
              <w:rPr>
                <w:rFonts w:ascii="宋体"/>
                <w:b/>
                <w:sz w:val="18"/>
              </w:rPr>
            </w:pPr>
          </w:p>
          <w:p>
            <w:pPr>
              <w:pStyle w:val="21"/>
              <w:ind w:left="107"/>
              <w:rPr>
                <w:sz w:val="24"/>
              </w:rPr>
            </w:pPr>
            <w:r>
              <w:rPr>
                <w:sz w:val="24"/>
              </w:rPr>
              <w:t>招生就业处</w:t>
            </w:r>
          </w:p>
        </w:tc>
        <w:tc>
          <w:tcPr>
            <w:tcW w:w="3705" w:type="dxa"/>
          </w:tcPr>
          <w:p>
            <w:pPr>
              <w:pStyle w:val="21"/>
              <w:spacing w:before="146" w:line="201" w:lineRule="auto"/>
              <w:ind w:left="107" w:right="96"/>
              <w:rPr>
                <w:sz w:val="24"/>
              </w:rPr>
            </w:pPr>
            <w:r>
              <w:rPr>
                <w:spacing w:val="-13"/>
                <w:sz w:val="24"/>
              </w:rPr>
              <w:t>录取结束后，统计录取数据，按上</w:t>
            </w:r>
            <w:r>
              <w:rPr>
                <w:sz w:val="24"/>
              </w:rPr>
              <w:t>级文件要求公布录取名单。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70" w:hRule="atLeast"/>
        </w:trPr>
        <w:tc>
          <w:tcPr>
            <w:tcW w:w="4689" w:type="dxa"/>
            <w:vMerge w:val="continue"/>
            <w:tcBorders>
              <w:top w:val="nil"/>
            </w:tcBorders>
          </w:tcPr>
          <w:p>
            <w:pPr>
              <w:rPr>
                <w:sz w:val="2"/>
                <w:szCs w:val="2"/>
              </w:rPr>
            </w:pPr>
          </w:p>
        </w:tc>
        <w:tc>
          <w:tcPr>
            <w:tcW w:w="1524" w:type="dxa"/>
          </w:tcPr>
          <w:p>
            <w:pPr>
              <w:pStyle w:val="21"/>
              <w:rPr>
                <w:rFonts w:ascii="宋体"/>
                <w:b/>
                <w:sz w:val="24"/>
              </w:rPr>
            </w:pPr>
          </w:p>
          <w:p>
            <w:pPr>
              <w:pStyle w:val="21"/>
              <w:rPr>
                <w:rFonts w:ascii="宋体"/>
                <w:b/>
                <w:sz w:val="24"/>
              </w:rPr>
            </w:pPr>
          </w:p>
          <w:p>
            <w:pPr>
              <w:pStyle w:val="21"/>
              <w:spacing w:before="8"/>
              <w:rPr>
                <w:rFonts w:ascii="宋体"/>
                <w:b/>
                <w:sz w:val="24"/>
              </w:rPr>
            </w:pPr>
          </w:p>
          <w:p>
            <w:pPr>
              <w:pStyle w:val="21"/>
              <w:ind w:left="107"/>
              <w:rPr>
                <w:sz w:val="24"/>
              </w:rPr>
            </w:pPr>
            <w:r>
              <w:rPr>
                <w:sz w:val="24"/>
              </w:rPr>
              <w:t>招生就业处</w:t>
            </w:r>
          </w:p>
        </w:tc>
        <w:tc>
          <w:tcPr>
            <w:tcW w:w="3705" w:type="dxa"/>
          </w:tcPr>
          <w:p>
            <w:pPr>
              <w:pStyle w:val="21"/>
              <w:rPr>
                <w:rFonts w:ascii="宋体"/>
                <w:b/>
                <w:sz w:val="24"/>
              </w:rPr>
            </w:pPr>
          </w:p>
          <w:p>
            <w:pPr>
              <w:pStyle w:val="21"/>
              <w:spacing w:before="1"/>
              <w:rPr>
                <w:rFonts w:ascii="宋体"/>
                <w:b/>
                <w:sz w:val="21"/>
              </w:rPr>
            </w:pPr>
          </w:p>
          <w:p>
            <w:pPr>
              <w:pStyle w:val="21"/>
              <w:spacing w:line="204" w:lineRule="auto"/>
              <w:ind w:left="107" w:right="96"/>
              <w:jc w:val="both"/>
              <w:rPr>
                <w:sz w:val="24"/>
              </w:rPr>
            </w:pPr>
            <w:r>
              <w:rPr>
                <w:sz w:val="24"/>
              </w:rPr>
              <w:t>1.</w:t>
            </w:r>
            <w:r>
              <w:rPr>
                <w:spacing w:val="-11"/>
                <w:sz w:val="24"/>
              </w:rPr>
              <w:t>核对各省返回的审批单；</w:t>
            </w:r>
            <w:r>
              <w:rPr>
                <w:sz w:val="24"/>
              </w:rPr>
              <w:t>2.</w:t>
            </w:r>
            <w:r>
              <w:rPr>
                <w:spacing w:val="-9"/>
                <w:sz w:val="24"/>
              </w:rPr>
              <w:t>打印</w:t>
            </w:r>
            <w:r>
              <w:rPr>
                <w:spacing w:val="-12"/>
                <w:sz w:val="24"/>
              </w:rPr>
              <w:t>新生录取通知书、信封邮寄单并加</w:t>
            </w:r>
            <w:r>
              <w:rPr>
                <w:sz w:val="24"/>
              </w:rPr>
              <w:t>盖院长签发章;3.</w:t>
            </w:r>
            <w:r>
              <w:rPr>
                <w:spacing w:val="-3"/>
                <w:sz w:val="24"/>
              </w:rPr>
              <w:t>寄发新生录取通</w:t>
            </w:r>
            <w:r>
              <w:rPr>
                <w:sz w:val="24"/>
              </w:rPr>
              <w:t>知书。</w:t>
            </w:r>
          </w:p>
        </w:tc>
      </w:tr>
    </w:tbl>
    <w:p>
      <w:pPr>
        <w:spacing w:after="0" w:line="204" w:lineRule="auto"/>
        <w:jc w:val="both"/>
        <w:rPr>
          <w:sz w:val="24"/>
        </w:rPr>
        <w:sectPr>
          <w:footerReference r:id="rId25" w:type="default"/>
          <w:footerReference r:id="rId26" w:type="even"/>
          <w:pgSz w:w="11910" w:h="16840"/>
          <w:pgMar w:top="1580" w:right="1040" w:bottom="1300" w:left="640" w:header="0" w:footer="1115" w:gutter="0"/>
          <w:pgNumType w:fmt="decimal"/>
        </w:sectPr>
      </w:pPr>
    </w:p>
    <w:p>
      <w:pPr>
        <w:pStyle w:val="4"/>
        <w:rPr>
          <w:rFonts w:ascii="宋体"/>
          <w:b/>
          <w:sz w:val="11"/>
        </w:rPr>
      </w:pPr>
    </w:p>
    <w:p>
      <w:pPr>
        <w:tabs>
          <w:tab w:val="left" w:pos="3267"/>
        </w:tabs>
        <w:spacing w:before="50"/>
        <w:ind w:left="948" w:right="0" w:firstLine="0"/>
        <w:jc w:val="left"/>
        <w:outlineLvl w:val="9"/>
        <w:rPr>
          <w:rFonts w:hint="eastAsia" w:ascii="宋体" w:eastAsia="宋体"/>
          <w:b/>
          <w:sz w:val="36"/>
        </w:rPr>
      </w:pPr>
      <w:bookmarkStart w:id="886" w:name="_Toc31838"/>
      <w:bookmarkStart w:id="887" w:name="_Toc31383"/>
      <w:bookmarkStart w:id="888" w:name="_Toc5674_WPSOffice_Level1"/>
      <w:r>
        <w:rPr>
          <w:rFonts w:hint="eastAsia" w:ascii="黑体" w:eastAsia="黑体"/>
          <w:sz w:val="32"/>
        </w:rPr>
        <w:t>附件</w:t>
      </w:r>
      <w:r>
        <w:rPr>
          <w:rFonts w:hint="eastAsia" w:ascii="黑体" w:eastAsia="黑体"/>
          <w:spacing w:val="-81"/>
          <w:sz w:val="32"/>
        </w:rPr>
        <w:t xml:space="preserve"> </w:t>
      </w:r>
      <w:r>
        <w:rPr>
          <w:rFonts w:hint="eastAsia" w:ascii="黑体" w:eastAsia="黑体"/>
          <w:sz w:val="32"/>
        </w:rPr>
        <w:t>3：</w:t>
      </w:r>
      <w:r>
        <w:rPr>
          <w:rFonts w:hint="eastAsia" w:ascii="黑体" w:eastAsia="黑体"/>
          <w:sz w:val="32"/>
        </w:rPr>
        <w:tab/>
      </w:r>
      <w:r>
        <w:rPr>
          <w:rFonts w:hint="eastAsia" w:ascii="宋体" w:eastAsia="宋体"/>
          <w:b/>
          <w:sz w:val="36"/>
        </w:rPr>
        <w:t>录取通知书邮寄工作流程</w:t>
      </w:r>
      <w:bookmarkEnd w:id="886"/>
      <w:bookmarkEnd w:id="887"/>
      <w:bookmarkEnd w:id="888"/>
    </w:p>
    <w:p>
      <w:pPr>
        <w:pStyle w:val="4"/>
        <w:spacing w:before="8" w:after="1"/>
        <w:rPr>
          <w:rFonts w:ascii="宋体"/>
          <w:b/>
          <w:sz w:val="22"/>
        </w:rPr>
      </w:pPr>
    </w:p>
    <w:tbl>
      <w:tblPr>
        <w:tblStyle w:val="14"/>
        <w:tblW w:w="9776"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5"/>
        <w:gridCol w:w="1250"/>
        <w:gridCol w:w="3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7" w:hRule="atLeast"/>
        </w:trPr>
        <w:tc>
          <w:tcPr>
            <w:tcW w:w="4815" w:type="dxa"/>
          </w:tcPr>
          <w:p>
            <w:pPr>
              <w:pStyle w:val="21"/>
              <w:spacing w:before="1"/>
              <w:rPr>
                <w:rFonts w:ascii="宋体"/>
                <w:b/>
                <w:sz w:val="26"/>
              </w:rPr>
            </w:pPr>
          </w:p>
          <w:p>
            <w:pPr>
              <w:pStyle w:val="21"/>
              <w:spacing w:before="1"/>
              <w:ind w:left="2025" w:right="2016"/>
              <w:jc w:val="center"/>
              <w:rPr>
                <w:b/>
                <w:sz w:val="24"/>
              </w:rPr>
            </w:pPr>
            <w:r>
              <w:rPr>
                <w:b/>
                <w:sz w:val="24"/>
              </w:rPr>
              <w:t>流程图</w:t>
            </w:r>
          </w:p>
        </w:tc>
        <w:tc>
          <w:tcPr>
            <w:tcW w:w="1250" w:type="dxa"/>
          </w:tcPr>
          <w:p>
            <w:pPr>
              <w:pStyle w:val="21"/>
              <w:rPr>
                <w:rFonts w:ascii="宋体"/>
                <w:b/>
                <w:sz w:val="19"/>
              </w:rPr>
            </w:pPr>
          </w:p>
          <w:p>
            <w:pPr>
              <w:pStyle w:val="21"/>
              <w:spacing w:line="201" w:lineRule="auto"/>
              <w:ind w:left="264" w:right="250"/>
              <w:rPr>
                <w:b/>
                <w:sz w:val="24"/>
              </w:rPr>
            </w:pPr>
            <w:r>
              <w:rPr>
                <w:b/>
                <w:sz w:val="24"/>
              </w:rPr>
              <w:t>校内实施部门</w:t>
            </w:r>
          </w:p>
        </w:tc>
        <w:tc>
          <w:tcPr>
            <w:tcW w:w="3711" w:type="dxa"/>
          </w:tcPr>
          <w:p>
            <w:pPr>
              <w:pStyle w:val="21"/>
              <w:spacing w:before="1"/>
              <w:rPr>
                <w:rFonts w:ascii="宋体"/>
                <w:b/>
                <w:sz w:val="26"/>
              </w:rPr>
            </w:pPr>
          </w:p>
          <w:p>
            <w:pPr>
              <w:pStyle w:val="21"/>
              <w:spacing w:before="1"/>
              <w:ind w:left="273" w:right="259"/>
              <w:jc w:val="center"/>
              <w:rPr>
                <w:b/>
                <w:sz w:val="24"/>
              </w:rPr>
            </w:pPr>
            <w:r>
              <w:rPr>
                <w:b/>
                <w:sz w:val="24"/>
              </w:rPr>
              <w:t>过程描述及注意事项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55" w:hRule="atLeast"/>
        </w:trPr>
        <w:tc>
          <w:tcPr>
            <w:tcW w:w="4815" w:type="dxa"/>
            <w:vMerge w:val="restart"/>
          </w:tcPr>
          <w:p>
            <w:pPr>
              <w:pStyle w:val="21"/>
              <w:spacing w:before="4"/>
              <w:rPr>
                <w:rFonts w:ascii="宋体"/>
                <w:b/>
                <w:sz w:val="6"/>
              </w:rPr>
            </w:pPr>
          </w:p>
          <w:p>
            <w:pPr>
              <w:pStyle w:val="21"/>
              <w:ind w:left="107"/>
              <w:rPr>
                <w:rFonts w:ascii="宋体"/>
                <w:sz w:val="20"/>
              </w:rPr>
            </w:pPr>
            <w:r>
              <w:rPr>
                <w:rFonts w:ascii="宋体"/>
                <w:sz w:val="20"/>
              </w:rPr>
              <w:drawing>
                <wp:inline distT="0" distB="0" distL="0" distR="0">
                  <wp:extent cx="2934335" cy="5868670"/>
                  <wp:effectExtent l="0" t="0" r="18415" b="17780"/>
                  <wp:docPr id="9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jpeg"/>
                          <pic:cNvPicPr>
                            <a:picLocks noChangeAspect="1"/>
                          </pic:cNvPicPr>
                        </pic:nvPicPr>
                        <pic:blipFill>
                          <a:blip r:embed="rId49" cstate="print"/>
                          <a:stretch>
                            <a:fillRect/>
                          </a:stretch>
                        </pic:blipFill>
                        <pic:spPr>
                          <a:xfrm>
                            <a:off x="0" y="0"/>
                            <a:ext cx="2934509" cy="5869019"/>
                          </a:xfrm>
                          <a:prstGeom prst="rect">
                            <a:avLst/>
                          </a:prstGeom>
                        </pic:spPr>
                      </pic:pic>
                    </a:graphicData>
                  </a:graphic>
                </wp:inline>
              </w:drawing>
            </w:r>
          </w:p>
        </w:tc>
        <w:tc>
          <w:tcPr>
            <w:tcW w:w="1250" w:type="dxa"/>
            <w:vMerge w:val="restart"/>
          </w:tcPr>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rPr>
                <w:rFonts w:ascii="宋体"/>
                <w:b/>
                <w:sz w:val="24"/>
              </w:rPr>
            </w:pPr>
          </w:p>
          <w:p>
            <w:pPr>
              <w:pStyle w:val="21"/>
              <w:spacing w:before="5"/>
              <w:rPr>
                <w:rFonts w:ascii="宋体"/>
                <w:b/>
                <w:sz w:val="24"/>
              </w:rPr>
            </w:pPr>
          </w:p>
          <w:p>
            <w:pPr>
              <w:pStyle w:val="21"/>
              <w:spacing w:before="1" w:line="201" w:lineRule="auto"/>
              <w:ind w:left="504" w:right="133" w:hanging="360"/>
              <w:rPr>
                <w:sz w:val="24"/>
              </w:rPr>
            </w:pPr>
            <w:r>
              <w:rPr>
                <w:sz w:val="24"/>
              </w:rPr>
              <w:t>招生就业处</w:t>
            </w:r>
          </w:p>
        </w:tc>
        <w:tc>
          <w:tcPr>
            <w:tcW w:w="3711" w:type="dxa"/>
          </w:tcPr>
          <w:p>
            <w:pPr>
              <w:pStyle w:val="21"/>
              <w:rPr>
                <w:rFonts w:ascii="宋体"/>
                <w:b/>
                <w:sz w:val="24"/>
              </w:rPr>
            </w:pPr>
          </w:p>
          <w:p>
            <w:pPr>
              <w:pStyle w:val="21"/>
              <w:spacing w:before="166"/>
              <w:ind w:left="273" w:right="267"/>
              <w:jc w:val="center"/>
              <w:rPr>
                <w:sz w:val="24"/>
              </w:rPr>
            </w:pPr>
            <w:r>
              <w:rPr>
                <w:sz w:val="24"/>
              </w:rPr>
              <w:t>核对录取名单获取邮寄地址。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10" w:hRule="atLeast"/>
        </w:trPr>
        <w:tc>
          <w:tcPr>
            <w:tcW w:w="4815" w:type="dxa"/>
            <w:vMerge w:val="continue"/>
            <w:tcBorders>
              <w:top w:val="nil"/>
            </w:tcBorders>
          </w:tcPr>
          <w:p>
            <w:pPr>
              <w:rPr>
                <w:sz w:val="2"/>
                <w:szCs w:val="2"/>
              </w:rPr>
            </w:pPr>
          </w:p>
        </w:tc>
        <w:tc>
          <w:tcPr>
            <w:tcW w:w="1250" w:type="dxa"/>
            <w:vMerge w:val="continue"/>
            <w:tcBorders>
              <w:top w:val="nil"/>
            </w:tcBorders>
          </w:tcPr>
          <w:p>
            <w:pPr>
              <w:rPr>
                <w:sz w:val="2"/>
                <w:szCs w:val="2"/>
              </w:rPr>
            </w:pPr>
          </w:p>
        </w:tc>
        <w:tc>
          <w:tcPr>
            <w:tcW w:w="3711" w:type="dxa"/>
          </w:tcPr>
          <w:p>
            <w:pPr>
              <w:pStyle w:val="21"/>
              <w:rPr>
                <w:rFonts w:ascii="宋体"/>
                <w:b/>
                <w:sz w:val="24"/>
              </w:rPr>
            </w:pPr>
          </w:p>
          <w:p>
            <w:pPr>
              <w:pStyle w:val="21"/>
              <w:spacing w:before="154" w:line="201" w:lineRule="auto"/>
              <w:ind w:left="1493" w:right="95" w:hanging="1388"/>
              <w:rPr>
                <w:sz w:val="24"/>
              </w:rPr>
            </w:pPr>
            <w:r>
              <w:rPr>
                <w:spacing w:val="-12"/>
                <w:sz w:val="24"/>
              </w:rPr>
              <w:t>打印录取通知书、装袋、校验邮寄</w:t>
            </w:r>
            <w:r>
              <w:rPr>
                <w:sz w:val="24"/>
              </w:rPr>
              <w:t>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51" w:hRule="atLeast"/>
        </w:trPr>
        <w:tc>
          <w:tcPr>
            <w:tcW w:w="4815" w:type="dxa"/>
            <w:vMerge w:val="continue"/>
            <w:tcBorders>
              <w:top w:val="nil"/>
            </w:tcBorders>
          </w:tcPr>
          <w:p>
            <w:pPr>
              <w:rPr>
                <w:sz w:val="2"/>
                <w:szCs w:val="2"/>
              </w:rPr>
            </w:pPr>
          </w:p>
        </w:tc>
        <w:tc>
          <w:tcPr>
            <w:tcW w:w="1250" w:type="dxa"/>
            <w:vMerge w:val="continue"/>
            <w:tcBorders>
              <w:top w:val="nil"/>
            </w:tcBorders>
          </w:tcPr>
          <w:p>
            <w:pPr>
              <w:rPr>
                <w:sz w:val="2"/>
                <w:szCs w:val="2"/>
              </w:rPr>
            </w:pPr>
          </w:p>
        </w:tc>
        <w:tc>
          <w:tcPr>
            <w:tcW w:w="3711" w:type="dxa"/>
          </w:tcPr>
          <w:p>
            <w:pPr>
              <w:pStyle w:val="21"/>
              <w:rPr>
                <w:rFonts w:ascii="宋体"/>
                <w:b/>
                <w:sz w:val="24"/>
              </w:rPr>
            </w:pPr>
          </w:p>
          <w:p>
            <w:pPr>
              <w:pStyle w:val="21"/>
              <w:spacing w:before="165"/>
              <w:ind w:left="273" w:right="267"/>
              <w:jc w:val="center"/>
              <w:rPr>
                <w:sz w:val="24"/>
              </w:rPr>
            </w:pPr>
            <w:r>
              <w:rPr>
                <w:sz w:val="24"/>
              </w:rPr>
              <w:t>转交邮寄部门清点入库。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51" w:hRule="atLeast"/>
        </w:trPr>
        <w:tc>
          <w:tcPr>
            <w:tcW w:w="4815" w:type="dxa"/>
            <w:vMerge w:val="continue"/>
            <w:tcBorders>
              <w:top w:val="nil"/>
            </w:tcBorders>
          </w:tcPr>
          <w:p>
            <w:pPr>
              <w:rPr>
                <w:sz w:val="2"/>
                <w:szCs w:val="2"/>
              </w:rPr>
            </w:pPr>
          </w:p>
        </w:tc>
        <w:tc>
          <w:tcPr>
            <w:tcW w:w="1250" w:type="dxa"/>
            <w:vMerge w:val="continue"/>
            <w:tcBorders>
              <w:top w:val="nil"/>
            </w:tcBorders>
          </w:tcPr>
          <w:p>
            <w:pPr>
              <w:rPr>
                <w:sz w:val="2"/>
                <w:szCs w:val="2"/>
              </w:rPr>
            </w:pPr>
          </w:p>
        </w:tc>
        <w:tc>
          <w:tcPr>
            <w:tcW w:w="3711" w:type="dxa"/>
          </w:tcPr>
          <w:p>
            <w:pPr>
              <w:pStyle w:val="21"/>
              <w:rPr>
                <w:rFonts w:ascii="宋体"/>
                <w:b/>
                <w:sz w:val="24"/>
              </w:rPr>
            </w:pPr>
          </w:p>
          <w:p>
            <w:pPr>
              <w:pStyle w:val="21"/>
              <w:spacing w:before="164"/>
              <w:ind w:left="273" w:right="267"/>
              <w:jc w:val="center"/>
              <w:rPr>
                <w:sz w:val="24"/>
              </w:rPr>
            </w:pPr>
            <w:r>
              <w:rPr>
                <w:sz w:val="24"/>
              </w:rPr>
              <w:t>核对入库信息，寄发通知书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4815" w:type="dxa"/>
            <w:vMerge w:val="continue"/>
            <w:tcBorders>
              <w:top w:val="nil"/>
            </w:tcBorders>
          </w:tcPr>
          <w:p>
            <w:pPr>
              <w:rPr>
                <w:sz w:val="2"/>
                <w:szCs w:val="2"/>
              </w:rPr>
            </w:pPr>
          </w:p>
        </w:tc>
        <w:tc>
          <w:tcPr>
            <w:tcW w:w="1250" w:type="dxa"/>
            <w:vMerge w:val="continue"/>
            <w:tcBorders>
              <w:top w:val="nil"/>
            </w:tcBorders>
          </w:tcPr>
          <w:p>
            <w:pPr>
              <w:rPr>
                <w:sz w:val="2"/>
                <w:szCs w:val="2"/>
              </w:rPr>
            </w:pPr>
          </w:p>
        </w:tc>
        <w:tc>
          <w:tcPr>
            <w:tcW w:w="3711" w:type="dxa"/>
          </w:tcPr>
          <w:p>
            <w:pPr>
              <w:pStyle w:val="21"/>
              <w:spacing w:before="16" w:line="201" w:lineRule="auto"/>
              <w:ind w:left="106" w:right="95"/>
              <w:jc w:val="both"/>
              <w:rPr>
                <w:sz w:val="24"/>
              </w:rPr>
            </w:pPr>
            <w:r>
              <w:rPr>
                <w:spacing w:val="-11"/>
                <w:sz w:val="24"/>
              </w:rPr>
              <w:t>反馈寄送和派送情况。被拒收的通</w:t>
            </w:r>
            <w:r>
              <w:rPr>
                <w:spacing w:val="-12"/>
                <w:sz w:val="24"/>
              </w:rPr>
              <w:t>知书退回招办，派送不成功的通知</w:t>
            </w:r>
            <w:r>
              <w:rPr>
                <w:sz w:val="24"/>
              </w:rPr>
              <w:t>书由招生办再次核实收件信息后</w:t>
            </w:r>
            <w:r>
              <w:rPr>
                <w:spacing w:val="-13"/>
                <w:sz w:val="24"/>
              </w:rPr>
              <w:t>再次寄送，如迫近报到时间，将通</w:t>
            </w:r>
            <w:r>
              <w:rPr>
                <w:sz w:val="24"/>
              </w:rPr>
              <w:t>过短信方式和电话通知考生报到</w:t>
            </w:r>
          </w:p>
          <w:p>
            <w:pPr>
              <w:pStyle w:val="21"/>
              <w:spacing w:line="232" w:lineRule="exact"/>
              <w:ind w:left="273" w:right="267"/>
              <w:jc w:val="center"/>
              <w:rPr>
                <w:sz w:val="24"/>
              </w:rPr>
            </w:pPr>
            <w:r>
              <w:rPr>
                <w:sz w:val="24"/>
              </w:rPr>
              <w:t>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5" w:hRule="atLeast"/>
        </w:trPr>
        <w:tc>
          <w:tcPr>
            <w:tcW w:w="4815" w:type="dxa"/>
            <w:vMerge w:val="continue"/>
            <w:tcBorders>
              <w:top w:val="nil"/>
            </w:tcBorders>
          </w:tcPr>
          <w:p>
            <w:pPr>
              <w:rPr>
                <w:sz w:val="2"/>
                <w:szCs w:val="2"/>
              </w:rPr>
            </w:pPr>
          </w:p>
        </w:tc>
        <w:tc>
          <w:tcPr>
            <w:tcW w:w="1250" w:type="dxa"/>
            <w:vMerge w:val="continue"/>
            <w:tcBorders>
              <w:top w:val="nil"/>
            </w:tcBorders>
          </w:tcPr>
          <w:p>
            <w:pPr>
              <w:rPr>
                <w:sz w:val="2"/>
                <w:szCs w:val="2"/>
              </w:rPr>
            </w:pPr>
          </w:p>
        </w:tc>
        <w:tc>
          <w:tcPr>
            <w:tcW w:w="3711" w:type="dxa"/>
          </w:tcPr>
          <w:p>
            <w:pPr>
              <w:pStyle w:val="21"/>
              <w:rPr>
                <w:rFonts w:ascii="宋体"/>
                <w:b/>
                <w:sz w:val="24"/>
              </w:rPr>
            </w:pPr>
          </w:p>
          <w:p>
            <w:pPr>
              <w:pStyle w:val="21"/>
              <w:rPr>
                <w:rFonts w:ascii="宋体"/>
                <w:b/>
                <w:sz w:val="24"/>
              </w:rPr>
            </w:pPr>
          </w:p>
          <w:p>
            <w:pPr>
              <w:pStyle w:val="21"/>
              <w:spacing w:before="1"/>
              <w:rPr>
                <w:rFonts w:ascii="宋体"/>
                <w:b/>
                <w:sz w:val="17"/>
              </w:rPr>
            </w:pPr>
          </w:p>
          <w:p>
            <w:pPr>
              <w:pStyle w:val="21"/>
              <w:spacing w:line="204" w:lineRule="auto"/>
              <w:ind w:left="106" w:right="-15" w:hanging="104"/>
              <w:jc w:val="center"/>
              <w:rPr>
                <w:sz w:val="24"/>
              </w:rPr>
            </w:pPr>
            <w:r>
              <w:rPr>
                <w:spacing w:val="-11"/>
                <w:sz w:val="24"/>
              </w:rPr>
              <w:t xml:space="preserve">开设查询窗口，供考生查询通知书邮寄信息，考生未收到通知书的， 由招生办再次核实收件信息后再 </w:t>
            </w:r>
            <w:r>
              <w:rPr>
                <w:spacing w:val="-13"/>
                <w:sz w:val="24"/>
              </w:rPr>
              <w:t>次寄送，如迫近报到时间，将通过短信方式和电话通知考生报到事 项。</w:t>
            </w:r>
          </w:p>
        </w:tc>
      </w:tr>
    </w:tbl>
    <w:p/>
    <w:p/>
    <w:p>
      <w:pPr>
        <w:spacing w:line="596" w:lineRule="exact"/>
        <w:jc w:val="center"/>
        <w:outlineLvl w:val="9"/>
        <w:rPr>
          <w:rFonts w:hint="eastAsia"/>
          <w:b/>
          <w:color w:val="000000"/>
          <w:sz w:val="36"/>
          <w:szCs w:val="36"/>
        </w:rPr>
      </w:pPr>
      <w:bookmarkStart w:id="889" w:name="_Toc5257_WPSOffice_Level1"/>
      <w:r>
        <w:rPr>
          <w:rFonts w:hint="eastAsia"/>
          <w:b/>
          <w:color w:val="000000"/>
          <w:sz w:val="36"/>
          <w:szCs w:val="36"/>
        </w:rPr>
        <w:t>柳州职业技术学院</w:t>
      </w:r>
      <w:bookmarkEnd w:id="889"/>
    </w:p>
    <w:p>
      <w:pPr>
        <w:spacing w:line="596" w:lineRule="exact"/>
        <w:jc w:val="center"/>
        <w:outlineLvl w:val="9"/>
        <w:rPr>
          <w:b/>
          <w:color w:val="000000"/>
          <w:sz w:val="36"/>
          <w:szCs w:val="36"/>
        </w:rPr>
      </w:pPr>
      <w:bookmarkStart w:id="890" w:name="_Toc20344_WPSOffice_Level1"/>
      <w:r>
        <w:rPr>
          <w:rFonts w:hint="eastAsia"/>
          <w:b/>
          <w:color w:val="000000"/>
          <w:sz w:val="36"/>
          <w:szCs w:val="36"/>
        </w:rPr>
        <w:t>毕业生就业管理暂行规定（试行）</w:t>
      </w:r>
      <w:bookmarkEnd w:id="890"/>
    </w:p>
    <w:p>
      <w:pPr>
        <w:spacing w:line="596" w:lineRule="exact"/>
        <w:rPr>
          <w:rFonts w:hint="eastAsia" w:ascii="微软雅黑" w:hAnsi="微软雅黑" w:eastAsia="微软雅黑" w:cs="微软雅黑"/>
          <w:szCs w:val="28"/>
        </w:rPr>
      </w:pPr>
    </w:p>
    <w:p>
      <w:pPr>
        <w:spacing w:line="596" w:lineRule="exact"/>
        <w:jc w:val="center"/>
        <w:outlineLvl w:val="9"/>
        <w:rPr>
          <w:rFonts w:ascii="黑体" w:hAnsi="黑体" w:eastAsia="黑体"/>
          <w:b/>
          <w:sz w:val="32"/>
          <w:szCs w:val="32"/>
        </w:rPr>
      </w:pPr>
      <w:bookmarkStart w:id="891" w:name="_Toc6712_WPSOffice_Level1"/>
      <w:r>
        <w:rPr>
          <w:rFonts w:hint="eastAsia" w:ascii="黑体" w:hAnsi="黑体" w:eastAsia="黑体"/>
          <w:b/>
          <w:sz w:val="32"/>
          <w:szCs w:val="32"/>
        </w:rPr>
        <w:t>第一章  总 则</w:t>
      </w:r>
      <w:bookmarkEnd w:id="891"/>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第一条</w:t>
      </w:r>
      <w:r>
        <w:rPr>
          <w:rFonts w:hint="eastAsia" w:ascii="仿宋_GB2312" w:hAnsi="Calibri" w:eastAsia="仿宋_GB2312"/>
          <w:sz w:val="32"/>
          <w:szCs w:val="32"/>
        </w:rPr>
        <w:t xml:space="preserve">  根据《高等教育法》及国家和自治区的相关规定，结合学校卓越绩效管理，为进一步做好我校毕业生就业管理工作，助力学校创建“中国特色高水平高职学校和专业”，特制订本规定。</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第二条</w:t>
      </w:r>
      <w:r>
        <w:rPr>
          <w:rFonts w:hint="eastAsia" w:ascii="仿宋_GB2312" w:hAnsi="Calibri" w:eastAsia="仿宋_GB2312"/>
          <w:sz w:val="32"/>
          <w:szCs w:val="32"/>
        </w:rPr>
        <w:t xml:space="preserve">  本规定中毕业生，系指我校按照国家普通高等学校招生计划招收的（含高考招生、单独招生、对口招生），完成全日制学习并符合毕业资格的学生。</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第三条</w:t>
      </w:r>
      <w:r>
        <w:rPr>
          <w:rFonts w:hint="eastAsia" w:ascii="仿宋_GB2312" w:hAnsi="Calibri" w:eastAsia="仿宋_GB2312"/>
          <w:sz w:val="32"/>
          <w:szCs w:val="32"/>
        </w:rPr>
        <w:t xml:space="preserve">  我校毕业生就业工作以服务学生、服务学校、服务社会为宗旨，通过不断完善“以市场为导向、政府调控、学校推荐、学生与用人单位双向选择”的就业工作机制，充分调动各种资源，不断提高就业管理与服务水平，增强用人单位和毕业生的满意度，努力实现毕业生更加充分和更高质量就业。</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第四条</w:t>
      </w:r>
      <w:r>
        <w:rPr>
          <w:rFonts w:hint="eastAsia" w:ascii="仿宋_GB2312" w:hAnsi="Calibri" w:eastAsia="仿宋_GB2312"/>
          <w:sz w:val="32"/>
          <w:szCs w:val="32"/>
        </w:rPr>
        <w:t xml:space="preserve">  学校高度重视毕业生就业工作，努力为毕业生就业创造良好的环境，并提供具体的就业指导、咨询与服务；积极开拓就业市场，不断拓宽就业渠道，促进毕业生充分就业。学校鼓励毕业生将个人价值与祖国需要相结合，积极引导毕业生围绕国家发展战略和产业政策、围绕学校战略布局和人才培养目标就业，不断提高就业质量。</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第五条</w:t>
      </w:r>
      <w:r>
        <w:rPr>
          <w:rFonts w:hint="eastAsia" w:ascii="仿宋_GB2312" w:hAnsi="Calibri" w:eastAsia="仿宋_GB2312"/>
          <w:sz w:val="32"/>
          <w:szCs w:val="32"/>
        </w:rPr>
        <w:t xml:space="preserve">  毕业生在就业过程中应当遵守国家法律和相关规定，遵守社会公德，诚实守信。</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892" w:name="_Toc8311_WPSOffice_Level1"/>
      <w:r>
        <w:rPr>
          <w:rFonts w:hint="eastAsia" w:ascii="黑体" w:hAnsi="黑体" w:eastAsia="黑体"/>
          <w:b/>
          <w:sz w:val="32"/>
          <w:szCs w:val="32"/>
        </w:rPr>
        <w:t>第二章  目标管理责任制</w:t>
      </w:r>
      <w:bookmarkEnd w:id="892"/>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第六条 </w:t>
      </w:r>
      <w:r>
        <w:rPr>
          <w:rFonts w:hint="eastAsia" w:ascii="仿宋_GB2312" w:hAnsi="Calibri" w:eastAsia="仿宋_GB2312"/>
          <w:sz w:val="32"/>
          <w:szCs w:val="32"/>
        </w:rPr>
        <w:t xml:space="preserve"> 毕业生就业工作是学校的“一把手工程”，学校成立就业工作领导小组，学校党政主要领导负总责，分管校领导主抓，就业处统筹、各有关部门协作开展。就业处制定学校就业工作目标，报学校就业工作领导小组审批、通过并执行。</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第七条  </w:t>
      </w:r>
      <w:r>
        <w:rPr>
          <w:rFonts w:hint="eastAsia" w:ascii="仿宋_GB2312" w:hAnsi="Calibri" w:eastAsia="仿宋_GB2312"/>
          <w:sz w:val="32"/>
          <w:szCs w:val="32"/>
        </w:rPr>
        <w:t>各二级学院成立毕业生就业工作小组，组长由学院党总支书记或副书记、院长担任，成员由教学团队负责人、学生科长、负责就业工作的学生专干、毕业班辅导员等构成，具体负责组织开展本院毕业生就业工作。各院制定本院就业工作目标，并报学校就业处备案。</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第八条 </w:t>
      </w:r>
      <w:r>
        <w:rPr>
          <w:rFonts w:hint="eastAsia" w:ascii="仿宋_GB2312" w:hAnsi="Calibri" w:eastAsia="仿宋_GB2312"/>
          <w:sz w:val="32"/>
          <w:szCs w:val="32"/>
        </w:rPr>
        <w:t xml:space="preserve"> 学校就业工作领导小组每年审定学校就业工作目标，就业处根据学校当年就业工作目标，制定就业工作计划，形成学校就业工作方案；各二级学院以学校就业工作目标为基础制定本院就业工作目标与实施计划。</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第九条</w:t>
      </w:r>
      <w:r>
        <w:rPr>
          <w:rFonts w:hint="eastAsia" w:ascii="仿宋_GB2312" w:hAnsi="Calibri" w:eastAsia="仿宋_GB2312"/>
          <w:sz w:val="32"/>
          <w:szCs w:val="32"/>
        </w:rPr>
        <w:t xml:space="preserve">  毕业生就业工作目标的组成：毕业生就业率、就业对口率、毕业生及用人单位等客户满意度。</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第十条</w:t>
      </w:r>
      <w:r>
        <w:rPr>
          <w:rFonts w:hint="eastAsia" w:ascii="仿宋_GB2312" w:hAnsi="Calibri" w:eastAsia="仿宋_GB2312"/>
          <w:sz w:val="32"/>
          <w:szCs w:val="32"/>
        </w:rPr>
        <w:t xml:space="preserve">  毕业生就业工作目标值的确定依据：以近三年全校、各二级学院、各专业的具体情况为基础，结合当年上级就业工作要求，经就业工作领导小组审定的目标值，作为当年毕业生就业工作目标值。</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893" w:name="_Toc23881_WPSOffice_Level1"/>
      <w:r>
        <w:rPr>
          <w:rFonts w:hint="eastAsia" w:ascii="黑体" w:hAnsi="黑体" w:eastAsia="黑体"/>
          <w:b/>
          <w:sz w:val="32"/>
          <w:szCs w:val="32"/>
        </w:rPr>
        <w:t>第三章  管理职责</w:t>
      </w:r>
      <w:bookmarkEnd w:id="893"/>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第十一条</w:t>
      </w:r>
      <w:r>
        <w:rPr>
          <w:rFonts w:hint="eastAsia" w:ascii="仿宋_GB2312" w:hAnsi="Calibri" w:eastAsia="仿宋_GB2312"/>
          <w:sz w:val="32"/>
          <w:szCs w:val="32"/>
        </w:rPr>
        <w:t xml:space="preserve">  毕业生就业工作实行学校和二级学院两级管理体制。就业处在学校就业工作领导小组的统一领导下，归口管理全校毕业生就业工作；各二级学院在就业处的指导下具体负责本院毕业生就业工作。</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第十二条</w:t>
      </w:r>
      <w:r>
        <w:rPr>
          <w:rFonts w:hint="eastAsia" w:ascii="仿宋_GB2312" w:hAnsi="Calibri" w:eastAsia="仿宋_GB2312"/>
          <w:sz w:val="32"/>
          <w:szCs w:val="32"/>
        </w:rPr>
        <w:t xml:space="preserve">  就业处负责全校毕业生就业推荐、就业市场建设、就业管理与服务等工作，其主要职责是：</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(一) 宣传、落实国家有关高校毕业生的就业方针、政策及规定，统筹全校毕业生就业工作。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(二) 构建学校就业工作二级管理及考核体系，制定就业工作相关考核、考评指标并组织实施。</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(三) 开展毕业生就业市场的调查研究、分析和预测，掌握就业形势和市场动态；搭建就业工作平台，统筹组织校园招聘活动。指导二级学院开展就业市场开拓、就业渠道维护工作；指导二级学院举办各类招聘会。</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(四) 统筹全校毕业生就业协议书发放、审核、就业方案编制、派遣、改派等工作；负责学校毕业生就业方面统计工作和就业调查等工作；负责学校各类对外就业报送；按时发布学校毕业生就业质量年度报告。</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(五) 统筹全校就业培训工作，邀请专家进校开展就业讲座，组织开展就业工作人员培训。</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(六) 负责学校就业工作建档存档，配合完成毕业生安全文明离校等工作。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(七) 完成学校毕业生就业其他相关工作</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第十三条</w:t>
      </w:r>
      <w:r>
        <w:rPr>
          <w:rFonts w:hint="eastAsia" w:ascii="仿宋_GB2312" w:hAnsi="Calibri" w:eastAsia="仿宋_GB2312"/>
          <w:sz w:val="32"/>
          <w:szCs w:val="32"/>
        </w:rPr>
        <w:t xml:space="preserve">  各二级学院负责本院毕业生就业的日常教育管理与服务工作。其主要职责是：</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(一) 学习了解国家有关高校毕业生的就业方针、政策及规定，引导毕业生积极就业。</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(二) 结合专业建设，开拓具有专业背景的就业市场，为毕业生就业提供有力支撑。</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(三) 按照学校的要求，负责本院毕业生的就业工作；组织开展毕业生就业活动；做好本院毕业生的就业推荐工作。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(四) 根据学校安排，做好本院毕业生就业协议书发放、审核；签约、违约手续办理；派遣、改派；就业统计和就业调查；就业材料上报等工作。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(五) 掌握本院毕业生求职、签约及待就业动态，加强就业困难群体的帮扶。</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(六) 做好本院毕业生鉴定及就业相关材料的归档工作。加强毕业生离校教育，确保毕业生安全文明离校。</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(七) 完成本院毕业生就业其他相关工作。</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894" w:name="_Toc20785_WPSOffice_Level1"/>
      <w:r>
        <w:rPr>
          <w:rFonts w:hint="eastAsia" w:ascii="黑体" w:hAnsi="黑体" w:eastAsia="黑体"/>
          <w:b/>
          <w:sz w:val="32"/>
          <w:szCs w:val="32"/>
        </w:rPr>
        <w:t>第四章  就业推荐</w:t>
      </w:r>
      <w:bookmarkEnd w:id="894"/>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第十四条</w:t>
      </w:r>
      <w:r>
        <w:rPr>
          <w:rFonts w:hint="eastAsia" w:ascii="仿宋_GB2312" w:hAnsi="Calibri" w:eastAsia="仿宋_GB2312"/>
          <w:sz w:val="32"/>
          <w:szCs w:val="32"/>
        </w:rPr>
        <w:t xml:space="preserve">  毕业生就业推荐是一项重要而又严肃的工作，是其它各项就业工作的基础。各有关部门应本着对学校、毕业生和用人单位负责的态度，认真组织实施，对毕业生的现实表现、能力及就业提出实事求是的推荐意见。</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第十五条</w:t>
      </w:r>
      <w:r>
        <w:rPr>
          <w:rFonts w:hint="eastAsia" w:ascii="仿宋_GB2312" w:hAnsi="Calibri" w:eastAsia="仿宋_GB2312"/>
          <w:sz w:val="32"/>
          <w:szCs w:val="32"/>
        </w:rPr>
        <w:t xml:space="preserve">  《就业推荐表》是毕业生向用人单位展示自我的重要材料，毕业生应如实填写相关信息，并妥善保管，不得弄虚作假。二级学院与就业处本着实事求是原则，严格审核。</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第十六条  </w:t>
      </w:r>
      <w:r>
        <w:rPr>
          <w:rFonts w:hint="eastAsia" w:ascii="仿宋_GB2312" w:hAnsi="Calibri" w:eastAsia="仿宋_GB2312"/>
          <w:sz w:val="32"/>
          <w:szCs w:val="32"/>
        </w:rPr>
        <w:t>就业推荐方式包括但不限于：参加校园招聘活动（大型双选会、专场招聘会、网上招聘）；老师推荐、同学互荐、个人自荐；参加校外招聘活动等。</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第十七条</w:t>
      </w:r>
      <w:r>
        <w:rPr>
          <w:rFonts w:hint="eastAsia" w:ascii="仿宋_GB2312" w:hAnsi="Calibri" w:eastAsia="仿宋_GB2312"/>
          <w:sz w:val="32"/>
          <w:szCs w:val="32"/>
        </w:rPr>
        <w:t xml:space="preserve">  加强毕业生就业教育，毕业生应响应国家号召，遵守就业创业工作的有关规定，培养良好职业素养，理性择业，履行协议，诚信就业。</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第十八条  </w:t>
      </w:r>
      <w:r>
        <w:rPr>
          <w:rFonts w:hint="eastAsia" w:ascii="仿宋_GB2312" w:hAnsi="Calibri" w:eastAsia="仿宋_GB2312"/>
          <w:sz w:val="32"/>
          <w:szCs w:val="32"/>
        </w:rPr>
        <w:t>要继续做好离校未就业毕业生的就业指导服务工作，采取多种方式持续推送需求信息，宣传国家及地方政府的就业创业政策，重点做好就业困难毕业生的帮扶工作。</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895" w:name="_Toc2132_WPSOffice_Level1"/>
      <w:r>
        <w:rPr>
          <w:rFonts w:hint="eastAsia" w:ascii="黑体" w:hAnsi="黑体" w:eastAsia="黑体"/>
          <w:b/>
          <w:sz w:val="32"/>
          <w:szCs w:val="32"/>
        </w:rPr>
        <w:t>第五章  就业协议的签订与违约</w:t>
      </w:r>
      <w:bookmarkEnd w:id="895"/>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第十九条</w:t>
      </w:r>
      <w:r>
        <w:rPr>
          <w:rFonts w:hint="eastAsia" w:ascii="仿宋_GB2312" w:hAnsi="Calibri" w:eastAsia="仿宋_GB2312"/>
          <w:sz w:val="32"/>
          <w:szCs w:val="32"/>
        </w:rPr>
        <w:t xml:space="preserve">  《就业协议书》是应届毕业生在就业过程中与用人单位签订的具有法律约束力的一种书面约定，用人单位和毕业生为协议的甲方、乙方，学校作为鉴证方参与其中。《就业协议书》表达的是毕业生的择业意向、用人单位的接收意向、学校负责派遣的意向，是学校编制就业方案的重要依据。</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第二十条</w:t>
      </w:r>
      <w:r>
        <w:rPr>
          <w:rFonts w:hint="eastAsia" w:ascii="仿宋_GB2312" w:hAnsi="Calibri" w:eastAsia="仿宋_GB2312"/>
          <w:sz w:val="32"/>
          <w:szCs w:val="32"/>
        </w:rPr>
        <w:t xml:space="preserve">  毕业生与用人单位应在双向选择、自愿的基础上签订《就业协议书》。每位毕业生只能与一个用人单位签订《就业协议书》。各二级学院应加强《就业协议书》的发放管理，禁止一人同时签多份协议的情况发生。毕业生应本着诚信、自愿的原则签订《就业协议书》，如实向用人单位介绍自身情况，慎重对待签约，认真履行协议。</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第二十一条</w:t>
      </w:r>
      <w:r>
        <w:rPr>
          <w:rFonts w:hint="eastAsia" w:ascii="仿宋_GB2312" w:hAnsi="Calibri" w:eastAsia="仿宋_GB2312"/>
          <w:sz w:val="32"/>
          <w:szCs w:val="32"/>
        </w:rPr>
        <w:t xml:space="preserve">  毕业生提出违约并与用人单位达成一致意见，本人承担相应的违约责任后，按违约流程办理相关手续，由二级学院与就业处审核通过，发放新《就业协议书》。每位毕业生违约不得超过一次。用人单位提出违约的，应与毕业生充分沟通并取得一致意见，出具解约函，并承担相应的违约责任。</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第二十二条  </w:t>
      </w:r>
      <w:r>
        <w:rPr>
          <w:rFonts w:hint="eastAsia" w:ascii="仿宋_GB2312" w:hAnsi="Calibri" w:eastAsia="仿宋_GB2312"/>
          <w:sz w:val="32"/>
          <w:szCs w:val="32"/>
        </w:rPr>
        <w:t>学校保护毕业生择业的正当权益，必要时二级学院应帮助毕业生进行相应的协调工作，特殊情况可由就业处协同二级学院与用人单位进行沟通。对招聘欺骗、恶意违约、违反相关规定的用人单位，学校将采取相应的制裁措施，情节严重者，将保留追究法律责任的权力。</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896" w:name="_Toc13445_WPSOffice_Level1"/>
      <w:r>
        <w:rPr>
          <w:rFonts w:hint="eastAsia" w:ascii="黑体" w:hAnsi="黑体" w:eastAsia="黑体"/>
          <w:b/>
          <w:sz w:val="32"/>
          <w:szCs w:val="32"/>
        </w:rPr>
        <w:t>第六章  毕业生信息采集</w:t>
      </w:r>
      <w:bookmarkEnd w:id="896"/>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第二十三条</w:t>
      </w:r>
      <w:r>
        <w:rPr>
          <w:rFonts w:hint="eastAsia" w:ascii="仿宋_GB2312" w:hAnsi="Calibri" w:eastAsia="仿宋_GB2312"/>
          <w:sz w:val="32"/>
          <w:szCs w:val="32"/>
        </w:rPr>
        <w:t xml:space="preserve">  毕业生信息是毕业生资格审核、就业方案编制、派遣与改派的依据，是学校专业建设、招生计划、经费安排的主要参考指标，是开展生源分析、发布就业质量报告的数据来源。毕业生信息包括毕业生基础信息和毕业生就业信息。</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第二十四条 </w:t>
      </w:r>
      <w:r>
        <w:rPr>
          <w:rFonts w:hint="eastAsia" w:ascii="仿宋_GB2312" w:hAnsi="Calibri" w:eastAsia="仿宋_GB2312"/>
          <w:sz w:val="32"/>
          <w:szCs w:val="32"/>
        </w:rPr>
        <w:t xml:space="preserve"> 毕业生基础信息指：姓名、性别、民族、政治面貌、身份证号码、生源地、家庭通讯地址、联系电话、入学时间、专业等信息。毕业生基础信息由教务处提供，毕业生本人补充、确认，二级学院按照工作流程逐一审核、提交，就业处负责汇总、审定、反馈并按时上报上级主管部门。</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第二十五条</w:t>
      </w:r>
      <w:r>
        <w:rPr>
          <w:rFonts w:hint="eastAsia" w:ascii="仿宋_GB2312" w:hAnsi="Calibri" w:eastAsia="仿宋_GB2312"/>
          <w:sz w:val="32"/>
          <w:szCs w:val="32"/>
        </w:rPr>
        <w:t xml:space="preserve">  毕业生就业信息指：就业单位名称、所在地、联系人、联系电话、单位组织机构代码、单位性质、毕业生工作岗位等信息。毕业生就业信息依据毕业生与用人单位签订的有效《就业协议书》、《劳动合同》生成，二级学院按照工作流程逐一审核、提交，就业处负责汇总、审定、反馈并按时上报上级主管部门。</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897" w:name="_Toc23702_WPSOffice_Level1"/>
      <w:r>
        <w:rPr>
          <w:rFonts w:hint="eastAsia" w:ascii="黑体" w:hAnsi="黑体" w:eastAsia="黑体"/>
          <w:b/>
          <w:sz w:val="32"/>
          <w:szCs w:val="32"/>
        </w:rPr>
        <w:t>第七章  就业方案编制</w:t>
      </w:r>
      <w:bookmarkEnd w:id="897"/>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第二十六条</w:t>
      </w:r>
      <w:r>
        <w:rPr>
          <w:rFonts w:hint="eastAsia" w:ascii="仿宋_GB2312" w:hAnsi="Calibri" w:eastAsia="仿宋_GB2312"/>
          <w:sz w:val="32"/>
          <w:szCs w:val="32"/>
        </w:rPr>
        <w:t xml:space="preserve">  毕业生就业方案的形成，采用自下而上的办法，毕业生本人、二级学院确认基础信息和就业信息，就业处遵循国家有关毕业生就业的方针、政策和规定，依据毕业生就业信息，编制毕业生就业方案，并报上级主管部门审核。</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第二十七条</w:t>
      </w:r>
      <w:r>
        <w:rPr>
          <w:rFonts w:hint="eastAsia" w:ascii="仿宋_GB2312" w:hAnsi="Calibri" w:eastAsia="仿宋_GB2312"/>
          <w:sz w:val="32"/>
          <w:szCs w:val="32"/>
        </w:rPr>
        <w:t xml:space="preserve">  毕业生就业去向主要包括以下类型：</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(一) 协议就业：毕业生通过与用人单位签订《就业协议书》或《劳动合同》，申领就业报到证，到用人单位就业。</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(二) 专升本：指学生毕业当年通过选拔升入普通本科院校继续学习。</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(三) 出国(境)：包括去国(境)外继续学习，或去国(境)外工作。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(四) 灵活就业：毕业生以灵活方式就业，主要指自由职业、自主创业等。自由职业指毕业生独立工作，不隶属于任何组织，不向任何雇主做长期承诺而从事某种职业；自主创业指毕业生主要依靠自己的资本、资源、信息、技术、经验以及其他因素开展创业活动，解决就业问题。</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(五) 国家地方项目：毕业生参加国家地方项目就业含三支一扶、大学生村官、西部计划等。</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(六) 参军入伍：毕业生参军入伍有应征入伍和直招</w:t>
      </w:r>
      <w:r>
        <w:rPr>
          <w:rFonts w:ascii="仿宋_GB2312" w:hAnsi="Calibri" w:eastAsia="仿宋_GB2312"/>
          <w:sz w:val="32"/>
          <w:szCs w:val="32"/>
        </w:rPr>
        <w:fldChar w:fldCharType="begin"/>
      </w:r>
      <w:r>
        <w:rPr>
          <w:rFonts w:ascii="仿宋_GB2312" w:hAnsi="Calibri" w:eastAsia="仿宋_GB2312"/>
          <w:sz w:val="32"/>
          <w:szCs w:val="32"/>
        </w:rPr>
        <w:instrText xml:space="preserve"> HYPERLINK "http://baike.baidu.com/item/%E5%A3%AB%E5%AE%98" \t "http://baike.baidu.com/_blank" </w:instrText>
      </w:r>
      <w:r>
        <w:rPr>
          <w:rFonts w:ascii="仿宋_GB2312" w:hAnsi="Calibri" w:eastAsia="仿宋_GB2312"/>
          <w:sz w:val="32"/>
          <w:szCs w:val="32"/>
        </w:rPr>
        <w:fldChar w:fldCharType="separate"/>
      </w:r>
      <w:r>
        <w:rPr>
          <w:rFonts w:hint="eastAsia" w:ascii="仿宋_GB2312" w:hAnsi="Calibri" w:eastAsia="仿宋_GB2312"/>
          <w:sz w:val="32"/>
          <w:szCs w:val="32"/>
        </w:rPr>
        <w:t>士官</w:t>
      </w:r>
      <w:r>
        <w:rPr>
          <w:rFonts w:ascii="仿宋_GB2312" w:hAnsi="Calibri" w:eastAsia="仿宋_GB2312"/>
          <w:sz w:val="32"/>
          <w:szCs w:val="32"/>
        </w:rPr>
        <w:fldChar w:fldCharType="end"/>
      </w:r>
      <w:r>
        <w:rPr>
          <w:rFonts w:hint="eastAsia" w:ascii="仿宋_GB2312" w:hAnsi="Calibri" w:eastAsia="仿宋_GB2312"/>
          <w:sz w:val="32"/>
          <w:szCs w:val="32"/>
        </w:rPr>
        <w:t>两种，应征入伍是指部队每年从应届高校毕业生中征收义务兵，服役期两年；直招</w:t>
      </w:r>
      <w:r>
        <w:rPr>
          <w:rFonts w:ascii="仿宋_GB2312" w:hAnsi="Calibri" w:eastAsia="仿宋_GB2312"/>
          <w:sz w:val="32"/>
          <w:szCs w:val="32"/>
        </w:rPr>
        <w:fldChar w:fldCharType="begin"/>
      </w:r>
      <w:r>
        <w:rPr>
          <w:rFonts w:ascii="仿宋_GB2312" w:hAnsi="Calibri" w:eastAsia="仿宋_GB2312"/>
          <w:sz w:val="32"/>
          <w:szCs w:val="32"/>
        </w:rPr>
        <w:instrText xml:space="preserve"> HYPERLINK "http://baike.baidu.com/item/%E5%A3%AB%E5%AE%98" \t "http://baike.baidu.com/_blank" </w:instrText>
      </w:r>
      <w:r>
        <w:rPr>
          <w:rFonts w:ascii="仿宋_GB2312" w:hAnsi="Calibri" w:eastAsia="仿宋_GB2312"/>
          <w:sz w:val="32"/>
          <w:szCs w:val="32"/>
        </w:rPr>
        <w:fldChar w:fldCharType="separate"/>
      </w:r>
      <w:r>
        <w:rPr>
          <w:rFonts w:hint="eastAsia" w:ascii="仿宋_GB2312" w:hAnsi="Calibri" w:eastAsia="仿宋_GB2312"/>
          <w:sz w:val="32"/>
          <w:szCs w:val="32"/>
        </w:rPr>
        <w:t>士官</w:t>
      </w:r>
      <w:r>
        <w:rPr>
          <w:rFonts w:ascii="仿宋_GB2312" w:hAnsi="Calibri" w:eastAsia="仿宋_GB2312"/>
          <w:sz w:val="32"/>
          <w:szCs w:val="32"/>
        </w:rPr>
        <w:fldChar w:fldCharType="end"/>
      </w:r>
      <w:r>
        <w:rPr>
          <w:rFonts w:hint="eastAsia" w:ascii="仿宋_GB2312" w:hAnsi="Calibri" w:eastAsia="仿宋_GB2312"/>
          <w:sz w:val="32"/>
          <w:szCs w:val="32"/>
        </w:rPr>
        <w:t>是指部队每年从应届高校毕业生中招收士官，服役期4-7年。</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898" w:name="_Toc14888_WPSOffice_Level1"/>
      <w:r>
        <w:rPr>
          <w:rFonts w:hint="eastAsia" w:ascii="黑体" w:hAnsi="黑体" w:eastAsia="黑体"/>
          <w:b/>
          <w:sz w:val="32"/>
          <w:szCs w:val="32"/>
        </w:rPr>
        <w:t>第八章  派遣与改派</w:t>
      </w:r>
      <w:bookmarkEnd w:id="898"/>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第二十八条</w:t>
      </w:r>
      <w:r>
        <w:rPr>
          <w:rFonts w:hint="eastAsia" w:ascii="仿宋_GB2312" w:hAnsi="Calibri" w:eastAsia="仿宋_GB2312"/>
          <w:sz w:val="32"/>
          <w:szCs w:val="32"/>
        </w:rPr>
        <w:t xml:space="preserve">  《全国普通高等学校毕业生就业报到证》(以下简称“报到证”) 是高校毕业生办理行政或事业单位入编及转正定级的凭证，根据上级主管部门核准的就业方案，依照统一安排，就业处到自治区教育厅办理全校毕业生报到证，并通过二级学院向毕业生发放。</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第二十九条</w:t>
      </w:r>
      <w:r>
        <w:rPr>
          <w:rFonts w:hint="eastAsia" w:ascii="仿宋_GB2312" w:hAnsi="Calibri" w:eastAsia="仿宋_GB2312"/>
          <w:sz w:val="32"/>
          <w:szCs w:val="32"/>
        </w:rPr>
        <w:t xml:space="preserve">  毕业生须按照学校的要求，到所在二级学院领取毕业证、报到证、党(团)组织关系、户口迁移证等，并妥善保管，及时办理离校手续。</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第三十条</w:t>
      </w:r>
      <w:r>
        <w:rPr>
          <w:rFonts w:hint="eastAsia" w:ascii="仿宋_GB2312" w:hAnsi="Calibri" w:eastAsia="仿宋_GB2312"/>
          <w:sz w:val="32"/>
          <w:szCs w:val="32"/>
        </w:rPr>
        <w:t xml:space="preserve">  需变更就业去向的毕业生，从签发报到证之日起，两年内可提出申请，按改派程序办理相关手续。就业报到证遗失的，两年内可申请补办，超过两年的只出具就业派遣证明。</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第三十一条</w:t>
      </w:r>
      <w:r>
        <w:rPr>
          <w:rFonts w:hint="eastAsia" w:ascii="仿宋_GB2312" w:hAnsi="Calibri" w:eastAsia="仿宋_GB2312"/>
          <w:sz w:val="32"/>
          <w:szCs w:val="32"/>
        </w:rPr>
        <w:t xml:space="preserve">  毕业时未就业的毕业生，其户口、档案已转回生源地，两年内与就业单位签约的，可按改派程序办理相关手续。</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899" w:name="_Toc19726_WPSOffice_Level1"/>
      <w:r>
        <w:rPr>
          <w:rFonts w:hint="eastAsia" w:ascii="黑体" w:hAnsi="黑体" w:eastAsia="黑体"/>
          <w:b/>
          <w:sz w:val="32"/>
          <w:szCs w:val="32"/>
        </w:rPr>
        <w:t>第九章  跟踪调查、统计、核查与报送</w:t>
      </w:r>
      <w:bookmarkEnd w:id="899"/>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第三十二条 </w:t>
      </w:r>
      <w:r>
        <w:rPr>
          <w:rFonts w:hint="eastAsia" w:ascii="仿宋_GB2312" w:hAnsi="Calibri" w:eastAsia="仿宋_GB2312"/>
          <w:sz w:val="32"/>
          <w:szCs w:val="32"/>
        </w:rPr>
        <w:t xml:space="preserve"> 跟踪调查是就业工作开展的基础和依据，调查的对象包括：在校学生、毕业生、二级学院、用人单位、行业协会等客户群；调查采取问卷、座谈、访谈、电话调查等方式；通过调查收集学生就业意向、毕业生就业状况、二级学院就业工作开展情况、用人单位需求及用工情况、行业发展趋势、各客户群体反馈等。</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第三十三条  </w:t>
      </w:r>
      <w:r>
        <w:rPr>
          <w:rFonts w:hint="eastAsia" w:ascii="仿宋_GB2312" w:hAnsi="Calibri" w:eastAsia="仿宋_GB2312"/>
          <w:sz w:val="32"/>
          <w:szCs w:val="32"/>
        </w:rPr>
        <w:t>就业统计是就业工作链上的重要环节，要严格落实“四不准”要求：不准以任何方式强迫毕业生签订就业协议和劳动合同，不准将毕业证书、学位证书发放与毕业生签约挂钩，不准以户档托管为由劝说毕业生签订虚假就业协议，不准将毕业生顶岗实习见习证明材料作为就业证明材料。</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第三十四条  </w:t>
      </w:r>
      <w:r>
        <w:rPr>
          <w:rFonts w:hint="eastAsia" w:ascii="仿宋_GB2312" w:hAnsi="Calibri" w:eastAsia="仿宋_GB2312"/>
          <w:sz w:val="32"/>
          <w:szCs w:val="32"/>
        </w:rPr>
        <w:t>就业统计的主要内容是：校园招聘会场次、入场单位数、提供岗位数、求人倍率、客户满意度、毕业生就业率（含单位直接就业、灵活就业、专升本、参军入伍、自主创业）、对口率、薪酬、就业地区流向、就业单位流向等。</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第三十五条</w:t>
      </w:r>
      <w:r>
        <w:rPr>
          <w:rFonts w:hint="eastAsia" w:ascii="仿宋_GB2312" w:hAnsi="Calibri" w:eastAsia="仿宋_GB2312"/>
          <w:sz w:val="32"/>
          <w:szCs w:val="32"/>
        </w:rPr>
        <w:t xml:space="preserve">  进一步完善学校、学院二级就业工作核查机制。各二级学院要认真审核本院毕业生的就业协议书、劳动合同等就业证明材料，逐人排查。就业处对各二级学院就业签约和统计工作进行集中核查，并将核查结果报学校就业工作领导小组。</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第三十六条</w:t>
      </w:r>
      <w:r>
        <w:rPr>
          <w:rFonts w:hint="eastAsia" w:ascii="仿宋_GB2312" w:hAnsi="Calibri" w:eastAsia="仿宋_GB2312"/>
          <w:sz w:val="32"/>
          <w:szCs w:val="32"/>
        </w:rPr>
        <w:t xml:space="preserve">  学校按时发布毕业生年度就业质量报告，各二级学院开展本院毕业生就业质量分析。规范就业数据使用，上报就业统计数据和材料要真实、准确、及时、完整，主要就业数据上报需经学校就业工作领导小组批准。</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第三十七条</w:t>
      </w:r>
      <w:r>
        <w:rPr>
          <w:rFonts w:hint="eastAsia" w:ascii="仿宋_GB2312" w:hAnsi="Calibri" w:eastAsia="仿宋_GB2312"/>
          <w:sz w:val="32"/>
          <w:szCs w:val="32"/>
        </w:rPr>
        <w:t xml:space="preserve">  开展就业工作考核，将就业工作目标逐层分解纳入当年学校绩效考核，进一步推动学校就业工作水平和毕业生就业质量的提高；具体考核标准、考核办法由质量办与就业处等有关部门另行制定，报学校就业工作领导小组审批后执行。</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00" w:name="_Toc19127_WPSOffice_Level1"/>
      <w:r>
        <w:rPr>
          <w:rFonts w:hint="eastAsia" w:ascii="黑体" w:hAnsi="黑体" w:eastAsia="黑体"/>
          <w:b/>
          <w:sz w:val="32"/>
          <w:szCs w:val="32"/>
        </w:rPr>
        <w:t>第十章  附 则</w:t>
      </w:r>
      <w:bookmarkEnd w:id="900"/>
    </w:p>
    <w:p>
      <w:pPr>
        <w:spacing w:line="596" w:lineRule="exact"/>
        <w:ind w:firstLine="643" w:firstLineChars="200"/>
        <w:outlineLvl w:val="9"/>
        <w:rPr>
          <w:rFonts w:hint="eastAsia" w:ascii="仿宋_GB2312" w:hAnsi="Calibri" w:eastAsia="仿宋_GB2312"/>
          <w:sz w:val="32"/>
          <w:szCs w:val="32"/>
        </w:rPr>
      </w:pPr>
      <w:bookmarkStart w:id="901" w:name="_Toc8447"/>
      <w:bookmarkStart w:id="902" w:name="_Toc27398"/>
      <w:bookmarkStart w:id="903" w:name="_Toc17181_WPSOffice_Level1"/>
      <w:r>
        <w:rPr>
          <w:rFonts w:hint="eastAsia" w:ascii="仿宋_GB2312" w:hAnsi="Calibri" w:eastAsia="仿宋_GB2312"/>
          <w:b/>
          <w:sz w:val="32"/>
          <w:szCs w:val="32"/>
        </w:rPr>
        <w:t xml:space="preserve">第三十八条 </w:t>
      </w:r>
      <w:r>
        <w:rPr>
          <w:rFonts w:hint="eastAsia" w:ascii="仿宋_GB2312" w:hAnsi="Calibri" w:eastAsia="仿宋_GB2312"/>
          <w:sz w:val="32"/>
          <w:szCs w:val="32"/>
        </w:rPr>
        <w:t xml:space="preserve"> 本规定由就业处负责解释。</w:t>
      </w:r>
      <w:bookmarkEnd w:id="901"/>
      <w:bookmarkEnd w:id="902"/>
      <w:bookmarkEnd w:id="903"/>
    </w:p>
    <w:p/>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ascii="Times New Roman" w:hAnsi="Times New Roman" w:eastAsia="宋体" w:cs="Times New Roman"/>
          <w:b/>
          <w:color w:val="000000"/>
          <w:sz w:val="36"/>
          <w:szCs w:val="36"/>
          <w:highlight w:val="none"/>
          <w:lang w:val="en-US" w:eastAsia="zh-CN"/>
        </w:rPr>
      </w:pPr>
      <w:bookmarkStart w:id="904" w:name="_Toc2170_WPSOffice_Level1"/>
      <w:r>
        <w:rPr>
          <w:rFonts w:hint="eastAsia" w:ascii="Times New Roman" w:hAnsi="Times New Roman" w:eastAsia="宋体" w:cs="Times New Roman"/>
          <w:b/>
          <w:color w:val="000000"/>
          <w:sz w:val="36"/>
          <w:szCs w:val="36"/>
          <w:highlight w:val="none"/>
          <w:lang w:val="en-US" w:eastAsia="zh-CN"/>
        </w:rPr>
        <w:t>柳州职业技术学院就业工作年度考核办法</w:t>
      </w:r>
      <w:bookmarkEnd w:id="904"/>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为深入贯彻党的十九届五中全会精神和党中央、国务院“稳就业”“保就业”决策部署，为切实提升我校毕业生就业质量，完善校院结合、职责分明、层层落实的就业工作保障机制，建立健全就业质量管理体系，提升学校就业工作管理水平，确保毕业生更充分更高质的就业，根据我校就业工作具体情况，特制定本考核办法。</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3" w:firstLineChars="200"/>
        <w:textAlignment w:val="auto"/>
        <w:outlineLvl w:val="9"/>
        <w:rPr>
          <w:rFonts w:hint="eastAsia" w:ascii="黑体" w:hAnsi="黑体" w:eastAsia="黑体" w:cs="Times New Roman"/>
          <w:b/>
          <w:sz w:val="32"/>
          <w:szCs w:val="32"/>
          <w:highlight w:val="none"/>
          <w:lang w:val="en-US" w:eastAsia="zh-CN"/>
        </w:rPr>
      </w:pPr>
      <w:bookmarkStart w:id="905" w:name="_Toc8481"/>
      <w:bookmarkStart w:id="906" w:name="_Toc266"/>
      <w:bookmarkStart w:id="907" w:name="_Toc25771_WPSOffice_Level1"/>
      <w:r>
        <w:rPr>
          <w:rFonts w:hint="eastAsia" w:ascii="黑体" w:hAnsi="黑体" w:eastAsia="黑体" w:cs="Times New Roman"/>
          <w:b/>
          <w:sz w:val="32"/>
          <w:szCs w:val="32"/>
          <w:highlight w:val="none"/>
          <w:lang w:val="en-US" w:eastAsia="zh-CN"/>
        </w:rPr>
        <w:t>一、考核目的</w:t>
      </w:r>
      <w:bookmarkEnd w:id="905"/>
      <w:bookmarkEnd w:id="906"/>
      <w:bookmarkEnd w:id="907"/>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为进一步构建学校毕业生就业工作长效机制，充分调动各二级学院就业工作积极性、主动性和创造性，推动毕业生就业工作管理水平提升。</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left="420" w:leftChars="0" w:firstLine="321" w:firstLineChars="100"/>
        <w:textAlignment w:val="auto"/>
        <w:outlineLvl w:val="9"/>
        <w:rPr>
          <w:rFonts w:hint="eastAsia" w:ascii="黑体" w:hAnsi="黑体" w:eastAsia="黑体" w:cs="Times New Roman"/>
          <w:b/>
          <w:sz w:val="32"/>
          <w:szCs w:val="32"/>
          <w:highlight w:val="none"/>
          <w:lang w:val="en-US" w:eastAsia="zh-CN"/>
        </w:rPr>
      </w:pPr>
      <w:bookmarkStart w:id="908" w:name="_Toc21336"/>
      <w:bookmarkStart w:id="909" w:name="_Toc13689"/>
      <w:bookmarkStart w:id="910" w:name="_Toc25454_WPSOffice_Level1"/>
      <w:r>
        <w:rPr>
          <w:rFonts w:hint="eastAsia" w:ascii="黑体" w:hAnsi="黑体" w:eastAsia="黑体" w:cs="Times New Roman"/>
          <w:b/>
          <w:sz w:val="32"/>
          <w:szCs w:val="32"/>
          <w:highlight w:val="none"/>
          <w:lang w:val="en-US" w:eastAsia="zh-CN"/>
        </w:rPr>
        <w:t>二、考核原则</w:t>
      </w:r>
      <w:bookmarkEnd w:id="908"/>
      <w:bookmarkEnd w:id="909"/>
      <w:bookmarkEnd w:id="910"/>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以服务为宗旨，以就业为导向，以改革为动力，以提高就业质量和管理水平为工作重点，促进就业工作制度化、规范化、科学化。按照“公平、公正、公开”的原则，兼顾过程与结果并重。</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left="420" w:leftChars="0" w:firstLine="321" w:firstLineChars="100"/>
        <w:textAlignment w:val="auto"/>
        <w:outlineLvl w:val="9"/>
        <w:rPr>
          <w:rFonts w:hint="eastAsia" w:ascii="黑体" w:hAnsi="黑体" w:eastAsia="黑体" w:cs="Times New Roman"/>
          <w:b/>
          <w:sz w:val="32"/>
          <w:szCs w:val="32"/>
          <w:highlight w:val="none"/>
          <w:lang w:val="en-US" w:eastAsia="zh-CN"/>
        </w:rPr>
      </w:pPr>
      <w:bookmarkStart w:id="911" w:name="_Toc19405"/>
      <w:bookmarkStart w:id="912" w:name="_Toc9359_WPSOffice_Level1"/>
      <w:bookmarkStart w:id="913" w:name="_Toc16074"/>
      <w:r>
        <w:rPr>
          <w:rFonts w:hint="eastAsia" w:ascii="黑体" w:hAnsi="黑体" w:eastAsia="黑体" w:cs="Times New Roman"/>
          <w:b/>
          <w:sz w:val="32"/>
          <w:szCs w:val="32"/>
          <w:highlight w:val="none"/>
          <w:lang w:val="en-US" w:eastAsia="zh-CN"/>
        </w:rPr>
        <w:t>三、考核内容及标准</w:t>
      </w:r>
      <w:bookmarkEnd w:id="911"/>
      <w:bookmarkEnd w:id="912"/>
      <w:bookmarkEnd w:id="913"/>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left="420" w:leftChars="0" w:firstLine="321" w:firstLineChars="100"/>
        <w:textAlignment w:val="auto"/>
        <w:outlineLvl w:val="9"/>
        <w:rPr>
          <w:rFonts w:hint="default" w:ascii="楷体_GB2312" w:hAnsi="Times New Roman" w:eastAsia="楷体_GB2312" w:cs="Times New Roman"/>
          <w:b/>
          <w:sz w:val="32"/>
          <w:szCs w:val="32"/>
          <w:highlight w:val="none"/>
          <w:lang w:val="en-US" w:eastAsia="zh-CN"/>
        </w:rPr>
      </w:pPr>
      <w:r>
        <w:rPr>
          <w:rFonts w:hint="eastAsia" w:ascii="楷体_GB2312" w:hAnsi="Times New Roman" w:eastAsia="楷体_GB2312" w:cs="Times New Roman"/>
          <w:b/>
          <w:sz w:val="32"/>
          <w:szCs w:val="32"/>
          <w:highlight w:val="none"/>
          <w:lang w:val="en-US" w:eastAsia="zh-CN"/>
        </w:rPr>
        <w:t>（一）考核内容</w:t>
      </w:r>
    </w:p>
    <w:p>
      <w:pPr>
        <w:pStyle w:val="20"/>
        <w:keepNext w:val="0"/>
        <w:keepLines w:val="0"/>
        <w:pageBreakBefore w:val="0"/>
        <w:kinsoku/>
        <w:wordWrap/>
        <w:overflowPunct/>
        <w:topLinePunct w:val="0"/>
        <w:autoSpaceDE/>
        <w:autoSpaceDN/>
        <w:bidi w:val="0"/>
        <w:adjustRightInd/>
        <w:snapToGrid/>
        <w:spacing w:line="596" w:lineRule="exact"/>
        <w:ind w:firstLine="64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考核内容分为工作过程、工作实效、加减分、一票否决四个部分。其中“工作过程”包括工作保障、数据管理、精准帮扶、就业指导、市场开拓、校园招聘、专升本、参军入伍、文明离校等，“工作实效”包含初次就业去向落实率、</w:t>
      </w:r>
    </w:p>
    <w:p>
      <w:pPr>
        <w:pStyle w:val="20"/>
        <w:keepNext w:val="0"/>
        <w:keepLines w:val="0"/>
        <w:pageBreakBefore w:val="0"/>
        <w:kinsoku/>
        <w:wordWrap/>
        <w:overflowPunct/>
        <w:topLinePunct w:val="0"/>
        <w:autoSpaceDE/>
        <w:autoSpaceDN/>
        <w:bidi w:val="0"/>
        <w:adjustRightInd/>
        <w:snapToGrid/>
        <w:spacing w:line="596" w:lineRule="exact"/>
        <w:ind w:left="0" w:leftChars="0" w:firstLine="0" w:firstLineChars="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毕业半年毕业去向落实率、对口率、协议和合同类就业率、升学率、升学报到率、参军率、创业率、毕业生就业满意度、用人单位满意度等。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96" w:lineRule="exact"/>
        <w:ind w:left="0" w:right="0" w:firstLine="640" w:firstLineChars="200"/>
        <w:jc w:val="left"/>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详见就业工作考核考核指标体系（附件1）。</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3" w:firstLineChars="200"/>
        <w:textAlignment w:val="auto"/>
        <w:outlineLvl w:val="9"/>
        <w:rPr>
          <w:rFonts w:hint="eastAsia" w:ascii="楷体_GB2312" w:hAnsi="Times New Roman" w:eastAsia="楷体_GB2312" w:cs="Times New Roman"/>
          <w:b/>
          <w:sz w:val="32"/>
          <w:szCs w:val="32"/>
          <w:highlight w:val="none"/>
          <w:lang w:val="en-US" w:eastAsia="zh-CN"/>
        </w:rPr>
      </w:pPr>
      <w:r>
        <w:rPr>
          <w:rFonts w:hint="eastAsia" w:ascii="楷体_GB2312" w:hAnsi="Times New Roman" w:eastAsia="楷体_GB2312" w:cs="Times New Roman"/>
          <w:b/>
          <w:sz w:val="32"/>
          <w:szCs w:val="32"/>
          <w:highlight w:val="none"/>
          <w:lang w:val="en-US" w:eastAsia="zh-CN"/>
        </w:rPr>
        <w:t>（二）考核成绩计算办法</w:t>
      </w:r>
    </w:p>
    <w:p>
      <w:pPr>
        <w:pStyle w:val="20"/>
        <w:keepNext w:val="0"/>
        <w:keepLines w:val="0"/>
        <w:pageBreakBefore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综合考核成绩=“工作过程”得分*50%+“工作实效”得分*50%+加减分项。</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3" w:firstLineChars="200"/>
        <w:textAlignment w:val="auto"/>
        <w:outlineLvl w:val="9"/>
        <w:rPr>
          <w:rFonts w:hint="eastAsia" w:ascii="楷体_GB2312" w:hAnsi="Times New Roman" w:eastAsia="楷体_GB2312" w:cs="Times New Roman"/>
          <w:b/>
          <w:sz w:val="32"/>
          <w:szCs w:val="32"/>
          <w:highlight w:val="none"/>
          <w:lang w:val="en-US" w:eastAsia="zh-CN"/>
        </w:rPr>
      </w:pPr>
      <w:r>
        <w:rPr>
          <w:rFonts w:hint="eastAsia" w:ascii="楷体_GB2312" w:hAnsi="Times New Roman" w:eastAsia="楷体_GB2312" w:cs="Times New Roman"/>
          <w:b/>
          <w:sz w:val="32"/>
          <w:szCs w:val="32"/>
          <w:highlight w:val="none"/>
          <w:lang w:val="en-US" w:eastAsia="zh-CN"/>
        </w:rPr>
        <w:t>（三）一票否决制</w:t>
      </w:r>
    </w:p>
    <w:p>
      <w:pPr>
        <w:pStyle w:val="20"/>
        <w:keepNext w:val="0"/>
        <w:keepLines w:val="0"/>
        <w:pageBreakBefore w:val="0"/>
        <w:kinsoku/>
        <w:wordWrap/>
        <w:overflowPunct/>
        <w:topLinePunct w:val="0"/>
        <w:autoSpaceDE/>
        <w:autoSpaceDN/>
        <w:bidi w:val="0"/>
        <w:adjustRightInd/>
        <w:snapToGrid/>
        <w:spacing w:line="596" w:lineRule="exact"/>
        <w:ind w:firstLine="64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在上级抽查督查中发现有就业数据弄虚作假或存在其他不符合就业规定，经核实情况属实的，实施一票否决制。</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3" w:firstLineChars="200"/>
        <w:textAlignment w:val="auto"/>
        <w:outlineLvl w:val="9"/>
        <w:rPr>
          <w:rFonts w:hint="eastAsia" w:ascii="黑体" w:hAnsi="黑体" w:eastAsia="黑体" w:cs="Times New Roman"/>
          <w:b/>
          <w:sz w:val="32"/>
          <w:szCs w:val="32"/>
          <w:highlight w:val="none"/>
          <w:lang w:val="en-US" w:eastAsia="zh-CN"/>
        </w:rPr>
      </w:pPr>
      <w:bookmarkStart w:id="914" w:name="_Toc18490"/>
      <w:bookmarkStart w:id="915" w:name="_Toc668_WPSOffice_Level1"/>
      <w:bookmarkStart w:id="916" w:name="_Toc26721"/>
      <w:r>
        <w:rPr>
          <w:rFonts w:hint="eastAsia" w:ascii="黑体" w:hAnsi="黑体" w:eastAsia="黑体" w:cs="Times New Roman"/>
          <w:b/>
          <w:sz w:val="32"/>
          <w:szCs w:val="32"/>
          <w:highlight w:val="none"/>
          <w:lang w:val="en-US" w:eastAsia="zh-CN"/>
        </w:rPr>
        <w:t>四、考核方式</w:t>
      </w:r>
      <w:bookmarkEnd w:id="914"/>
      <w:bookmarkEnd w:id="915"/>
      <w:bookmarkEnd w:id="916"/>
    </w:p>
    <w:p>
      <w:pPr>
        <w:keepNext w:val="0"/>
        <w:keepLines w:val="0"/>
        <w:pageBreakBefore w:val="0"/>
        <w:kinsoku/>
        <w:wordWrap/>
        <w:overflowPunct/>
        <w:topLinePunct w:val="0"/>
        <w:autoSpaceDE/>
        <w:autoSpaceDN/>
        <w:bidi w:val="0"/>
        <w:adjustRightInd/>
        <w:snapToGrid/>
        <w:spacing w:line="596" w:lineRule="exact"/>
        <w:ind w:firstLine="640" w:firstLineChars="200"/>
        <w:textAlignment w:val="auto"/>
        <w:rPr>
          <w:rFonts w:ascii="仿宋" w:hAnsi="仿宋" w:eastAsia="仿宋" w:cs="仿宋_GB2312"/>
          <w:sz w:val="32"/>
          <w:szCs w:val="32"/>
        </w:rPr>
      </w:pPr>
      <w:r>
        <w:rPr>
          <w:rFonts w:hint="eastAsia" w:ascii="仿宋_GB2312" w:hAnsi="Times New Roman" w:eastAsia="仿宋_GB2312" w:cs="Times New Roman"/>
          <w:kern w:val="2"/>
          <w:sz w:val="32"/>
          <w:szCs w:val="32"/>
          <w:highlight w:val="none"/>
          <w:lang w:val="en-US" w:eastAsia="zh-CN" w:bidi="ar-SA"/>
        </w:rPr>
        <w:t>考核工作由学校统一部署，由招生就业处组织实施，</w:t>
      </w:r>
      <w:r>
        <w:rPr>
          <w:rFonts w:hint="eastAsia" w:ascii="仿宋" w:hAnsi="仿宋" w:eastAsia="仿宋" w:cs="仿宋_GB2312"/>
          <w:sz w:val="32"/>
          <w:szCs w:val="32"/>
        </w:rPr>
        <w:t>通过</w:t>
      </w:r>
      <w:r>
        <w:rPr>
          <w:rFonts w:ascii="仿宋" w:hAnsi="仿宋" w:eastAsia="仿宋" w:cs="仿宋_GB2312"/>
          <w:sz w:val="32"/>
          <w:szCs w:val="32"/>
        </w:rPr>
        <w:t>查阅考核材料和随机现场</w:t>
      </w:r>
      <w:r>
        <w:rPr>
          <w:rFonts w:hint="eastAsia" w:ascii="仿宋" w:hAnsi="仿宋" w:eastAsia="仿宋" w:cs="仿宋_GB2312"/>
          <w:sz w:val="32"/>
          <w:szCs w:val="32"/>
        </w:rPr>
        <w:t>抽查</w:t>
      </w:r>
      <w:r>
        <w:rPr>
          <w:rFonts w:ascii="仿宋" w:hAnsi="仿宋" w:eastAsia="仿宋" w:cs="仿宋_GB2312"/>
          <w:sz w:val="32"/>
          <w:szCs w:val="32"/>
        </w:rPr>
        <w:t>的方式进行。</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3" w:firstLineChars="200"/>
        <w:textAlignment w:val="auto"/>
        <w:outlineLvl w:val="9"/>
        <w:rPr>
          <w:rFonts w:hint="eastAsia" w:ascii="黑体" w:hAnsi="黑体" w:eastAsia="黑体" w:cs="Times New Roman"/>
          <w:b/>
          <w:sz w:val="32"/>
          <w:szCs w:val="32"/>
          <w:highlight w:val="none"/>
          <w:lang w:val="en-US" w:eastAsia="zh-CN"/>
        </w:rPr>
      </w:pPr>
      <w:bookmarkStart w:id="917" w:name="_Toc19863"/>
      <w:bookmarkStart w:id="918" w:name="_Toc21748_WPSOffice_Level1"/>
      <w:bookmarkStart w:id="919" w:name="_Toc4424"/>
      <w:r>
        <w:rPr>
          <w:rFonts w:hint="eastAsia" w:ascii="黑体" w:hAnsi="黑体" w:eastAsia="黑体" w:cs="Times New Roman"/>
          <w:b/>
          <w:sz w:val="32"/>
          <w:szCs w:val="32"/>
          <w:highlight w:val="none"/>
          <w:lang w:val="en-US" w:eastAsia="zh-CN"/>
        </w:rPr>
        <w:t>五、考核程序</w:t>
      </w:r>
      <w:bookmarkEnd w:id="917"/>
      <w:bookmarkEnd w:id="918"/>
      <w:bookmarkEnd w:id="919"/>
    </w:p>
    <w:p>
      <w:pPr>
        <w:pStyle w:val="20"/>
        <w:keepNext w:val="0"/>
        <w:keepLines w:val="0"/>
        <w:pageBreakBefore w:val="0"/>
        <w:kinsoku/>
        <w:wordWrap/>
        <w:overflowPunct/>
        <w:topLinePunct w:val="0"/>
        <w:autoSpaceDE/>
        <w:autoSpaceDN/>
        <w:bidi w:val="0"/>
        <w:adjustRightInd/>
        <w:snapToGrid/>
        <w:spacing w:line="596" w:lineRule="exact"/>
        <w:ind w:firstLine="64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考核每年进行一次，各二级学院于当年12月中旬完成自评，学校考核在当年12月底前完成。</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3" w:firstLineChars="200"/>
        <w:textAlignment w:val="auto"/>
        <w:outlineLvl w:val="9"/>
        <w:rPr>
          <w:rFonts w:hint="eastAsia" w:ascii="楷体_GB2312" w:hAnsi="Times New Roman" w:eastAsia="楷体_GB2312" w:cs="Times New Roman"/>
          <w:b/>
          <w:sz w:val="32"/>
          <w:szCs w:val="32"/>
          <w:highlight w:val="none"/>
          <w:lang w:val="en-US" w:eastAsia="zh-CN"/>
        </w:rPr>
      </w:pPr>
      <w:r>
        <w:rPr>
          <w:rFonts w:hint="eastAsia" w:ascii="楷体_GB2312" w:hAnsi="Times New Roman" w:eastAsia="楷体_GB2312" w:cs="Times New Roman"/>
          <w:b/>
          <w:sz w:val="32"/>
          <w:szCs w:val="32"/>
          <w:highlight w:val="none"/>
          <w:lang w:val="en-US" w:eastAsia="zh-CN"/>
        </w:rPr>
        <w:t>（一）二级学院自评</w:t>
      </w:r>
    </w:p>
    <w:p>
      <w:pPr>
        <w:pStyle w:val="20"/>
        <w:keepNext w:val="0"/>
        <w:keepLines w:val="0"/>
        <w:pageBreakBefore w:val="0"/>
        <w:kinsoku/>
        <w:wordWrap/>
        <w:overflowPunct/>
        <w:topLinePunct w:val="0"/>
        <w:autoSpaceDE/>
        <w:autoSpaceDN/>
        <w:bidi w:val="0"/>
        <w:adjustRightInd/>
        <w:snapToGrid/>
        <w:spacing w:line="596" w:lineRule="exact"/>
        <w:ind w:firstLine="64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各二级学院根据考核指标、内容，收集相关佐证材料，按照实事求是、客观准确的原则开展自评，并填报自评表。二级学院自评分仅作为考核的参考依据。</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3" w:firstLineChars="200"/>
        <w:textAlignment w:val="auto"/>
        <w:outlineLvl w:val="9"/>
        <w:rPr>
          <w:rFonts w:hint="eastAsia" w:ascii="楷体_GB2312" w:hAnsi="Times New Roman" w:eastAsia="楷体_GB2312" w:cs="Times New Roman"/>
          <w:b/>
          <w:sz w:val="32"/>
          <w:szCs w:val="32"/>
          <w:highlight w:val="none"/>
          <w:lang w:val="en-US" w:eastAsia="zh-CN"/>
        </w:rPr>
      </w:pPr>
      <w:r>
        <w:rPr>
          <w:rFonts w:hint="eastAsia" w:ascii="楷体_GB2312" w:hAnsi="Times New Roman" w:eastAsia="楷体_GB2312" w:cs="Times New Roman"/>
          <w:b/>
          <w:sz w:val="32"/>
          <w:szCs w:val="32"/>
          <w:highlight w:val="none"/>
          <w:lang w:val="en-US" w:eastAsia="zh-CN"/>
        </w:rPr>
        <w:t>（二）学校考核</w:t>
      </w:r>
    </w:p>
    <w:p>
      <w:pPr>
        <w:pStyle w:val="20"/>
        <w:keepNext w:val="0"/>
        <w:keepLines w:val="0"/>
        <w:pageBreakBefore w:val="0"/>
        <w:widowControl w:val="0"/>
        <w:kinsoku/>
        <w:wordWrap/>
        <w:overflowPunct/>
        <w:topLinePunct w:val="0"/>
        <w:autoSpaceDE/>
        <w:autoSpaceDN/>
        <w:bidi w:val="0"/>
        <w:adjustRightInd/>
        <w:snapToGrid/>
        <w:spacing w:line="596" w:lineRule="exact"/>
        <w:ind w:firstLine="64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学校招生就业处参照二级学院自评情况，结合相关时间节点数据统计，通过查阅考核材料和随机现场抽查的方式进行考评，考核结果报学校审定。</w:t>
      </w:r>
    </w:p>
    <w:p>
      <w:pPr>
        <w:pStyle w:val="20"/>
        <w:keepNext w:val="0"/>
        <w:keepLines w:val="0"/>
        <w:pageBreakBefore w:val="0"/>
        <w:widowControl w:val="0"/>
        <w:kinsoku/>
        <w:wordWrap/>
        <w:overflowPunct/>
        <w:topLinePunct w:val="0"/>
        <w:autoSpaceDE/>
        <w:autoSpaceDN/>
        <w:bidi w:val="0"/>
        <w:adjustRightInd/>
        <w:snapToGrid/>
        <w:spacing w:line="596" w:lineRule="exact"/>
        <w:ind w:firstLine="640"/>
        <w:textAlignment w:val="auto"/>
        <w:outlineLvl w:val="9"/>
        <w:rPr>
          <w:rFonts w:hint="eastAsia" w:ascii="黑体" w:hAnsi="黑体" w:eastAsia="黑体" w:cs="Times New Roman"/>
          <w:b/>
          <w:sz w:val="32"/>
          <w:szCs w:val="32"/>
          <w:highlight w:val="none"/>
          <w:lang w:val="en-US" w:eastAsia="zh-CN"/>
        </w:rPr>
      </w:pPr>
      <w:bookmarkStart w:id="920" w:name="_Toc10555"/>
      <w:bookmarkStart w:id="921" w:name="_Toc3906"/>
      <w:bookmarkStart w:id="922" w:name="_Toc5085_WPSOffice_Level1"/>
      <w:r>
        <w:rPr>
          <w:rFonts w:hint="eastAsia" w:ascii="黑体" w:hAnsi="黑体" w:eastAsia="黑体" w:cs="Times New Roman"/>
          <w:b/>
          <w:sz w:val="32"/>
          <w:szCs w:val="32"/>
          <w:highlight w:val="none"/>
          <w:lang w:val="en-US" w:eastAsia="zh-CN"/>
        </w:rPr>
        <w:t>六、奖惩办法</w:t>
      </w:r>
      <w:bookmarkEnd w:id="920"/>
      <w:bookmarkEnd w:id="921"/>
      <w:bookmarkEnd w:id="922"/>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（一）根据考核得分，评定优秀、良好、合格、基本合格、</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不合格五个等级，具体如下。</w:t>
      </w:r>
    </w:p>
    <w:tbl>
      <w:tblPr>
        <w:tblStyle w:val="15"/>
        <w:tblW w:w="87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260"/>
        <w:gridCol w:w="1450"/>
        <w:gridCol w:w="1474"/>
        <w:gridCol w:w="1633"/>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7" w:hRule="atLeast"/>
          <w:jc w:val="center"/>
        </w:trPr>
        <w:tc>
          <w:tcPr>
            <w:tcW w:w="1664"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考核总得分</w:t>
            </w:r>
          </w:p>
        </w:tc>
        <w:tc>
          <w:tcPr>
            <w:tcW w:w="1260"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总得分≥90分</w:t>
            </w:r>
          </w:p>
        </w:tc>
        <w:tc>
          <w:tcPr>
            <w:tcW w:w="1450"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80≤总得分&lt;90</w:t>
            </w:r>
          </w:p>
        </w:tc>
        <w:tc>
          <w:tcPr>
            <w:tcW w:w="1474"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70≤总得分&lt;80</w:t>
            </w:r>
          </w:p>
        </w:tc>
        <w:tc>
          <w:tcPr>
            <w:tcW w:w="1633"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60≤总得分&lt;70</w:t>
            </w:r>
          </w:p>
        </w:tc>
        <w:tc>
          <w:tcPr>
            <w:tcW w:w="1295"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总得分&lt;60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jc w:val="center"/>
        </w:trPr>
        <w:tc>
          <w:tcPr>
            <w:tcW w:w="1664"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考核</w:t>
            </w:r>
          </w:p>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等级</w:t>
            </w:r>
          </w:p>
        </w:tc>
        <w:tc>
          <w:tcPr>
            <w:tcW w:w="1260"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优秀</w:t>
            </w:r>
          </w:p>
        </w:tc>
        <w:tc>
          <w:tcPr>
            <w:tcW w:w="1450"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良好</w:t>
            </w:r>
          </w:p>
        </w:tc>
        <w:tc>
          <w:tcPr>
            <w:tcW w:w="1474"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合格</w:t>
            </w:r>
          </w:p>
        </w:tc>
        <w:tc>
          <w:tcPr>
            <w:tcW w:w="1633"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基本合格</w:t>
            </w:r>
          </w:p>
        </w:tc>
        <w:tc>
          <w:tcPr>
            <w:tcW w:w="1295" w:type="dxa"/>
            <w:vAlign w:val="center"/>
          </w:tcPr>
          <w:p>
            <w:pPr>
              <w:pStyle w:val="20"/>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不合格</w:t>
            </w:r>
          </w:p>
        </w:tc>
      </w:tr>
    </w:tbl>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（二）获得优秀的二级学院，授予“柳州职业技术学院 xx 年度就业工作先进单位”荣誉称号并授牌。</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（三）对于获得优秀等级的二级学院，学校在外派学习、交流、预算分配、奖励经费等方面给予相应政策倾斜。</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（四）考核结果为合格等级的，不奖不罚。</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（五）考核等级为基本合格或不合格的，由招生就业处督促</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制定整改措施，限期改正。</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（六）二级学院就业工作考核结果将作为该院系主要领导干部学校年度考核和院系工作考核的重要内容和参考依据。</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3" w:firstLineChars="200"/>
        <w:textAlignment w:val="auto"/>
        <w:outlineLvl w:val="9"/>
        <w:rPr>
          <w:rFonts w:hint="eastAsia" w:ascii="黑体" w:hAnsi="黑体" w:eastAsia="黑体" w:cs="Times New Roman"/>
          <w:b/>
          <w:sz w:val="32"/>
          <w:szCs w:val="32"/>
          <w:highlight w:val="none"/>
          <w:lang w:val="en-US" w:eastAsia="zh-CN"/>
        </w:rPr>
      </w:pPr>
      <w:bookmarkStart w:id="923" w:name="_Toc24153"/>
      <w:bookmarkStart w:id="924" w:name="_Toc28243_WPSOffice_Level1"/>
      <w:bookmarkStart w:id="925" w:name="_Toc20460"/>
      <w:r>
        <w:rPr>
          <w:rFonts w:hint="eastAsia" w:ascii="黑体" w:hAnsi="黑体" w:eastAsia="黑体" w:cs="Times New Roman"/>
          <w:b/>
          <w:sz w:val="32"/>
          <w:szCs w:val="32"/>
          <w:highlight w:val="none"/>
          <w:lang w:val="en-US" w:eastAsia="zh-CN"/>
        </w:rPr>
        <w:t>七、其它</w:t>
      </w:r>
      <w:bookmarkEnd w:id="923"/>
      <w:bookmarkEnd w:id="924"/>
      <w:bookmarkEnd w:id="925"/>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outlineLvl w:val="9"/>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（一）本办法由招生就业处负责解释。</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outlineLvl w:val="9"/>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（二）本办法自发布之日开始实施。</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textAlignment w:val="auto"/>
        <w:rPr>
          <w:rFonts w:hint="eastAsia" w:ascii="仿宋_GB2312" w:hAnsi="Times New Roman" w:eastAsia="仿宋_GB2312" w:cs="Times New Roman"/>
          <w:kern w:val="2"/>
          <w:sz w:val="32"/>
          <w:szCs w:val="32"/>
          <w:highlight w:val="none"/>
          <w:lang w:val="en-US" w:eastAsia="zh-CN" w:bidi="ar-SA"/>
        </w:rPr>
        <w:sectPr>
          <w:pgSz w:w="11906" w:h="16838"/>
          <w:pgMar w:top="2098" w:right="1474" w:bottom="1984" w:left="1587" w:header="851" w:footer="992" w:gutter="0"/>
          <w:pgNumType w:fmt="decimal"/>
          <w:cols w:space="0" w:num="1"/>
          <w:rtlGutter w:val="0"/>
          <w:docGrid w:type="lines" w:linePitch="312" w:charSpace="0"/>
        </w:sectPr>
      </w:pPr>
    </w:p>
    <w:p>
      <w:pPr>
        <w:pStyle w:val="20"/>
        <w:spacing w:line="560" w:lineRule="exact"/>
        <w:ind w:left="0" w:leftChars="0" w:firstLine="0" w:firstLineChars="0"/>
        <w:jc w:val="left"/>
        <w:outlineLvl w:val="9"/>
        <w:rPr>
          <w:rFonts w:hint="eastAsia" w:ascii="黑体" w:hAnsi="Calibri" w:eastAsia="黑体" w:cs="Times New Roman"/>
          <w:b/>
          <w:bCs/>
          <w:sz w:val="32"/>
          <w:szCs w:val="32"/>
          <w:highlight w:val="none"/>
          <w:lang w:val="en-US" w:eastAsia="zh-CN"/>
        </w:rPr>
      </w:pPr>
      <w:bookmarkStart w:id="926" w:name="_Toc19486"/>
      <w:bookmarkStart w:id="927" w:name="_Toc26955"/>
      <w:bookmarkStart w:id="928" w:name="_Toc14164_WPSOffice_Level1"/>
      <w:r>
        <w:rPr>
          <w:rFonts w:hint="eastAsia" w:ascii="黑体" w:hAnsi="Calibri" w:eastAsia="黑体" w:cs="Times New Roman"/>
          <w:b/>
          <w:bCs/>
          <w:sz w:val="32"/>
          <w:szCs w:val="32"/>
          <w:highlight w:val="none"/>
          <w:lang w:val="en-US" w:eastAsia="zh-CN"/>
        </w:rPr>
        <w:t>附件2：</w:t>
      </w:r>
      <w:bookmarkEnd w:id="926"/>
      <w:bookmarkEnd w:id="927"/>
      <w:bookmarkEnd w:id="928"/>
    </w:p>
    <w:p>
      <w:pPr>
        <w:pStyle w:val="20"/>
        <w:spacing w:line="560" w:lineRule="exact"/>
        <w:ind w:left="0" w:leftChars="0" w:firstLine="0" w:firstLineChars="0"/>
        <w:jc w:val="center"/>
        <w:outlineLvl w:val="9"/>
        <w:rPr>
          <w:rFonts w:hint="eastAsia" w:ascii="宋体" w:hAnsi="宋体" w:eastAsia="宋体" w:cs="宋体"/>
          <w:b/>
          <w:bCs/>
          <w:i w:val="0"/>
          <w:iCs w:val="0"/>
          <w:color w:val="000000"/>
          <w:kern w:val="0"/>
          <w:sz w:val="28"/>
          <w:szCs w:val="28"/>
          <w:u w:val="none"/>
          <w:lang w:val="en-US" w:eastAsia="zh-CN" w:bidi="ar"/>
        </w:rPr>
      </w:pPr>
      <w:bookmarkStart w:id="929" w:name="_Toc14678_WPSOffice_Level1"/>
      <w:r>
        <w:rPr>
          <w:rFonts w:hint="eastAsia" w:ascii="Times New Roman" w:hAnsi="Times New Roman" w:eastAsia="宋体" w:cs="Times New Roman"/>
          <w:b/>
          <w:color w:val="000000"/>
          <w:sz w:val="36"/>
          <w:szCs w:val="36"/>
          <w:highlight w:val="none"/>
          <w:lang w:val="en-US" w:eastAsia="zh-CN"/>
        </w:rPr>
        <w:t>柳州职业技术学院毕业生就业工作考核指标体系</w:t>
      </w:r>
      <w:bookmarkEnd w:id="929"/>
    </w:p>
    <w:tbl>
      <w:tblPr>
        <w:tblStyle w:val="14"/>
        <w:tblW w:w="14232" w:type="dxa"/>
        <w:tblInd w:w="93" w:type="dxa"/>
        <w:shd w:val="clear" w:color="auto" w:fill="auto"/>
        <w:tblLayout w:type="fixed"/>
        <w:tblCellMar>
          <w:top w:w="0" w:type="dxa"/>
          <w:left w:w="108" w:type="dxa"/>
          <w:bottom w:w="0" w:type="dxa"/>
          <w:right w:w="108" w:type="dxa"/>
        </w:tblCellMar>
      </w:tblPr>
      <w:tblGrid>
        <w:gridCol w:w="835"/>
        <w:gridCol w:w="1202"/>
        <w:gridCol w:w="6510"/>
        <w:gridCol w:w="900"/>
        <w:gridCol w:w="990"/>
        <w:gridCol w:w="945"/>
        <w:gridCol w:w="2850"/>
      </w:tblGrid>
      <w:tr>
        <w:tblPrEx>
          <w:shd w:val="clear" w:color="auto" w:fill="auto"/>
          <w:tblLayout w:type="fixed"/>
          <w:tblCellMar>
            <w:top w:w="0" w:type="dxa"/>
            <w:left w:w="108" w:type="dxa"/>
            <w:bottom w:w="0" w:type="dxa"/>
            <w:right w:w="108" w:type="dxa"/>
          </w:tblCellMar>
        </w:tblPrEx>
        <w:trPr>
          <w:trHeight w:val="161" w:hRule="atLeast"/>
        </w:trPr>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2"/>
                <w:sz w:val="24"/>
                <w:szCs w:val="24"/>
                <w:highlight w:val="none"/>
                <w:lang w:val="en-US" w:eastAsia="zh-CN" w:bidi="ar-SA"/>
              </w:rPr>
            </w:pPr>
            <w:r>
              <w:rPr>
                <w:rFonts w:hint="eastAsia" w:ascii="仿宋_GB2312" w:hAnsi="Times New Roman" w:eastAsia="仿宋_GB2312" w:cs="Times New Roman"/>
                <w:b/>
                <w:bCs/>
                <w:kern w:val="2"/>
                <w:sz w:val="24"/>
                <w:szCs w:val="24"/>
                <w:highlight w:val="none"/>
                <w:lang w:val="en-US" w:eastAsia="zh-CN" w:bidi="ar-SA"/>
              </w:rPr>
              <w:t>一级指标</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b/>
                <w:bCs/>
                <w:kern w:val="2"/>
                <w:sz w:val="24"/>
                <w:szCs w:val="24"/>
                <w:highlight w:val="none"/>
                <w:lang w:val="en-US" w:eastAsia="zh-CN" w:bidi="ar-SA"/>
              </w:rPr>
            </w:pPr>
            <w:r>
              <w:rPr>
                <w:rFonts w:hint="eastAsia" w:ascii="仿宋_GB2312" w:hAnsi="Times New Roman" w:eastAsia="仿宋_GB2312" w:cs="Times New Roman"/>
                <w:b/>
                <w:bCs/>
                <w:kern w:val="2"/>
                <w:sz w:val="24"/>
                <w:szCs w:val="24"/>
                <w:highlight w:val="none"/>
                <w:lang w:val="en-US" w:eastAsia="zh-CN" w:bidi="ar-SA"/>
              </w:rPr>
              <w:t>二级</w:t>
            </w:r>
          </w:p>
          <w:p>
            <w:pPr>
              <w:keepNext w:val="0"/>
              <w:keepLines w:val="0"/>
              <w:widowControl/>
              <w:suppressLineNumbers w:val="0"/>
              <w:jc w:val="center"/>
              <w:textAlignment w:val="center"/>
              <w:rPr>
                <w:rFonts w:hint="eastAsia" w:ascii="仿宋_GB2312" w:hAnsi="Times New Roman" w:eastAsia="仿宋_GB2312" w:cs="Times New Roman"/>
                <w:b/>
                <w:bCs/>
                <w:kern w:val="2"/>
                <w:sz w:val="24"/>
                <w:szCs w:val="24"/>
                <w:highlight w:val="none"/>
                <w:lang w:val="en-US" w:eastAsia="zh-CN" w:bidi="ar-SA"/>
              </w:rPr>
            </w:pPr>
            <w:r>
              <w:rPr>
                <w:rFonts w:hint="eastAsia" w:ascii="仿宋_GB2312" w:hAnsi="Times New Roman" w:eastAsia="仿宋_GB2312" w:cs="Times New Roman"/>
                <w:b/>
                <w:bCs/>
                <w:kern w:val="2"/>
                <w:sz w:val="24"/>
                <w:szCs w:val="24"/>
                <w:highlight w:val="none"/>
                <w:lang w:val="en-US" w:eastAsia="zh-CN" w:bidi="ar-SA"/>
              </w:rPr>
              <w:t>指标</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b/>
                <w:bCs/>
                <w:kern w:val="2"/>
                <w:sz w:val="24"/>
                <w:szCs w:val="24"/>
                <w:highlight w:val="none"/>
                <w:lang w:val="en-US" w:eastAsia="zh-CN" w:bidi="ar-SA"/>
              </w:rPr>
            </w:pPr>
            <w:r>
              <w:rPr>
                <w:rFonts w:hint="eastAsia" w:ascii="仿宋_GB2312" w:hAnsi="Times New Roman" w:eastAsia="仿宋_GB2312" w:cs="Times New Roman"/>
                <w:b/>
                <w:bCs/>
                <w:kern w:val="2"/>
                <w:sz w:val="24"/>
                <w:szCs w:val="24"/>
                <w:highlight w:val="none"/>
                <w:lang w:val="en-US" w:eastAsia="zh-CN" w:bidi="ar-SA"/>
              </w:rPr>
              <w:t>考核内容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b/>
                <w:bCs/>
                <w:kern w:val="2"/>
                <w:sz w:val="24"/>
                <w:szCs w:val="24"/>
                <w:highlight w:val="none"/>
                <w:lang w:val="en-US" w:eastAsia="zh-CN" w:bidi="ar-SA"/>
              </w:rPr>
            </w:pPr>
            <w:r>
              <w:rPr>
                <w:rFonts w:hint="eastAsia" w:ascii="仿宋_GB2312" w:hAnsi="Times New Roman" w:eastAsia="仿宋_GB2312" w:cs="Times New Roman"/>
                <w:b/>
                <w:bCs/>
                <w:kern w:val="2"/>
                <w:sz w:val="24"/>
                <w:szCs w:val="24"/>
                <w:highlight w:val="none"/>
                <w:lang w:val="en-US" w:eastAsia="zh-CN" w:bidi="ar-SA"/>
              </w:rPr>
              <w:t>分值</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b/>
                <w:bCs/>
                <w:kern w:val="2"/>
                <w:sz w:val="24"/>
                <w:szCs w:val="24"/>
                <w:highlight w:val="none"/>
                <w:lang w:val="en-US" w:eastAsia="zh-CN" w:bidi="ar-SA"/>
              </w:rPr>
            </w:pPr>
            <w:r>
              <w:rPr>
                <w:rFonts w:hint="eastAsia" w:ascii="仿宋_GB2312" w:hAnsi="Times New Roman" w:eastAsia="仿宋_GB2312" w:cs="Times New Roman"/>
                <w:b/>
                <w:bCs/>
                <w:kern w:val="2"/>
                <w:sz w:val="24"/>
                <w:szCs w:val="24"/>
                <w:highlight w:val="none"/>
                <w:lang w:val="en-US" w:eastAsia="zh-CN" w:bidi="ar-SA"/>
              </w:rPr>
              <w:t>自评分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b/>
                <w:bCs/>
                <w:kern w:val="2"/>
                <w:sz w:val="24"/>
                <w:szCs w:val="24"/>
                <w:highlight w:val="none"/>
                <w:lang w:val="en-US" w:eastAsia="zh-CN" w:bidi="ar-SA"/>
              </w:rPr>
            </w:pPr>
            <w:r>
              <w:rPr>
                <w:rFonts w:hint="eastAsia" w:ascii="仿宋_GB2312" w:hAnsi="Times New Roman" w:eastAsia="仿宋_GB2312" w:cs="Times New Roman"/>
                <w:b/>
                <w:bCs/>
                <w:kern w:val="2"/>
                <w:sz w:val="24"/>
                <w:szCs w:val="24"/>
                <w:highlight w:val="none"/>
                <w:lang w:val="en-US" w:eastAsia="zh-CN" w:bidi="ar-SA"/>
              </w:rPr>
              <w:t>考评分</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b/>
                <w:bCs/>
                <w:kern w:val="2"/>
                <w:sz w:val="24"/>
                <w:szCs w:val="24"/>
                <w:highlight w:val="none"/>
                <w:lang w:val="en-US" w:eastAsia="zh-CN" w:bidi="ar-SA"/>
              </w:rPr>
            </w:pPr>
            <w:r>
              <w:rPr>
                <w:rFonts w:hint="eastAsia" w:ascii="仿宋_GB2312" w:hAnsi="Times New Roman" w:eastAsia="仿宋_GB2312" w:cs="Times New Roman"/>
                <w:b/>
                <w:bCs/>
                <w:kern w:val="2"/>
                <w:sz w:val="24"/>
                <w:szCs w:val="24"/>
                <w:highlight w:val="none"/>
                <w:lang w:val="en-US" w:eastAsia="zh-CN" w:bidi="ar-SA"/>
              </w:rPr>
              <w:t>检查内容或评分标准</w:t>
            </w:r>
          </w:p>
        </w:tc>
      </w:tr>
      <w:tr>
        <w:tblPrEx>
          <w:shd w:val="clear" w:color="auto" w:fill="auto"/>
          <w:tblLayout w:type="fixed"/>
          <w:tblCellMar>
            <w:top w:w="0" w:type="dxa"/>
            <w:left w:w="108" w:type="dxa"/>
            <w:bottom w:w="0" w:type="dxa"/>
            <w:right w:w="108" w:type="dxa"/>
          </w:tblCellMar>
        </w:tblPrEx>
        <w:trPr>
          <w:trHeight w:val="240" w:hRule="atLeast"/>
        </w:trPr>
        <w:tc>
          <w:tcPr>
            <w:tcW w:w="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1.</w:t>
            </w:r>
            <w:r>
              <w:rPr>
                <w:rFonts w:hint="eastAsia" w:ascii="仿宋_GB2312" w:hAnsi="Times New Roman" w:eastAsia="仿宋_GB2312" w:cs="Times New Roman"/>
                <w:kern w:val="2"/>
                <w:sz w:val="24"/>
                <w:szCs w:val="24"/>
                <w:highlight w:val="none"/>
                <w:lang w:val="en-US" w:eastAsia="zh-CN" w:bidi="ar-SA"/>
              </w:rPr>
              <w:t>工作过程（100分，50%）</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工作</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保障</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落实院系毕业生就业工作“一把手”工程，成立本学院毕业生就业工作领导小组，实行二级学院党总支书记、院长负责制，明确就业工作领导小组成员及工作职责。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24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制定本学院就业工作方案（工作计划），明确本学院就业工作目标，并将目标责任分解到各辅导员、专业团队负责人、专业班主任等，实行就业工作网格化管理。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shd w:val="clear" w:color="auto" w:fill="auto"/>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建立学院协同开展就业工作体系，全体教职员工共同参与学院就业推荐、市场开拓工作，形成全员抓就业促就业的工作格局。</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每学年召开就业工作专题会不少于4次。</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二级学院提供佐证材料，缺1次扣1分</w:t>
            </w:r>
          </w:p>
        </w:tc>
      </w:tr>
      <w:tr>
        <w:tblPrEx>
          <w:shd w:val="clear" w:color="auto" w:fill="auto"/>
          <w:tblLayout w:type="fixed"/>
          <w:tblCellMar>
            <w:top w:w="0" w:type="dxa"/>
            <w:left w:w="108" w:type="dxa"/>
            <w:bottom w:w="0" w:type="dxa"/>
            <w:right w:w="108" w:type="dxa"/>
          </w:tblCellMar>
        </w:tblPrEx>
        <w:trPr>
          <w:trHeight w:val="9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撰写年度毕业生就业质量报告。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shd w:val="clear" w:color="auto" w:fill="auto"/>
          <w:tblLayout w:type="fixed"/>
          <w:tblCellMar>
            <w:top w:w="0" w:type="dxa"/>
            <w:left w:w="108" w:type="dxa"/>
            <w:bottom w:w="0" w:type="dxa"/>
            <w:right w:w="108" w:type="dxa"/>
          </w:tblCellMar>
        </w:tblPrEx>
        <w:trPr>
          <w:trHeight w:val="9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通过学院网站或班级群公布学校和教育厅就业监督举报电话。</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9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毕业生对学校就业服务网知晓率100%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毕业生“柳职就业吧”微信公众号绑定率达90%以上</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以招就处12月1日统计数据为准</w:t>
            </w:r>
          </w:p>
        </w:tc>
      </w:tr>
      <w:tr>
        <w:tblPrEx>
          <w:shd w:val="clear" w:color="auto" w:fill="auto"/>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辅导员在“全国高校毕业班辅导员就业工作平台”的绑定率不少于80%，及时完成平台发布的任务。</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招就处根据辅导员平台统计</w:t>
            </w:r>
          </w:p>
        </w:tc>
      </w:tr>
      <w:tr>
        <w:tblPrEx>
          <w:shd w:val="clear" w:color="auto" w:fill="auto"/>
          <w:tblLayout w:type="fixed"/>
          <w:tblCellMar>
            <w:top w:w="0" w:type="dxa"/>
            <w:left w:w="108" w:type="dxa"/>
            <w:bottom w:w="0" w:type="dxa"/>
            <w:right w:w="108" w:type="dxa"/>
          </w:tblCellMar>
        </w:tblPrEx>
        <w:trPr>
          <w:trHeight w:val="319"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数据</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管理</w:t>
            </w: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每月25日前报送就业月报表</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以招就处统计为准，上年12月-次年9月，不按时报送数据的一次扣0.5分</w:t>
            </w:r>
          </w:p>
        </w:tc>
      </w:tr>
      <w:tr>
        <w:tblPrEx>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按时完成毕业生信息采集与核验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w:t>
            </w:r>
          </w:p>
        </w:tc>
      </w:tr>
      <w:tr>
        <w:tblPrEx>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按时完成毕业生就业方案报送</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w:t>
            </w:r>
          </w:p>
        </w:tc>
      </w:tr>
      <w:tr>
        <w:tblPrEx>
          <w:shd w:val="clear" w:color="auto" w:fill="auto"/>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报送数据信息准确、真实、规范</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w:t>
            </w:r>
          </w:p>
        </w:tc>
      </w:tr>
      <w:tr>
        <w:tblPrEx>
          <w:shd w:val="clear" w:color="auto" w:fill="auto"/>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参加学校就业工作交叉检查</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w:t>
            </w:r>
          </w:p>
        </w:tc>
      </w:tr>
      <w:tr>
        <w:tblPrEx>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在国家及教育厅组织开展的就业核查督查中，学院就业工作比较扎实,没有发生重大就业问题</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w:t>
            </w:r>
          </w:p>
        </w:tc>
      </w:tr>
      <w:tr>
        <w:tblPrEx>
          <w:shd w:val="clear" w:color="auto" w:fill="auto"/>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就业证明材料符合就业统计要求，并进行归档管理</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w:t>
            </w:r>
          </w:p>
        </w:tc>
      </w:tr>
      <w:tr>
        <w:tblPrEx>
          <w:shd w:val="clear" w:color="auto" w:fill="auto"/>
          <w:tblLayout w:type="fixed"/>
          <w:tblCellMar>
            <w:top w:w="0" w:type="dxa"/>
            <w:left w:w="108" w:type="dxa"/>
            <w:bottom w:w="0" w:type="dxa"/>
            <w:right w:w="108" w:type="dxa"/>
          </w:tblCellMar>
        </w:tblPrEx>
        <w:trPr>
          <w:trHeight w:val="244"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对教育部学信网“学生反馈”版块中毕业生就业状况信息反馈的有误或存疑数据做到3日内核实反馈，无逾期处理现象。</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以招就处统计为准，一次逾期扣0.5分</w:t>
            </w:r>
          </w:p>
        </w:tc>
      </w:tr>
      <w:tr>
        <w:tblPrEx>
          <w:shd w:val="clear" w:color="auto" w:fill="auto"/>
          <w:tblLayout w:type="fixed"/>
          <w:tblCellMar>
            <w:top w:w="0" w:type="dxa"/>
            <w:left w:w="108" w:type="dxa"/>
            <w:bottom w:w="0" w:type="dxa"/>
            <w:right w:w="108" w:type="dxa"/>
          </w:tblCellMar>
        </w:tblPrEx>
        <w:trPr>
          <w:trHeight w:val="278"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学校组织的就业意向调查参与率不低于80%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每低于5个百分点扣0.5分，以招就处统计为准</w:t>
            </w:r>
          </w:p>
        </w:tc>
      </w:tr>
      <w:tr>
        <w:tblPrEx>
          <w:tblLayout w:type="fixed"/>
          <w:tblCellMar>
            <w:top w:w="0" w:type="dxa"/>
            <w:left w:w="108" w:type="dxa"/>
            <w:bottom w:w="0" w:type="dxa"/>
            <w:right w:w="108" w:type="dxa"/>
          </w:tblCellMar>
        </w:tblPrEx>
        <w:trPr>
          <w:trHeight w:val="319"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毕业半年就业跟踪调查参与率不低于80%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以招就处统计为准，每低于5个百分点扣0.5分，以招就处统计为准</w:t>
            </w:r>
          </w:p>
        </w:tc>
      </w:tr>
      <w:tr>
        <w:tblPrEx>
          <w:tblLayout w:type="fixed"/>
          <w:tblCellMar>
            <w:top w:w="0" w:type="dxa"/>
            <w:left w:w="108" w:type="dxa"/>
            <w:bottom w:w="0" w:type="dxa"/>
            <w:right w:w="108" w:type="dxa"/>
          </w:tblCellMar>
        </w:tblPrEx>
        <w:trPr>
          <w:trHeight w:val="414"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8月份教育厅组织的就业调查参与率不低于80%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以招就处统计为准，每低于5个百分点扣0.5分，以招就处统计为准</w:t>
            </w:r>
          </w:p>
        </w:tc>
      </w:tr>
      <w:tr>
        <w:tblPrEx>
          <w:tblLayout w:type="fixed"/>
          <w:tblCellMar>
            <w:top w:w="0" w:type="dxa"/>
            <w:left w:w="108" w:type="dxa"/>
            <w:bottom w:w="0" w:type="dxa"/>
            <w:right w:w="108" w:type="dxa"/>
          </w:tblCellMar>
        </w:tblPrEx>
        <w:trPr>
          <w:trHeight w:val="319"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教育部组织的就业调查参与率不低于80%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以招就处统计为准，每低于5个百分点扣0.5分，以招就处统计为准</w:t>
            </w:r>
          </w:p>
        </w:tc>
      </w:tr>
      <w:tr>
        <w:tblPrEx>
          <w:shd w:val="clear" w:color="auto" w:fill="auto"/>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精准</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帮扶</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建立重点群体“一对一”就业帮扶工作台账，实现重点群体100%帮扶</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为精准帮扶对象提供至少5个以上的工作岗位信息，且岗位收入不得低于每月2000元。</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shd w:val="clear" w:color="auto" w:fill="auto"/>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教育厅、人社局、学校等各级各类求职困难帮扶补助落实到位，除毕业生书面申请放弃外，无遗漏现象。</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以招就处统计为准</w:t>
            </w:r>
          </w:p>
        </w:tc>
      </w:tr>
      <w:tr>
        <w:tblPrEx>
          <w:shd w:val="clear" w:color="auto" w:fill="auto"/>
          <w:tblLayout w:type="fixed"/>
          <w:tblCellMar>
            <w:top w:w="0" w:type="dxa"/>
            <w:left w:w="108" w:type="dxa"/>
            <w:bottom w:w="0" w:type="dxa"/>
            <w:right w:w="108" w:type="dxa"/>
          </w:tblCellMar>
        </w:tblPrEx>
        <w:trPr>
          <w:trHeight w:val="278"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二级学院精准帮扶毕业生初次毕业去向落实率不低于本学院初次毕业去向落实率。</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截至2021年8月30日，以招就处统计为准</w:t>
            </w:r>
          </w:p>
        </w:tc>
      </w:tr>
      <w:tr>
        <w:tblPrEx>
          <w:tblLayout w:type="fixed"/>
          <w:tblCellMar>
            <w:top w:w="0" w:type="dxa"/>
            <w:left w:w="108" w:type="dxa"/>
            <w:bottom w:w="0" w:type="dxa"/>
            <w:right w:w="108" w:type="dxa"/>
          </w:tblCellMar>
        </w:tblPrEx>
        <w:trPr>
          <w:trHeight w:val="9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就业</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指导</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组织毕业生代表参加校级就业指导讲座1次以上。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shd w:val="clear" w:color="auto" w:fill="auto"/>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学院级就业指导讲座1场以上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各班级在毕业生离校前至少召开1次就业指导班会</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毕业生离校后至少1次线上或返校后就业主题班会。</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组织毕业生参加教育部24365就业指导直播课及各级各类校外就业指导活动。</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提供相关材料或截图</w:t>
            </w:r>
          </w:p>
        </w:tc>
      </w:tr>
      <w:tr>
        <w:tblPrEx>
          <w:shd w:val="clear" w:color="auto" w:fill="auto"/>
          <w:tblLayout w:type="fixed"/>
          <w:tblCellMar>
            <w:top w:w="0" w:type="dxa"/>
            <w:left w:w="108" w:type="dxa"/>
            <w:bottom w:w="0" w:type="dxa"/>
            <w:right w:w="108" w:type="dxa"/>
          </w:tblCellMar>
        </w:tblPrEx>
        <w:trPr>
          <w:trHeight w:val="244"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就业工作队伍人员参加校内就业培训人均1次以上，毕业班辅导员参加校外就业培训（线上/线下）人均1次以上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提供相关材料或照片，缺1人/次扣1分。</w:t>
            </w:r>
          </w:p>
        </w:tc>
      </w:tr>
      <w:tr>
        <w:tblPrEx>
          <w:tblLayout w:type="fixed"/>
          <w:tblCellMar>
            <w:top w:w="0" w:type="dxa"/>
            <w:left w:w="108" w:type="dxa"/>
            <w:bottom w:w="0" w:type="dxa"/>
            <w:right w:w="108" w:type="dxa"/>
          </w:tblCellMar>
        </w:tblPrEx>
        <w:trPr>
          <w:trHeight w:val="346"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一对一个性化指导比例不低于10%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查看工作记录，每减少1%，扣1分，，以招就处统计为准</w:t>
            </w:r>
          </w:p>
        </w:tc>
      </w:tr>
      <w:tr>
        <w:tblPrEx>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开展有创业教育宣传或指导活动，推动大学生创业。</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31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回访应届或往届毕业生人数不低于学院毕业生人数10%。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二级学院提供佐证材料，每减少1%，扣1分，扣完为止</w:t>
            </w:r>
          </w:p>
        </w:tc>
      </w:tr>
      <w:tr>
        <w:tblPrEx>
          <w:shd w:val="clear" w:color="auto" w:fill="auto"/>
          <w:tblLayout w:type="fixed"/>
          <w:tblCellMar>
            <w:top w:w="0" w:type="dxa"/>
            <w:left w:w="108" w:type="dxa"/>
            <w:bottom w:w="0" w:type="dxa"/>
            <w:right w:w="108" w:type="dxa"/>
          </w:tblCellMar>
        </w:tblPrEx>
        <w:trPr>
          <w:trHeight w:val="108"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市场</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开拓</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毕业年度参加校企洽谈会至少2次以上。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shd w:val="clear" w:color="auto" w:fill="auto"/>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回访长期合作企业2家以上、考察调研未合作企业2家以上。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校园</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招聘</w:t>
            </w: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学院领导每年带队参加校内外毕业生就业双选会1场以上。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学院宣讲会场次与毕业生人数比达1:100以上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shd w:val="clear" w:color="auto" w:fill="auto"/>
          <w:tblLayout w:type="fixed"/>
          <w:tblCellMar>
            <w:top w:w="0" w:type="dxa"/>
            <w:left w:w="108" w:type="dxa"/>
            <w:bottom w:w="0" w:type="dxa"/>
            <w:right w:w="108" w:type="dxa"/>
          </w:tblCellMar>
        </w:tblPrEx>
        <w:trPr>
          <w:trHeight w:val="478"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为应届毕业生提供人均5个以上的就业岗位。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8月30日统计，各学院层面线上+线下双选会、宣讲会、线上招聘等招聘活动的岗位数与毕业生人数之比大于1:5，人均少1个岗位扣1分。</w:t>
            </w:r>
          </w:p>
        </w:tc>
      </w:tr>
      <w:tr>
        <w:tblPrEx>
          <w:tblLayout w:type="fixed"/>
          <w:tblCellMar>
            <w:top w:w="0" w:type="dxa"/>
            <w:left w:w="108" w:type="dxa"/>
            <w:bottom w:w="0" w:type="dxa"/>
            <w:right w:w="108" w:type="dxa"/>
          </w:tblCellMar>
        </w:tblPrEx>
        <w:trPr>
          <w:trHeight w:val="244"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审核发布企业入驻、线上招聘信息不超过3个工作日内，无企业投诉记录。</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有企业投诉1次扣1分，以招就处统计为准</w:t>
            </w:r>
          </w:p>
        </w:tc>
      </w:tr>
      <w:tr>
        <w:tblPrEx>
          <w:shd w:val="clear" w:color="auto" w:fill="auto"/>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专升本</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做好升学政策宣传和组织动员工作，确保政策知晓率100%，鼓励符合条件的未就业毕业生积极参加专升本，无毕业生投诉、上访事件。</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参军</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入伍</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做好应征入伍宣传动员工作，确保政策知晓率100%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落实应征入伍大学生士兵享受学费补偿、国家助学贷款代偿和学费减免待遇工作，无毕业生投诉现象。</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shd w:val="clear" w:color="auto" w:fill="auto"/>
          <w:tblLayout w:type="fixed"/>
          <w:tblCellMar>
            <w:top w:w="0" w:type="dxa"/>
            <w:left w:w="108" w:type="dxa"/>
            <w:bottom w:w="0" w:type="dxa"/>
            <w:right w:w="108" w:type="dxa"/>
          </w:tblCellMar>
        </w:tblPrEx>
        <w:trPr>
          <w:trHeight w:val="319"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文明</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离校</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开展多种形式的毕业生离校教育活动，加强禁毒、保密等教育。提供方便快捷的离校办理流程，确保毕业生安全、文明、顺利离校，就业服务工作不断线。无因毕业生就业问题而引起的群体性上访事件。</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二级学院提供佐证材料</w:t>
            </w:r>
          </w:p>
        </w:tc>
      </w:tr>
      <w:tr>
        <w:tblPrEx>
          <w:shd w:val="clear" w:color="auto" w:fill="auto"/>
          <w:tblLayout w:type="fixed"/>
          <w:tblCellMar>
            <w:top w:w="0" w:type="dxa"/>
            <w:left w:w="108" w:type="dxa"/>
            <w:bottom w:w="0" w:type="dxa"/>
            <w:right w:w="108" w:type="dxa"/>
          </w:tblCellMar>
        </w:tblPrEx>
        <w:trPr>
          <w:trHeight w:val="312" w:hRule="atLeast"/>
        </w:trPr>
        <w:tc>
          <w:tcPr>
            <w:tcW w:w="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2.</w:t>
            </w:r>
            <w:r>
              <w:rPr>
                <w:rFonts w:hint="eastAsia" w:ascii="仿宋_GB2312" w:hAnsi="Times New Roman" w:eastAsia="仿宋_GB2312" w:cs="Times New Roman"/>
                <w:kern w:val="2"/>
                <w:sz w:val="24"/>
                <w:szCs w:val="24"/>
                <w:highlight w:val="none"/>
                <w:lang w:val="en-US" w:eastAsia="zh-CN" w:bidi="ar-SA"/>
              </w:rPr>
              <w:t>工作实效（100分，50%）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初次就业去向落实率</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分值=20+(初次就业去向落实率-90%)*100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30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以上报教育厅的数据核算为准。</w:t>
            </w:r>
          </w:p>
        </w:tc>
      </w:tr>
      <w:tr>
        <w:tblPrEx>
          <w:tblLayout w:type="fixed"/>
          <w:tblCellMar>
            <w:top w:w="0" w:type="dxa"/>
            <w:left w:w="108" w:type="dxa"/>
            <w:bottom w:w="0" w:type="dxa"/>
            <w:right w:w="108" w:type="dxa"/>
          </w:tblCellMar>
        </w:tblPrEx>
        <w:trPr>
          <w:trHeight w:val="38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毕业半年毕业去向落实率</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分值=10+(毕业半年就业率-全校平均数据)*100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以12月底毕业半年就业调查数据为准</w:t>
            </w:r>
          </w:p>
        </w:tc>
      </w:tr>
      <w:tr>
        <w:tblPrEx>
          <w:shd w:val="clear" w:color="auto" w:fill="auto"/>
          <w:tblLayout w:type="fixed"/>
          <w:tblCellMar>
            <w:top w:w="0" w:type="dxa"/>
            <w:left w:w="108" w:type="dxa"/>
            <w:bottom w:w="0" w:type="dxa"/>
            <w:right w:w="108" w:type="dxa"/>
          </w:tblCellMar>
        </w:tblPrEx>
        <w:trPr>
          <w:trHeight w:val="176"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对口率</w:t>
            </w:r>
          </w:p>
        </w:tc>
        <w:tc>
          <w:tcPr>
            <w:tcW w:w="6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分值=(学院数据-全校平均数据)*100，最高10分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以初次就业去向落实率数据为准</w:t>
            </w:r>
          </w:p>
        </w:tc>
      </w:tr>
      <w:tr>
        <w:tblPrEx>
          <w:tblLayout w:type="fixed"/>
          <w:tblCellMar>
            <w:top w:w="0" w:type="dxa"/>
            <w:left w:w="108" w:type="dxa"/>
            <w:bottom w:w="0" w:type="dxa"/>
            <w:right w:w="108" w:type="dxa"/>
          </w:tblCellMar>
        </w:tblPrEx>
        <w:trPr>
          <w:trHeight w:val="31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协议和合同类就业率</w:t>
            </w:r>
          </w:p>
        </w:tc>
        <w:tc>
          <w:tcPr>
            <w:tcW w:w="6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分值=(学院数据-全校平均数据)*10，最高10分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以初次就业去向落实率数据为准</w:t>
            </w:r>
          </w:p>
        </w:tc>
      </w:tr>
      <w:tr>
        <w:tblPrEx>
          <w:tblLayout w:type="fixed"/>
          <w:tblCellMar>
            <w:top w:w="0" w:type="dxa"/>
            <w:left w:w="108" w:type="dxa"/>
            <w:bottom w:w="0" w:type="dxa"/>
            <w:right w:w="108" w:type="dxa"/>
          </w:tblCellMar>
        </w:tblPrEx>
        <w:trPr>
          <w:trHeight w:val="176"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升学率</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分值=(学院数据-全校平均数据)*100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以初次就业去向落实率数据为准</w:t>
            </w:r>
          </w:p>
        </w:tc>
      </w:tr>
      <w:tr>
        <w:tblPrEx>
          <w:shd w:val="clear" w:color="auto" w:fill="auto"/>
          <w:tblLayout w:type="fixed"/>
          <w:tblCellMar>
            <w:top w:w="0" w:type="dxa"/>
            <w:left w:w="108" w:type="dxa"/>
            <w:bottom w:w="0" w:type="dxa"/>
            <w:right w:w="108" w:type="dxa"/>
          </w:tblCellMar>
        </w:tblPrEx>
        <w:trPr>
          <w:trHeight w:val="176"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升学报到率</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分值=（实际报到率-95%）*100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以本科学校反馈数据为准</w:t>
            </w:r>
          </w:p>
        </w:tc>
      </w:tr>
      <w:tr>
        <w:tblPrEx>
          <w:shd w:val="clear" w:color="auto" w:fill="auto"/>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参军率</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分值=二级学院参军率*100，最高5分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以初次就业去向落实率数据为准</w:t>
            </w:r>
          </w:p>
        </w:tc>
      </w:tr>
      <w:tr>
        <w:tblPrEx>
          <w:tblLayout w:type="fixed"/>
          <w:tblCellMar>
            <w:top w:w="0" w:type="dxa"/>
            <w:left w:w="108" w:type="dxa"/>
            <w:bottom w:w="0" w:type="dxa"/>
            <w:right w:w="108" w:type="dxa"/>
          </w:tblCellMar>
        </w:tblPrEx>
        <w:trPr>
          <w:trHeight w:val="176"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创业率</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分值=二级学院创业率*1000，最高5分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以初次就业去向落实率数据为准</w:t>
            </w:r>
          </w:p>
        </w:tc>
      </w:tr>
      <w:tr>
        <w:tblPrEx>
          <w:tblLayout w:type="fixed"/>
          <w:tblCellMar>
            <w:top w:w="0" w:type="dxa"/>
            <w:left w:w="108" w:type="dxa"/>
            <w:bottom w:w="0" w:type="dxa"/>
            <w:right w:w="108" w:type="dxa"/>
          </w:tblCellMar>
        </w:tblPrEx>
        <w:trPr>
          <w:trHeight w:val="278"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毕业生就业满意度</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分值=（二级学院毕业生就业满意度-92%)*100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以12月底毕业半年就业调查数据为准</w:t>
            </w:r>
          </w:p>
        </w:tc>
      </w:tr>
      <w:tr>
        <w:tblPrEx>
          <w:shd w:val="clear" w:color="auto" w:fill="auto"/>
          <w:tblLayout w:type="fixed"/>
          <w:tblCellMar>
            <w:top w:w="0" w:type="dxa"/>
            <w:left w:w="108" w:type="dxa"/>
            <w:bottom w:w="0" w:type="dxa"/>
            <w:right w:w="108" w:type="dxa"/>
          </w:tblCellMar>
        </w:tblPrEx>
        <w:trPr>
          <w:trHeight w:val="244"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用人单位满意度</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分值=（二级学院用人单位满意度-93%）*100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以12月底毕业半年就业调查数据为准</w:t>
            </w:r>
          </w:p>
        </w:tc>
      </w:tr>
      <w:tr>
        <w:tblPrEx>
          <w:shd w:val="clear" w:color="auto" w:fill="auto"/>
          <w:tblLayout w:type="fixed"/>
          <w:tblCellMar>
            <w:top w:w="0" w:type="dxa"/>
            <w:left w:w="108" w:type="dxa"/>
            <w:bottom w:w="0" w:type="dxa"/>
            <w:right w:w="108" w:type="dxa"/>
          </w:tblCellMar>
        </w:tblPrEx>
        <w:trPr>
          <w:trHeight w:val="90" w:hRule="atLeast"/>
        </w:trPr>
        <w:tc>
          <w:tcPr>
            <w:tcW w:w="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3.加减分项</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加分</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项目</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组织学院双选会，每组织1次加1分。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提供相关材料</w:t>
            </w:r>
          </w:p>
        </w:tc>
      </w:tr>
      <w:tr>
        <w:tblPrEx>
          <w:tblLayout w:type="fixed"/>
          <w:tblCellMar>
            <w:top w:w="0" w:type="dxa"/>
            <w:left w:w="108" w:type="dxa"/>
            <w:bottom w:w="0" w:type="dxa"/>
            <w:right w:w="108" w:type="dxa"/>
          </w:tblCellMar>
        </w:tblPrEx>
        <w:trPr>
          <w:trHeight w:val="9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年度协助学校承办大型双选会，每协助1次加1分。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提供相关材料</w:t>
            </w:r>
          </w:p>
        </w:tc>
      </w:tr>
      <w:tr>
        <w:tblPrEx>
          <w:tblLayout w:type="fixed"/>
          <w:tblCellMar>
            <w:top w:w="0" w:type="dxa"/>
            <w:left w:w="108" w:type="dxa"/>
            <w:bottom w:w="0" w:type="dxa"/>
            <w:right w:w="108" w:type="dxa"/>
          </w:tblCellMar>
        </w:tblPrEx>
        <w:trPr>
          <w:trHeight w:val="9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设有专职就业工作人员，加2分。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提供相关材料</w:t>
            </w:r>
          </w:p>
        </w:tc>
      </w:tr>
      <w:tr>
        <w:tblPrEx>
          <w:tblLayout w:type="fixed"/>
          <w:tblCellMar>
            <w:top w:w="0" w:type="dxa"/>
            <w:left w:w="108" w:type="dxa"/>
            <w:bottom w:w="0" w:type="dxa"/>
            <w:right w:w="108" w:type="dxa"/>
          </w:tblCellMar>
        </w:tblPrEx>
        <w:trPr>
          <w:trHeight w:val="9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年度获得校级以上就业创业相关研究课题立项，每项加2分。</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提供相关材料</w:t>
            </w:r>
          </w:p>
        </w:tc>
      </w:tr>
      <w:tr>
        <w:tblPrEx>
          <w:tblLayout w:type="fixed"/>
          <w:tblCellMar>
            <w:top w:w="0" w:type="dxa"/>
            <w:left w:w="108" w:type="dxa"/>
            <w:bottom w:w="0" w:type="dxa"/>
            <w:right w:w="108" w:type="dxa"/>
          </w:tblCellMar>
        </w:tblPrEx>
        <w:trPr>
          <w:trHeight w:val="90"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年度在省级刊物上发表就业创业相关论文，每篇加1分。</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提供相关材料</w:t>
            </w:r>
          </w:p>
        </w:tc>
      </w:tr>
      <w:tr>
        <w:tblPrEx>
          <w:tblLayout w:type="fixed"/>
          <w:tblCellMar>
            <w:top w:w="0" w:type="dxa"/>
            <w:left w:w="108" w:type="dxa"/>
            <w:bottom w:w="0" w:type="dxa"/>
            <w:right w:w="108" w:type="dxa"/>
          </w:tblCellMar>
        </w:tblPrEx>
        <w:trPr>
          <w:trHeight w:val="176"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达到或者超过本学院上一年度初次就业去向落实率，加2分。</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以初次就业去向落实率数据为准</w:t>
            </w:r>
          </w:p>
        </w:tc>
      </w:tr>
      <w:tr>
        <w:tblPrEx>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减分</w:t>
            </w:r>
          </w:p>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项目</w:t>
            </w:r>
          </w:p>
        </w:tc>
        <w:tc>
          <w:tcPr>
            <w:tcW w:w="6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6</w:t>
            </w:r>
            <w:r>
              <w:rPr>
                <w:rFonts w:hint="eastAsia" w:ascii="仿宋_GB2312" w:hAnsi="Times New Roman" w:eastAsia="仿宋_GB2312" w:cs="Times New Roman"/>
                <w:kern w:val="2"/>
                <w:sz w:val="24"/>
                <w:szCs w:val="24"/>
                <w:highlight w:val="none"/>
                <w:lang w:val="en-US" w:eastAsia="zh-CN" w:bidi="ar-SA"/>
              </w:rPr>
              <w:t>月25日毕业去向落实率低于80%，每减少一个百分点扣减1分。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根据云就业系统数据为准</w:t>
            </w:r>
          </w:p>
        </w:tc>
      </w:tr>
      <w:tr>
        <w:tblPrEx>
          <w:shd w:val="clear" w:color="auto" w:fill="auto"/>
          <w:tblLayout w:type="fixed"/>
          <w:tblCellMar>
            <w:top w:w="0" w:type="dxa"/>
            <w:left w:w="108" w:type="dxa"/>
            <w:bottom w:w="0" w:type="dxa"/>
            <w:right w:w="108" w:type="dxa"/>
          </w:tblCellMar>
        </w:tblPrEx>
        <w:trPr>
          <w:trHeight w:val="142"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教育部学信网有“可疑”异常反馈记录，每5条扣1分。</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以教育部系统反馈为准</w:t>
            </w:r>
          </w:p>
        </w:tc>
      </w:tr>
      <w:tr>
        <w:tblPrEx>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出现企业投诉1次扣1分。</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以书面或明确投诉说明为准</w:t>
            </w:r>
          </w:p>
        </w:tc>
      </w:tr>
      <w:tr>
        <w:tblPrEx>
          <w:shd w:val="clear" w:color="auto" w:fill="auto"/>
          <w:tblLayout w:type="fixed"/>
          <w:tblCellMar>
            <w:top w:w="0" w:type="dxa"/>
            <w:left w:w="108" w:type="dxa"/>
            <w:bottom w:w="0" w:type="dxa"/>
            <w:right w:w="108" w:type="dxa"/>
          </w:tblCellMar>
        </w:tblPrEx>
        <w:trPr>
          <w:trHeight w:val="161" w:hRule="atLeast"/>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6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出现毕业生投诉1次扣1分</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以书面或明确投诉说明为准</w:t>
            </w:r>
          </w:p>
        </w:tc>
      </w:tr>
      <w:tr>
        <w:tblPrEx>
          <w:tblLayout w:type="fixed"/>
          <w:tblCellMar>
            <w:top w:w="0" w:type="dxa"/>
            <w:left w:w="108" w:type="dxa"/>
            <w:bottom w:w="0" w:type="dxa"/>
            <w:right w:w="108" w:type="dxa"/>
          </w:tblCellMar>
        </w:tblPrEx>
        <w:trPr>
          <w:trHeight w:val="161" w:hRule="atLeast"/>
        </w:trPr>
        <w:tc>
          <w:tcPr>
            <w:tcW w:w="20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4.一票否决</w:t>
            </w:r>
          </w:p>
        </w:tc>
        <w:tc>
          <w:tcPr>
            <w:tcW w:w="6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仿宋_GB2312" w:hAnsi="Times New Roman" w:eastAsia="仿宋_GB2312" w:cs="Times New Roman"/>
                <w:kern w:val="2"/>
                <w:sz w:val="24"/>
                <w:szCs w:val="24"/>
                <w:highlight w:val="none"/>
                <w:lang w:val="en-US" w:eastAsia="zh-CN" w:bidi="ar-SA"/>
              </w:rPr>
            </w:pPr>
            <w:r>
              <w:rPr>
                <w:rFonts w:hint="default" w:ascii="仿宋_GB2312" w:hAnsi="Times New Roman" w:eastAsia="仿宋_GB2312" w:cs="Times New Roman"/>
                <w:kern w:val="2"/>
                <w:sz w:val="24"/>
                <w:szCs w:val="24"/>
                <w:highlight w:val="none"/>
                <w:lang w:val="en-US" w:eastAsia="zh-CN" w:bidi="ar-SA"/>
              </w:rPr>
              <w:t>在上级抽查督查中发现有违反四不准要求的、就业数据弄虚作假或存在其他不符合就业规定，经核实情况属实的，实施一票否决制。</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以上级相关通知为准。</w:t>
            </w:r>
          </w:p>
        </w:tc>
      </w:tr>
      <w:tr>
        <w:tblPrEx>
          <w:tblLayout w:type="fixed"/>
          <w:tblCellMar>
            <w:top w:w="0" w:type="dxa"/>
            <w:left w:w="108" w:type="dxa"/>
            <w:bottom w:w="0" w:type="dxa"/>
            <w:right w:w="108" w:type="dxa"/>
          </w:tblCellMar>
        </w:tblPrEx>
        <w:trPr>
          <w:trHeight w:val="90" w:hRule="atLeast"/>
        </w:trPr>
        <w:tc>
          <w:tcPr>
            <w:tcW w:w="85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综合考核成绩得分</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2"/>
                <w:sz w:val="24"/>
                <w:szCs w:val="24"/>
                <w:highlight w:val="none"/>
                <w:lang w:val="en-US" w:eastAsia="zh-CN" w:bidi="ar-SA"/>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Times New Roman" w:eastAsia="仿宋_GB2312" w:cs="Times New Roman"/>
                <w:kern w:val="2"/>
                <w:sz w:val="24"/>
                <w:szCs w:val="24"/>
                <w:highlight w:val="none"/>
                <w:lang w:val="en-US" w:eastAsia="zh-CN" w:bidi="ar-SA"/>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Times New Roman" w:eastAsia="仿宋_GB2312" w:cs="Times New Roman"/>
                <w:kern w:val="2"/>
                <w:sz w:val="24"/>
                <w:szCs w:val="24"/>
                <w:highlight w:val="none"/>
                <w:lang w:val="en-US" w:eastAsia="zh-CN" w:bidi="ar-SA"/>
              </w:rPr>
            </w:pPr>
          </w:p>
        </w:tc>
      </w:tr>
    </w:tbl>
    <w:p>
      <w:pPr>
        <w:pStyle w:val="20"/>
        <w:keepNext w:val="0"/>
        <w:keepLines w:val="0"/>
        <w:pageBreakBefore w:val="0"/>
        <w:widowControl w:val="0"/>
        <w:numPr>
          <w:ilvl w:val="0"/>
          <w:numId w:val="0"/>
        </w:numPr>
        <w:kinsoku/>
        <w:wordWrap/>
        <w:overflowPunct/>
        <w:topLinePunct w:val="0"/>
        <w:autoSpaceDE/>
        <w:autoSpaceDN/>
        <w:bidi w:val="0"/>
        <w:adjustRightInd/>
        <w:snapToGrid/>
        <w:spacing w:line="596" w:lineRule="exact"/>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b/>
          <w:bCs/>
          <w:kern w:val="2"/>
          <w:sz w:val="24"/>
          <w:szCs w:val="24"/>
          <w:highlight w:val="none"/>
          <w:lang w:val="en-US" w:eastAsia="zh-CN" w:bidi="ar-SA"/>
        </w:rPr>
        <w:t>备注：综合考核成绩=工作过程*50%+就业工作实效*50%+加减分</w:t>
      </w:r>
    </w:p>
    <w:p>
      <w:pPr>
        <w:sectPr>
          <w:pgSz w:w="11906" w:h="16838"/>
          <w:pgMar w:top="1440" w:right="1800" w:bottom="1440" w:left="1800" w:header="851" w:footer="992" w:gutter="0"/>
          <w:pgNumType w:fmt="decimal"/>
          <w:cols w:space="425" w:num="1"/>
          <w:docGrid w:type="lines" w:linePitch="312" w:charSpace="0"/>
        </w:sectPr>
      </w:pPr>
    </w:p>
    <w:p>
      <w:pPr>
        <w:pStyle w:val="2"/>
        <w:keepNext/>
        <w:keepLines/>
        <w:widowControl w:val="0"/>
        <w:spacing w:before="0" w:beforeAutospacing="0" w:after="0" w:afterAutospacing="0" w:line="600" w:lineRule="exact"/>
        <w:jc w:val="center"/>
        <w:outlineLvl w:val="9"/>
        <w:rPr>
          <w:rFonts w:hint="eastAsia" w:ascii="宋体" w:hAnsi="宋体"/>
          <w:b/>
          <w:bCs/>
          <w:color w:val="000000"/>
          <w:sz w:val="36"/>
          <w:szCs w:val="36"/>
          <w:lang w:val="en-US" w:eastAsia="zh-CN"/>
        </w:rPr>
      </w:pPr>
      <w:bookmarkStart w:id="930" w:name="_Toc10674_WPSOffice_Level1"/>
      <w:bookmarkStart w:id="931" w:name="_Toc27621"/>
      <w:bookmarkStart w:id="932" w:name="_Toc534379470"/>
      <w:bookmarkStart w:id="933" w:name="_Toc28516"/>
      <w:bookmarkStart w:id="934" w:name="_Toc9728"/>
      <w:bookmarkStart w:id="935" w:name="_Toc31814"/>
      <w:bookmarkStart w:id="936" w:name="_Toc10635"/>
      <w:bookmarkStart w:id="937" w:name="_Toc28261"/>
      <w:bookmarkStart w:id="938" w:name="_Toc7251"/>
      <w:bookmarkStart w:id="939" w:name="_Toc26816"/>
      <w:r>
        <w:rPr>
          <w:rFonts w:hint="eastAsia" w:ascii="宋体" w:hAnsi="宋体"/>
          <w:b/>
          <w:bCs/>
          <w:color w:val="000000"/>
          <w:sz w:val="36"/>
          <w:szCs w:val="36"/>
          <w:lang w:val="en-US" w:eastAsia="zh-CN"/>
        </w:rPr>
        <w:t>柳州职业技术学院</w:t>
      </w:r>
      <w:r>
        <w:rPr>
          <w:rFonts w:ascii="宋体" w:hAnsi="宋体"/>
          <w:b/>
          <w:bCs/>
          <w:color w:val="000000"/>
          <w:sz w:val="36"/>
          <w:szCs w:val="36"/>
          <w:lang w:val="en-US" w:eastAsia="zh-CN"/>
        </w:rPr>
        <w:t>毕业生就业工作目标管理办法</w:t>
      </w:r>
      <w:bookmarkEnd w:id="930"/>
      <w:bookmarkEnd w:id="931"/>
      <w:bookmarkEnd w:id="932"/>
      <w:bookmarkEnd w:id="933"/>
      <w:bookmarkEnd w:id="934"/>
      <w:bookmarkEnd w:id="935"/>
      <w:bookmarkEnd w:id="936"/>
      <w:bookmarkEnd w:id="937"/>
      <w:bookmarkEnd w:id="938"/>
      <w:bookmarkEnd w:id="939"/>
    </w:p>
    <w:p>
      <w:pPr>
        <w:pStyle w:val="1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（柳职院字〔2018〕1）</w:t>
      </w:r>
    </w:p>
    <w:p>
      <w:pPr>
        <w:widowControl/>
        <w:ind w:firstLine="422" w:firstLineChars="200"/>
        <w:jc w:val="left"/>
        <w:rPr>
          <w:rFonts w:hint="eastAsia" w:ascii="宋体" w:hAnsi="宋体" w:cs="宋体"/>
          <w:b/>
          <w:kern w:val="0"/>
          <w:szCs w:val="28"/>
        </w:rPr>
      </w:pPr>
    </w:p>
    <w:p>
      <w:pPr>
        <w:spacing w:line="580" w:lineRule="exact"/>
        <w:ind w:firstLine="643"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xml:space="preserve">  为深入贯彻落实教育部、广西区教育厅有关文件精神，建立和完善就业工作机制，明确目标，落实责任，充分调动全校教职员工的积极性，努力实现我校毕业生充分就业，提高毕业生的就业质量，促进学校的健康可持续发展，特制定《柳州职业技术学院</w:t>
      </w:r>
      <w:r>
        <w:rPr>
          <w:rFonts w:ascii="仿宋_GB2312" w:hAnsi="仿宋_GB2312" w:eastAsia="仿宋_GB2312" w:cs="仿宋_GB2312"/>
          <w:kern w:val="0"/>
          <w:sz w:val="32"/>
          <w:szCs w:val="32"/>
          <w:lang w:bidi="ar"/>
        </w:rPr>
        <w:t>毕业生就业工作目标管理办法</w:t>
      </w:r>
      <w:r>
        <w:rPr>
          <w:rFonts w:hint="eastAsia" w:ascii="仿宋_GB2312" w:hAnsi="仿宋_GB2312" w:eastAsia="仿宋_GB2312" w:cs="仿宋_GB2312"/>
          <w:kern w:val="0"/>
          <w:sz w:val="32"/>
          <w:szCs w:val="32"/>
          <w:lang w:bidi="ar"/>
        </w:rPr>
        <w:t>》。</w:t>
      </w:r>
    </w:p>
    <w:p>
      <w:pPr>
        <w:spacing w:line="580" w:lineRule="exact"/>
        <w:ind w:firstLine="643" w:firstLineChars="200"/>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第二条</w:t>
      </w:r>
      <w:r>
        <w:rPr>
          <w:rFonts w:hint="eastAsia" w:ascii="仿宋_GB2312" w:hAnsi="仿宋_GB2312" w:eastAsia="仿宋_GB2312" w:cs="仿宋_GB2312"/>
          <w:b/>
          <w:kern w:val="0"/>
          <w:sz w:val="32"/>
          <w:szCs w:val="32"/>
          <w:lang w:bidi="ar"/>
        </w:rPr>
        <w:t xml:space="preserve">  </w:t>
      </w:r>
      <w:r>
        <w:rPr>
          <w:rFonts w:ascii="仿宋_GB2312" w:hAnsi="仿宋_GB2312" w:eastAsia="仿宋_GB2312" w:cs="仿宋_GB2312"/>
          <w:kern w:val="0"/>
          <w:sz w:val="32"/>
          <w:szCs w:val="32"/>
          <w:lang w:bidi="ar"/>
        </w:rPr>
        <w:t>毕业生就业工作是</w:t>
      </w:r>
      <w:r>
        <w:rPr>
          <w:rFonts w:hint="eastAsia" w:ascii="仿宋_GB2312" w:hAnsi="仿宋_GB2312" w:eastAsia="仿宋_GB2312" w:cs="仿宋_GB2312"/>
          <w:kern w:val="0"/>
          <w:sz w:val="32"/>
          <w:szCs w:val="32"/>
          <w:lang w:bidi="ar"/>
        </w:rPr>
        <w:t>学校的</w:t>
      </w:r>
      <w:r>
        <w:rPr>
          <w:rFonts w:ascii="仿宋_GB2312" w:hAnsi="仿宋_GB2312" w:eastAsia="仿宋_GB2312" w:cs="仿宋_GB2312"/>
          <w:kern w:val="0"/>
          <w:sz w:val="32"/>
          <w:szCs w:val="32"/>
          <w:lang w:bidi="ar"/>
        </w:rPr>
        <w:t>“一把手工程”，</w:t>
      </w:r>
      <w:r>
        <w:rPr>
          <w:rFonts w:hint="eastAsia" w:ascii="仿宋_GB2312" w:hAnsi="仿宋_GB2312" w:eastAsia="仿宋_GB2312" w:cs="仿宋_GB2312"/>
          <w:kern w:val="0"/>
          <w:sz w:val="32"/>
          <w:szCs w:val="32"/>
          <w:lang w:bidi="ar"/>
        </w:rPr>
        <w:t xml:space="preserve"> 学校成立就业工作领导小组，</w:t>
      </w:r>
      <w:r>
        <w:rPr>
          <w:rFonts w:ascii="仿宋_GB2312" w:hAnsi="仿宋_GB2312" w:eastAsia="仿宋_GB2312" w:cs="仿宋_GB2312"/>
          <w:kern w:val="0"/>
          <w:sz w:val="32"/>
          <w:szCs w:val="32"/>
          <w:lang w:bidi="ar"/>
        </w:rPr>
        <w:t>学校党政主要领导负总责，分管校领导主抓，</w:t>
      </w:r>
      <w:r>
        <w:rPr>
          <w:rFonts w:hint="eastAsia" w:ascii="仿宋_GB2312" w:hAnsi="仿宋_GB2312" w:eastAsia="仿宋_GB2312" w:cs="仿宋_GB2312"/>
          <w:kern w:val="0"/>
          <w:sz w:val="32"/>
          <w:szCs w:val="32"/>
          <w:lang w:bidi="ar"/>
        </w:rPr>
        <w:t>就业处</w:t>
      </w:r>
      <w:r>
        <w:rPr>
          <w:rFonts w:ascii="仿宋_GB2312" w:hAnsi="仿宋_GB2312" w:eastAsia="仿宋_GB2312" w:cs="仿宋_GB2312"/>
          <w:kern w:val="0"/>
          <w:sz w:val="32"/>
          <w:szCs w:val="32"/>
          <w:lang w:bidi="ar"/>
        </w:rPr>
        <w:t>统筹</w:t>
      </w:r>
      <w:r>
        <w:rPr>
          <w:rFonts w:hint="eastAsia" w:ascii="仿宋_GB2312" w:hAnsi="仿宋_GB2312" w:eastAsia="仿宋_GB2312" w:cs="仿宋_GB2312"/>
          <w:kern w:val="0"/>
          <w:sz w:val="32"/>
          <w:szCs w:val="32"/>
          <w:lang w:bidi="ar"/>
        </w:rPr>
        <w:t>、各有关部门协作开展。</w:t>
      </w:r>
    </w:p>
    <w:p>
      <w:pPr>
        <w:spacing w:line="580" w:lineRule="exact"/>
        <w:ind w:firstLine="643" w:firstLineChars="200"/>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第三条</w:t>
      </w:r>
      <w:r>
        <w:rPr>
          <w:rFonts w:hint="eastAsia" w:ascii="仿宋_GB2312" w:hAnsi="仿宋_GB2312" w:eastAsia="仿宋_GB2312" w:cs="仿宋_GB2312"/>
          <w:b/>
          <w:kern w:val="0"/>
          <w:sz w:val="32"/>
          <w:szCs w:val="32"/>
          <w:lang w:bidi="ar"/>
        </w:rPr>
        <w:t xml:space="preserve">  </w:t>
      </w:r>
      <w:r>
        <w:rPr>
          <w:rFonts w:ascii="仿宋_GB2312" w:hAnsi="仿宋_GB2312" w:eastAsia="仿宋_GB2312" w:cs="仿宋_GB2312"/>
          <w:kern w:val="0"/>
          <w:sz w:val="32"/>
          <w:szCs w:val="32"/>
          <w:lang w:bidi="ar"/>
        </w:rPr>
        <w:t>各</w:t>
      </w:r>
      <w:r>
        <w:rPr>
          <w:rFonts w:hint="eastAsia" w:ascii="仿宋_GB2312" w:hAnsi="仿宋_GB2312" w:eastAsia="仿宋_GB2312" w:cs="仿宋_GB2312"/>
          <w:kern w:val="0"/>
          <w:sz w:val="32"/>
          <w:szCs w:val="32"/>
          <w:lang w:bidi="ar"/>
        </w:rPr>
        <w:t>二级</w:t>
      </w:r>
      <w:r>
        <w:rPr>
          <w:rFonts w:ascii="仿宋_GB2312" w:hAnsi="仿宋_GB2312" w:eastAsia="仿宋_GB2312" w:cs="仿宋_GB2312"/>
          <w:kern w:val="0"/>
          <w:sz w:val="32"/>
          <w:szCs w:val="32"/>
          <w:lang w:bidi="ar"/>
        </w:rPr>
        <w:t>学院成立毕业生就业工作小组</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组长由</w:t>
      </w:r>
      <w:r>
        <w:rPr>
          <w:rFonts w:hint="eastAsia" w:ascii="仿宋_GB2312" w:hAnsi="仿宋_GB2312" w:eastAsia="仿宋_GB2312" w:cs="仿宋_GB2312"/>
          <w:kern w:val="0"/>
          <w:sz w:val="32"/>
          <w:szCs w:val="32"/>
          <w:lang w:bidi="ar"/>
        </w:rPr>
        <w:t>二级</w:t>
      </w:r>
      <w:r>
        <w:rPr>
          <w:rFonts w:ascii="仿宋_GB2312" w:hAnsi="仿宋_GB2312" w:eastAsia="仿宋_GB2312" w:cs="仿宋_GB2312"/>
          <w:kern w:val="0"/>
          <w:sz w:val="32"/>
          <w:szCs w:val="32"/>
          <w:lang w:bidi="ar"/>
        </w:rPr>
        <w:t>学院党</w:t>
      </w:r>
      <w:r>
        <w:rPr>
          <w:rFonts w:hint="eastAsia" w:ascii="仿宋_GB2312" w:hAnsi="仿宋_GB2312" w:eastAsia="仿宋_GB2312" w:cs="仿宋_GB2312"/>
          <w:kern w:val="0"/>
          <w:sz w:val="32"/>
          <w:szCs w:val="32"/>
          <w:lang w:bidi="ar"/>
        </w:rPr>
        <w:t>总支书记或支部</w:t>
      </w:r>
      <w:r>
        <w:rPr>
          <w:rFonts w:ascii="仿宋_GB2312" w:hAnsi="仿宋_GB2312" w:eastAsia="仿宋_GB2312" w:cs="仿宋_GB2312"/>
          <w:kern w:val="0"/>
          <w:sz w:val="32"/>
          <w:szCs w:val="32"/>
          <w:lang w:bidi="ar"/>
        </w:rPr>
        <w:t>书记、院长担任，</w:t>
      </w:r>
      <w:r>
        <w:rPr>
          <w:rFonts w:hint="eastAsia" w:ascii="仿宋_GB2312" w:hAnsi="仿宋_GB2312" w:eastAsia="仿宋_GB2312" w:cs="仿宋_GB2312"/>
          <w:kern w:val="0"/>
          <w:sz w:val="32"/>
          <w:szCs w:val="32"/>
          <w:lang w:bidi="ar"/>
        </w:rPr>
        <w:t>成员由教学团队负责人、学生科长、学生专干、毕业班辅导员等构成，</w:t>
      </w:r>
      <w:r>
        <w:rPr>
          <w:rFonts w:ascii="仿宋_GB2312" w:hAnsi="仿宋_GB2312" w:eastAsia="仿宋_GB2312" w:cs="仿宋_GB2312"/>
          <w:kern w:val="0"/>
          <w:sz w:val="32"/>
          <w:szCs w:val="32"/>
          <w:lang w:bidi="ar"/>
        </w:rPr>
        <w:t>具体负责组织开展本院毕业生就业工作。</w:t>
      </w:r>
    </w:p>
    <w:p>
      <w:pPr>
        <w:spacing w:line="580" w:lineRule="exact"/>
        <w:ind w:firstLine="643" w:firstLineChars="200"/>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毕业生就业工作目标值的确定依据：以近三年全校、各二级学院、各专业的具体情况为基础，结合当年上级就业率的工作要求，经就业工作领导小组讨论决定的就业率，作为当年毕业生就业工作目标值。</w:t>
      </w:r>
    </w:p>
    <w:p>
      <w:pPr>
        <w:spacing w:line="580" w:lineRule="exact"/>
        <w:ind w:firstLine="643" w:firstLineChars="200"/>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毕业生就业工作目标值的组成：一是全校毕业生就业工作目标，如毕业生就业率、就业对口率、毕业生及用人单位满意度等；二是各二级学院、各专业毕业生就业工作目标，如毕业生就业率、就业对口率、毕业生满意度等；三是建档立卡家庭户毕业生就业工作目标，如毕业生就业率、就业对口率、毕业生满意度等；四是获得自治区就业先进单位称号。</w:t>
      </w:r>
    </w:p>
    <w:p>
      <w:pPr>
        <w:spacing w:line="580" w:lineRule="exact"/>
        <w:ind w:firstLine="643" w:firstLineChars="200"/>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第六条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学校</w:t>
      </w:r>
      <w:r>
        <w:rPr>
          <w:rFonts w:ascii="仿宋_GB2312" w:hAnsi="仿宋_GB2312" w:eastAsia="仿宋_GB2312" w:cs="仿宋_GB2312"/>
          <w:kern w:val="0"/>
          <w:sz w:val="32"/>
          <w:szCs w:val="32"/>
          <w:lang w:bidi="ar"/>
        </w:rPr>
        <w:t>就业工作领导小组每年</w:t>
      </w:r>
      <w:r>
        <w:rPr>
          <w:rFonts w:hint="eastAsia" w:ascii="仿宋_GB2312" w:hAnsi="仿宋_GB2312" w:eastAsia="仿宋_GB2312" w:cs="仿宋_GB2312"/>
          <w:kern w:val="0"/>
          <w:sz w:val="32"/>
          <w:szCs w:val="32"/>
          <w:lang w:bidi="ar"/>
        </w:rPr>
        <w:t>制定学校就业工作目标，并列入学校重点工作计划；</w:t>
      </w:r>
      <w:r>
        <w:rPr>
          <w:rFonts w:ascii="仿宋_GB2312" w:hAnsi="仿宋_GB2312" w:eastAsia="仿宋_GB2312" w:cs="仿宋_GB2312"/>
          <w:kern w:val="0"/>
          <w:sz w:val="32"/>
          <w:szCs w:val="32"/>
          <w:lang w:bidi="ar"/>
        </w:rPr>
        <w:t>各</w:t>
      </w:r>
      <w:r>
        <w:rPr>
          <w:rFonts w:hint="eastAsia" w:ascii="仿宋_GB2312" w:hAnsi="仿宋_GB2312" w:eastAsia="仿宋_GB2312" w:cs="仿宋_GB2312"/>
          <w:kern w:val="0"/>
          <w:sz w:val="32"/>
          <w:szCs w:val="32"/>
          <w:lang w:bidi="ar"/>
        </w:rPr>
        <w:t>二级</w:t>
      </w:r>
      <w:r>
        <w:rPr>
          <w:rFonts w:ascii="仿宋_GB2312" w:hAnsi="仿宋_GB2312" w:eastAsia="仿宋_GB2312" w:cs="仿宋_GB2312"/>
          <w:kern w:val="0"/>
          <w:sz w:val="32"/>
          <w:szCs w:val="32"/>
          <w:lang w:bidi="ar"/>
        </w:rPr>
        <w:t>学院</w:t>
      </w:r>
      <w:r>
        <w:rPr>
          <w:rFonts w:hint="eastAsia" w:ascii="仿宋_GB2312" w:hAnsi="仿宋_GB2312" w:eastAsia="仿宋_GB2312" w:cs="仿宋_GB2312"/>
          <w:kern w:val="0"/>
          <w:sz w:val="32"/>
          <w:szCs w:val="32"/>
          <w:lang w:bidi="ar"/>
        </w:rPr>
        <w:t>以学校就业工作目标为基础制定本院就业工作目标</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并列入学院重点工作计划。</w:t>
      </w:r>
    </w:p>
    <w:p>
      <w:pPr>
        <w:spacing w:line="580" w:lineRule="exact"/>
        <w:ind w:firstLine="643" w:firstLineChars="200"/>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将就业工作目标逐层分解纳入当年学校绩效考核，</w:t>
      </w:r>
      <w:r>
        <w:rPr>
          <w:rFonts w:ascii="仿宋_GB2312" w:hAnsi="仿宋_GB2312" w:eastAsia="仿宋_GB2312" w:cs="仿宋_GB2312"/>
          <w:kern w:val="0"/>
          <w:sz w:val="32"/>
          <w:szCs w:val="32"/>
          <w:lang w:bidi="ar"/>
        </w:rPr>
        <w:t>进一步推动</w:t>
      </w:r>
      <w:r>
        <w:rPr>
          <w:rFonts w:hint="eastAsia" w:ascii="仿宋_GB2312" w:hAnsi="仿宋_GB2312" w:eastAsia="仿宋_GB2312" w:cs="仿宋_GB2312"/>
          <w:kern w:val="0"/>
          <w:sz w:val="32"/>
          <w:szCs w:val="32"/>
          <w:lang w:bidi="ar"/>
        </w:rPr>
        <w:t>学校</w:t>
      </w:r>
      <w:r>
        <w:rPr>
          <w:rFonts w:ascii="仿宋_GB2312" w:hAnsi="仿宋_GB2312" w:eastAsia="仿宋_GB2312" w:cs="仿宋_GB2312"/>
          <w:kern w:val="0"/>
          <w:sz w:val="32"/>
          <w:szCs w:val="32"/>
          <w:lang w:bidi="ar"/>
        </w:rPr>
        <w:t>就业</w:t>
      </w:r>
      <w:r>
        <w:rPr>
          <w:rFonts w:hint="eastAsia" w:ascii="仿宋_GB2312" w:hAnsi="仿宋_GB2312" w:eastAsia="仿宋_GB2312" w:cs="仿宋_GB2312"/>
          <w:kern w:val="0"/>
          <w:sz w:val="32"/>
          <w:szCs w:val="32"/>
          <w:lang w:bidi="ar"/>
        </w:rPr>
        <w:t>工作</w:t>
      </w:r>
      <w:r>
        <w:rPr>
          <w:rFonts w:ascii="仿宋_GB2312" w:hAnsi="仿宋_GB2312" w:eastAsia="仿宋_GB2312" w:cs="仿宋_GB2312"/>
          <w:kern w:val="0"/>
          <w:sz w:val="32"/>
          <w:szCs w:val="32"/>
          <w:lang w:bidi="ar"/>
        </w:rPr>
        <w:t>水平和</w:t>
      </w:r>
      <w:r>
        <w:rPr>
          <w:rFonts w:hint="eastAsia" w:ascii="仿宋_GB2312" w:hAnsi="仿宋_GB2312" w:eastAsia="仿宋_GB2312" w:cs="仿宋_GB2312"/>
          <w:kern w:val="0"/>
          <w:sz w:val="32"/>
          <w:szCs w:val="32"/>
          <w:lang w:bidi="ar"/>
        </w:rPr>
        <w:t>毕业生</w:t>
      </w:r>
      <w:r>
        <w:rPr>
          <w:rFonts w:ascii="仿宋_GB2312" w:hAnsi="仿宋_GB2312" w:eastAsia="仿宋_GB2312" w:cs="仿宋_GB2312"/>
          <w:kern w:val="0"/>
          <w:sz w:val="32"/>
          <w:szCs w:val="32"/>
          <w:lang w:bidi="ar"/>
        </w:rPr>
        <w:t>就业质量</w:t>
      </w:r>
      <w:r>
        <w:rPr>
          <w:rFonts w:hint="eastAsia" w:ascii="仿宋_GB2312" w:hAnsi="仿宋_GB2312" w:eastAsia="仿宋_GB2312" w:cs="仿宋_GB2312"/>
          <w:kern w:val="0"/>
          <w:sz w:val="32"/>
          <w:szCs w:val="32"/>
          <w:lang w:bidi="ar"/>
        </w:rPr>
        <w:t>的提高；具体考核标准、考核办法由就业处与质量办等有关部门另行制定，报学校审批后执行。</w:t>
      </w:r>
    </w:p>
    <w:p>
      <w:pPr>
        <w:spacing w:line="580" w:lineRule="exact"/>
        <w:ind w:firstLine="643" w:firstLineChars="200"/>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第八条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就业处根据学校当年就业工作目标，制定就业工作计划，形成学校就业工作月度推进方案；二级学院以学校就业工作计划为基础，制定学院就业工作计划。</w:t>
      </w:r>
    </w:p>
    <w:p>
      <w:pPr>
        <w:spacing w:line="580" w:lineRule="exact"/>
        <w:ind w:firstLine="643" w:firstLineChars="200"/>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实行就业工作月报制度。每年1月至12月(其中寒假暂停通报)期间，各二级学院须在每月的25日按时向就业处报告本院的就业情况,27日由就业处汇总数据审核后报自治区教育厅。没有按时上报就业情况的二级学院，按照上个月上报的就业情况进行报送。</w:t>
      </w:r>
    </w:p>
    <w:p>
      <w:pPr>
        <w:spacing w:line="580" w:lineRule="exact"/>
        <w:ind w:firstLine="643"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本</w:t>
      </w:r>
      <w:r>
        <w:rPr>
          <w:rFonts w:hint="eastAsia" w:ascii="仿宋_GB2312" w:hAnsi="仿宋_GB2312" w:eastAsia="仿宋_GB2312" w:cs="仿宋_GB2312"/>
          <w:kern w:val="0"/>
          <w:sz w:val="32"/>
          <w:szCs w:val="32"/>
          <w:lang w:bidi="ar"/>
        </w:rPr>
        <w:t>办法</w:t>
      </w:r>
      <w:r>
        <w:rPr>
          <w:rFonts w:ascii="仿宋_GB2312" w:hAnsi="仿宋_GB2312" w:eastAsia="仿宋_GB2312" w:cs="仿宋_GB2312"/>
          <w:kern w:val="0"/>
          <w:sz w:val="32"/>
          <w:szCs w:val="32"/>
          <w:lang w:bidi="ar"/>
        </w:rPr>
        <w:t>自发布之日起施行，由学校就业工作领导小组负责解释。</w:t>
      </w:r>
    </w:p>
    <w:p>
      <w:pPr>
        <w:pStyle w:val="3"/>
        <w:outlineLvl w:val="9"/>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spacing w:line="596" w:lineRule="exact"/>
        <w:jc w:val="center"/>
        <w:outlineLvl w:val="9"/>
        <w:rPr>
          <w:rFonts w:hint="eastAsia"/>
          <w:b/>
          <w:color w:val="000000"/>
          <w:sz w:val="36"/>
          <w:szCs w:val="36"/>
        </w:rPr>
      </w:pPr>
      <w:bookmarkStart w:id="940" w:name="_Toc5124"/>
      <w:bookmarkStart w:id="941" w:name="_Toc29439"/>
      <w:bookmarkStart w:id="942" w:name="_Toc15351"/>
      <w:bookmarkStart w:id="943" w:name="_Toc3367_WPSOffice_Level1"/>
      <w:r>
        <w:rPr>
          <w:rFonts w:hint="eastAsia"/>
          <w:b/>
          <w:color w:val="000000"/>
          <w:sz w:val="36"/>
          <w:szCs w:val="36"/>
        </w:rPr>
        <w:t>柳州职业技术学院</w:t>
      </w:r>
      <w:bookmarkEnd w:id="940"/>
      <w:bookmarkStart w:id="944" w:name="_Toc3567"/>
      <w:r>
        <w:rPr>
          <w:rFonts w:hint="eastAsia"/>
          <w:b/>
          <w:color w:val="000000"/>
          <w:sz w:val="36"/>
          <w:szCs w:val="36"/>
        </w:rPr>
        <w:t>毕业生就业管理暂行规定（试行）</w:t>
      </w:r>
      <w:bookmarkEnd w:id="941"/>
      <w:bookmarkEnd w:id="942"/>
      <w:bookmarkEnd w:id="943"/>
      <w:bookmarkEnd w:id="944"/>
    </w:p>
    <w:p>
      <w:pPr>
        <w:spacing w:line="596" w:lineRule="exact"/>
        <w:jc w:val="center"/>
        <w:outlineLvl w:val="9"/>
        <w:rPr>
          <w:rFonts w:hint="eastAsia" w:ascii="仿宋_GB2312" w:eastAsia="仿宋_GB2312"/>
          <w:sz w:val="32"/>
          <w:szCs w:val="32"/>
          <w:lang w:eastAsia="zh-CN"/>
        </w:rPr>
      </w:pPr>
      <w:r>
        <w:rPr>
          <w:rFonts w:hint="eastAsia" w:eastAsia="仿宋_GB2312"/>
          <w:b w:val="0"/>
          <w:bCs/>
          <w:color w:val="000000"/>
          <w:sz w:val="36"/>
          <w:szCs w:val="36"/>
          <w:lang w:eastAsia="zh-CN"/>
        </w:rPr>
        <w:t>（</w:t>
      </w:r>
      <w:r>
        <w:rPr>
          <w:rFonts w:hint="eastAsia" w:ascii="仿宋_GB2312" w:eastAsia="仿宋_GB2312"/>
          <w:sz w:val="32"/>
          <w:szCs w:val="32"/>
        </w:rPr>
        <w:t>柳职院字〔2019〕29 号</w:t>
      </w:r>
      <w:r>
        <w:rPr>
          <w:rFonts w:hint="eastAsia" w:ascii="仿宋_GB2312" w:eastAsia="仿宋_GB2312"/>
          <w:sz w:val="32"/>
          <w:szCs w:val="32"/>
          <w:lang w:eastAsia="zh-CN"/>
        </w:rPr>
        <w:t>）</w:t>
      </w:r>
    </w:p>
    <w:p>
      <w:pPr>
        <w:spacing w:line="596" w:lineRule="exact"/>
        <w:jc w:val="center"/>
        <w:rPr>
          <w:rFonts w:hint="eastAsia" w:ascii="仿宋_GB2312" w:eastAsia="仿宋_GB2312"/>
          <w:sz w:val="32"/>
          <w:szCs w:val="32"/>
          <w:lang w:eastAsia="zh-CN"/>
        </w:rPr>
      </w:pPr>
    </w:p>
    <w:p>
      <w:pPr>
        <w:spacing w:line="596" w:lineRule="exact"/>
        <w:jc w:val="center"/>
        <w:outlineLvl w:val="9"/>
        <w:rPr>
          <w:rFonts w:ascii="黑体" w:hAnsi="黑体" w:eastAsia="黑体"/>
          <w:b/>
          <w:sz w:val="32"/>
          <w:szCs w:val="32"/>
        </w:rPr>
      </w:pPr>
      <w:bookmarkStart w:id="945" w:name="_Toc15900_WPSOffice_Level1"/>
      <w:r>
        <w:rPr>
          <w:rFonts w:hint="eastAsia" w:ascii="黑体" w:hAnsi="黑体" w:eastAsia="黑体"/>
          <w:b/>
          <w:sz w:val="32"/>
          <w:szCs w:val="32"/>
        </w:rPr>
        <w:t>第一章  总 则</w:t>
      </w:r>
      <w:bookmarkEnd w:id="945"/>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第一条</w:t>
      </w:r>
      <w:r>
        <w:rPr>
          <w:rFonts w:hint="eastAsia" w:ascii="仿宋_GB2312" w:hAnsi="Calibri" w:eastAsia="仿宋_GB2312"/>
          <w:sz w:val="32"/>
          <w:szCs w:val="32"/>
        </w:rPr>
        <w:t xml:space="preserve">  根据《高等教育法》及国家和自治区的相关规定，结合学校卓越绩效管理，为进一步做好我校毕业生就业管理工作，助力学校创建“中国特色高水平高职学校和专业”，特制订本规定。</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第二条</w:t>
      </w:r>
      <w:r>
        <w:rPr>
          <w:rFonts w:hint="eastAsia" w:ascii="仿宋_GB2312" w:hAnsi="Calibri" w:eastAsia="仿宋_GB2312"/>
          <w:sz w:val="32"/>
          <w:szCs w:val="32"/>
        </w:rPr>
        <w:t xml:space="preserve">  本规定中毕业生，系指我校按照国家普通高等学校招生计划招收的（含高考招生、单独招生、对口招生），完成全日制学习并符合毕业资格的学生。</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第三条</w:t>
      </w:r>
      <w:r>
        <w:rPr>
          <w:rFonts w:hint="eastAsia" w:ascii="仿宋_GB2312" w:hAnsi="Calibri" w:eastAsia="仿宋_GB2312"/>
          <w:sz w:val="32"/>
          <w:szCs w:val="32"/>
        </w:rPr>
        <w:t xml:space="preserve">  我校毕业生就业工作以服务学生、服务学校、服务社会为宗旨，通过不断完善“以市场为导向、政府调控、学校推荐、学生与用人单位双向选择”的就业工作机制，充分调动各种资源，不断提高就业管理与服务水平，增强用人单位和毕业生的满意度，努力实现毕业生更加充分和更高质量就业。</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第四条</w:t>
      </w:r>
      <w:r>
        <w:rPr>
          <w:rFonts w:hint="eastAsia" w:ascii="仿宋_GB2312" w:hAnsi="Calibri" w:eastAsia="仿宋_GB2312"/>
          <w:sz w:val="32"/>
          <w:szCs w:val="32"/>
        </w:rPr>
        <w:t xml:space="preserve">  学校高度重视毕业生就业工作，努力为毕业生就业创造良好的环境，并提供具体的就业指导、咨询与服务；积极开拓就业市场，不断拓宽就业渠道，促进毕业生充分就业。学校鼓励毕业生将个人价值与祖国需要相结合，积极引导毕业生围绕国家发展战略和产业政策、围绕学校战略布局和人才培养目标就业，不断提高就业质量。</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第五条</w:t>
      </w:r>
      <w:r>
        <w:rPr>
          <w:rFonts w:hint="eastAsia" w:ascii="仿宋_GB2312" w:hAnsi="Calibri" w:eastAsia="仿宋_GB2312"/>
          <w:sz w:val="32"/>
          <w:szCs w:val="32"/>
        </w:rPr>
        <w:t xml:space="preserve">  毕业生在就业过程中应当遵守国家法律和相关规定，遵守社会公德，诚实守信。</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46" w:name="_Toc28274_WPSOffice_Level1"/>
      <w:r>
        <w:rPr>
          <w:rFonts w:hint="eastAsia" w:ascii="黑体" w:hAnsi="黑体" w:eastAsia="黑体"/>
          <w:b/>
          <w:sz w:val="32"/>
          <w:szCs w:val="32"/>
        </w:rPr>
        <w:t>第二章  目标管理责任制</w:t>
      </w:r>
      <w:bookmarkEnd w:id="946"/>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第六条 </w:t>
      </w:r>
      <w:r>
        <w:rPr>
          <w:rFonts w:hint="eastAsia" w:ascii="仿宋_GB2312" w:hAnsi="Calibri" w:eastAsia="仿宋_GB2312"/>
          <w:sz w:val="32"/>
          <w:szCs w:val="32"/>
        </w:rPr>
        <w:t xml:space="preserve"> 毕业生就业工作是学校的“一把手工程”，学校成立就业工作领导小组，学校党政主要领导负总责，分管校领导主抓，就业处统筹、各有关部门协作开展。就业处制定学校就业工作目标，报学校就业工作领导小组审批、通过并执行。</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第七条  </w:t>
      </w:r>
      <w:r>
        <w:rPr>
          <w:rFonts w:hint="eastAsia" w:ascii="仿宋_GB2312" w:hAnsi="Calibri" w:eastAsia="仿宋_GB2312"/>
          <w:sz w:val="32"/>
          <w:szCs w:val="32"/>
        </w:rPr>
        <w:t>各二级学院成立毕业生就业工作小组，组长由学院党总支书记或副书记、院长担任，成员由教学团队负责人、学生科长、负责就业工作的学生专干、毕业班辅导员等构成，具体负责组织开展本院毕业生就业工作。各院制定本院就业工作目标，并报学校就业处备案。</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第八条 </w:t>
      </w:r>
      <w:r>
        <w:rPr>
          <w:rFonts w:hint="eastAsia" w:ascii="仿宋_GB2312" w:hAnsi="Calibri" w:eastAsia="仿宋_GB2312"/>
          <w:sz w:val="32"/>
          <w:szCs w:val="32"/>
        </w:rPr>
        <w:t xml:space="preserve"> 学校就业工作领导小组每年审定学校就业工作目标，就业处根据学校当年就业工作目标，制定就业工作计划，形成学校就业工作方案；各二级学院以学校就业工作目标为基础制定本院就业工作目标与实施计划。</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第九条</w:t>
      </w:r>
      <w:r>
        <w:rPr>
          <w:rFonts w:hint="eastAsia" w:ascii="仿宋_GB2312" w:hAnsi="Calibri" w:eastAsia="仿宋_GB2312"/>
          <w:sz w:val="32"/>
          <w:szCs w:val="32"/>
        </w:rPr>
        <w:t xml:space="preserve">  毕业生就业工作目标的组成：毕业生就业率、就业对口率、毕业生及用人单位等客户满意度。</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第十条</w:t>
      </w:r>
      <w:r>
        <w:rPr>
          <w:rFonts w:hint="eastAsia" w:ascii="仿宋_GB2312" w:hAnsi="Calibri" w:eastAsia="仿宋_GB2312"/>
          <w:sz w:val="32"/>
          <w:szCs w:val="32"/>
        </w:rPr>
        <w:t xml:space="preserve">  毕业生就业工作目标值的确定依据：以近三年全校、各二级学院、各专业的具体情况为基础，结合当年上级就业工作要求，经就业工作领导小组审定的目标值，作为当年毕业生就业工作目标值。</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47" w:name="_Toc21568_WPSOffice_Level1"/>
      <w:r>
        <w:rPr>
          <w:rFonts w:hint="eastAsia" w:ascii="黑体" w:hAnsi="黑体" w:eastAsia="黑体"/>
          <w:b/>
          <w:sz w:val="32"/>
          <w:szCs w:val="32"/>
        </w:rPr>
        <w:t>第三章  管理职责</w:t>
      </w:r>
      <w:bookmarkEnd w:id="947"/>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第十一条</w:t>
      </w:r>
      <w:r>
        <w:rPr>
          <w:rFonts w:hint="eastAsia" w:ascii="仿宋_GB2312" w:hAnsi="Calibri" w:eastAsia="仿宋_GB2312"/>
          <w:sz w:val="32"/>
          <w:szCs w:val="32"/>
        </w:rPr>
        <w:t xml:space="preserve">  毕业生就业工作实行学校和二级学院两级管理体制。就业处在学校就业工作领导小组的统一领导下，归口管理全校毕业生就业工作；各二级学院在就业处的指导下具体负责本院毕业生就业工作。</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第十二条</w:t>
      </w:r>
      <w:r>
        <w:rPr>
          <w:rFonts w:hint="eastAsia" w:ascii="仿宋_GB2312" w:hAnsi="Calibri" w:eastAsia="仿宋_GB2312"/>
          <w:sz w:val="32"/>
          <w:szCs w:val="32"/>
        </w:rPr>
        <w:t xml:space="preserve">  就业处负责全校毕业生就业推荐、就业市场建设、就业管理与服务等工作，其主要职责是：</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(一) 宣传、落实国家有关高校毕业生的就业方针、政策及规定，统筹全校毕业生就业工作。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(二) 构建学校就业工作二级管理及考核体系，制定就业工作相关考核、考评指标并组织实施。</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(三) 开展毕业生就业市场的调查研究、分析和预测，掌握就业形势和市场动态；搭建就业工作平台，统筹组织校园招聘活动。指导二级学院开展就业市场开拓、就业渠道维护工作；指导二级学院举办各类招聘会。</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(四) 统筹全校毕业生就业协议书发放、审核、就业方案编制、派遣、改派等工作；负责学校毕业生就业方面统计工作和就业调查等工作；负责学校各类对外就业报送；按时发布学校毕业生就业质量年度报告。</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(五) 统筹全校就业培训工作，邀请专家进校开展就业讲座，组织开展就业工作人员培训。</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(六) 负责学校就业工作建档存档，配合完成毕业生安全文明离校等工作。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(七) 完成学校毕业生就业其他相关工作</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第十三条</w:t>
      </w:r>
      <w:r>
        <w:rPr>
          <w:rFonts w:hint="eastAsia" w:ascii="仿宋_GB2312" w:hAnsi="Calibri" w:eastAsia="仿宋_GB2312"/>
          <w:sz w:val="32"/>
          <w:szCs w:val="32"/>
        </w:rPr>
        <w:t xml:space="preserve">  各二级学院负责本院毕业生就业的日常教育管理与服务工作。其主要职责是：</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(一) 学习了解国家有关高校毕业生的就业方针、政策及规定，引导毕业生积极就业。</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(二) 结合专业建设，开拓具有专业背景的就业市场，为毕业生就业提供有力支撑。</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(三) 按照学校的要求，负责本院毕业生的就业工作；组织开展毕业生就业活动；做好本院毕业生的就业推荐工作。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(四) 根据学校安排，做好本院毕业生就业协议书发放、审核；签约、违约手续办理；派遣、改派；就业统计和就业调查；就业材料上报等工作。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(五) 掌握本院毕业生求职、签约及待就业动态，加强就业困难群体的帮扶。</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(六) 做好本院毕业生鉴定及就业相关材料的归档工作。加强毕业生离校教育，确保毕业生安全文明离校。</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(七) 完成本院毕业生就业其他相关工作。</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48" w:name="_Toc15637_WPSOffice_Level1"/>
      <w:r>
        <w:rPr>
          <w:rFonts w:hint="eastAsia" w:ascii="黑体" w:hAnsi="黑体" w:eastAsia="黑体"/>
          <w:b/>
          <w:sz w:val="32"/>
          <w:szCs w:val="32"/>
        </w:rPr>
        <w:t>第四章  就业推荐</w:t>
      </w:r>
      <w:bookmarkEnd w:id="948"/>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第十四条</w:t>
      </w:r>
      <w:r>
        <w:rPr>
          <w:rFonts w:hint="eastAsia" w:ascii="仿宋_GB2312" w:hAnsi="Calibri" w:eastAsia="仿宋_GB2312"/>
          <w:sz w:val="32"/>
          <w:szCs w:val="32"/>
        </w:rPr>
        <w:t xml:space="preserve">  毕业生就业推荐是一项重要而又严肃的工作，是其它各项就业工作的基础。各有关部门应本着对学校、毕业生和用人单位负责的态度，认真组织实施，对毕业生的现实表现、能力及就业提出实事求是的推荐意见。</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第十五条</w:t>
      </w:r>
      <w:r>
        <w:rPr>
          <w:rFonts w:hint="eastAsia" w:ascii="仿宋_GB2312" w:hAnsi="Calibri" w:eastAsia="仿宋_GB2312"/>
          <w:sz w:val="32"/>
          <w:szCs w:val="32"/>
        </w:rPr>
        <w:t xml:space="preserve">  《就业推荐表》是毕业生向用人单位展示自我的重要材料，毕业生应如实填写相关信息，并妥善保管，不得弄虚作假。二级学院与就业处本着实事求是原则，严格审核。</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第十六条  </w:t>
      </w:r>
      <w:r>
        <w:rPr>
          <w:rFonts w:hint="eastAsia" w:ascii="仿宋_GB2312" w:hAnsi="Calibri" w:eastAsia="仿宋_GB2312"/>
          <w:sz w:val="32"/>
          <w:szCs w:val="32"/>
        </w:rPr>
        <w:t>就业推荐方式包括但不限于：参加校园招聘活动（大型双选会、专场招聘会、网上招聘）；老师推荐、同学互荐、个人自荐；参加校外招聘活动等。</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第十七条</w:t>
      </w:r>
      <w:r>
        <w:rPr>
          <w:rFonts w:hint="eastAsia" w:ascii="仿宋_GB2312" w:hAnsi="Calibri" w:eastAsia="仿宋_GB2312"/>
          <w:sz w:val="32"/>
          <w:szCs w:val="32"/>
        </w:rPr>
        <w:t xml:space="preserve">  加强毕业生就业教育，毕业生应响应国家号召，遵守就业创业工作的有关规定，培养良好职业素养，理性择业，履行协议，诚信就业。</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第十八条  </w:t>
      </w:r>
      <w:r>
        <w:rPr>
          <w:rFonts w:hint="eastAsia" w:ascii="仿宋_GB2312" w:hAnsi="Calibri" w:eastAsia="仿宋_GB2312"/>
          <w:sz w:val="32"/>
          <w:szCs w:val="32"/>
        </w:rPr>
        <w:t>要继续做好离校未就业毕业生的就业指导服务工作，采取多种方式持续推送需求信息，宣传国家及地方政府的就业创业政策，重点做好就业困难毕业生的帮扶工作。</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49" w:name="_Toc30664_WPSOffice_Level1"/>
      <w:r>
        <w:rPr>
          <w:rFonts w:hint="eastAsia" w:ascii="黑体" w:hAnsi="黑体" w:eastAsia="黑体"/>
          <w:b/>
          <w:sz w:val="32"/>
          <w:szCs w:val="32"/>
        </w:rPr>
        <w:t>第五章  就业协议的签订与违约</w:t>
      </w:r>
      <w:bookmarkEnd w:id="949"/>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第十九条</w:t>
      </w:r>
      <w:r>
        <w:rPr>
          <w:rFonts w:hint="eastAsia" w:ascii="仿宋_GB2312" w:hAnsi="Calibri" w:eastAsia="仿宋_GB2312"/>
          <w:sz w:val="32"/>
          <w:szCs w:val="32"/>
        </w:rPr>
        <w:t xml:space="preserve">  《就业协议书》是应届毕业生在就业过程中与用人单位签订的具有法律约束力的一种书面约定，用人单位和毕业生为协议的甲方、乙方，学校作为鉴证方参与其中。《就业协议书》表达的是毕业生的择业意向、用人单位的接收意向、学校负责派遣的意向，是学校编制就业方案的重要依据。</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第二十条</w:t>
      </w:r>
      <w:r>
        <w:rPr>
          <w:rFonts w:hint="eastAsia" w:ascii="仿宋_GB2312" w:hAnsi="Calibri" w:eastAsia="仿宋_GB2312"/>
          <w:sz w:val="32"/>
          <w:szCs w:val="32"/>
        </w:rPr>
        <w:t xml:space="preserve">  毕业生与用人单位应在双向选择、自愿的基础上签订《就业协议书》。每位毕业生只能与一个用人单位签订《就业协议书》。各二级学院应加强《就业协议书》的发放管理，禁止一人同时签多份协议的情况发生。毕业生应本着诚信、自愿的原则签订《就业协议书》，如实向用人单位介绍自身情况，慎重对待签约，认真履行协议。</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第二十一条</w:t>
      </w:r>
      <w:r>
        <w:rPr>
          <w:rFonts w:hint="eastAsia" w:ascii="仿宋_GB2312" w:hAnsi="Calibri" w:eastAsia="仿宋_GB2312"/>
          <w:sz w:val="32"/>
          <w:szCs w:val="32"/>
        </w:rPr>
        <w:t xml:space="preserve">  毕业生提出违约并与用人单位达成一致意见，本人承担相应的违约责任后，按违约流程办理相关手续，由二级学院与就业处审核通过，发放新《就业协议书》。每位毕业生违约不得超过一次。用人单位提出违约的，应与毕业生充分沟通并取得一致意见，出具解约函，并承担相应的违约责任。</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第二十二条  </w:t>
      </w:r>
      <w:r>
        <w:rPr>
          <w:rFonts w:hint="eastAsia" w:ascii="仿宋_GB2312" w:hAnsi="Calibri" w:eastAsia="仿宋_GB2312"/>
          <w:sz w:val="32"/>
          <w:szCs w:val="32"/>
        </w:rPr>
        <w:t>学校保护毕业生择业的正当权益，必要时二级学院应帮助毕业生进行相应的协调工作，特殊情况可由就业处协同二级学院与用人单位进行沟通。对招聘欺骗、恶意违约、违反相关规定的用人单位，学校将采取相应的制裁措施，情节严重者，将保留追究法律责任的权力。</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50" w:name="_Toc23632_WPSOffice_Level1"/>
      <w:r>
        <w:rPr>
          <w:rFonts w:hint="eastAsia" w:ascii="黑体" w:hAnsi="黑体" w:eastAsia="黑体"/>
          <w:b/>
          <w:sz w:val="32"/>
          <w:szCs w:val="32"/>
        </w:rPr>
        <w:t>第六章  毕业生信息采集</w:t>
      </w:r>
      <w:bookmarkEnd w:id="950"/>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第二十三条</w:t>
      </w:r>
      <w:r>
        <w:rPr>
          <w:rFonts w:hint="eastAsia" w:ascii="仿宋_GB2312" w:hAnsi="Calibri" w:eastAsia="仿宋_GB2312"/>
          <w:sz w:val="32"/>
          <w:szCs w:val="32"/>
        </w:rPr>
        <w:t xml:space="preserve">  毕业生信息是毕业生资格审核、就业方案编制、派遣与改派的依据，是学校专业建设、招生计划、经费安排的主要参考指标，是开展生源分析、发布就业质量报告的数据来源。毕业生信息包括毕业生基础信息和毕业生就业信息。</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第二十四条 </w:t>
      </w:r>
      <w:r>
        <w:rPr>
          <w:rFonts w:hint="eastAsia" w:ascii="仿宋_GB2312" w:hAnsi="Calibri" w:eastAsia="仿宋_GB2312"/>
          <w:sz w:val="32"/>
          <w:szCs w:val="32"/>
        </w:rPr>
        <w:t xml:space="preserve"> 毕业生基础信息指：姓名、性别、民族、政治面貌、身份证号码、生源地、家庭通讯地址、联系电话、入学时间、专业等信息。毕业生基础信息由教务处提供，毕业生本人补充、确认，二级学院按照工作流程逐一审核、提交，就业处负责汇总、审定、反馈并按时上报上级主管部门。</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第二十五条</w:t>
      </w:r>
      <w:r>
        <w:rPr>
          <w:rFonts w:hint="eastAsia" w:ascii="仿宋_GB2312" w:hAnsi="Calibri" w:eastAsia="仿宋_GB2312"/>
          <w:sz w:val="32"/>
          <w:szCs w:val="32"/>
        </w:rPr>
        <w:t xml:space="preserve">  毕业生就业信息指：就业单位名称、所在地、联系人、联系电话、单位组织机构代码、单位性质、毕业生工作岗位等信息。毕业生就业信息依据毕业生与用人单位签订的有效《就业协议书》、《劳动合同》生成，二级学院按照工作流程逐一审核、提交，就业处负责汇总、审定、反馈并按时上报上级主管部门。</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51" w:name="_Toc4484_WPSOffice_Level1"/>
      <w:r>
        <w:rPr>
          <w:rFonts w:hint="eastAsia" w:ascii="黑体" w:hAnsi="黑体" w:eastAsia="黑体"/>
          <w:b/>
          <w:sz w:val="32"/>
          <w:szCs w:val="32"/>
        </w:rPr>
        <w:t>第七章  就业方案编制</w:t>
      </w:r>
      <w:bookmarkEnd w:id="951"/>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第二十六条</w:t>
      </w:r>
      <w:r>
        <w:rPr>
          <w:rFonts w:hint="eastAsia" w:ascii="仿宋_GB2312" w:hAnsi="Calibri" w:eastAsia="仿宋_GB2312"/>
          <w:sz w:val="32"/>
          <w:szCs w:val="32"/>
        </w:rPr>
        <w:t xml:space="preserve">  毕业生就业方案的形成，采用自下而上的办法，毕业生本人、二级学院确认基础信息和就业信息，就业处遵循国家有关毕业生就业的方针、政策和规定，依据毕业生就业信息，编制毕业生就业方案，并报上级主管部门审核。</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第二十七条</w:t>
      </w:r>
      <w:r>
        <w:rPr>
          <w:rFonts w:hint="eastAsia" w:ascii="仿宋_GB2312" w:hAnsi="Calibri" w:eastAsia="仿宋_GB2312"/>
          <w:sz w:val="32"/>
          <w:szCs w:val="32"/>
        </w:rPr>
        <w:t xml:space="preserve">  毕业生就业去向主要包括以下类型：</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(一) 协议就业：毕业生通过与用人单位签订《就业协议书》或《劳动合同》，申领就业报到证，到用人单位就业。</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(二) 专升本：指学生毕业当年通过选拔升入普通本科院校继续学习。</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(三) 出国(境)：包括去国(境)外继续学习，或去国(境)外工作。</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(四) 灵活就业：毕业生以灵活方式就业，主要指自由职业、自主创业等。自由职业指毕业生独立工作，不隶属于任何组织，不向任何雇主做长期承诺而从事某种职业；自主创业指毕业生主要依靠自己的资本、资源、信息、技术、经验以及其他因素开展创业活动，解决就业问题。</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(五) 国家地方项目：毕业生参加国家地方项目就业含三支一扶、大学生村官、西部计划等。</w:t>
      </w:r>
    </w:p>
    <w:p>
      <w:pPr>
        <w:spacing w:line="596" w:lineRule="exact"/>
        <w:ind w:firstLine="640" w:firstLineChars="200"/>
        <w:rPr>
          <w:rFonts w:ascii="仿宋_GB2312" w:hAnsi="Calibri" w:eastAsia="仿宋_GB2312"/>
          <w:sz w:val="32"/>
          <w:szCs w:val="32"/>
        </w:rPr>
      </w:pPr>
      <w:r>
        <w:rPr>
          <w:rFonts w:hint="eastAsia" w:ascii="仿宋_GB2312" w:hAnsi="Calibri" w:eastAsia="仿宋_GB2312"/>
          <w:sz w:val="32"/>
          <w:szCs w:val="32"/>
        </w:rPr>
        <w:t>(六) 参军入伍：毕业生参军入伍有应征入伍和直招</w:t>
      </w:r>
      <w:r>
        <w:rPr>
          <w:rFonts w:ascii="仿宋_GB2312" w:hAnsi="Calibri" w:eastAsia="仿宋_GB2312"/>
          <w:sz w:val="32"/>
          <w:szCs w:val="32"/>
        </w:rPr>
        <w:fldChar w:fldCharType="begin"/>
      </w:r>
      <w:r>
        <w:rPr>
          <w:rFonts w:ascii="仿宋_GB2312" w:hAnsi="Calibri" w:eastAsia="仿宋_GB2312"/>
          <w:sz w:val="32"/>
          <w:szCs w:val="32"/>
        </w:rPr>
        <w:instrText xml:space="preserve"> HYPERLINK "http://baike.baidu.com/item/%E5%A3%AB%E5%AE%98" \t "http://baike.baidu.com/_blank" </w:instrText>
      </w:r>
      <w:r>
        <w:rPr>
          <w:rFonts w:ascii="仿宋_GB2312" w:hAnsi="Calibri" w:eastAsia="仿宋_GB2312"/>
          <w:sz w:val="32"/>
          <w:szCs w:val="32"/>
        </w:rPr>
        <w:fldChar w:fldCharType="separate"/>
      </w:r>
      <w:r>
        <w:rPr>
          <w:rFonts w:hint="eastAsia" w:ascii="仿宋_GB2312" w:hAnsi="Calibri" w:eastAsia="仿宋_GB2312"/>
          <w:sz w:val="32"/>
          <w:szCs w:val="32"/>
        </w:rPr>
        <w:t>士官</w:t>
      </w:r>
      <w:r>
        <w:rPr>
          <w:rFonts w:ascii="仿宋_GB2312" w:hAnsi="Calibri" w:eastAsia="仿宋_GB2312"/>
          <w:sz w:val="32"/>
          <w:szCs w:val="32"/>
        </w:rPr>
        <w:fldChar w:fldCharType="end"/>
      </w:r>
      <w:r>
        <w:rPr>
          <w:rFonts w:hint="eastAsia" w:ascii="仿宋_GB2312" w:hAnsi="Calibri" w:eastAsia="仿宋_GB2312"/>
          <w:sz w:val="32"/>
          <w:szCs w:val="32"/>
        </w:rPr>
        <w:t>两种，应征入伍是指部队每年从应届高校毕业生中征收义务兵，服役期两年；直招</w:t>
      </w:r>
      <w:r>
        <w:rPr>
          <w:rFonts w:ascii="仿宋_GB2312" w:hAnsi="Calibri" w:eastAsia="仿宋_GB2312"/>
          <w:sz w:val="32"/>
          <w:szCs w:val="32"/>
        </w:rPr>
        <w:fldChar w:fldCharType="begin"/>
      </w:r>
      <w:r>
        <w:rPr>
          <w:rFonts w:ascii="仿宋_GB2312" w:hAnsi="Calibri" w:eastAsia="仿宋_GB2312"/>
          <w:sz w:val="32"/>
          <w:szCs w:val="32"/>
        </w:rPr>
        <w:instrText xml:space="preserve"> HYPERLINK "http://baike.baidu.com/item/%E5%A3%AB%E5%AE%98" \t "http://baike.baidu.com/_blank" </w:instrText>
      </w:r>
      <w:r>
        <w:rPr>
          <w:rFonts w:ascii="仿宋_GB2312" w:hAnsi="Calibri" w:eastAsia="仿宋_GB2312"/>
          <w:sz w:val="32"/>
          <w:szCs w:val="32"/>
        </w:rPr>
        <w:fldChar w:fldCharType="separate"/>
      </w:r>
      <w:r>
        <w:rPr>
          <w:rFonts w:hint="eastAsia" w:ascii="仿宋_GB2312" w:hAnsi="Calibri" w:eastAsia="仿宋_GB2312"/>
          <w:sz w:val="32"/>
          <w:szCs w:val="32"/>
        </w:rPr>
        <w:t>士官</w:t>
      </w:r>
      <w:r>
        <w:rPr>
          <w:rFonts w:ascii="仿宋_GB2312" w:hAnsi="Calibri" w:eastAsia="仿宋_GB2312"/>
          <w:sz w:val="32"/>
          <w:szCs w:val="32"/>
        </w:rPr>
        <w:fldChar w:fldCharType="end"/>
      </w:r>
      <w:r>
        <w:rPr>
          <w:rFonts w:hint="eastAsia" w:ascii="仿宋_GB2312" w:hAnsi="Calibri" w:eastAsia="仿宋_GB2312"/>
          <w:sz w:val="32"/>
          <w:szCs w:val="32"/>
        </w:rPr>
        <w:t>是指部队每年从应届高校毕业生中招收士官，服役期4-7年。</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52" w:name="_Toc26992_WPSOffice_Level1"/>
      <w:r>
        <w:rPr>
          <w:rFonts w:hint="eastAsia" w:ascii="黑体" w:hAnsi="黑体" w:eastAsia="黑体"/>
          <w:b/>
          <w:sz w:val="32"/>
          <w:szCs w:val="32"/>
        </w:rPr>
        <w:t>第八章  派遣与改派</w:t>
      </w:r>
      <w:bookmarkEnd w:id="952"/>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第二十八条</w:t>
      </w:r>
      <w:r>
        <w:rPr>
          <w:rFonts w:hint="eastAsia" w:ascii="仿宋_GB2312" w:hAnsi="Calibri" w:eastAsia="仿宋_GB2312"/>
          <w:sz w:val="32"/>
          <w:szCs w:val="32"/>
        </w:rPr>
        <w:t xml:space="preserve">  《全国普通高等学校毕业生就业报到证》(以下简称“报到证”) 是高校毕业生办理行政或事业单位入编及转正定级的凭证，根据上级主管部门核准的就业方案，依照统一安排，就业处到自治区教育厅办理全校毕业生报到证，并通过二级学院向毕业生发放。</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第二十九条</w:t>
      </w:r>
      <w:r>
        <w:rPr>
          <w:rFonts w:hint="eastAsia" w:ascii="仿宋_GB2312" w:hAnsi="Calibri" w:eastAsia="仿宋_GB2312"/>
          <w:sz w:val="32"/>
          <w:szCs w:val="32"/>
        </w:rPr>
        <w:t xml:space="preserve">  毕业生须按照学校的要求，到所在二级学院领取毕业证、报到证、党(团)组织关系、户口迁移证等，并妥善保管，及时办理离校手续。</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第三十条</w:t>
      </w:r>
      <w:r>
        <w:rPr>
          <w:rFonts w:hint="eastAsia" w:ascii="仿宋_GB2312" w:hAnsi="Calibri" w:eastAsia="仿宋_GB2312"/>
          <w:sz w:val="32"/>
          <w:szCs w:val="32"/>
        </w:rPr>
        <w:t xml:space="preserve">  需变更就业去向的毕业生，从签发报到证之日起，两年内可提出申请，按改派程序办理相关手续。就业报到证遗失的，两年内可申请补办，超过两年的只出具就业派遣证明。</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第三十一条</w:t>
      </w:r>
      <w:r>
        <w:rPr>
          <w:rFonts w:hint="eastAsia" w:ascii="仿宋_GB2312" w:hAnsi="Calibri" w:eastAsia="仿宋_GB2312"/>
          <w:sz w:val="32"/>
          <w:szCs w:val="32"/>
        </w:rPr>
        <w:t xml:space="preserve">  毕业时未就业的毕业生，其户口、档案已转回生源地，两年内与就业单位签约的，可按改派程序办理相关手续。</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53" w:name="_Toc30134_WPSOffice_Level1"/>
      <w:r>
        <w:rPr>
          <w:rFonts w:hint="eastAsia" w:ascii="黑体" w:hAnsi="黑体" w:eastAsia="黑体"/>
          <w:b/>
          <w:sz w:val="32"/>
          <w:szCs w:val="32"/>
        </w:rPr>
        <w:t>第九章  跟踪调查、统计、核查与报送</w:t>
      </w:r>
      <w:bookmarkEnd w:id="953"/>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第三十二条 </w:t>
      </w:r>
      <w:r>
        <w:rPr>
          <w:rFonts w:hint="eastAsia" w:ascii="仿宋_GB2312" w:hAnsi="Calibri" w:eastAsia="仿宋_GB2312"/>
          <w:sz w:val="32"/>
          <w:szCs w:val="32"/>
        </w:rPr>
        <w:t xml:space="preserve"> 跟踪调查是就业工作开展的基础和依据，调查的对象包括：在校学生、毕业生、二级学院、用人单位、行业协会等客户群；调查采取问卷、座谈、访谈、电话调查等方式；通过调查收集学生就业意向、毕业生就业状况、二级学院就业工作开展情况、用人单位需求及用工情况、行业发展趋势、各客户群体反馈等。</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第三十三条  </w:t>
      </w:r>
      <w:r>
        <w:rPr>
          <w:rFonts w:hint="eastAsia" w:ascii="仿宋_GB2312" w:hAnsi="Calibri" w:eastAsia="仿宋_GB2312"/>
          <w:sz w:val="32"/>
          <w:szCs w:val="32"/>
        </w:rPr>
        <w:t>就业统计是就业工作链上的重要环节，要严格落实“四不准”要求：不准以任何方式强迫毕业生签订就业协议和劳动合同，不准将毕业证书、学位证书发放与毕业生签约挂钩，不准以户档托管为由劝说毕业生签订虚假就业协议，不准将毕业生顶岗实习见习证明材料作为就业证明材料。</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 xml:space="preserve">第三十四条  </w:t>
      </w:r>
      <w:r>
        <w:rPr>
          <w:rFonts w:hint="eastAsia" w:ascii="仿宋_GB2312" w:hAnsi="Calibri" w:eastAsia="仿宋_GB2312"/>
          <w:sz w:val="32"/>
          <w:szCs w:val="32"/>
        </w:rPr>
        <w:t>就业统计的主要内容是：校园招聘会场次、入场单位数、提供岗位数、求人倍率、客户满意度、毕业生就业率（含单位直接就业、灵活就业、专升本、参军入伍、自主创业）、对口率、薪酬、就业地区流向、就业单位流向等。</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第三十五条</w:t>
      </w:r>
      <w:r>
        <w:rPr>
          <w:rFonts w:hint="eastAsia" w:ascii="仿宋_GB2312" w:hAnsi="Calibri" w:eastAsia="仿宋_GB2312"/>
          <w:sz w:val="32"/>
          <w:szCs w:val="32"/>
        </w:rPr>
        <w:t xml:space="preserve">  进一步完善学校、学院二级就业工作核查机制。各二级学院要认真审核本院毕业生的就业协议书、劳动合同等就业证明材料，逐人排查。就业处对各二级学院就业签约和统计工作进行集中核查，并将核查结果报学校就业工作领导小组。</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第三十六条</w:t>
      </w:r>
      <w:r>
        <w:rPr>
          <w:rFonts w:hint="eastAsia" w:ascii="仿宋_GB2312" w:hAnsi="Calibri" w:eastAsia="仿宋_GB2312"/>
          <w:sz w:val="32"/>
          <w:szCs w:val="32"/>
        </w:rPr>
        <w:t xml:space="preserve">  学校按时发布毕业生年度就业质量报告，各二级学院开展本院毕业生就业质量分析。规范就业数据使用，上报就业统计数据和材料要真实、准确、及时、完整，主要就业数据上报需经学校就业工作领导小组批准。</w:t>
      </w:r>
    </w:p>
    <w:p>
      <w:pPr>
        <w:spacing w:line="596" w:lineRule="exact"/>
        <w:ind w:firstLine="643" w:firstLineChars="200"/>
        <w:rPr>
          <w:rFonts w:ascii="仿宋_GB2312" w:hAnsi="Calibri" w:eastAsia="仿宋_GB2312"/>
          <w:sz w:val="32"/>
          <w:szCs w:val="32"/>
        </w:rPr>
      </w:pPr>
      <w:r>
        <w:rPr>
          <w:rFonts w:hint="eastAsia" w:ascii="仿宋_GB2312" w:hAnsi="Calibri" w:eastAsia="仿宋_GB2312"/>
          <w:b/>
          <w:sz w:val="32"/>
          <w:szCs w:val="32"/>
        </w:rPr>
        <w:t>第三十七条</w:t>
      </w:r>
      <w:r>
        <w:rPr>
          <w:rFonts w:hint="eastAsia" w:ascii="仿宋_GB2312" w:hAnsi="Calibri" w:eastAsia="仿宋_GB2312"/>
          <w:sz w:val="32"/>
          <w:szCs w:val="32"/>
        </w:rPr>
        <w:t xml:space="preserve">  开展就业工作考核，将就业工作目标逐层分解纳入当年学校绩效考核，进一步推动学校就业工作水平和毕业生就业质量的提高；具体考核标准、考核办法由质量办与就业处等有关部门另行制定，报学校就业工作领导小组审批后执行。</w:t>
      </w:r>
    </w:p>
    <w:p>
      <w:pPr>
        <w:spacing w:line="596" w:lineRule="exact"/>
        <w:ind w:firstLine="640" w:firstLineChars="200"/>
        <w:rPr>
          <w:rFonts w:ascii="仿宋_GB2312" w:hAnsi="Calibri" w:eastAsia="仿宋_GB2312"/>
          <w:sz w:val="32"/>
          <w:szCs w:val="32"/>
        </w:rPr>
      </w:pPr>
    </w:p>
    <w:p>
      <w:pPr>
        <w:spacing w:line="596" w:lineRule="exact"/>
        <w:jc w:val="center"/>
        <w:outlineLvl w:val="9"/>
        <w:rPr>
          <w:rFonts w:ascii="黑体" w:hAnsi="黑体" w:eastAsia="黑体"/>
          <w:b/>
          <w:sz w:val="32"/>
          <w:szCs w:val="32"/>
        </w:rPr>
      </w:pPr>
      <w:bookmarkStart w:id="954" w:name="_Toc2868_WPSOffice_Level1"/>
      <w:r>
        <w:rPr>
          <w:rFonts w:hint="eastAsia" w:ascii="黑体" w:hAnsi="黑体" w:eastAsia="黑体"/>
          <w:b/>
          <w:sz w:val="32"/>
          <w:szCs w:val="32"/>
        </w:rPr>
        <w:t>第十章  附 则</w:t>
      </w:r>
      <w:bookmarkEnd w:id="954"/>
    </w:p>
    <w:p>
      <w:pPr>
        <w:spacing w:line="596" w:lineRule="exact"/>
        <w:ind w:firstLine="643" w:firstLineChars="200"/>
        <w:outlineLvl w:val="9"/>
        <w:rPr>
          <w:rFonts w:hint="eastAsia" w:ascii="仿宋_GB2312" w:hAnsi="Calibri" w:eastAsia="仿宋_GB2312"/>
          <w:sz w:val="32"/>
          <w:szCs w:val="32"/>
        </w:rPr>
      </w:pPr>
      <w:bookmarkStart w:id="955" w:name="_Toc498"/>
      <w:bookmarkStart w:id="956" w:name="_Toc30842_WPSOffice_Level1"/>
      <w:bookmarkStart w:id="957" w:name="_Toc1715"/>
      <w:r>
        <w:rPr>
          <w:rFonts w:hint="eastAsia" w:ascii="仿宋_GB2312" w:hAnsi="Calibri" w:eastAsia="仿宋_GB2312"/>
          <w:b/>
          <w:sz w:val="32"/>
          <w:szCs w:val="32"/>
        </w:rPr>
        <w:t xml:space="preserve">第三十八条 </w:t>
      </w:r>
      <w:r>
        <w:rPr>
          <w:rFonts w:hint="eastAsia" w:ascii="仿宋_GB2312" w:hAnsi="Calibri" w:eastAsia="仿宋_GB2312"/>
          <w:sz w:val="32"/>
          <w:szCs w:val="32"/>
        </w:rPr>
        <w:t xml:space="preserve"> 本规定由就业处负责解释。</w:t>
      </w:r>
      <w:bookmarkEnd w:id="955"/>
      <w:bookmarkEnd w:id="956"/>
      <w:bookmarkEnd w:id="957"/>
    </w:p>
    <w:p>
      <w:pPr>
        <w:rPr>
          <w:rFonts w:hint="eastAsia"/>
          <w:lang w:eastAsia="zh-CN"/>
        </w:rPr>
      </w:pPr>
    </w:p>
    <w:p>
      <w:pPr>
        <w:rPr>
          <w:rFonts w:hint="eastAsia"/>
          <w:lang w:eastAsia="zh-CN"/>
        </w:rPr>
        <w:sectPr>
          <w:pgSz w:w="11906" w:h="16838"/>
          <w:pgMar w:top="1440" w:right="1800" w:bottom="1440" w:left="1800" w:header="851" w:footer="992" w:gutter="0"/>
          <w:pgNumType w:fmt="decimal"/>
          <w:cols w:space="425" w:num="1"/>
          <w:docGrid w:type="lines" w:linePitch="312" w:charSpace="0"/>
        </w:sectPr>
      </w:pPr>
    </w:p>
    <w:p>
      <w:pPr>
        <w:spacing w:line="596" w:lineRule="exact"/>
        <w:jc w:val="center"/>
        <w:outlineLvl w:val="9"/>
        <w:rPr>
          <w:b/>
          <w:color w:val="000000"/>
          <w:sz w:val="36"/>
          <w:szCs w:val="36"/>
        </w:rPr>
      </w:pPr>
      <w:bookmarkStart w:id="958" w:name="_Toc20820_WPSOffice_Level1"/>
      <w:bookmarkStart w:id="959" w:name="_Toc20453"/>
      <w:bookmarkStart w:id="960" w:name="_Toc14966"/>
      <w:r>
        <w:rPr>
          <w:rFonts w:hint="eastAsia"/>
          <w:b/>
          <w:color w:val="000000"/>
          <w:sz w:val="36"/>
          <w:szCs w:val="36"/>
        </w:rPr>
        <w:t>柳州职业技术学院就业工作年度考核办法</w:t>
      </w:r>
      <w:bookmarkEnd w:id="958"/>
      <w:bookmarkEnd w:id="959"/>
      <w:bookmarkEnd w:id="960"/>
    </w:p>
    <w:p>
      <w:pPr>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（柳职院字〔2021〕100 号）</w:t>
      </w:r>
    </w:p>
    <w:p>
      <w:pPr>
        <w:spacing w:line="590" w:lineRule="exact"/>
        <w:jc w:val="center"/>
        <w:rPr>
          <w:rFonts w:hint="eastAsia"/>
          <w:b/>
          <w:bCs/>
          <w:sz w:val="40"/>
          <w:szCs w:val="48"/>
        </w:rPr>
      </w:pPr>
    </w:p>
    <w:p>
      <w:pPr>
        <w:spacing w:line="596" w:lineRule="exact"/>
        <w:ind w:firstLine="640" w:firstLineChars="200"/>
        <w:rPr>
          <w:rFonts w:ascii="仿宋_GB2312" w:eastAsia="仿宋_GB2312"/>
          <w:sz w:val="32"/>
          <w:szCs w:val="32"/>
        </w:rPr>
      </w:pPr>
      <w:r>
        <w:rPr>
          <w:rFonts w:hint="eastAsia" w:ascii="仿宋_GB2312" w:eastAsia="仿宋_GB2312"/>
          <w:sz w:val="32"/>
          <w:szCs w:val="32"/>
        </w:rPr>
        <w:t>为深入贯彻党的十九届五中全会精神和党中央、国务院“稳就业”“保就业”决策部署，为切实提升我校毕业生就业质量，完善校院结合、职责分明、层层落实的就业工作保障机制，建立健全就业质量管理体系，提升学校就业工作管理水平，确保毕业生更充分更高质的就业，根据我校就业工作具体情况，特制定本考核办法。</w:t>
      </w:r>
    </w:p>
    <w:p>
      <w:pPr>
        <w:spacing w:line="596" w:lineRule="exact"/>
        <w:ind w:firstLine="643" w:firstLineChars="200"/>
        <w:outlineLvl w:val="9"/>
        <w:rPr>
          <w:rFonts w:ascii="黑体" w:hAnsi="黑体" w:eastAsia="黑体"/>
          <w:b/>
          <w:sz w:val="32"/>
          <w:szCs w:val="32"/>
        </w:rPr>
      </w:pPr>
      <w:bookmarkStart w:id="961" w:name="_Toc30686"/>
      <w:bookmarkStart w:id="962" w:name="_Toc9974_WPSOffice_Level1"/>
      <w:bookmarkStart w:id="963" w:name="_Toc9044"/>
      <w:r>
        <w:rPr>
          <w:rFonts w:hint="eastAsia" w:ascii="黑体" w:hAnsi="黑体" w:eastAsia="黑体"/>
          <w:b/>
          <w:sz w:val="32"/>
          <w:szCs w:val="32"/>
        </w:rPr>
        <w:t>一、考核目的</w:t>
      </w:r>
      <w:bookmarkEnd w:id="961"/>
      <w:bookmarkEnd w:id="962"/>
      <w:bookmarkEnd w:id="963"/>
    </w:p>
    <w:p>
      <w:pPr>
        <w:spacing w:line="596" w:lineRule="exact"/>
        <w:ind w:firstLine="640" w:firstLineChars="200"/>
        <w:rPr>
          <w:rFonts w:ascii="仿宋_GB2312" w:eastAsia="仿宋_GB2312"/>
          <w:sz w:val="32"/>
          <w:szCs w:val="32"/>
        </w:rPr>
      </w:pPr>
      <w:r>
        <w:rPr>
          <w:rFonts w:hint="eastAsia" w:ascii="仿宋_GB2312" w:eastAsia="仿宋_GB2312"/>
          <w:sz w:val="32"/>
          <w:szCs w:val="32"/>
        </w:rPr>
        <w:t>为进一步构建学校毕业生就业工作长效机制，充分调动各二级学院就业工作积极性、主动性和创造性，推动毕业生就业工作管理水平提升。</w:t>
      </w:r>
    </w:p>
    <w:p>
      <w:pPr>
        <w:spacing w:line="596" w:lineRule="exact"/>
        <w:ind w:left="420" w:firstLine="321" w:firstLineChars="100"/>
        <w:outlineLvl w:val="9"/>
        <w:rPr>
          <w:rFonts w:ascii="黑体" w:hAnsi="黑体" w:eastAsia="黑体"/>
          <w:b/>
          <w:sz w:val="32"/>
          <w:szCs w:val="32"/>
        </w:rPr>
      </w:pPr>
      <w:bookmarkStart w:id="964" w:name="_Toc30979"/>
      <w:bookmarkStart w:id="965" w:name="_Toc32496_WPSOffice_Level1"/>
      <w:bookmarkStart w:id="966" w:name="_Toc13303"/>
      <w:r>
        <w:rPr>
          <w:rFonts w:hint="eastAsia" w:ascii="黑体" w:hAnsi="黑体" w:eastAsia="黑体"/>
          <w:b/>
          <w:sz w:val="32"/>
          <w:szCs w:val="32"/>
        </w:rPr>
        <w:t>二、考核原则</w:t>
      </w:r>
      <w:bookmarkEnd w:id="964"/>
      <w:bookmarkEnd w:id="965"/>
      <w:bookmarkEnd w:id="966"/>
    </w:p>
    <w:p>
      <w:pPr>
        <w:spacing w:line="596" w:lineRule="exact"/>
        <w:ind w:firstLine="640" w:firstLineChars="200"/>
        <w:rPr>
          <w:rFonts w:ascii="仿宋_GB2312" w:eastAsia="仿宋_GB2312"/>
          <w:sz w:val="32"/>
          <w:szCs w:val="32"/>
        </w:rPr>
      </w:pPr>
      <w:r>
        <w:rPr>
          <w:rFonts w:hint="eastAsia" w:ascii="仿宋_GB2312" w:eastAsia="仿宋_GB2312"/>
          <w:sz w:val="32"/>
          <w:szCs w:val="32"/>
        </w:rPr>
        <w:t>以服务为宗旨，以就业为导向，以改革为动力，以提高就业质量和管理水平为工作重点，促进就业工作制度化、规范化、科学化。按照“公平、公正、公开”的原则，兼顾过程与结果并重。</w:t>
      </w:r>
    </w:p>
    <w:p>
      <w:pPr>
        <w:spacing w:line="596" w:lineRule="exact"/>
        <w:ind w:left="420" w:firstLine="321" w:firstLineChars="100"/>
        <w:outlineLvl w:val="9"/>
        <w:rPr>
          <w:rFonts w:ascii="黑体" w:hAnsi="黑体" w:eastAsia="黑体"/>
          <w:b/>
          <w:sz w:val="32"/>
          <w:szCs w:val="32"/>
        </w:rPr>
      </w:pPr>
      <w:bookmarkStart w:id="967" w:name="_Toc16400_WPSOffice_Level1"/>
      <w:bookmarkStart w:id="968" w:name="_Toc3145"/>
      <w:bookmarkStart w:id="969" w:name="_Toc25579"/>
      <w:r>
        <w:rPr>
          <w:rFonts w:hint="eastAsia" w:ascii="黑体" w:hAnsi="黑体" w:eastAsia="黑体"/>
          <w:b/>
          <w:sz w:val="32"/>
          <w:szCs w:val="32"/>
        </w:rPr>
        <w:t>三、考核内容及标准</w:t>
      </w:r>
      <w:bookmarkEnd w:id="967"/>
      <w:bookmarkEnd w:id="968"/>
      <w:bookmarkEnd w:id="969"/>
    </w:p>
    <w:p>
      <w:pPr>
        <w:spacing w:line="596" w:lineRule="exact"/>
        <w:ind w:left="420" w:firstLine="321" w:firstLineChars="100"/>
        <w:outlineLvl w:val="9"/>
        <w:rPr>
          <w:rFonts w:ascii="楷体_GB2312" w:eastAsia="楷体_GB2312"/>
          <w:b/>
          <w:sz w:val="32"/>
          <w:szCs w:val="32"/>
        </w:rPr>
      </w:pPr>
      <w:r>
        <w:rPr>
          <w:rFonts w:hint="eastAsia" w:ascii="楷体_GB2312" w:eastAsia="楷体_GB2312"/>
          <w:b/>
          <w:sz w:val="32"/>
          <w:szCs w:val="32"/>
        </w:rPr>
        <w:t>（一）考核内容</w:t>
      </w:r>
    </w:p>
    <w:p>
      <w:pPr>
        <w:pStyle w:val="20"/>
        <w:spacing w:line="596" w:lineRule="exact"/>
        <w:ind w:left="0" w:leftChars="0" w:firstLine="640" w:firstLineChars="200"/>
        <w:jc w:val="both"/>
        <w:rPr>
          <w:rFonts w:ascii="仿宋_GB2312" w:hAnsi="Times New Roman" w:eastAsia="仿宋_GB2312"/>
          <w:sz w:val="32"/>
          <w:szCs w:val="32"/>
        </w:rPr>
      </w:pPr>
      <w:r>
        <w:rPr>
          <w:rFonts w:hint="eastAsia" w:ascii="仿宋_GB2312" w:hAnsi="Times New Roman" w:eastAsia="仿宋_GB2312"/>
          <w:sz w:val="32"/>
          <w:szCs w:val="32"/>
        </w:rPr>
        <w:t>考核内容分为工作过程、工作实效、加减分、一票否决四个部分。其中“工作过程”包括工作保障、数据管理、精准帮扶、就业指导、市场开拓、校园招聘、专升本、参军入伍、文明离校等，“工作实效”包含初次就业去向落实率、</w:t>
      </w:r>
    </w:p>
    <w:p>
      <w:pPr>
        <w:pStyle w:val="20"/>
        <w:spacing w:line="596" w:lineRule="exact"/>
        <w:ind w:left="0" w:leftChars="0" w:firstLine="0" w:firstLineChars="0"/>
        <w:jc w:val="both"/>
        <w:rPr>
          <w:rFonts w:ascii="仿宋_GB2312" w:hAnsi="Times New Roman" w:eastAsia="仿宋_GB2312"/>
          <w:sz w:val="32"/>
          <w:szCs w:val="32"/>
        </w:rPr>
      </w:pPr>
      <w:r>
        <w:rPr>
          <w:rFonts w:hint="eastAsia" w:ascii="仿宋_GB2312" w:hAnsi="Times New Roman" w:eastAsia="仿宋_GB2312"/>
          <w:sz w:val="32"/>
          <w:szCs w:val="32"/>
        </w:rPr>
        <w:t>毕业半年毕业去向落实率、对口率、协议和合同类就业率、升学率、升学报到率、参军率、创业率、毕业生就业满意度、用人单位满意度等。</w:t>
      </w:r>
    </w:p>
    <w:p>
      <w:pPr>
        <w:pStyle w:val="10"/>
        <w:shd w:val="clear" w:color="auto" w:fill="FFFFFF"/>
        <w:spacing w:beforeAutospacing="0" w:afterAutospacing="0" w:line="596" w:lineRule="exact"/>
        <w:ind w:firstLine="640" w:firstLineChars="200"/>
        <w:jc w:val="both"/>
        <w:rPr>
          <w:rFonts w:ascii="仿宋_GB2312" w:hAnsi="Times New Roman" w:eastAsia="仿宋_GB2312"/>
          <w:kern w:val="2"/>
          <w:sz w:val="32"/>
          <w:szCs w:val="32"/>
        </w:rPr>
      </w:pPr>
      <w:r>
        <w:rPr>
          <w:rFonts w:hint="eastAsia" w:ascii="仿宋_GB2312" w:hAnsi="Times New Roman" w:eastAsia="仿宋_GB2312"/>
          <w:kern w:val="2"/>
          <w:sz w:val="32"/>
          <w:szCs w:val="32"/>
        </w:rPr>
        <w:t>详见就业工作考核考核指标体系（附件1）。</w:t>
      </w:r>
    </w:p>
    <w:p>
      <w:pPr>
        <w:spacing w:line="596" w:lineRule="exact"/>
        <w:ind w:firstLine="643" w:firstLineChars="200"/>
        <w:jc w:val="both"/>
        <w:outlineLvl w:val="9"/>
        <w:rPr>
          <w:rFonts w:ascii="楷体_GB2312" w:eastAsia="楷体_GB2312"/>
          <w:b/>
          <w:sz w:val="32"/>
          <w:szCs w:val="32"/>
        </w:rPr>
      </w:pPr>
      <w:r>
        <w:rPr>
          <w:rFonts w:hint="eastAsia" w:ascii="楷体_GB2312" w:eastAsia="楷体_GB2312"/>
          <w:b/>
          <w:sz w:val="32"/>
          <w:szCs w:val="32"/>
        </w:rPr>
        <w:t>（二）考核成绩计算办法</w:t>
      </w:r>
    </w:p>
    <w:p>
      <w:pPr>
        <w:pStyle w:val="20"/>
        <w:spacing w:line="596" w:lineRule="exact"/>
        <w:ind w:left="0" w:leftChars="0" w:firstLine="640" w:firstLineChars="200"/>
        <w:jc w:val="both"/>
        <w:rPr>
          <w:rFonts w:ascii="仿宋_GB2312" w:hAnsi="Times New Roman" w:eastAsia="仿宋_GB2312"/>
          <w:sz w:val="32"/>
          <w:szCs w:val="32"/>
        </w:rPr>
      </w:pPr>
      <w:r>
        <w:rPr>
          <w:rFonts w:hint="eastAsia" w:ascii="仿宋_GB2312" w:hAnsi="Times New Roman" w:eastAsia="仿宋_GB2312"/>
          <w:sz w:val="32"/>
          <w:szCs w:val="32"/>
        </w:rPr>
        <w:t>综合考核成绩=“工作过程”得分*50%+“工作实效”得分*50%+加减分项。</w:t>
      </w:r>
    </w:p>
    <w:p>
      <w:pPr>
        <w:spacing w:line="596" w:lineRule="exact"/>
        <w:ind w:firstLine="643" w:firstLineChars="200"/>
        <w:jc w:val="both"/>
        <w:outlineLvl w:val="9"/>
        <w:rPr>
          <w:rFonts w:ascii="楷体_GB2312" w:eastAsia="楷体_GB2312"/>
          <w:b/>
          <w:sz w:val="32"/>
          <w:szCs w:val="32"/>
        </w:rPr>
      </w:pPr>
      <w:r>
        <w:rPr>
          <w:rFonts w:hint="eastAsia" w:ascii="楷体_GB2312" w:eastAsia="楷体_GB2312"/>
          <w:b/>
          <w:sz w:val="32"/>
          <w:szCs w:val="32"/>
        </w:rPr>
        <w:t>（三）一票否决制</w:t>
      </w:r>
    </w:p>
    <w:p>
      <w:pPr>
        <w:pStyle w:val="20"/>
        <w:spacing w:line="596" w:lineRule="exact"/>
        <w:ind w:left="0" w:leftChars="0" w:firstLine="640" w:firstLineChars="200"/>
        <w:jc w:val="both"/>
        <w:rPr>
          <w:rFonts w:ascii="仿宋_GB2312" w:hAnsi="Times New Roman" w:eastAsia="仿宋_GB2312"/>
          <w:sz w:val="32"/>
          <w:szCs w:val="32"/>
        </w:rPr>
      </w:pPr>
      <w:r>
        <w:rPr>
          <w:rFonts w:hint="eastAsia" w:ascii="仿宋_GB2312" w:hAnsi="Times New Roman" w:eastAsia="仿宋_GB2312"/>
          <w:sz w:val="32"/>
          <w:szCs w:val="32"/>
        </w:rPr>
        <w:t>在上级抽查督查中发现有就业数据弄虚作假或存在其他不符合就业规定，经核实情况属实的，实施一票否决制。</w:t>
      </w:r>
    </w:p>
    <w:p>
      <w:pPr>
        <w:spacing w:line="596" w:lineRule="exact"/>
        <w:ind w:firstLine="643" w:firstLineChars="200"/>
        <w:jc w:val="both"/>
        <w:outlineLvl w:val="9"/>
        <w:rPr>
          <w:rFonts w:ascii="黑体" w:hAnsi="黑体" w:eastAsia="黑体"/>
          <w:b/>
          <w:sz w:val="32"/>
          <w:szCs w:val="32"/>
        </w:rPr>
      </w:pPr>
      <w:bookmarkStart w:id="970" w:name="_Toc4105"/>
      <w:bookmarkStart w:id="971" w:name="_Toc11817"/>
      <w:bookmarkStart w:id="972" w:name="_Toc26234_WPSOffice_Level1"/>
      <w:r>
        <w:rPr>
          <w:rFonts w:hint="eastAsia" w:ascii="黑体" w:hAnsi="黑体" w:eastAsia="黑体"/>
          <w:b/>
          <w:sz w:val="32"/>
          <w:szCs w:val="32"/>
        </w:rPr>
        <w:t>四、考核方式</w:t>
      </w:r>
      <w:bookmarkEnd w:id="970"/>
      <w:bookmarkEnd w:id="971"/>
      <w:bookmarkEnd w:id="972"/>
    </w:p>
    <w:p>
      <w:pPr>
        <w:spacing w:line="596" w:lineRule="exact"/>
        <w:ind w:firstLine="640" w:firstLineChars="200"/>
        <w:jc w:val="both"/>
        <w:rPr>
          <w:rFonts w:ascii="仿宋" w:hAnsi="仿宋" w:eastAsia="仿宋" w:cs="仿宋_GB2312"/>
          <w:sz w:val="32"/>
          <w:szCs w:val="32"/>
        </w:rPr>
      </w:pPr>
      <w:r>
        <w:rPr>
          <w:rFonts w:hint="eastAsia" w:ascii="仿宋_GB2312" w:eastAsia="仿宋_GB2312"/>
          <w:sz w:val="32"/>
          <w:szCs w:val="32"/>
        </w:rPr>
        <w:t>考核工作由学校统一部署，由招生就业处组织实施，</w:t>
      </w:r>
      <w:r>
        <w:rPr>
          <w:rFonts w:hint="eastAsia" w:ascii="仿宋" w:hAnsi="仿宋" w:eastAsia="仿宋" w:cs="仿宋_GB2312"/>
          <w:sz w:val="32"/>
          <w:szCs w:val="32"/>
        </w:rPr>
        <w:t>通过</w:t>
      </w:r>
      <w:r>
        <w:rPr>
          <w:rFonts w:ascii="仿宋" w:hAnsi="仿宋" w:eastAsia="仿宋" w:cs="仿宋_GB2312"/>
          <w:sz w:val="32"/>
          <w:szCs w:val="32"/>
        </w:rPr>
        <w:t>查阅考核材料和随机现场</w:t>
      </w:r>
      <w:r>
        <w:rPr>
          <w:rFonts w:hint="eastAsia" w:ascii="仿宋" w:hAnsi="仿宋" w:eastAsia="仿宋" w:cs="仿宋_GB2312"/>
          <w:sz w:val="32"/>
          <w:szCs w:val="32"/>
        </w:rPr>
        <w:t>抽查</w:t>
      </w:r>
      <w:r>
        <w:rPr>
          <w:rFonts w:ascii="仿宋" w:hAnsi="仿宋" w:eastAsia="仿宋" w:cs="仿宋_GB2312"/>
          <w:sz w:val="32"/>
          <w:szCs w:val="32"/>
        </w:rPr>
        <w:t>的方式进行。</w:t>
      </w:r>
    </w:p>
    <w:p>
      <w:pPr>
        <w:spacing w:line="596" w:lineRule="exact"/>
        <w:ind w:firstLine="643" w:firstLineChars="200"/>
        <w:jc w:val="both"/>
        <w:outlineLvl w:val="9"/>
        <w:rPr>
          <w:rFonts w:ascii="黑体" w:hAnsi="黑体" w:eastAsia="黑体"/>
          <w:b/>
          <w:sz w:val="32"/>
          <w:szCs w:val="32"/>
        </w:rPr>
      </w:pPr>
      <w:bookmarkStart w:id="973" w:name="_Toc1794"/>
      <w:bookmarkStart w:id="974" w:name="_Toc524"/>
      <w:bookmarkStart w:id="975" w:name="_Toc9995_WPSOffice_Level1"/>
      <w:r>
        <w:rPr>
          <w:rFonts w:hint="eastAsia" w:ascii="黑体" w:hAnsi="黑体" w:eastAsia="黑体"/>
          <w:b/>
          <w:sz w:val="32"/>
          <w:szCs w:val="32"/>
        </w:rPr>
        <w:t>五、考核程序</w:t>
      </w:r>
      <w:bookmarkEnd w:id="973"/>
      <w:bookmarkEnd w:id="974"/>
      <w:bookmarkEnd w:id="975"/>
    </w:p>
    <w:p>
      <w:pPr>
        <w:pStyle w:val="20"/>
        <w:spacing w:line="596" w:lineRule="exact"/>
        <w:ind w:left="0" w:leftChars="0" w:firstLine="640" w:firstLineChars="200"/>
        <w:jc w:val="both"/>
        <w:rPr>
          <w:rFonts w:ascii="仿宋_GB2312" w:hAnsi="Times New Roman" w:eastAsia="仿宋_GB2312"/>
          <w:sz w:val="32"/>
          <w:szCs w:val="32"/>
        </w:rPr>
      </w:pPr>
      <w:r>
        <w:rPr>
          <w:rFonts w:hint="eastAsia" w:ascii="仿宋_GB2312" w:hAnsi="Times New Roman" w:eastAsia="仿宋_GB2312"/>
          <w:sz w:val="32"/>
          <w:szCs w:val="32"/>
        </w:rPr>
        <w:t>考核每年进行一次，各二级学院于当年12月中旬完成自评，学校考核在当年12月底前完成。</w:t>
      </w:r>
    </w:p>
    <w:p>
      <w:pPr>
        <w:spacing w:line="596" w:lineRule="exact"/>
        <w:ind w:firstLine="643" w:firstLineChars="200"/>
        <w:jc w:val="both"/>
        <w:outlineLvl w:val="9"/>
        <w:rPr>
          <w:rFonts w:ascii="楷体_GB2312" w:eastAsia="楷体_GB2312"/>
          <w:b/>
          <w:sz w:val="32"/>
          <w:szCs w:val="32"/>
        </w:rPr>
      </w:pPr>
      <w:r>
        <w:rPr>
          <w:rFonts w:hint="eastAsia" w:ascii="楷体_GB2312" w:eastAsia="楷体_GB2312"/>
          <w:b/>
          <w:sz w:val="32"/>
          <w:szCs w:val="32"/>
        </w:rPr>
        <w:t>（一）二级学院自评</w:t>
      </w:r>
    </w:p>
    <w:p>
      <w:pPr>
        <w:pStyle w:val="20"/>
        <w:spacing w:line="596" w:lineRule="exact"/>
        <w:ind w:left="0" w:leftChars="0" w:firstLine="640" w:firstLineChars="200"/>
        <w:jc w:val="both"/>
        <w:rPr>
          <w:rFonts w:ascii="仿宋_GB2312" w:hAnsi="Times New Roman" w:eastAsia="仿宋_GB2312"/>
          <w:sz w:val="32"/>
          <w:szCs w:val="32"/>
        </w:rPr>
      </w:pPr>
      <w:r>
        <w:rPr>
          <w:rFonts w:hint="eastAsia" w:ascii="仿宋_GB2312" w:hAnsi="Times New Roman" w:eastAsia="仿宋_GB2312"/>
          <w:sz w:val="32"/>
          <w:szCs w:val="32"/>
        </w:rPr>
        <w:t>各二级学院根据考核指标、内容，收集相关佐证材料，按照实事求是、客观准确的原则开展自评，并填报自评表。二级学院自评分仅作为考核的参考依据。</w:t>
      </w:r>
    </w:p>
    <w:p>
      <w:pPr>
        <w:spacing w:line="596" w:lineRule="exact"/>
        <w:ind w:firstLine="643" w:firstLineChars="200"/>
        <w:jc w:val="both"/>
        <w:outlineLvl w:val="9"/>
        <w:rPr>
          <w:rFonts w:ascii="楷体_GB2312" w:eastAsia="楷体_GB2312"/>
          <w:b/>
          <w:sz w:val="32"/>
          <w:szCs w:val="32"/>
        </w:rPr>
      </w:pPr>
      <w:r>
        <w:rPr>
          <w:rFonts w:hint="eastAsia" w:ascii="楷体_GB2312" w:eastAsia="楷体_GB2312"/>
          <w:b/>
          <w:sz w:val="32"/>
          <w:szCs w:val="32"/>
        </w:rPr>
        <w:t>（二）学校考核</w:t>
      </w:r>
    </w:p>
    <w:p>
      <w:pPr>
        <w:pStyle w:val="20"/>
        <w:spacing w:line="596" w:lineRule="exact"/>
        <w:ind w:left="0" w:leftChars="0" w:firstLine="640" w:firstLineChars="200"/>
        <w:jc w:val="both"/>
        <w:rPr>
          <w:rFonts w:ascii="仿宋_GB2312" w:hAnsi="Times New Roman" w:eastAsia="仿宋_GB2312"/>
          <w:sz w:val="32"/>
          <w:szCs w:val="32"/>
        </w:rPr>
      </w:pPr>
      <w:r>
        <w:rPr>
          <w:rFonts w:hint="eastAsia" w:ascii="仿宋_GB2312" w:hAnsi="Times New Roman" w:eastAsia="仿宋_GB2312"/>
          <w:sz w:val="32"/>
          <w:szCs w:val="32"/>
        </w:rPr>
        <w:t>学校招生就业处参照二级学院自评情况，结合相关时间节点数据统计，通过查阅考核材料和随机现场抽查的方式进行考评，考核结果报学校审定。</w:t>
      </w:r>
    </w:p>
    <w:p>
      <w:pPr>
        <w:pStyle w:val="20"/>
        <w:spacing w:line="596" w:lineRule="exact"/>
        <w:ind w:left="0" w:leftChars="0" w:firstLine="643" w:firstLineChars="200"/>
        <w:jc w:val="both"/>
        <w:outlineLvl w:val="9"/>
        <w:rPr>
          <w:rFonts w:ascii="黑体" w:hAnsi="黑体" w:eastAsia="黑体"/>
          <w:b/>
          <w:sz w:val="32"/>
          <w:szCs w:val="32"/>
        </w:rPr>
      </w:pPr>
      <w:bookmarkStart w:id="976" w:name="_Toc10905"/>
      <w:bookmarkStart w:id="977" w:name="_Toc13912_WPSOffice_Level1"/>
      <w:bookmarkStart w:id="978" w:name="_Toc27578"/>
      <w:r>
        <w:rPr>
          <w:rFonts w:hint="eastAsia" w:ascii="黑体" w:hAnsi="黑体" w:eastAsia="黑体"/>
          <w:b/>
          <w:sz w:val="32"/>
          <w:szCs w:val="32"/>
        </w:rPr>
        <w:t>六、奖惩办法</w:t>
      </w:r>
      <w:bookmarkEnd w:id="976"/>
      <w:bookmarkEnd w:id="977"/>
      <w:bookmarkEnd w:id="978"/>
    </w:p>
    <w:p>
      <w:pPr>
        <w:pStyle w:val="20"/>
        <w:spacing w:line="596" w:lineRule="exact"/>
        <w:ind w:left="0" w:leftChars="0" w:firstLine="0" w:firstLineChars="0"/>
        <w:jc w:val="both"/>
        <w:rPr>
          <w:rFonts w:ascii="仿宋_GB2312" w:hAnsi="Times New Roman" w:eastAsia="仿宋_GB2312"/>
          <w:sz w:val="32"/>
          <w:szCs w:val="32"/>
        </w:rPr>
      </w:pPr>
      <w:r>
        <w:rPr>
          <w:rFonts w:hint="eastAsia" w:ascii="仿宋_GB2312" w:hAnsi="Times New Roman" w:eastAsia="仿宋_GB2312"/>
          <w:sz w:val="32"/>
          <w:szCs w:val="32"/>
        </w:rPr>
        <w:t>（一）根据考核得分，评定优秀、良好、合格、基本合格、不合格五个等级，具体如下。</w:t>
      </w:r>
    </w:p>
    <w:tbl>
      <w:tblPr>
        <w:tblStyle w:val="15"/>
        <w:tblW w:w="87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260"/>
        <w:gridCol w:w="1450"/>
        <w:gridCol w:w="1474"/>
        <w:gridCol w:w="1633"/>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7" w:hRule="atLeast"/>
          <w:jc w:val="center"/>
        </w:trPr>
        <w:tc>
          <w:tcPr>
            <w:tcW w:w="1664"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考核总得分</w:t>
            </w:r>
          </w:p>
        </w:tc>
        <w:tc>
          <w:tcPr>
            <w:tcW w:w="1260"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总得分≥90分</w:t>
            </w:r>
          </w:p>
        </w:tc>
        <w:tc>
          <w:tcPr>
            <w:tcW w:w="1450"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80≤总得分&lt;90</w:t>
            </w:r>
          </w:p>
        </w:tc>
        <w:tc>
          <w:tcPr>
            <w:tcW w:w="1474"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70≤总得分&lt;80</w:t>
            </w:r>
          </w:p>
        </w:tc>
        <w:tc>
          <w:tcPr>
            <w:tcW w:w="1633"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60≤总得分&lt;70</w:t>
            </w:r>
          </w:p>
        </w:tc>
        <w:tc>
          <w:tcPr>
            <w:tcW w:w="1295"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总得分&lt;60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jc w:val="center"/>
        </w:trPr>
        <w:tc>
          <w:tcPr>
            <w:tcW w:w="1664"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考核</w:t>
            </w:r>
          </w:p>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等级</w:t>
            </w:r>
          </w:p>
        </w:tc>
        <w:tc>
          <w:tcPr>
            <w:tcW w:w="1260"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优秀</w:t>
            </w:r>
          </w:p>
        </w:tc>
        <w:tc>
          <w:tcPr>
            <w:tcW w:w="1450"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良好</w:t>
            </w:r>
          </w:p>
        </w:tc>
        <w:tc>
          <w:tcPr>
            <w:tcW w:w="1474"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合格</w:t>
            </w:r>
          </w:p>
        </w:tc>
        <w:tc>
          <w:tcPr>
            <w:tcW w:w="1633"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基本合格</w:t>
            </w:r>
          </w:p>
        </w:tc>
        <w:tc>
          <w:tcPr>
            <w:tcW w:w="1295" w:type="dxa"/>
            <w:vAlign w:val="center"/>
          </w:tcPr>
          <w:p>
            <w:pPr>
              <w:pStyle w:val="20"/>
              <w:spacing w:line="560" w:lineRule="exact"/>
              <w:ind w:firstLine="0" w:firstLineChars="0"/>
              <w:jc w:val="center"/>
              <w:rPr>
                <w:rFonts w:ascii="仿宋_GB2312" w:hAnsi="Times New Roman" w:eastAsia="仿宋_GB2312"/>
                <w:sz w:val="28"/>
                <w:szCs w:val="28"/>
              </w:rPr>
            </w:pPr>
            <w:r>
              <w:rPr>
                <w:rFonts w:hint="eastAsia" w:ascii="仿宋_GB2312" w:hAnsi="Times New Roman" w:eastAsia="仿宋_GB2312"/>
                <w:sz w:val="28"/>
                <w:szCs w:val="28"/>
              </w:rPr>
              <w:t>不合格</w:t>
            </w:r>
          </w:p>
        </w:tc>
      </w:tr>
    </w:tbl>
    <w:p>
      <w:pPr>
        <w:pStyle w:val="20"/>
        <w:spacing w:line="596" w:lineRule="exact"/>
        <w:ind w:left="0" w:leftChars="0" w:firstLine="0" w:firstLineChars="0"/>
        <w:jc w:val="both"/>
        <w:rPr>
          <w:rFonts w:ascii="仿宋_GB2312" w:hAnsi="Times New Roman" w:eastAsia="仿宋_GB2312"/>
          <w:sz w:val="32"/>
          <w:szCs w:val="32"/>
        </w:rPr>
      </w:pPr>
      <w:r>
        <w:rPr>
          <w:rFonts w:hint="eastAsia" w:ascii="仿宋_GB2312" w:hAnsi="Times New Roman" w:eastAsia="仿宋_GB2312"/>
          <w:sz w:val="32"/>
          <w:szCs w:val="32"/>
        </w:rPr>
        <w:t>（二）获得优秀的二级学院，授予“柳州职业技术学院 xx 年度就业工作先进单位”荣誉称号并授牌。</w:t>
      </w:r>
    </w:p>
    <w:p>
      <w:pPr>
        <w:pStyle w:val="20"/>
        <w:spacing w:line="596" w:lineRule="exact"/>
        <w:ind w:left="0" w:leftChars="0" w:firstLine="0" w:firstLineChars="0"/>
        <w:jc w:val="both"/>
        <w:rPr>
          <w:rFonts w:ascii="仿宋_GB2312" w:hAnsi="Times New Roman" w:eastAsia="仿宋_GB2312"/>
          <w:sz w:val="32"/>
          <w:szCs w:val="32"/>
        </w:rPr>
      </w:pPr>
      <w:r>
        <w:rPr>
          <w:rFonts w:hint="eastAsia" w:ascii="仿宋_GB2312" w:hAnsi="Times New Roman" w:eastAsia="仿宋_GB2312"/>
          <w:sz w:val="32"/>
          <w:szCs w:val="32"/>
        </w:rPr>
        <w:t>（三）对于获得优秀等级的二级学院，学校在外派学习、交流、预算分配、奖励经费等方面给予相应政策倾斜。</w:t>
      </w:r>
    </w:p>
    <w:p>
      <w:pPr>
        <w:pStyle w:val="20"/>
        <w:spacing w:line="596" w:lineRule="exact"/>
        <w:ind w:left="0" w:leftChars="0" w:firstLine="0" w:firstLineChars="0"/>
        <w:jc w:val="both"/>
        <w:rPr>
          <w:rFonts w:ascii="仿宋_GB2312" w:hAnsi="Times New Roman" w:eastAsia="仿宋_GB2312"/>
          <w:sz w:val="32"/>
          <w:szCs w:val="32"/>
        </w:rPr>
      </w:pPr>
      <w:r>
        <w:rPr>
          <w:rFonts w:hint="eastAsia" w:ascii="仿宋_GB2312" w:hAnsi="Times New Roman" w:eastAsia="仿宋_GB2312"/>
          <w:sz w:val="32"/>
          <w:szCs w:val="32"/>
        </w:rPr>
        <w:t>（四）考核结果为合格等级的，不奖不罚。</w:t>
      </w:r>
    </w:p>
    <w:p>
      <w:pPr>
        <w:pStyle w:val="20"/>
        <w:spacing w:line="596" w:lineRule="exact"/>
        <w:ind w:left="0" w:leftChars="0" w:firstLine="0" w:firstLineChars="0"/>
        <w:jc w:val="both"/>
        <w:rPr>
          <w:rFonts w:ascii="仿宋_GB2312" w:hAnsi="Times New Roman" w:eastAsia="仿宋_GB2312"/>
          <w:sz w:val="32"/>
          <w:szCs w:val="32"/>
        </w:rPr>
      </w:pPr>
      <w:r>
        <w:rPr>
          <w:rFonts w:hint="eastAsia" w:ascii="仿宋_GB2312" w:hAnsi="Times New Roman" w:eastAsia="仿宋_GB2312"/>
          <w:sz w:val="32"/>
          <w:szCs w:val="32"/>
        </w:rPr>
        <w:t>（五）考核等级为基本合格或不合格的，由招生就业处督促</w:t>
      </w:r>
    </w:p>
    <w:p>
      <w:pPr>
        <w:pStyle w:val="20"/>
        <w:spacing w:line="596" w:lineRule="exact"/>
        <w:ind w:left="0" w:leftChars="0" w:firstLine="0" w:firstLineChars="0"/>
        <w:jc w:val="both"/>
        <w:rPr>
          <w:rFonts w:ascii="仿宋_GB2312" w:hAnsi="Times New Roman" w:eastAsia="仿宋_GB2312"/>
          <w:sz w:val="32"/>
          <w:szCs w:val="32"/>
        </w:rPr>
      </w:pPr>
      <w:r>
        <w:rPr>
          <w:rFonts w:hint="eastAsia" w:ascii="仿宋_GB2312" w:hAnsi="Times New Roman" w:eastAsia="仿宋_GB2312"/>
          <w:sz w:val="32"/>
          <w:szCs w:val="32"/>
        </w:rPr>
        <w:t>制定整改措施，限期改正。</w:t>
      </w:r>
    </w:p>
    <w:p>
      <w:pPr>
        <w:pStyle w:val="20"/>
        <w:spacing w:line="596" w:lineRule="exact"/>
        <w:ind w:left="0" w:leftChars="0" w:firstLine="0" w:firstLineChars="0"/>
        <w:jc w:val="both"/>
        <w:rPr>
          <w:rFonts w:ascii="仿宋_GB2312" w:hAnsi="Times New Roman" w:eastAsia="仿宋_GB2312"/>
          <w:sz w:val="32"/>
          <w:szCs w:val="32"/>
        </w:rPr>
      </w:pPr>
      <w:r>
        <w:rPr>
          <w:rFonts w:hint="eastAsia" w:ascii="仿宋_GB2312" w:hAnsi="Times New Roman" w:eastAsia="仿宋_GB2312"/>
          <w:sz w:val="32"/>
          <w:szCs w:val="32"/>
        </w:rPr>
        <w:t>（六）二级学院就业工作考核结果将作为该院系主要领导干部学校年度考核和院系工作考核的重要内容和参考依据。</w:t>
      </w:r>
    </w:p>
    <w:p>
      <w:pPr>
        <w:spacing w:line="596" w:lineRule="exact"/>
        <w:ind w:firstLine="643" w:firstLineChars="200"/>
        <w:jc w:val="both"/>
        <w:outlineLvl w:val="9"/>
        <w:rPr>
          <w:rFonts w:ascii="黑体" w:hAnsi="黑体" w:eastAsia="黑体"/>
          <w:b/>
          <w:sz w:val="32"/>
          <w:szCs w:val="32"/>
        </w:rPr>
      </w:pPr>
      <w:bookmarkStart w:id="979" w:name="_Toc4131_WPSOffice_Level1"/>
      <w:bookmarkStart w:id="980" w:name="_Toc18204"/>
      <w:bookmarkStart w:id="981" w:name="_Toc11324"/>
      <w:r>
        <w:rPr>
          <w:rFonts w:hint="eastAsia" w:ascii="黑体" w:hAnsi="黑体" w:eastAsia="黑体"/>
          <w:b/>
          <w:sz w:val="32"/>
          <w:szCs w:val="32"/>
        </w:rPr>
        <w:t>七、其它</w:t>
      </w:r>
      <w:bookmarkEnd w:id="979"/>
      <w:bookmarkEnd w:id="980"/>
      <w:bookmarkEnd w:id="981"/>
    </w:p>
    <w:p>
      <w:pPr>
        <w:pStyle w:val="20"/>
        <w:spacing w:line="596" w:lineRule="exact"/>
        <w:ind w:left="0" w:leftChars="0" w:firstLine="0" w:firstLineChars="0"/>
        <w:jc w:val="both"/>
        <w:outlineLvl w:val="9"/>
        <w:rPr>
          <w:rFonts w:ascii="仿宋_GB2312" w:hAnsi="Times New Roman" w:eastAsia="仿宋_GB2312"/>
          <w:sz w:val="32"/>
          <w:szCs w:val="32"/>
        </w:rPr>
      </w:pPr>
      <w:r>
        <w:rPr>
          <w:rFonts w:hint="eastAsia" w:ascii="仿宋_GB2312" w:hAnsi="Times New Roman" w:eastAsia="仿宋_GB2312"/>
          <w:sz w:val="32"/>
          <w:szCs w:val="32"/>
        </w:rPr>
        <w:t>（一）本办法由招生就业处负责解释。</w:t>
      </w:r>
    </w:p>
    <w:p>
      <w:pPr>
        <w:pStyle w:val="20"/>
        <w:spacing w:line="596" w:lineRule="exact"/>
        <w:ind w:left="0" w:leftChars="0" w:firstLine="0" w:firstLineChars="0"/>
        <w:jc w:val="both"/>
        <w:outlineLvl w:val="9"/>
        <w:rPr>
          <w:rFonts w:ascii="仿宋_GB2312" w:hAnsi="Times New Roman" w:eastAsia="仿宋_GB2312"/>
          <w:sz w:val="32"/>
          <w:szCs w:val="32"/>
        </w:rPr>
      </w:pPr>
      <w:r>
        <w:rPr>
          <w:rFonts w:hint="eastAsia" w:ascii="仿宋_GB2312" w:hAnsi="Times New Roman" w:eastAsia="仿宋_GB2312"/>
          <w:sz w:val="32"/>
          <w:szCs w:val="32"/>
        </w:rPr>
        <w:t>（二）本办法自发布之日开始实施。</w:t>
      </w:r>
    </w:p>
    <w:p>
      <w:pPr>
        <w:rPr>
          <w:rFonts w:hint="eastAsia" w:ascii="仿宋" w:hAnsi="仿宋" w:eastAsia="仿宋" w:cs="仿宋"/>
          <w:bCs/>
          <w:szCs w:val="30"/>
        </w:rPr>
      </w:pPr>
      <w:bookmarkStart w:id="982" w:name="_Toc2923"/>
    </w:p>
    <w:p>
      <w:pPr>
        <w:rPr>
          <w:rFonts w:hint="eastAsia" w:ascii="仿宋" w:hAnsi="仿宋" w:eastAsia="仿宋" w:cs="仿宋"/>
          <w:bCs/>
          <w:szCs w:val="30"/>
        </w:rPr>
      </w:pPr>
    </w:p>
    <w:p>
      <w:pPr>
        <w:rPr>
          <w:rFonts w:hint="eastAsia" w:ascii="仿宋" w:hAnsi="仿宋" w:eastAsia="仿宋" w:cs="仿宋"/>
          <w:bCs/>
          <w:szCs w:val="30"/>
        </w:rPr>
      </w:pPr>
    </w:p>
    <w:p>
      <w:pPr>
        <w:rPr>
          <w:rFonts w:hint="eastAsia" w:ascii="仿宋" w:hAnsi="仿宋" w:eastAsia="仿宋" w:cs="仿宋"/>
          <w:bCs/>
          <w:szCs w:val="30"/>
        </w:rPr>
      </w:pPr>
    </w:p>
    <w:p>
      <w:pPr>
        <w:rPr>
          <w:rFonts w:hint="eastAsia" w:ascii="仿宋" w:hAnsi="仿宋" w:eastAsia="仿宋" w:cs="仿宋"/>
          <w:bCs/>
          <w:szCs w:val="30"/>
        </w:rPr>
      </w:pPr>
    </w:p>
    <w:p>
      <w:pPr>
        <w:rPr>
          <w:rFonts w:hint="eastAsia" w:ascii="仿宋" w:hAnsi="仿宋" w:eastAsia="仿宋" w:cs="仿宋"/>
          <w:bCs/>
          <w:szCs w:val="30"/>
        </w:rPr>
      </w:pPr>
    </w:p>
    <w:p>
      <w:pPr>
        <w:rPr>
          <w:rFonts w:hint="eastAsia" w:ascii="仿宋" w:hAnsi="仿宋" w:eastAsia="仿宋" w:cs="仿宋"/>
          <w:bCs/>
          <w:szCs w:val="30"/>
        </w:rPr>
      </w:pPr>
    </w:p>
    <w:p>
      <w:pPr>
        <w:rPr>
          <w:rFonts w:hint="eastAsia" w:ascii="仿宋" w:hAnsi="仿宋" w:eastAsia="仿宋" w:cs="仿宋"/>
          <w:bCs/>
          <w:szCs w:val="30"/>
        </w:rPr>
      </w:pPr>
    </w:p>
    <w:p>
      <w:pPr>
        <w:rPr>
          <w:rFonts w:hint="eastAsia" w:ascii="仿宋" w:hAnsi="仿宋" w:eastAsia="仿宋" w:cs="仿宋"/>
          <w:bCs/>
          <w:szCs w:val="30"/>
        </w:rPr>
      </w:pPr>
    </w:p>
    <w:p>
      <w:pPr>
        <w:rPr>
          <w:rFonts w:hint="eastAsia" w:ascii="仿宋" w:hAnsi="仿宋" w:eastAsia="仿宋" w:cs="仿宋"/>
          <w:bCs/>
          <w:szCs w:val="30"/>
        </w:rPr>
      </w:pPr>
    </w:p>
    <w:p>
      <w:pPr>
        <w:pStyle w:val="3"/>
        <w:outlineLvl w:val="9"/>
        <w:rPr>
          <w:rFonts w:hint="eastAsia" w:ascii="仿宋" w:hAnsi="仿宋" w:eastAsia="仿宋" w:cs="仿宋"/>
          <w:bCs/>
          <w:szCs w:val="30"/>
        </w:rPr>
      </w:pPr>
    </w:p>
    <w:p>
      <w:pPr>
        <w:rPr>
          <w:rFonts w:hint="eastAsia" w:ascii="仿宋" w:hAnsi="仿宋" w:eastAsia="仿宋" w:cs="仿宋"/>
          <w:bCs/>
          <w:szCs w:val="30"/>
        </w:rPr>
      </w:pPr>
    </w:p>
    <w:p>
      <w:pPr>
        <w:pStyle w:val="3"/>
        <w:outlineLvl w:val="9"/>
        <w:rPr>
          <w:rFonts w:hint="eastAsia" w:ascii="仿宋" w:hAnsi="仿宋" w:eastAsia="仿宋" w:cs="仿宋"/>
          <w:bCs/>
          <w:szCs w:val="30"/>
        </w:rPr>
      </w:pPr>
    </w:p>
    <w:p>
      <w:pPr>
        <w:rPr>
          <w:rFonts w:hint="eastAsia" w:ascii="仿宋" w:hAnsi="仿宋" w:eastAsia="仿宋" w:cs="仿宋"/>
          <w:bCs/>
          <w:szCs w:val="30"/>
        </w:rPr>
      </w:pPr>
    </w:p>
    <w:p>
      <w:pPr>
        <w:pStyle w:val="3"/>
        <w:outlineLvl w:val="9"/>
        <w:rPr>
          <w:rFonts w:hint="eastAsia" w:ascii="仿宋" w:hAnsi="仿宋" w:eastAsia="仿宋" w:cs="仿宋"/>
          <w:bCs/>
          <w:szCs w:val="30"/>
        </w:rPr>
      </w:pPr>
    </w:p>
    <w:p>
      <w:pPr>
        <w:rPr>
          <w:rFonts w:hint="eastAsia" w:ascii="仿宋" w:hAnsi="仿宋" w:eastAsia="仿宋" w:cs="仿宋"/>
          <w:bCs/>
          <w:szCs w:val="30"/>
        </w:rPr>
      </w:pPr>
    </w:p>
    <w:p>
      <w:pPr>
        <w:pStyle w:val="3"/>
        <w:outlineLvl w:val="9"/>
        <w:rPr>
          <w:rFonts w:hint="eastAsia" w:ascii="仿宋" w:hAnsi="仿宋" w:eastAsia="仿宋" w:cs="仿宋"/>
          <w:bCs/>
          <w:szCs w:val="30"/>
        </w:rPr>
      </w:pPr>
    </w:p>
    <w:p>
      <w:pPr>
        <w:rPr>
          <w:rFonts w:hint="eastAsia"/>
        </w:rPr>
      </w:pPr>
    </w:p>
    <w:p>
      <w:pPr>
        <w:pStyle w:val="3"/>
        <w:spacing w:line="360" w:lineRule="auto"/>
        <w:jc w:val="center"/>
        <w:outlineLvl w:val="9"/>
        <w:rPr>
          <w:rFonts w:asciiTheme="minorEastAsia" w:hAnsiTheme="minorEastAsia" w:eastAsiaTheme="minorEastAsia"/>
          <w:b/>
          <w:bCs/>
          <w:color w:val="000000"/>
          <w:kern w:val="2"/>
          <w:sz w:val="36"/>
          <w:szCs w:val="36"/>
        </w:rPr>
      </w:pPr>
      <w:bookmarkStart w:id="983" w:name="_Toc15257_WPSOffice_Level1"/>
      <w:r>
        <w:rPr>
          <w:rFonts w:hint="eastAsia" w:asciiTheme="minorEastAsia" w:hAnsiTheme="minorEastAsia" w:eastAsiaTheme="minorEastAsia"/>
          <w:b/>
          <w:bCs/>
          <w:color w:val="000000"/>
          <w:kern w:val="2"/>
          <w:sz w:val="36"/>
          <w:szCs w:val="36"/>
        </w:rPr>
        <w:t>柳州职业技术学院财务支出审批管理暂行办法</w:t>
      </w:r>
      <w:bookmarkEnd w:id="3"/>
      <w:bookmarkEnd w:id="4"/>
      <w:bookmarkEnd w:id="982"/>
      <w:bookmarkEnd w:id="983"/>
    </w:p>
    <w:p>
      <w:pPr>
        <w:pStyle w:val="10"/>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（柳职院字〔2017〕11号）</w:t>
      </w:r>
    </w:p>
    <w:p>
      <w:pPr>
        <w:pageBreakBefore w:val="0"/>
        <w:kinsoku/>
        <w:wordWrap/>
        <w:overflowPunct/>
        <w:topLinePunct w:val="0"/>
        <w:autoSpaceDE/>
        <w:autoSpaceDN/>
        <w:bidi w:val="0"/>
        <w:outlineLvl w:val="9"/>
        <w:rPr>
          <w:rFonts w:ascii="宋体" w:hAnsi="宋体"/>
          <w:szCs w:val="28"/>
        </w:rPr>
      </w:pP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为进一步加强学校财务管理，明确经费支出审批权限和责任，强化经费支出审批管理，依据《中华人民共和国会计法》、《高等学校财务制度》等有关管理制度，结合学校的实际情况制定本办法。</w:t>
      </w:r>
    </w:p>
    <w:p>
      <w:pPr>
        <w:pageBreakBefore w:val="0"/>
        <w:kinsoku/>
        <w:wordWrap/>
        <w:overflowPunct/>
        <w:topLinePunct w:val="0"/>
        <w:autoSpaceDE/>
        <w:autoSpaceDN/>
        <w:bidi w:val="0"/>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第一条  经费支出概念</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本办法所指的经费支出，是指学校财务处负责核算和管理的全部经费支出，包括教育事业经费、科研事业经费、基本建设经费和代管经费等各项经费支出。</w:t>
      </w:r>
    </w:p>
    <w:p>
      <w:pPr>
        <w:pageBreakBefore w:val="0"/>
        <w:kinsoku/>
        <w:wordWrap/>
        <w:overflowPunct/>
        <w:topLinePunct w:val="0"/>
        <w:autoSpaceDE/>
        <w:autoSpaceDN/>
        <w:bidi w:val="0"/>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第二条  审批人的确定</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各项经费支出的审批人，根据经费来源、职责分工、归口管理及支出额度等情况，分别予以确定，实行分级审批。原则上为单位及各部门行政主要负责人。</w:t>
      </w:r>
    </w:p>
    <w:p>
      <w:pPr>
        <w:pageBreakBefore w:val="0"/>
        <w:kinsoku/>
        <w:wordWrap/>
        <w:overflowPunct/>
        <w:topLinePunct w:val="0"/>
        <w:autoSpaceDE/>
        <w:autoSpaceDN/>
        <w:bidi w:val="0"/>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第三条  经费支出审批原则</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各级审批人要严格遵守财经法规和各项规章制度，认真履行审批职责，遵循以下审批原则。</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（一）“谁主管、谁审批、谁负责”原则</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各级审批人应根据各自的职责分工和所授权限，在授权范围内进行审批，不得超越权限审批。权责分工：</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经办人负责根据实际支出情况填写报销单，对经费报销的真实性、合理性、必要性进行审核把关,依据提请各级领导进行审批。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经办部门负责人对经费报销的真实性、合理性、必要性及事前申请一致性进行审核把关。</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经办部门分管校领导对于所分管业务财务支出行为的真实性、合理性及必要性进行审核把关。</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业务归口职能部门负责人对归口管理经费支出的专业性、合理性、必要性进行审核把关。</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财务处会计人员对报销票据的真实性、完整性及合规性，事前审批流程的合规性等进行审核把关，并按相关规定进行报销支付。</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经费支出审批人（含核算科科长、财务处副处长、财务处处长，总会计师、校长）对经费支出的合法性、合理性、必要性进行审核把关。</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（二）“财务一支笔”原则</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1.各部门经费支出的审批人，原则上为各部门行政主要负</w:t>
      </w:r>
      <w:bookmarkStart w:id="984" w:name="_Toc26147_WPSOffice_Level1"/>
      <w:r>
        <w:rPr>
          <w:rFonts w:hint="eastAsia" w:ascii="仿宋_GB2312" w:eastAsia="仿宋_GB2312"/>
          <w:sz w:val="32"/>
          <w:szCs w:val="32"/>
        </w:rPr>
        <w:t>责人。各部门行政主要负责人外出1个月以</w:t>
      </w:r>
      <w:bookmarkEnd w:id="984"/>
      <w:r>
        <w:rPr>
          <w:rFonts w:hint="eastAsia" w:ascii="仿宋_GB2312" w:eastAsia="仿宋_GB2312"/>
          <w:sz w:val="32"/>
          <w:szCs w:val="32"/>
        </w:rPr>
        <w:t>上的，可以根据工作需要书面授权到财务处备案，被授权人原则上为部门中层领导职务。</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2.审批人不能审批本人、配偶、直系亲属经办的经费支出业务。</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（三）严格预算控制原则</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学校各项经费须严格按预算进行归口管理和控制。年度预算方案，提交办公会审议和党委会审定后，最后下达各部门。为维护预算的严肃性和权威性，各部门须在下达的经费预算额度内，按规定用途，控制好预算经费的使用。</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2．所有经费支出必须有预算安排或有确定的资金来源。没有落实经费预算或来源的项目，任何部门不得执行，否则将追究有关责任人的责任。</w:t>
      </w:r>
    </w:p>
    <w:p>
      <w:pPr>
        <w:pageBreakBefore w:val="0"/>
        <w:kinsoku/>
        <w:wordWrap/>
        <w:overflowPunct/>
        <w:topLinePunct w:val="0"/>
        <w:autoSpaceDE/>
        <w:autoSpaceDN/>
        <w:bidi w:val="0"/>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第四条  经费支出事项事前审批权限规定</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经费支出事前审批是指各部门在做某件事情前，需要向有关部门或领导请示，经批准同意并获得资金支持后方能实施的行为。其审批权限规定如下：</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（一）一般事项事前审批权限</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一般事项是指各部门使用本部门预算购买办公用品、各类耗材、图书资料、报刊杂志等；以及支付邮电费、交通费、印刷费、维修费、实习费、会费、学生活动费等经济业务。其中，涉及以托收方式支付“电话费、水电费”和按政策支付的养老、保险等经济业务、以及按合同支付“物业费、贷款利息”等经济业务不需要走事前审批流程。</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具体审批规定如下：</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1.支出金额在3,000元以下的，而且是用本部门预算的，由部门负责人审批。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2.支出金额在3,000元至50,000元（含50,000元）的审批流程：经办人→部门（或项目）负责人→业务归口部门负责人→财务处处长→分管校领导→总会计师。</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3.支出金额在50,000元以上的审批流程：经办人→部门负责人→业务归口部门负责人→财务处处长→分管校领导→总会计师→校长。</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（二）特殊事项事前审批权限</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特殊事项是指学校按有关规定需要重点监管的经济业务。如涉及购买固定资产；公务接待；支付专家评审费、讲座费、劳务费、各类奖励、零星津补贴、零星工作量等人员经费；以及学生奖助学金、勤工助学</w:t>
      </w:r>
      <w:bookmarkStart w:id="985" w:name="_Toc16143_WPSOffice_Level1"/>
      <w:r>
        <w:rPr>
          <w:rFonts w:hint="eastAsia" w:ascii="仿宋_GB2312" w:eastAsia="仿宋_GB2312"/>
          <w:sz w:val="32"/>
          <w:szCs w:val="32"/>
        </w:rPr>
        <w:t>工资等经济业务。其中，日常的职</w:t>
      </w:r>
      <w:bookmarkEnd w:id="985"/>
      <w:r>
        <w:rPr>
          <w:rFonts w:hint="eastAsia" w:ascii="仿宋_GB2312" w:eastAsia="仿宋_GB2312"/>
          <w:sz w:val="32"/>
          <w:szCs w:val="32"/>
        </w:rPr>
        <w:t>工工资、课酬、工作量发放业务不需要走事前审批流程。具体审批规定如下：</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1.支出金额在50,000元以下（含50,000元）的审批流程：经办人→部门负责人→归口管理部门负责人→财务处处长→分管校领导→总会计师。</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2.支出金额在50,000元以上的审批流程：经办人→部门负责人→归口管理部门负责人→财务处处长→分管校领导→总会计师→校长。</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（三）公务出差事前审批权限</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公务出差按《柳州职业技术学院差旅费管理办法》(柳职院字〔2015〕22号)办理事前审批。具体审批规定如下：</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1.出差人数≤3人(不含部门行政负责人)，由部门行政负责人审批。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2.出差人数＞3人或需要乘坐飞机的（无论出差人数为几人）的审批流程：经办人→部门行政负责人→分管校领导。</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3.部门行政负责人出差的审批流程：经办人→部门行政负责人→分管校领导。</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公务出差事前审</w:t>
      </w:r>
      <w:bookmarkStart w:id="986" w:name="_Toc5858_WPSOffice_Level1"/>
      <w:r>
        <w:rPr>
          <w:rFonts w:hint="eastAsia" w:ascii="仿宋_GB2312" w:eastAsia="仿宋_GB2312"/>
          <w:sz w:val="32"/>
          <w:szCs w:val="32"/>
        </w:rPr>
        <w:t>批说明：审批是按经费来源、出差人数及是</w:t>
      </w:r>
      <w:bookmarkEnd w:id="986"/>
      <w:r>
        <w:rPr>
          <w:rFonts w:hint="eastAsia" w:ascii="仿宋_GB2312" w:eastAsia="仿宋_GB2312"/>
          <w:sz w:val="32"/>
          <w:szCs w:val="32"/>
        </w:rPr>
        <w:t>否乘坐飞机进行审批，审批时不受金额多少的限制。使用本部门经费时，按以上审批流程；经费不是本部门经费时，还需经费所属部门审批。差旅费依据差旅费管理办法规定的标准凭票据实报销。</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（四）公务借款事前审批权限</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原则上不办理公务借款，特殊原因需公务借款的，必须事前提出申请，待批准后才能借款。具体审批规定如下：</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1.借款金额在50,000元以下（含50,000元）的审批流程：借款人→部门负责人→财务处处长→分管校领导→总会计师。</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2.借款金额在50,000元以上的审批流程：借款人→部门负责人→财务处处长→分管校领导→总会计师→校长。</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（五）会签规定</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一般事项和特殊经费支出事前审批时，会签情况如下：</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1.凡支付金额＜3000元且使用本部门经费的不需要归口管理部门事前审批，支付金额≥3000元的需要归口管理部门审批。   </w:t>
      </w:r>
      <w:bookmarkStart w:id="987" w:name="_Toc27669_WPSOffice_Level1"/>
      <w:r>
        <w:rPr>
          <w:rFonts w:hint="eastAsia" w:ascii="仿宋_GB2312" w:eastAsia="仿宋_GB2312"/>
          <w:sz w:val="32"/>
          <w:szCs w:val="32"/>
        </w:rPr>
        <w:t xml:space="preserve"> </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归口管理部门是指负有承</w:t>
      </w:r>
      <w:bookmarkEnd w:id="987"/>
      <w:r>
        <w:rPr>
          <w:rFonts w:hint="eastAsia" w:ascii="仿宋_GB2312" w:eastAsia="仿宋_GB2312"/>
          <w:sz w:val="32"/>
          <w:szCs w:val="32"/>
        </w:rPr>
        <w:t>担该项业务管理和专业指导职责的专门部门。比如①“公务接待”的归口管理部门为学校办公室；②“专业建设、课程建设、教材建设和实训室建设等项目”归口管理部门为教务处；③“教改项目”的归口管理部门为职教研究所；④“科研项目”的归口管理部门为科技处；⑤“人才进引项目”归口管理部门为组织人事处；⑥“职工培训、读书深造、挂职锻炼等项目”归口管理部门为教师发展中心；⑦“学生资助项目”归口管理部门为学生处；⑧“设备、器材等物资采购、基建维修、网络维护费和使用费”归口管理部门为后勤处等。</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2.属跨部门使用经费的，不</w:t>
      </w:r>
      <w:bookmarkStart w:id="988" w:name="_Toc2343_WPSOffice_Level1"/>
      <w:r>
        <w:rPr>
          <w:rFonts w:hint="eastAsia" w:ascii="仿宋_GB2312" w:eastAsia="仿宋_GB2312"/>
          <w:sz w:val="32"/>
          <w:szCs w:val="32"/>
        </w:rPr>
        <w:t>管金额多少需经费所属部门事前审批。</w:t>
      </w:r>
      <w:bookmarkEnd w:id="988"/>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3.经事前审批后，涉及采购或服务合同签订的事项，还需办理合同会签。</w:t>
      </w:r>
    </w:p>
    <w:p>
      <w:pPr>
        <w:pageBreakBefore w:val="0"/>
        <w:kinsoku/>
        <w:wordWrap/>
        <w:overflowPunct/>
        <w:topLinePunct w:val="0"/>
        <w:autoSpaceDE/>
        <w:autoSpaceDN/>
        <w:bidi w:val="0"/>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第五条  经费支出事后报销签字审批规定</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按照财务规章制度，各部门在发生经济业务以后，必须到财务处办理报账手续。并按财务处要求填写对应的单据，附上发票、购物清单、审批报告和合同等材料，待会计人员审核通过，相关领导签字后方能付款。具体签字权限及流程如下：</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1.工资薪酬发放</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职工薪酬是指日常给职工发放的基本工资、绩效工资、津贴、工作量、课酬、社会保险、住房公积金和离退休生活费等，是有政策依据且标准相对固定的职工薪酬。</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经办人→部门负责人→会计→财务处处长→总会计师</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2.公务接待费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经办人→部门负责人→会计→财务处处长→总会计师</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3.其他经济业务</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①支出金额＜2,000元以下</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经办人→部门负责人→会计→核算科科长</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②支出金额≥2,000元＜20,000元</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经办人→部门负责人→会计→核算科科长→财务处副处长</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③支出金额≥20,000元＜100,000元</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经办人→部门负责人→会计→核算科科长→财务处处长→总会计师</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④支出金额≥100,000元</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经办人→部门负责人→会计→核算科科长→财务处处长→总会计师→校长</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4.经费报账规定</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①凡属于归口管理部门会签的经费，必须经过事前审批，报账时业务归口职能部门负责人不需再签字；</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②凡属于部门行政负责人出差，必须经过其分管领导事前审批，报账时其分管领导不需再签字；</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③凡属于跨部门使用经费的，不管金额多少需经费所属部门事前审批；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④凡属于需事前审批的经费，报销时无事前审批表或超过预算范围和金额的，财务人员有权不予受理。 </w:t>
      </w:r>
    </w:p>
    <w:p>
      <w:pPr>
        <w:pageBreakBefore w:val="0"/>
        <w:kinsoku/>
        <w:wordWrap/>
        <w:overflowPunct/>
        <w:topLinePunct w:val="0"/>
        <w:autoSpaceDE/>
        <w:autoSpaceDN/>
        <w:bidi w:val="0"/>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第六条  调整和追加预算的审批</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1.调整预算</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（1）预算调整原则：部门预算中基本预算和项目预算不可相互调整，基本经费各项目间可按规定调整，项目预算各项目间不可相互调整。</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基本经费调整的程序：由使用部门提出，填写《部门经费项目调整申请》表，通过学校CRP办理审批，审批权限为：①在可调整项目范围需办理调整的，由财务处审批；②当不可调整的项目资金不足且其他经费有结余，需办理调整的，经分管校领导同意，由总会计师审批；经批准调整的经费，其支出按照本办法相关规定进行审批。</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2.预留机动费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预算预留机动费，是为应对突发性和不可预计性工作或事件而预留的经费。对确需从预留机动费追加经费的，由使用部门提出申请，填写《机动经费使用申请》表，通过学校CRP办理审批，经分管校领导同意，金额2万元（含）以下的项目，由总会计师审批；金额在2-10万元（含）的项目由总会计师和校长审批；金额在10万元以上的项目，报校长办公会批准；经批准追加的经费，其支出按照本办法相关规定进行审批。</w:t>
      </w:r>
    </w:p>
    <w:p>
      <w:pPr>
        <w:pageBreakBefore w:val="0"/>
        <w:kinsoku/>
        <w:wordWrap/>
        <w:overflowPunct/>
        <w:topLinePunct w:val="0"/>
        <w:autoSpaceDE/>
        <w:autoSpaceDN/>
        <w:bidi w:val="0"/>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第七条  付款方式及现金结算支付的规定</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（一）现金支付</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1.按照国务院《现金管理暂行条例》的规定，现金结算起点定为1000元（含）。</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2.发放给临时聘用人员的劳务、教职工的慰问费或其他抚恤救济性支出等可通过现金发放。</w:t>
      </w:r>
    </w:p>
    <w:p>
      <w:pPr>
        <w:pageBreakBefore w:val="0"/>
        <w:kinsoku/>
        <w:wordWrap/>
        <w:overflowPunct/>
        <w:topLinePunct w:val="0"/>
        <w:autoSpaceDE/>
        <w:autoSpaceDN/>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（二）银行转账和公务卡支付</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1.超过现金结算起点的，须通过银行转账或公务卡结算。</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2.发放给本校在职职工、长期聘用人员、离退休人员、在校学生的工资、劳务、补贴、课酬、奖助学金等须通过个人银行存折（卡）发放。</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按照《柳州职业技术学院公务卡管理暂行办法》的规定：凡纳入公务卡强制结算目录，单次消费额度在5万元以下，500元以上的公务支出事项，必须通过银行转账或公务卡结算，并按照有关规定完成财务报账手续。单次消费额度在5万元以上的大额商品和服务类公务支出，应按照原办法通过银行转账结算，不使用公务卡结算。</w:t>
      </w:r>
    </w:p>
    <w:p>
      <w:pPr>
        <w:pageBreakBefore w:val="0"/>
        <w:kinsoku/>
        <w:wordWrap/>
        <w:overflowPunct/>
        <w:topLinePunct w:val="0"/>
        <w:autoSpaceDE/>
        <w:autoSpaceDN/>
        <w:bidi w:val="0"/>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第八条  经费支出相关管理规定</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经办人所取得的原始票据必须符合国家会计制度的规定，对于不合理、不合法的原始凭证，财务处工作人员有权拒绝受理；各部门采用银行转帐方式付款的，须在财务处转款后的十个工作日内，将合法原始票据交回财务处；借支款项须在业务终结10个工作日内，到财务处办理报账或退款手续；不按以上规定时间办理事项的，财务处有权将暂停该</w:t>
      </w:r>
      <w:bookmarkStart w:id="989" w:name="_Toc996_WPSOffice_Level1"/>
      <w:r>
        <w:rPr>
          <w:rFonts w:hint="eastAsia" w:ascii="仿宋_GB2312" w:eastAsia="仿宋_GB2312"/>
          <w:sz w:val="32"/>
          <w:szCs w:val="32"/>
        </w:rPr>
        <w:t>部门一切开支，并发出催办通知书。</w:t>
      </w:r>
      <w:bookmarkEnd w:id="989"/>
    </w:p>
    <w:p>
      <w:pPr>
        <w:pageBreakBefore w:val="0"/>
        <w:widowControl/>
        <w:kinsoku/>
        <w:wordWrap/>
        <w:overflowPunct/>
        <w:topLinePunct w:val="0"/>
        <w:autoSpaceDE/>
        <w:autoSpaceDN/>
        <w:bidi w:val="0"/>
        <w:jc w:val="left"/>
        <w:outlineLvl w:val="9"/>
      </w:pPr>
      <w: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hint="eastAsia" w:asciiTheme="minorEastAsia" w:hAnsiTheme="minorEastAsia" w:eastAsiaTheme="minorEastAsia"/>
          <w:b/>
          <w:bCs/>
          <w:color w:val="000000"/>
          <w:kern w:val="2"/>
          <w:sz w:val="36"/>
          <w:szCs w:val="36"/>
        </w:rPr>
      </w:pPr>
      <w:bookmarkStart w:id="990" w:name="_Toc11248"/>
      <w:bookmarkStart w:id="991" w:name="_Toc534377766"/>
      <w:bookmarkStart w:id="992" w:name="_Toc508"/>
      <w:bookmarkStart w:id="993" w:name="_Toc24292_WPSOffice_Level1"/>
      <w:r>
        <w:rPr>
          <w:rFonts w:hint="eastAsia" w:asciiTheme="minorEastAsia" w:hAnsiTheme="minorEastAsia" w:eastAsiaTheme="minorEastAsia"/>
          <w:b/>
          <w:bCs/>
          <w:color w:val="000000"/>
          <w:kern w:val="2"/>
          <w:sz w:val="36"/>
          <w:szCs w:val="36"/>
        </w:rPr>
        <w:t>柳州职业技术学院项目资金管理暂行办法</w:t>
      </w:r>
      <w:bookmarkEnd w:id="990"/>
      <w:bookmarkEnd w:id="991"/>
      <w:bookmarkEnd w:id="992"/>
      <w:bookmarkEnd w:id="993"/>
    </w:p>
    <w:p>
      <w:pPr>
        <w:pStyle w:val="10"/>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（柳职院字〔2017〕14号）</w:t>
      </w:r>
    </w:p>
    <w:p>
      <w:pPr>
        <w:pageBreakBefore w:val="0"/>
        <w:kinsoku/>
        <w:wordWrap/>
        <w:overflowPunct/>
        <w:topLinePunct w:val="0"/>
        <w:autoSpaceDE/>
        <w:autoSpaceDN/>
        <w:bidi w:val="0"/>
        <w:spacing w:line="560" w:lineRule="exact"/>
        <w:jc w:val="center"/>
        <w:outlineLvl w:val="9"/>
        <w:rPr>
          <w:b/>
          <w:color w:val="000000"/>
          <w:sz w:val="36"/>
          <w:szCs w:val="36"/>
        </w:rPr>
      </w:pPr>
    </w:p>
    <w:p>
      <w:pPr>
        <w:pageBreakBefore w:val="0"/>
        <w:widowControl/>
        <w:kinsoku/>
        <w:wordWrap/>
        <w:overflowPunct/>
        <w:topLinePunct w:val="0"/>
        <w:autoSpaceDE/>
        <w:autoSpaceDN/>
        <w:bidi w:val="0"/>
        <w:spacing w:before="100" w:beforeAutospacing="1" w:after="100" w:afterAutospacing="1" w:line="550" w:lineRule="exact"/>
        <w:jc w:val="center"/>
        <w:outlineLvl w:val="9"/>
        <w:rPr>
          <w:rFonts w:ascii="黑体" w:hAnsi="黑体" w:eastAsia="黑体" w:cs="仿宋_GB2312"/>
          <w:bCs/>
          <w:kern w:val="0"/>
          <w:sz w:val="32"/>
          <w:szCs w:val="32"/>
        </w:rPr>
      </w:pPr>
      <w:bookmarkStart w:id="994" w:name="_Toc21355_WPSOffice_Level1"/>
      <w:r>
        <w:rPr>
          <w:rFonts w:hint="eastAsia" w:ascii="黑体" w:hAnsi="黑体" w:eastAsia="黑体" w:cs="仿宋_GB2312"/>
          <w:b/>
          <w:bCs/>
          <w:kern w:val="0"/>
          <w:sz w:val="32"/>
          <w:szCs w:val="32"/>
        </w:rPr>
        <w:t>第一章  总则</w:t>
      </w:r>
      <w:bookmarkEnd w:id="994"/>
    </w:p>
    <w:p>
      <w:pPr>
        <w:pageBreakBefore w:val="0"/>
        <w:widowControl/>
        <w:kinsoku/>
        <w:wordWrap/>
        <w:overflowPunct/>
        <w:topLinePunct w:val="0"/>
        <w:autoSpaceDE/>
        <w:autoSpaceDN/>
        <w:bidi w:val="0"/>
        <w:spacing w:line="550" w:lineRule="exact"/>
        <w:outlineLvl w:val="9"/>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 xml:space="preserve">    第一条  </w:t>
      </w:r>
      <w:r>
        <w:rPr>
          <w:rFonts w:hint="eastAsia" w:ascii="仿宋_GB2312" w:hAnsi="仿宋_GB2312" w:eastAsia="仿宋_GB2312" w:cs="仿宋_GB2312"/>
          <w:kern w:val="0"/>
          <w:sz w:val="32"/>
          <w:szCs w:val="32"/>
        </w:rPr>
        <w:t>为进一步加强项目资金管理，提高财政资金使用的规范性、安全性和有效性，依据《中华人民共和国预算法》、《广西壮族自治区预算监督条例》、按照《广西壮族自治区人民政府关于印发广西壮族自治区本级财政专项资金管理办法的通知》（桂政发</w:t>
      </w:r>
      <w:r>
        <w:rPr>
          <w:rFonts w:hint="eastAsia" w:ascii="仿宋_GB2312" w:eastAsia="仿宋_GB2312"/>
          <w:sz w:val="32"/>
          <w:szCs w:val="32"/>
        </w:rPr>
        <w:t>〔2014〕</w:t>
      </w:r>
      <w:r>
        <w:rPr>
          <w:rFonts w:hint="eastAsia" w:ascii="仿宋_GB2312" w:hAnsi="仿宋_GB2312" w:eastAsia="仿宋_GB2312" w:cs="仿宋_GB2312"/>
          <w:kern w:val="0"/>
          <w:sz w:val="32"/>
          <w:szCs w:val="32"/>
        </w:rPr>
        <w:t>60号）、《柳州市人民政府关于全面推进我市预算绩效管理的意见》（柳政发</w:t>
      </w:r>
      <w:r>
        <w:rPr>
          <w:rFonts w:hint="eastAsia" w:ascii="仿宋_GB2312" w:eastAsia="仿宋_GB2312"/>
          <w:sz w:val="32"/>
          <w:szCs w:val="32"/>
        </w:rPr>
        <w:t>〔2014〕</w:t>
      </w:r>
      <w:r>
        <w:rPr>
          <w:rFonts w:hint="eastAsia" w:ascii="仿宋_GB2312" w:hAnsi="仿宋_GB2312" w:eastAsia="仿宋_GB2312" w:cs="仿宋_GB2312"/>
          <w:kern w:val="0"/>
          <w:sz w:val="32"/>
          <w:szCs w:val="32"/>
        </w:rPr>
        <w:t>21号）、《柳州市人民政府关于推进柳州市本级财政资金统筹使用实施方案的通知》（柳政办</w:t>
      </w:r>
      <w:r>
        <w:rPr>
          <w:rFonts w:hint="eastAsia" w:ascii="仿宋_GB2312" w:eastAsia="仿宋_GB2312"/>
          <w:sz w:val="32"/>
          <w:szCs w:val="32"/>
        </w:rPr>
        <w:t>〔2016〕</w:t>
      </w:r>
      <w:r>
        <w:rPr>
          <w:rFonts w:hint="eastAsia" w:ascii="仿宋_GB2312" w:hAnsi="仿宋_GB2312" w:eastAsia="仿宋_GB2312" w:cs="仿宋_GB2312"/>
          <w:kern w:val="0"/>
          <w:sz w:val="32"/>
          <w:szCs w:val="32"/>
        </w:rPr>
        <w:t>109号）等法律法规规定，制定本办法。</w:t>
      </w:r>
    </w:p>
    <w:p>
      <w:pPr>
        <w:pageBreakBefore w:val="0"/>
        <w:widowControl/>
        <w:kinsoku/>
        <w:wordWrap/>
        <w:overflowPunct/>
        <w:topLinePunct w:val="0"/>
        <w:autoSpaceDE/>
        <w:autoSpaceDN/>
        <w:bidi w:val="0"/>
        <w:spacing w:line="550" w:lineRule="exact"/>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b/>
          <w:kern w:val="0"/>
          <w:sz w:val="32"/>
          <w:szCs w:val="32"/>
        </w:rPr>
        <w:t xml:space="preserve"> 第二条  </w:t>
      </w:r>
      <w:r>
        <w:rPr>
          <w:rFonts w:hint="eastAsia" w:ascii="仿宋_GB2312" w:hAnsi="仿宋_GB2312" w:eastAsia="仿宋_GB2312" w:cs="仿宋_GB2312"/>
          <w:kern w:val="0"/>
          <w:sz w:val="32"/>
          <w:szCs w:val="32"/>
        </w:rPr>
        <w:t>本办法所称项目资金是指各级财政拨付给学校，为完成特定的事业发展目标，在基本支出预算之外编制的年度项目支出资金，不包括用于单位维持机构正常运转的人员经费、公用经费和专项业务费等支出。包括教学建设（含专业建设、课程建设、教学资源库建设、实训基地建设等）和科研、人才引进、职工培训、教改、学生奖助、基本维修、办公设备采购等项目。资金来源包括市本级财政资</w:t>
      </w:r>
      <w:r>
        <w:rPr>
          <w:rFonts w:hint="eastAsia" w:ascii="仿宋_GB2312" w:hAnsi="仿宋_GB2312" w:eastAsia="仿宋_GB2312" w:cs="仿宋_GB2312"/>
          <w:color w:val="000000"/>
          <w:kern w:val="0"/>
          <w:sz w:val="32"/>
          <w:szCs w:val="32"/>
        </w:rPr>
        <w:t>金和中央</w:t>
      </w:r>
      <w:r>
        <w:rPr>
          <w:rFonts w:hint="eastAsia" w:ascii="仿宋_GB2312" w:hAnsi="仿宋_GB2312" w:eastAsia="仿宋_GB2312" w:cs="仿宋_GB2312"/>
          <w:kern w:val="0"/>
          <w:sz w:val="32"/>
          <w:szCs w:val="32"/>
        </w:rPr>
        <w:t>自治区资金、</w:t>
      </w:r>
      <w:r>
        <w:rPr>
          <w:rFonts w:hint="eastAsia" w:ascii="仿宋_GB2312" w:hAnsi="仿宋_GB2312" w:eastAsia="仿宋_GB2312" w:cs="仿宋_GB2312"/>
          <w:color w:val="000000"/>
          <w:kern w:val="0"/>
          <w:sz w:val="32"/>
          <w:szCs w:val="32"/>
        </w:rPr>
        <w:t>学校自筹资金</w:t>
      </w:r>
      <w:r>
        <w:rPr>
          <w:rFonts w:hint="eastAsia" w:ascii="仿宋_GB2312" w:hAnsi="仿宋_GB2312" w:eastAsia="仿宋_GB2312" w:cs="仿宋_GB2312"/>
          <w:kern w:val="0"/>
          <w:sz w:val="32"/>
          <w:szCs w:val="32"/>
        </w:rPr>
        <w:t>。</w:t>
      </w:r>
    </w:p>
    <w:p>
      <w:pPr>
        <w:pageBreakBefore w:val="0"/>
        <w:widowControl/>
        <w:kinsoku/>
        <w:wordWrap/>
        <w:overflowPunct/>
        <w:topLinePunct w:val="0"/>
        <w:autoSpaceDE/>
        <w:autoSpaceDN/>
        <w:bidi w:val="0"/>
        <w:spacing w:line="550" w:lineRule="exact"/>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b/>
          <w:bCs/>
          <w:kern w:val="0"/>
          <w:sz w:val="32"/>
          <w:szCs w:val="32"/>
        </w:rPr>
        <w:t xml:space="preserve">第三条  </w:t>
      </w:r>
      <w:r>
        <w:rPr>
          <w:rFonts w:hint="eastAsia" w:ascii="仿宋_GB2312" w:hAnsi="仿宋_GB2312" w:eastAsia="仿宋_GB2312" w:cs="仿宋_GB2312"/>
          <w:kern w:val="0"/>
          <w:sz w:val="32"/>
          <w:szCs w:val="32"/>
        </w:rPr>
        <w:t>按照资金来源及用途划分，项目资金分为</w:t>
      </w:r>
      <w:bookmarkStart w:id="995" w:name="OLE_LINK1"/>
      <w:r>
        <w:rPr>
          <w:rFonts w:hint="eastAsia" w:ascii="仿宋_GB2312" w:hAnsi="仿宋_GB2312" w:eastAsia="仿宋_GB2312" w:cs="仿宋_GB2312"/>
          <w:kern w:val="0"/>
          <w:sz w:val="32"/>
          <w:szCs w:val="32"/>
        </w:rPr>
        <w:t>：</w:t>
      </w:r>
    </w:p>
    <w:p>
      <w:pPr>
        <w:pageBreakBefore w:val="0"/>
        <w:widowControl/>
        <w:kinsoku/>
        <w:wordWrap/>
        <w:overflowPunct/>
        <w:topLinePunct w:val="0"/>
        <w:autoSpaceDE/>
        <w:autoSpaceDN/>
        <w:bidi w:val="0"/>
        <w:spacing w:line="550" w:lineRule="exact"/>
        <w:ind w:firstLine="720" w:firstLineChars="225"/>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1.市本级财政资金安排的</w:t>
      </w:r>
      <w:bookmarkEnd w:id="995"/>
      <w:r>
        <w:rPr>
          <w:rFonts w:hint="eastAsia" w:ascii="仿宋_GB2312" w:hAnsi="仿宋_GB2312" w:eastAsia="仿宋_GB2312" w:cs="仿宋_GB2312"/>
          <w:kern w:val="0"/>
          <w:sz w:val="32"/>
          <w:szCs w:val="32"/>
        </w:rPr>
        <w:t>主要是基本建设、实训基地建设等专项资金。</w:t>
      </w:r>
    </w:p>
    <w:p>
      <w:pPr>
        <w:pageBreakBefore w:val="0"/>
        <w:kinsoku/>
        <w:wordWrap/>
        <w:overflowPunct/>
        <w:topLinePunct w:val="0"/>
        <w:autoSpaceDE/>
        <w:autoSpaceDN/>
        <w:bidi w:val="0"/>
        <w:spacing w:line="550" w:lineRule="exact"/>
        <w:ind w:firstLine="640" w:firstLineChars="200"/>
        <w:jc w:val="left"/>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2.中央自治区财政资金安排的主要是强基创优项目资金,具体是专业建设、课程建设、教学资源库建设、实训基地建设、科研平台建设、教改项目、贫困生助学资金、奖学金等专项资金。</w:t>
      </w:r>
    </w:p>
    <w:p>
      <w:pPr>
        <w:pageBreakBefore w:val="0"/>
        <w:kinsoku/>
        <w:wordWrap/>
        <w:overflowPunct/>
        <w:topLinePunct w:val="0"/>
        <w:autoSpaceDE/>
        <w:autoSpaceDN/>
        <w:bidi w:val="0"/>
        <w:spacing w:line="550" w:lineRule="exact"/>
        <w:ind w:firstLine="640" w:firstLineChars="200"/>
        <w:jc w:val="left"/>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3.学校自筹资金安排的主要是专业建设、课程建设、实训基地建设、教改经费、科研经费、人才引进经费、职工培训、学生奖助经费、基建维修、设备采购等专项资金。</w:t>
      </w:r>
    </w:p>
    <w:p>
      <w:pPr>
        <w:pageBreakBefore w:val="0"/>
        <w:widowControl/>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 xml:space="preserve">第四条  </w:t>
      </w:r>
      <w:r>
        <w:rPr>
          <w:rFonts w:hint="eastAsia" w:ascii="仿宋_GB2312" w:hAnsi="仿宋_GB2312" w:eastAsia="仿宋_GB2312" w:cs="仿宋_GB2312"/>
          <w:kern w:val="0"/>
          <w:sz w:val="32"/>
          <w:szCs w:val="32"/>
        </w:rPr>
        <w:t>项目实行学校、归口管理部门和项目承担部门三级管理，以项目承担单位为基础，以归口管理部门为依托，学校统一管理。项目资金按“管监督不管实施”的原则，明确各部门职责。</w:t>
      </w:r>
    </w:p>
    <w:p>
      <w:pPr>
        <w:pageBreakBefore w:val="0"/>
        <w:widowControl/>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bookmarkStart w:id="996" w:name="OLE_LINK2"/>
      <w:r>
        <w:rPr>
          <w:rFonts w:hint="eastAsia" w:ascii="仿宋_GB2312" w:hAnsi="仿宋_GB2312" w:eastAsia="仿宋_GB2312" w:cs="仿宋_GB2312"/>
          <w:kern w:val="0"/>
          <w:sz w:val="32"/>
          <w:szCs w:val="32"/>
        </w:rPr>
        <w:t>项目承担部门包括学校各行政管理部门及二</w:t>
      </w:r>
      <w:bookmarkEnd w:id="996"/>
      <w:r>
        <w:rPr>
          <w:rFonts w:hint="eastAsia" w:ascii="仿宋_GB2312" w:hAnsi="仿宋_GB2312" w:eastAsia="仿宋_GB2312" w:cs="仿宋_GB2312"/>
          <w:kern w:val="0"/>
          <w:sz w:val="32"/>
          <w:szCs w:val="32"/>
        </w:rPr>
        <w:t xml:space="preserve">级学院；归口管理部门是学校相关行政管理部门；资金管理部门是财务处；绩效考核部门是质量办公室；监督部门是内部审计室和纪检监察室。具体职责分工如下： </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项目承担部门职责：负责编制项目实施方案和经费预算，向归口管理部门申报项目；项目资金下达后，按项目经费预算方案执行，负责编制项目经费决算报告；做好项目实施和验收总结工作；按“谁管理，谁负责”的原则，对所承担项目经费的申报、执行和资金使用效果负直接责任。 </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归口管理部门职责：对各部门（包括二级学院）申报的归口项目进行审核，组织校内初步调研论证;对通过学校论证的项目进行统筹规划与安排，按照急需建设、优先建设、暂缓建设进行排序，形成拟定建设项目库；负责统一向上级部门及学校申报项目经费；经费下达后督促项目的推进和组织项目检查验收；适时提出项目调整意见。归口管理部门具体为：</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教务与实训管理处：教学建设（含专业建设、课程建设、教学资源库建设、实训基地建设等）；科技开发处：科研课题、科研平台建设等；人事处：人才引进等；学生工作处：学生奖助学金、困难补助、勤工俭学补助等； 教职工发展中心：职工培训；职业教育研究所：教改项目；后勤和资产管理处：基建维修、办公设备购置及信息设备购置等；其他部门：不在以上范围的项目，根据资金性质由校长或校长办公会确定具体负责的职能部门。</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财务处：负责项目资金的财务管理和会计核算；指导项目资金的预算编制；牵头组织建立学校项目库；落实项目资金并分解下达；监督、指导项目承担部门按项目预算和项目进度使用专项经费；审核项目资金的调整统筹事项；会同内审部门开展项目资金的监督检查。</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质量办公室：负责项目资金绩效管理工作。</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内部审计室：对项目承担部门是否按规定分配管理使用专项资金进行内部审计监督。</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纪检监察室：开展廉政风险防控工作的分类指导，受理检举及举报，对违规违纪部门及个人依法依规查处。</w:t>
      </w:r>
    </w:p>
    <w:p>
      <w:pPr>
        <w:pageBreakBefore w:val="0"/>
        <w:widowControl/>
        <w:kinsoku/>
        <w:wordWrap/>
        <w:overflowPunct/>
        <w:topLinePunct w:val="0"/>
        <w:autoSpaceDE/>
        <w:autoSpaceDN/>
        <w:bidi w:val="0"/>
        <w:spacing w:before="100" w:beforeAutospacing="1" w:after="100" w:afterAutospacing="1" w:line="550" w:lineRule="exact"/>
        <w:jc w:val="center"/>
        <w:outlineLvl w:val="9"/>
        <w:rPr>
          <w:rFonts w:ascii="黑体" w:hAnsi="黑体" w:eastAsia="黑体" w:cs="仿宋_GB2312"/>
          <w:b/>
          <w:bCs/>
          <w:kern w:val="0"/>
          <w:sz w:val="32"/>
          <w:szCs w:val="32"/>
        </w:rPr>
      </w:pPr>
      <w:bookmarkStart w:id="997" w:name="_Toc11341_WPSOffice_Level1"/>
      <w:r>
        <w:rPr>
          <w:rFonts w:hint="eastAsia" w:ascii="黑体" w:hAnsi="黑体" w:eastAsia="黑体" w:cs="仿宋_GB2312"/>
          <w:b/>
          <w:bCs/>
          <w:kern w:val="0"/>
          <w:sz w:val="32"/>
          <w:szCs w:val="32"/>
        </w:rPr>
        <w:t>第二章  项目库的建立</w:t>
      </w:r>
      <w:bookmarkEnd w:id="997"/>
    </w:p>
    <w:p>
      <w:pPr>
        <w:pageBreakBefore w:val="0"/>
        <w:kinsoku/>
        <w:wordWrap/>
        <w:overflowPunct/>
        <w:topLinePunct w:val="0"/>
        <w:autoSpaceDE/>
        <w:autoSpaceDN/>
        <w:bidi w:val="0"/>
        <w:spacing w:line="550" w:lineRule="exact"/>
        <w:ind w:firstLine="645"/>
        <w:jc w:val="left"/>
        <w:outlineLvl w:val="9"/>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 xml:space="preserve">第五条 </w:t>
      </w:r>
      <w:r>
        <w:rPr>
          <w:rFonts w:hint="eastAsia" w:ascii="仿宋_GB2312" w:hAnsi="仿宋_GB2312" w:eastAsia="仿宋_GB2312" w:cs="仿宋_GB2312"/>
          <w:kern w:val="0"/>
          <w:sz w:val="32"/>
          <w:szCs w:val="32"/>
        </w:rPr>
        <w:t xml:space="preserve"> 设立上级资金支持的项目：</w:t>
      </w:r>
    </w:p>
    <w:p>
      <w:pPr>
        <w:pageBreakBefore w:val="0"/>
        <w:kinsoku/>
        <w:wordWrap/>
        <w:overflowPunct/>
        <w:topLinePunct w:val="0"/>
        <w:autoSpaceDE/>
        <w:autoSpaceDN/>
        <w:bidi w:val="0"/>
        <w:spacing w:line="550" w:lineRule="exact"/>
        <w:ind w:firstLine="640" w:firstLineChars="200"/>
        <w:jc w:val="left"/>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设立市本级资金支持的项目，基建项目按《柳州市人民政府办公室关于印发柳州市教育基本建设项目投资建设管理实施细则的通知》（柳政府办</w:t>
      </w:r>
      <w:r>
        <w:rPr>
          <w:rFonts w:hint="eastAsia" w:ascii="仿宋_GB2312" w:eastAsia="仿宋_GB2312"/>
          <w:sz w:val="32"/>
          <w:szCs w:val="32"/>
        </w:rPr>
        <w:t>〔2016〕</w:t>
      </w:r>
      <w:r>
        <w:rPr>
          <w:rFonts w:hint="eastAsia" w:ascii="仿宋_GB2312" w:hAnsi="仿宋_GB2312" w:eastAsia="仿宋_GB2312" w:cs="仿宋_GB2312"/>
          <w:kern w:val="0"/>
          <w:sz w:val="32"/>
          <w:szCs w:val="32"/>
        </w:rPr>
        <w:t>76号）、教学设备购置项目按《关于印发柳州市设备设施（非基建类）项目投资建设管理暂行办法》（柳教财基</w:t>
      </w:r>
      <w:r>
        <w:rPr>
          <w:rFonts w:hint="eastAsia" w:ascii="仿宋_GB2312" w:eastAsia="仿宋_GB2312"/>
          <w:sz w:val="32"/>
          <w:szCs w:val="32"/>
        </w:rPr>
        <w:t>〔2016〕</w:t>
      </w:r>
      <w:r>
        <w:rPr>
          <w:rFonts w:hint="eastAsia" w:ascii="仿宋_GB2312" w:hAnsi="仿宋_GB2312" w:eastAsia="仿宋_GB2312" w:cs="仿宋_GB2312"/>
          <w:kern w:val="0"/>
          <w:sz w:val="32"/>
          <w:szCs w:val="32"/>
        </w:rPr>
        <w:t>29号）的具体规定和要求设立项目。</w:t>
      </w:r>
    </w:p>
    <w:p>
      <w:pPr>
        <w:pageBreakBefore w:val="0"/>
        <w:kinsoku/>
        <w:wordWrap/>
        <w:overflowPunct/>
        <w:topLinePunct w:val="0"/>
        <w:autoSpaceDE/>
        <w:autoSpaceDN/>
        <w:bidi w:val="0"/>
        <w:spacing w:line="550" w:lineRule="exact"/>
        <w:ind w:firstLine="640" w:firstLineChars="200"/>
        <w:jc w:val="left"/>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设立中央自治区资金支持的项目，根据《广西壮族自治区人民政府办公厅关于实施广西高等教育强基创优计划推进高等学校创新创业教育改革的通知》（桂政办发〔2015〕49号）等相关管理部门的具体规定和要求设立项目。其中自治区 “强基创优计划” 及职业教育质量提升项目中，对于高职院校的项目主要有示范特色专业及实训基地建设项目、国际化项目、强基计划补助等项目。</w:t>
      </w:r>
    </w:p>
    <w:p>
      <w:pPr>
        <w:pageBreakBefore w:val="0"/>
        <w:kinsoku/>
        <w:wordWrap/>
        <w:overflowPunct/>
        <w:topLinePunct w:val="0"/>
        <w:autoSpaceDE/>
        <w:autoSpaceDN/>
        <w:bidi w:val="0"/>
        <w:spacing w:line="550" w:lineRule="exact"/>
        <w:ind w:firstLine="643" w:firstLineChars="200"/>
        <w:jc w:val="left"/>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第六条  </w:t>
      </w:r>
      <w:r>
        <w:rPr>
          <w:rFonts w:hint="eastAsia" w:ascii="仿宋_GB2312" w:hAnsi="仿宋_GB2312" w:eastAsia="仿宋_GB2312" w:cs="仿宋_GB2312"/>
          <w:kern w:val="0"/>
          <w:sz w:val="32"/>
          <w:szCs w:val="32"/>
        </w:rPr>
        <w:t>设立学校自筹资金支持的项目：根据学校中长期发展规划及年度工作计划，除争取上级资金支持的项目，还需学校自筹资金支持促进学校发展的基建维修、教改经费、科研经费、人才引进经费、学生资助经费、校级示范特色专业及实训基地建设等专项资金。</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第七条  </w:t>
      </w:r>
      <w:r>
        <w:rPr>
          <w:rFonts w:hint="eastAsia" w:ascii="仿宋_GB2312" w:hAnsi="仿宋_GB2312" w:eastAsia="仿宋_GB2312" w:cs="仿宋_GB2312"/>
          <w:kern w:val="0"/>
          <w:sz w:val="32"/>
          <w:szCs w:val="32"/>
        </w:rPr>
        <w:t>建立学校项目库。学校应建立中期项目库，实行中期财政规划管理。根据项目的轻重缓急、保障重点、讲求绩效的原则，对备选项目进行排序，编制三年的项目支出滚动规划。</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建立学校项目库目的：项目库作为各级财政支持、学校自筹资金安排的依据。对没有进入项目库的项目一般不得推荐参加上级项目的申报，不得安排预算。</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建立学校项目库的程序：先由项目承担部门组织部门内部论证，再按项目分类报归口管理部门，由其组织学校内部初步调研论证，报分管校领导审批后，由归口管理部门报财务处建立学校中期项目库。</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每年学校项目库更新时间原则到8月底，如遇到政策上的变化或确为工作需要更新项目的，可适时更新项目库。</w:t>
      </w:r>
    </w:p>
    <w:p>
      <w:pPr>
        <w:pageBreakBefore w:val="0"/>
        <w:widowControl/>
        <w:kinsoku/>
        <w:wordWrap/>
        <w:overflowPunct/>
        <w:topLinePunct w:val="0"/>
        <w:autoSpaceDE/>
        <w:autoSpaceDN/>
        <w:bidi w:val="0"/>
        <w:spacing w:before="100" w:beforeAutospacing="1" w:after="100" w:afterAutospacing="1" w:line="550" w:lineRule="exact"/>
        <w:jc w:val="center"/>
        <w:outlineLvl w:val="9"/>
        <w:rPr>
          <w:rFonts w:ascii="黑体" w:hAnsi="黑体" w:eastAsia="黑体" w:cs="仿宋_GB2312"/>
          <w:b/>
          <w:bCs/>
          <w:kern w:val="0"/>
          <w:sz w:val="32"/>
          <w:szCs w:val="32"/>
        </w:rPr>
      </w:pPr>
      <w:bookmarkStart w:id="998" w:name="_Toc18742_WPSOffice_Level1"/>
      <w:r>
        <w:rPr>
          <w:rFonts w:hint="eastAsia" w:ascii="黑体" w:hAnsi="黑体" w:eastAsia="黑体" w:cs="仿宋_GB2312"/>
          <w:b/>
          <w:bCs/>
          <w:kern w:val="0"/>
          <w:sz w:val="32"/>
          <w:szCs w:val="32"/>
        </w:rPr>
        <w:t>第三章  项目预算编制和申报</w:t>
      </w:r>
      <w:bookmarkEnd w:id="998"/>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bCs/>
          <w:snapToGrid w:val="0"/>
          <w:kern w:val="0"/>
          <w:sz w:val="32"/>
          <w:szCs w:val="32"/>
        </w:rPr>
        <w:t>第八条</w:t>
      </w:r>
      <w:r>
        <w:rPr>
          <w:rFonts w:hint="eastAsia" w:ascii="仿宋_GB2312" w:hAnsi="仿宋_GB2312" w:eastAsia="仿宋_GB2312" w:cs="仿宋_GB2312"/>
          <w:kern w:val="0"/>
          <w:sz w:val="32"/>
          <w:szCs w:val="32"/>
        </w:rPr>
        <w:t xml:space="preserve">  项目预算编制。每个项目都应做到填报项目简介、立项依据、经费测算明细，项目细化要达到80%以上，确保在编制项目预算时可具体落实到具体项目和金额，尽量做到预算批复下达后即可执行。</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第九条</w:t>
      </w:r>
      <w:r>
        <w:rPr>
          <w:rFonts w:hint="eastAsia" w:ascii="仿宋_GB2312" w:hAnsi="仿宋_GB2312" w:eastAsia="仿宋_GB2312" w:cs="仿宋_GB2312"/>
          <w:kern w:val="0"/>
          <w:sz w:val="32"/>
          <w:szCs w:val="32"/>
        </w:rPr>
        <w:t xml:space="preserve">  申报市级财政及学校自筹资金支持项目的程序为：结合年度部门预算，按要求和时间申报。</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每年7-8月，财务处根据市财政局要求下达学校下年及中期财政专项资金编制通知，部署各部门编制项目预算；</w:t>
      </w:r>
    </w:p>
    <w:p>
      <w:pPr>
        <w:pageBreakBefore w:val="0"/>
        <w:widowControl/>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每年9月，申报市级财政项目原则为建设期长、资金需求较大的特色专业实训基地、校园建设等项目，由归口管理部门根据上级文件要求组织申报，先由项目承担部门从项目库中选取项目向归口管理部门申报，再由归口管理部门组织校内论证，申报金额超过200万元的，还需经校长办公会审核通过。最后由归口管理部门提交市教育局相应职能科室（申报材料同第十条），争取纳入市教育局项目库获得市本级资金支持；</w:t>
      </w:r>
    </w:p>
    <w:p>
      <w:pPr>
        <w:pageBreakBefore w:val="0"/>
        <w:widowControl/>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报学校自筹资金项目原则为预计未取得上级资金支持但又有必要建设、资金需求较小的项目，或政策规定需由学校自筹配套列支的项目，先由项目承担部门从项目库中选取项目向归口管理部门申报，再由归口管理部门组织校内论证，最后由归口管理部门通过校内部门预算报财务处汇总审核；</w:t>
      </w:r>
    </w:p>
    <w:p>
      <w:pPr>
        <w:pageBreakBefore w:val="0"/>
        <w:widowControl/>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每年10-12月，申报市级财政项目根据市教育局审核意见和下达的预算控制数，由归口管理部门组织调整项目预算后再次上报，同时报送预算给财务处更新学校项目库，并由财务处跟踪落实经费下达；申报学校自筹资金项目根据财务处审核意见，由归口管理部门调整项目预算后再次上报，其中对于已申报上级财政支持但未获得通过的项目，可转为申报学校自筹项目，但需由归口管理部门重新</w:t>
      </w:r>
      <w:bookmarkStart w:id="999" w:name="_Toc26112_WPSOffice_Level1"/>
      <w:r>
        <w:rPr>
          <w:rFonts w:hint="eastAsia" w:ascii="仿宋_GB2312" w:hAnsi="仿宋_GB2312" w:eastAsia="仿宋_GB2312" w:cs="仿宋_GB2312"/>
          <w:kern w:val="0"/>
          <w:sz w:val="32"/>
          <w:szCs w:val="32"/>
        </w:rPr>
        <w:t>组织校内论证（主要是项目建设内容和</w:t>
      </w:r>
      <w:bookmarkEnd w:id="999"/>
      <w:r>
        <w:rPr>
          <w:rFonts w:hint="eastAsia" w:ascii="仿宋_GB2312" w:hAnsi="仿宋_GB2312" w:eastAsia="仿宋_GB2312" w:cs="仿宋_GB2312"/>
          <w:kern w:val="0"/>
          <w:sz w:val="32"/>
          <w:szCs w:val="32"/>
        </w:rPr>
        <w:t>资金需求的调整），经学校办公会通过后下达执行。</w:t>
      </w:r>
    </w:p>
    <w:p>
      <w:pPr>
        <w:pageBreakBefore w:val="0"/>
        <w:widowControl/>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第十条  </w:t>
      </w:r>
      <w:r>
        <w:rPr>
          <w:rFonts w:hint="eastAsia" w:ascii="仿宋_GB2312" w:hAnsi="仿宋_GB2312" w:eastAsia="仿宋_GB2312" w:cs="仿宋_GB2312"/>
          <w:kern w:val="0"/>
          <w:sz w:val="32"/>
          <w:szCs w:val="32"/>
        </w:rPr>
        <w:t>申报中央自治区等资金支持项目的程序为：</w:t>
      </w:r>
    </w:p>
    <w:p>
      <w:pPr>
        <w:pageBreakBefore w:val="0"/>
        <w:widowControl/>
        <w:kinsoku/>
        <w:wordWrap/>
        <w:overflowPunct/>
        <w:topLinePunct w:val="0"/>
        <w:autoSpaceDE/>
        <w:autoSpaceDN/>
        <w:bidi w:val="0"/>
        <w:spacing w:line="550" w:lineRule="exact"/>
        <w:ind w:firstLine="627" w:firstLineChars="196"/>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由归口管理部门根据上级文件要求组织申报，由项目承担部门从项目库中选取项目向归口管理部门申报，由归口管理部门组织校内论证，申报金额超过200万元的，还需经校长办公会审核通过，再由归口管理部门统一向上级部门（包括教育部、教育厅、教育局或其他相关管理局、厅、部委）提交申请材料。申请材料按照要求撰写，一般应包括设立背景、政策依据、绩效目标、可行性研究报告，明确执行期限和资金规模建议。</w:t>
      </w:r>
    </w:p>
    <w:p>
      <w:pPr>
        <w:pageBreakBefore w:val="0"/>
        <w:widowControl/>
        <w:kinsoku/>
        <w:wordWrap/>
        <w:overflowPunct/>
        <w:topLinePunct w:val="0"/>
        <w:autoSpaceDE/>
        <w:autoSpaceDN/>
        <w:bidi w:val="0"/>
        <w:spacing w:line="550" w:lineRule="exact"/>
        <w:ind w:firstLine="627" w:firstLineChars="196"/>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上级部门对项目的专项资金设立申请进行审核评估后，对专项资金设立条件、金额、期限、支持方向、绩效目标等提出审核意见。由归口管理部门根据审核意见进行调整完善再次上报。同时报送项目预算给财务处更新学校项目库，并由财</w:t>
      </w:r>
      <w:bookmarkStart w:id="1000" w:name="_Toc12322_WPSOffice_Level1"/>
      <w:r>
        <w:rPr>
          <w:rFonts w:hint="eastAsia" w:ascii="仿宋_GB2312" w:hAnsi="仿宋_GB2312" w:eastAsia="仿宋_GB2312" w:cs="仿宋_GB2312"/>
          <w:kern w:val="0"/>
          <w:sz w:val="32"/>
          <w:szCs w:val="32"/>
        </w:rPr>
        <w:t xml:space="preserve">务处跟踪落实经费下达。 </w:t>
      </w:r>
    </w:p>
    <w:p>
      <w:pPr>
        <w:pageBreakBefore w:val="0"/>
        <w:widowControl/>
        <w:kinsoku/>
        <w:wordWrap/>
        <w:overflowPunct/>
        <w:topLinePunct w:val="0"/>
        <w:autoSpaceDE/>
        <w:autoSpaceDN/>
        <w:bidi w:val="0"/>
        <w:spacing w:before="100" w:beforeAutospacing="1" w:after="100" w:afterAutospacing="1" w:line="550" w:lineRule="exact"/>
        <w:jc w:val="center"/>
        <w:outlineLvl w:val="9"/>
        <w:rPr>
          <w:rFonts w:ascii="黑体" w:hAnsi="黑体" w:eastAsia="黑体" w:cs="仿宋_GB2312"/>
          <w:b/>
          <w:bCs/>
          <w:kern w:val="0"/>
          <w:sz w:val="32"/>
          <w:szCs w:val="32"/>
        </w:rPr>
      </w:pPr>
      <w:bookmarkStart w:id="1001" w:name="_Toc23296_WPSOffice_Level1"/>
      <w:r>
        <w:rPr>
          <w:rFonts w:hint="eastAsia" w:ascii="黑体" w:hAnsi="黑体" w:eastAsia="黑体" w:cs="仿宋_GB2312"/>
          <w:b/>
          <w:bCs/>
          <w:kern w:val="0"/>
          <w:sz w:val="32"/>
          <w:szCs w:val="32"/>
        </w:rPr>
        <w:t>第四章</w:t>
      </w:r>
      <w:bookmarkEnd w:id="1000"/>
      <w:r>
        <w:rPr>
          <w:rFonts w:hint="eastAsia" w:ascii="黑体" w:hAnsi="黑体" w:eastAsia="黑体" w:cs="仿宋_GB2312"/>
          <w:b/>
          <w:bCs/>
          <w:kern w:val="0"/>
          <w:sz w:val="32"/>
          <w:szCs w:val="32"/>
        </w:rPr>
        <w:t xml:space="preserve">  资金下达和执行</w:t>
      </w:r>
      <w:bookmarkEnd w:id="1001"/>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第</w:t>
      </w:r>
      <w:r>
        <w:rPr>
          <w:rFonts w:hint="eastAsia" w:ascii="仿宋_GB2312" w:hAnsi="仿宋_GB2312" w:eastAsia="仿宋_GB2312" w:cs="仿宋_GB2312"/>
          <w:b/>
          <w:kern w:val="0"/>
          <w:sz w:val="32"/>
          <w:szCs w:val="32"/>
        </w:rPr>
        <w:t xml:space="preserve">十一条 </w:t>
      </w:r>
      <w:r>
        <w:rPr>
          <w:rFonts w:hint="eastAsia" w:ascii="仿宋_GB2312" w:hAnsi="仿宋_GB2312" w:eastAsia="仿宋_GB2312" w:cs="仿宋_GB2312"/>
          <w:kern w:val="0"/>
          <w:sz w:val="32"/>
          <w:szCs w:val="32"/>
        </w:rPr>
        <w:t xml:space="preserve"> 上级专项资金下达。项目预算经上级部门审查批准，接到财政部门下达上级专项（含市本级、中央自治区等资金）资金预算文件后5日内，由财务处分解下达项目预算：</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由财务处通知项目承担部门，由其5日内报送项目预算方案财务处备查，作为预算下达到具体实施部门及预算执行的依据。 其中：对于既有硬件又有软件建设的项目，属于软件建设的经费原则由学校统筹使用，包括培训费、课程建设等经费，将分解下达到相关归口管理部门执行。</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 xml:space="preserve">第十二条 </w:t>
      </w:r>
      <w:r>
        <w:rPr>
          <w:rFonts w:hint="eastAsia" w:ascii="仿宋_GB2312" w:hAnsi="仿宋_GB2312" w:eastAsia="仿宋_GB2312" w:cs="仿宋_GB2312"/>
          <w:kern w:val="0"/>
          <w:sz w:val="32"/>
          <w:szCs w:val="32"/>
        </w:rPr>
        <w:t xml:space="preserve"> 学校自筹专项资金下达。学校自筹资金支持的项目预算经学校办公会通过后，通过编制学校年度预算报告下发给各部门，由财务处保障资金的到位。</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第十三条</w:t>
      </w:r>
      <w:r>
        <w:rPr>
          <w:rFonts w:hint="eastAsia" w:ascii="仿宋_GB2312" w:hAnsi="仿宋_GB2312" w:eastAsia="仿宋_GB2312" w:cs="仿宋_GB2312"/>
          <w:kern w:val="0"/>
          <w:sz w:val="32"/>
          <w:szCs w:val="32"/>
        </w:rPr>
        <w:t xml:space="preserve">  项目承担部门要严格按照专项资金管理办法或预算批复文件的要求管理使用资金。其中，用于基本建设项目的，按照基本建设程序办理资金拨付；应当实行政府采购的，按照政府采购有关规定办理资金拨付。任何部门和个人均不得截留、挪用和挤占专项资金；未经批准，不得自行变更项目内容或调整预算。确需变更项目内容或调整预算的，应按照规定程序报批。</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 xml:space="preserve">第十四条  </w:t>
      </w:r>
      <w:r>
        <w:rPr>
          <w:rFonts w:hint="eastAsia" w:ascii="仿宋_GB2312" w:hAnsi="仿宋_GB2312" w:eastAsia="仿宋_GB2312" w:cs="仿宋_GB2312"/>
          <w:kern w:val="0"/>
          <w:sz w:val="32"/>
          <w:szCs w:val="32"/>
        </w:rPr>
        <w:t>财务处应当加强项目资金使用的指导和执行管理，逐步做到动态监控项目资金使用情况。</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第十五条</w:t>
      </w:r>
      <w:r>
        <w:rPr>
          <w:rFonts w:hint="eastAsia" w:ascii="仿宋_GB2312" w:hAnsi="仿宋_GB2312" w:eastAsia="仿宋_GB2312" w:cs="仿宋_GB2312"/>
          <w:kern w:val="0"/>
          <w:sz w:val="32"/>
          <w:szCs w:val="32"/>
        </w:rPr>
        <w:t xml:space="preserve">  项目承担部门应当加快项目实施，适时提前做好项目可行性研究、评审、招投标、政府采购等前期准备工作，确保预算一旦批复或下达，资金就能使用。接受自治区和市级绩效评价的项目，绩效评价结果将与下一年度经费和奖补资金分配、项目申报挂钩，作为上级部门动态调整项目的依据。</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 xml:space="preserve">第十六条  </w:t>
      </w:r>
      <w:r>
        <w:rPr>
          <w:rFonts w:hint="eastAsia" w:ascii="仿宋_GB2312" w:hAnsi="仿宋_GB2312" w:eastAsia="仿宋_GB2312" w:cs="仿宋_GB2312"/>
          <w:kern w:val="0"/>
          <w:sz w:val="32"/>
          <w:szCs w:val="32"/>
        </w:rPr>
        <w:t>项目归口管理部门应形成项目进展月报制度。月报表内容包括项目建设进展、存在问题、解决措施，以加强在建项目的管理和监督。项目进展月报作为项目承担部门日常管理的资料，同时报财务处作为预算执行月通报的依据。</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color w:val="000000"/>
          <w:sz w:val="32"/>
          <w:szCs w:val="32"/>
        </w:rPr>
      </w:pPr>
      <w:r>
        <w:rPr>
          <w:rFonts w:hint="eastAsia" w:ascii="仿宋_GB2312" w:hAnsi="仿宋_GB2312" w:eastAsia="仿宋_GB2312" w:cs="仿宋_GB2312"/>
          <w:b/>
          <w:bCs/>
          <w:snapToGrid w:val="0"/>
          <w:kern w:val="0"/>
          <w:sz w:val="32"/>
          <w:szCs w:val="32"/>
        </w:rPr>
        <w:t>第十七条</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color w:val="000000"/>
          <w:sz w:val="32"/>
          <w:szCs w:val="32"/>
        </w:rPr>
        <w:t>上级专项结余结转资金，按照中央、自治区、柳州市关于盘活财政存量资金的有关规定执行。</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结余资金、本级预算安排结转一年以后未用完的结转资金及上级财政下达的连续两年未用完的结转资金，财政部门一律收回统筹使用。收回资金的项目需要继续实施的，应作为新的预算项目，按照预算管理程序重新申请和安排。</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第十八条  </w:t>
      </w:r>
      <w:r>
        <w:rPr>
          <w:rFonts w:hint="eastAsia" w:ascii="仿宋_GB2312" w:hAnsi="仿宋_GB2312" w:eastAsia="仿宋_GB2312" w:cs="仿宋_GB2312"/>
          <w:color w:val="000000"/>
          <w:sz w:val="32"/>
          <w:szCs w:val="32"/>
        </w:rPr>
        <w:t>学校自筹资金支持的专项本年度有结余的，一律不予结转,确需继续实施的，列入下年度预算。</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第十九条  </w:t>
      </w:r>
      <w:r>
        <w:rPr>
          <w:rFonts w:hint="eastAsia" w:ascii="仿宋_GB2312" w:hAnsi="仿宋_GB2312" w:eastAsia="仿宋_GB2312" w:cs="仿宋_GB2312"/>
          <w:sz w:val="32"/>
          <w:szCs w:val="32"/>
        </w:rPr>
        <w:t>对上级专项资金执行进度实行预警机制：</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专项项目要按照上级教育行政主管部门、财政部门或资金拨付单位规定时间执行，没有明确建设周期的项目，原则上应于当年完成。</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项目建设期过半或项目资金到位满一年的，而项目尚未启动或经费使用不足30%，由项目承担部门做出项目进展情况说明，并列出资金使用倒排进度表；</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项目建设期满后或项目资金到位满一年半的，专项经费使用不足50%的，学校均有权收回剩余经费另做统筹安排，并按照有关规定对项目负责人及相关责任人员进行问责。</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第二十条</w:t>
      </w:r>
      <w:r>
        <w:rPr>
          <w:rFonts w:hint="eastAsia" w:ascii="仿宋_GB2312" w:hAnsi="仿宋_GB2312" w:eastAsia="仿宋_GB2312" w:cs="仿宋_GB2312"/>
          <w:color w:val="000000"/>
          <w:sz w:val="32"/>
          <w:szCs w:val="32"/>
        </w:rPr>
        <w:t xml:space="preserve">  学校收回的上级专项统筹资金由归口管理部门提出资金使用意见，财务处根据急需资金支持的其他项目原则进行审核（优先安排学校项目库中没有获得资金支持，但又急需启动的项目），提出审核意见，经学校办公会通过后，报市教育局、市财政批准后执行。</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rPr>
      </w:pPr>
      <w:r>
        <w:rPr>
          <w:rFonts w:hint="eastAsia" w:ascii="仿宋_GB2312" w:hAnsi="仿宋_GB2312" w:eastAsia="仿宋_GB2312" w:cs="仿宋_GB2312"/>
          <w:b/>
          <w:bCs/>
          <w:snapToGrid w:val="0"/>
          <w:kern w:val="0"/>
          <w:sz w:val="32"/>
          <w:szCs w:val="32"/>
        </w:rPr>
        <w:t xml:space="preserve">第二十一条  </w:t>
      </w:r>
      <w:r>
        <w:rPr>
          <w:rFonts w:hint="eastAsia" w:ascii="仿宋_GB2312" w:hAnsi="仿宋_GB2312" w:eastAsia="仿宋_GB2312" w:cs="仿宋_GB2312"/>
          <w:color w:val="000000"/>
          <w:kern w:val="0"/>
          <w:sz w:val="32"/>
          <w:szCs w:val="32"/>
        </w:rPr>
        <w:t>专项资金按规定形成固定资产的，应及时办理验收、财务决算、产权和财产物资移交、登记入账等手续，按规定纳入单位资产管理范围。</w:t>
      </w:r>
    </w:p>
    <w:p>
      <w:pPr>
        <w:pageBreakBefore w:val="0"/>
        <w:widowControl/>
        <w:kinsoku/>
        <w:wordWrap/>
        <w:overflowPunct/>
        <w:topLinePunct w:val="0"/>
        <w:autoSpaceDE/>
        <w:autoSpaceDN/>
        <w:bidi w:val="0"/>
        <w:spacing w:before="100" w:beforeAutospacing="1" w:after="100" w:afterAutospacing="1" w:line="550" w:lineRule="exact"/>
        <w:jc w:val="center"/>
        <w:outlineLvl w:val="9"/>
        <w:rPr>
          <w:rFonts w:ascii="黑体" w:hAnsi="黑体" w:eastAsia="黑体" w:cs="仿宋_GB2312"/>
          <w:b/>
          <w:bCs/>
          <w:kern w:val="0"/>
          <w:sz w:val="32"/>
          <w:szCs w:val="32"/>
        </w:rPr>
      </w:pPr>
      <w:bookmarkStart w:id="1002" w:name="_Toc3713_WPSOffice_Level1"/>
      <w:r>
        <w:rPr>
          <w:rFonts w:hint="eastAsia" w:ascii="黑体" w:hAnsi="黑体" w:eastAsia="黑体" w:cs="仿宋_GB2312"/>
          <w:b/>
          <w:bCs/>
          <w:kern w:val="0"/>
          <w:sz w:val="32"/>
          <w:szCs w:val="32"/>
        </w:rPr>
        <w:t>第五章  预算绩效管理</w:t>
      </w:r>
      <w:bookmarkEnd w:id="1002"/>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第二十二条</w:t>
      </w:r>
      <w:r>
        <w:rPr>
          <w:rFonts w:hint="eastAsia" w:ascii="仿宋_GB2312" w:hAnsi="仿宋_GB2312" w:eastAsia="仿宋_GB2312" w:cs="仿宋_GB2312"/>
          <w:color w:val="000000"/>
          <w:sz w:val="32"/>
          <w:szCs w:val="32"/>
        </w:rPr>
        <w:t xml:space="preserve">  项目预算实行绩效目标管理，逐步建立绩效问责机制。根据上级部门和学校绩效考评的要求，制定绩效考评各项指标， 与项目承担部门绩效考评挂钩。年末根据绩效目标的评价结果，将其作为各部门项目预算编制和资金分配的重要依据，逐步建立绩效问责机制。</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b/>
          <w:color w:val="000000"/>
          <w:sz w:val="32"/>
          <w:szCs w:val="32"/>
        </w:rPr>
        <w:t>第二十三条</w:t>
      </w:r>
      <w:r>
        <w:rPr>
          <w:rFonts w:hint="eastAsia" w:ascii="仿宋_GB2312" w:hAnsi="仿宋_GB2312" w:eastAsia="仿宋_GB2312" w:cs="仿宋_GB2312"/>
          <w:color w:val="000000"/>
          <w:sz w:val="32"/>
          <w:szCs w:val="32"/>
        </w:rPr>
        <w:t xml:space="preserve">  按照工作职责，各司其责。财务处应执行项目预算执行月通报制度，加强项目资金支付监控；归口管理部门应执行项目进展月报制度，加快项目推进、组织项目检查和</w:t>
      </w:r>
      <w:r>
        <w:rPr>
          <w:rFonts w:hint="eastAsia" w:ascii="仿宋_GB2312" w:hAnsi="仿宋_GB2312" w:eastAsia="仿宋_GB2312" w:cs="仿宋_GB2312"/>
          <w:color w:val="000000"/>
          <w:kern w:val="0"/>
          <w:sz w:val="32"/>
          <w:szCs w:val="32"/>
        </w:rPr>
        <w:t>验收；质量办公室应加强项目预算执行绩效考评管理。对执行进度慢的项目，应由分管项目的校领导约谈项目负责人。</w:t>
      </w:r>
    </w:p>
    <w:p>
      <w:pPr>
        <w:pageBreakBefore w:val="0"/>
        <w:widowControl/>
        <w:kinsoku/>
        <w:wordWrap/>
        <w:overflowPunct/>
        <w:topLinePunct w:val="0"/>
        <w:autoSpaceDE/>
        <w:autoSpaceDN/>
        <w:bidi w:val="0"/>
        <w:spacing w:before="100" w:beforeAutospacing="1" w:after="100" w:afterAutospacing="1" w:line="550" w:lineRule="exact"/>
        <w:jc w:val="center"/>
        <w:outlineLvl w:val="9"/>
        <w:rPr>
          <w:rFonts w:ascii="黑体" w:hAnsi="黑体" w:eastAsia="黑体" w:cs="仿宋_GB2312"/>
          <w:b/>
          <w:bCs/>
          <w:kern w:val="0"/>
          <w:sz w:val="32"/>
          <w:szCs w:val="32"/>
        </w:rPr>
      </w:pPr>
      <w:bookmarkStart w:id="1003" w:name="_Toc4627_WPSOffice_Level1"/>
      <w:r>
        <w:rPr>
          <w:rFonts w:hint="eastAsia" w:ascii="黑体" w:hAnsi="黑体" w:eastAsia="黑体" w:cs="仿宋_GB2312"/>
          <w:b/>
          <w:bCs/>
          <w:kern w:val="0"/>
          <w:sz w:val="32"/>
          <w:szCs w:val="32"/>
        </w:rPr>
        <w:t>第六章  监督检查和责任追究</w:t>
      </w:r>
      <w:bookmarkEnd w:id="1003"/>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第二十四条</w:t>
      </w:r>
      <w:r>
        <w:rPr>
          <w:rFonts w:hint="eastAsia" w:ascii="仿宋_GB2312" w:hAnsi="仿宋_GB2312" w:eastAsia="仿宋_GB2312" w:cs="仿宋_GB2312"/>
          <w:color w:val="000000"/>
          <w:sz w:val="32"/>
          <w:szCs w:val="32"/>
        </w:rPr>
        <w:t xml:space="preserve">  内部审计室应当加强对项目资金使用的监督检查，加大内部审计力度，要建立有效的防范机制。</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第二十五条</w:t>
      </w:r>
      <w:r>
        <w:rPr>
          <w:rFonts w:hint="eastAsia" w:ascii="仿宋_GB2312" w:hAnsi="仿宋_GB2312" w:eastAsia="仿宋_GB2312" w:cs="仿宋_GB2312"/>
          <w:color w:val="000000"/>
          <w:sz w:val="32"/>
          <w:szCs w:val="32"/>
        </w:rPr>
        <w:t xml:space="preserve">  项目部门依法接受各级主管部门、财政、审计等部门的监督，对审计发现的问题，应当及时制定整改措施并落实。</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第二十六条</w:t>
      </w:r>
      <w:r>
        <w:rPr>
          <w:rFonts w:hint="eastAsia" w:ascii="仿宋_GB2312" w:hAnsi="仿宋_GB2312" w:eastAsia="仿宋_GB2312" w:cs="仿宋_GB2312"/>
          <w:color w:val="000000"/>
          <w:sz w:val="32"/>
          <w:szCs w:val="32"/>
        </w:rPr>
        <w:t xml:space="preserve">  实行“谁管理，谁负责”责任追究制。对于截留、挪用和挤占专项资金、虚列套取专项资金及疏于管理，影响目标实现的，按照《财政违法处罚条例》等有关规定严肃处理。</w:t>
      </w:r>
    </w:p>
    <w:p>
      <w:pPr>
        <w:pageBreakBefore w:val="0"/>
        <w:widowControl/>
        <w:kinsoku/>
        <w:wordWrap/>
        <w:overflowPunct/>
        <w:topLinePunct w:val="0"/>
        <w:autoSpaceDE/>
        <w:autoSpaceDN/>
        <w:bidi w:val="0"/>
        <w:spacing w:before="100" w:beforeAutospacing="1" w:after="100" w:afterAutospacing="1" w:line="550" w:lineRule="exact"/>
        <w:jc w:val="center"/>
        <w:outlineLvl w:val="9"/>
        <w:rPr>
          <w:rFonts w:ascii="黑体" w:hAnsi="黑体" w:eastAsia="黑体" w:cs="仿宋_GB2312"/>
          <w:b/>
          <w:bCs/>
          <w:kern w:val="0"/>
          <w:sz w:val="32"/>
          <w:szCs w:val="32"/>
        </w:rPr>
      </w:pPr>
      <w:bookmarkStart w:id="1004" w:name="_Toc25357_WPSOffice_Level1"/>
      <w:r>
        <w:rPr>
          <w:rFonts w:hint="eastAsia" w:ascii="黑体" w:hAnsi="黑体" w:eastAsia="黑体" w:cs="仿宋_GB2312"/>
          <w:b/>
          <w:bCs/>
          <w:kern w:val="0"/>
          <w:sz w:val="32"/>
          <w:szCs w:val="32"/>
        </w:rPr>
        <w:t>第七章  附则</w:t>
      </w:r>
      <w:bookmarkEnd w:id="1004"/>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第二十七条</w:t>
      </w:r>
      <w:r>
        <w:rPr>
          <w:rFonts w:hint="eastAsia" w:ascii="仿宋_GB2312" w:hAnsi="仿宋_GB2312" w:eastAsia="仿宋_GB2312" w:cs="仿宋_GB2312"/>
          <w:color w:val="000000"/>
          <w:sz w:val="32"/>
          <w:szCs w:val="32"/>
        </w:rPr>
        <w:t xml:space="preserve">  本办法财务处负责解释。</w:t>
      </w:r>
    </w:p>
    <w:p>
      <w:pPr>
        <w:pageBreakBefore w:val="0"/>
        <w:numPr>
          <w:ilvl w:val="0"/>
          <w:numId w:val="0"/>
        </w:numPr>
        <w:kinsoku/>
        <w:wordWrap/>
        <w:overflowPunct/>
        <w:topLinePunct w:val="0"/>
        <w:autoSpaceDE/>
        <w:autoSpaceDN/>
        <w:bidi w:val="0"/>
        <w:outlineLvl w:val="9"/>
        <w:rPr>
          <w:rFonts w:hint="eastAsia" w:ascii="仿宋_GB2312" w:hAnsi="仿宋_GB2312" w:eastAsia="仿宋_GB2312" w:cs="仿宋_GB2312"/>
          <w:color w:val="000000"/>
          <w:sz w:val="32"/>
          <w:szCs w:val="32"/>
        </w:rPr>
        <w:sectPr>
          <w:footerReference r:id="rId27" w:type="default"/>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b/>
          <w:color w:val="000000"/>
          <w:sz w:val="32"/>
          <w:szCs w:val="32"/>
        </w:rPr>
        <w:t>第二十八条</w:t>
      </w:r>
      <w:r>
        <w:rPr>
          <w:rFonts w:hint="eastAsia" w:ascii="仿宋_GB2312" w:hAnsi="仿宋_GB2312" w:eastAsia="仿宋_GB2312" w:cs="仿宋_GB2312"/>
          <w:color w:val="000000"/>
          <w:sz w:val="32"/>
          <w:szCs w:val="32"/>
        </w:rPr>
        <w:t xml:space="preserve">  本办法自印发之日起施行。</w:t>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hint="eastAsia" w:asciiTheme="minorEastAsia" w:hAnsiTheme="minorEastAsia" w:eastAsiaTheme="minorEastAsia"/>
          <w:b/>
          <w:bCs/>
          <w:color w:val="000000"/>
          <w:kern w:val="2"/>
          <w:sz w:val="36"/>
          <w:szCs w:val="36"/>
          <w:lang w:val="en-US" w:eastAsia="zh-CN"/>
        </w:rPr>
      </w:pPr>
      <w:bookmarkStart w:id="1005" w:name="_Toc8497"/>
      <w:bookmarkStart w:id="1006" w:name="_Toc31547_WPSOffice_Level1"/>
      <w:bookmarkStart w:id="1007" w:name="_Toc534379474"/>
      <w:bookmarkStart w:id="1008" w:name="_Toc12584"/>
      <w:r>
        <w:rPr>
          <w:rFonts w:hint="eastAsia" w:asciiTheme="minorEastAsia" w:hAnsiTheme="minorEastAsia" w:eastAsiaTheme="minorEastAsia"/>
          <w:b/>
          <w:bCs/>
          <w:color w:val="000000"/>
          <w:kern w:val="2"/>
          <w:sz w:val="36"/>
          <w:szCs w:val="36"/>
          <w:lang w:val="en-US" w:eastAsia="zh-CN"/>
        </w:rPr>
        <w:t>柳州职业技术学院预决算管理办法</w:t>
      </w:r>
      <w:bookmarkEnd w:id="1005"/>
      <w:bookmarkEnd w:id="1006"/>
      <w:bookmarkEnd w:id="1007"/>
      <w:bookmarkEnd w:id="1008"/>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（柳职院字〔2018〕15号）</w:t>
      </w:r>
    </w:p>
    <w:p>
      <w:pPr>
        <w:pageBreakBefore w:val="0"/>
        <w:kinsoku/>
        <w:wordWrap/>
        <w:overflowPunct/>
        <w:topLinePunct w:val="0"/>
        <w:autoSpaceDE/>
        <w:autoSpaceDN/>
        <w:bidi w:val="0"/>
        <w:spacing w:line="500" w:lineRule="exact"/>
        <w:outlineLvl w:val="9"/>
        <w:rPr>
          <w:rFonts w:ascii="仿宋_GB2312" w:hAnsi="仿宋" w:eastAsia="仿宋_GB2312"/>
          <w:bCs/>
          <w:szCs w:val="28"/>
        </w:rPr>
      </w:pP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09" w:name="_Toc30416_WPSOffice_Level1"/>
      <w:bookmarkStart w:id="1010" w:name="_Toc526513821"/>
      <w:bookmarkStart w:id="1011" w:name="_Toc527894473"/>
      <w:r>
        <w:rPr>
          <w:rFonts w:hint="eastAsia" w:ascii="黑体" w:hAnsi="仿宋_GB2312" w:eastAsia="黑体" w:cs="仿宋_GB2312"/>
          <w:b/>
          <w:kern w:val="0"/>
          <w:sz w:val="32"/>
          <w:szCs w:val="32"/>
          <w:lang w:bidi="ar"/>
        </w:rPr>
        <w:t>第一章  总则</w:t>
      </w:r>
      <w:bookmarkEnd w:id="1009"/>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为规范学校预决算管理行为，充分发挥预算分配和监督职能，强化预算管理的严肃性和权威性，科学合理配置教育资源，提高预算资金的使用率，保障学校教学、科研等各项事业发展，根据《中华人民共和国预算法》、《政府会计准则》和《政府会计制度》等法律法规，结合我校实际情况，制定本办法。</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第二条</w:t>
      </w:r>
      <w:r>
        <w:rPr>
          <w:rFonts w:hint="eastAsia" w:ascii="仿宋_GB2312" w:hAnsi="仿宋_GB2312" w:eastAsia="仿宋_GB2312" w:cs="仿宋_GB2312"/>
          <w:kern w:val="0"/>
          <w:sz w:val="32"/>
          <w:szCs w:val="32"/>
          <w:lang w:bidi="ar"/>
        </w:rPr>
        <w:t xml:space="preserve">  预算编制总体上坚持“量入为出，收支平衡，积极稳妥、统筹兼顾、保证重点、效益优先”的原则。</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预算收入的编制要坚持“稳健原则”。列入的收入</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有足够的可靠性，不确定的收入不列入预算。</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第四条 </w:t>
      </w:r>
      <w:r>
        <w:rPr>
          <w:rFonts w:hint="eastAsia" w:ascii="仿宋_GB2312" w:hAnsi="仿宋_GB2312" w:eastAsia="仿宋_GB2312" w:cs="仿宋_GB2312"/>
          <w:kern w:val="0"/>
          <w:sz w:val="32"/>
          <w:szCs w:val="32"/>
          <w:lang w:bidi="ar"/>
        </w:rPr>
        <w:t xml:space="preserve"> 预算支出的编制要坚持“保基本、保重点、兼顾一般、勤俭节约”的原则。在保证基本支出的基础上，重点保证教学、科研、学生管理的需要及学校建设发展的需要，严格控制公务费开支。支出预算的性质分为基本支出和项目支出两部分，基本支出坚持“适度从紧”及“零基预算”原则，项目支出坚持“扶优扶特”及“归口管理、滚动预算”原则。</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预算编制坚持公开、公正的原则。要从学校和各部门实际出发，对编制程序、重点项目、支出标准和定额、资金分配等，加强科学论证，努力做到客观、公正、透明，确保资金分配科学合理。</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12" w:name="_Toc18272_WPSOffice_Level1"/>
      <w:r>
        <w:rPr>
          <w:rFonts w:hint="eastAsia" w:ascii="黑体" w:hAnsi="仿宋_GB2312" w:eastAsia="黑体" w:cs="仿宋_GB2312"/>
          <w:b/>
          <w:kern w:val="0"/>
          <w:sz w:val="32"/>
          <w:szCs w:val="32"/>
          <w:lang w:bidi="ar"/>
        </w:rPr>
        <w:t>第二章  预算管理体制</w:t>
      </w:r>
      <w:bookmarkEnd w:id="1012"/>
    </w:p>
    <w:bookmarkEnd w:id="1010"/>
    <w:bookmarkEnd w:id="1011"/>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hint="eastAsia" w:ascii="仿宋_GB2312" w:hAnsi="仿宋_GB2312" w:eastAsia="仿宋_GB2312" w:cs="仿宋_GB2312"/>
          <w:kern w:val="0"/>
          <w:sz w:val="32"/>
          <w:szCs w:val="32"/>
          <w:lang w:bidi="ar"/>
        </w:rPr>
        <w:t xml:space="preserve">  学校预算管理实行“统一领导、分级预算、集中核算、收支平衡”的管理体制。</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学校党委会是学校预算管理的决策机构，主要职责：</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（一）审定学校预算管理制度</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（二）审定学校年度预算方案</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（三）审定学校决算</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（四）决定与预决算有关其他重大事项</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校长办公会是学校预算管理的行政机构，主要职责：</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（一）审议学校预算管理制度</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（二）审议学校年度预算方案</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（三）审议学校决算报表及决算报告</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（四）按权限负责对各部门预算追加申请的审批。</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（五）审定学校预算执行绩效考核结果</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第九条 </w:t>
      </w:r>
      <w:r>
        <w:rPr>
          <w:rFonts w:hint="eastAsia" w:ascii="仿宋_GB2312" w:hAnsi="仿宋_GB2312" w:eastAsia="仿宋_GB2312" w:cs="仿宋_GB2312"/>
          <w:kern w:val="0"/>
          <w:sz w:val="32"/>
          <w:szCs w:val="32"/>
          <w:lang w:bidi="ar"/>
        </w:rPr>
        <w:t xml:space="preserve"> 总会计师：负责组织领导学校的财务管理、预决算管理会计核算、会计监督等方面的工作，参与学校重要经济问题的分析和决策。主要职责：</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（一）负责组织制定和审核学校预算管理制度，提交校长办会审议。</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（二）负责组织制定和审核学校年度预算编制方案，提交校长办公会审议。</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（三）按权限负责对各部门预算追加申请的审批。</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（四）负责审核学校决算报表及决算报告，提交校长办公会和党委会审定。</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分管校领导：是指分管业务部门工作的学校领导。负责对分管部门的预算进行审核、把关。主要职责：</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（一）负责审核分管部门提出的年度预算草案</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（二）负责审核分管的归口管理部门提出的项目预算草案，并报校长办公会审议。</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（三）负责对分管部门预算追加方案的合理性进行审核。</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第十一条 </w:t>
      </w:r>
      <w:r>
        <w:rPr>
          <w:rFonts w:hint="eastAsia" w:ascii="仿宋_GB2312" w:hAnsi="仿宋_GB2312" w:eastAsia="仿宋_GB2312" w:cs="仿宋_GB2312"/>
          <w:kern w:val="0"/>
          <w:sz w:val="32"/>
          <w:szCs w:val="32"/>
          <w:lang w:bidi="ar"/>
        </w:rPr>
        <w:t xml:space="preserve"> 财务处：是学校预算管理的具体职能管理部门。负责预算编制、监控预算执行，负责财务决算报表和决算报告的编制、起草。主要职责：</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（一）根据上级主管部门的预算要求，通知各部门启动预算编制工作。</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（二）负责对学校各部门提出的预算草案进行审核汇总，编制学校预算草案，提交总会计师进行审核。</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（三）根据上级主管部门要求按时编制并上报学校预算方案，根据预算批复，及时分解到学校各有关部门进行实施。</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（四）负责预算执行的核算、调整和监督工作，做好预算执行分析及通报制度。</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（五）负责财务决算报表及决算分析报告的起草及上报等工作。</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各部门：是本部门预算执行的主体，其主要职责：</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（一）根据学校的要求，结合本部门年度工作计划、任务及发展需要，编制本部门预算草案，报分管校领导及归口管理部门进行审核。</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（二）负责本部门的预算执行，并对执行结果负责。</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（三）严格执行预算法规，自觉维护预算的严肃性和约束力。</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（四）加快预算执行进度，提高项目资金使用效率。</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（五）自觉接受学校及上级有关部门的监督检查，及时报告执行中存在的困难和问题。如需调整预算的，按规定提出调整申请。</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第十三条 </w:t>
      </w:r>
      <w:r>
        <w:rPr>
          <w:rFonts w:hint="eastAsia" w:ascii="仿宋_GB2312" w:hAnsi="仿宋_GB2312" w:eastAsia="仿宋_GB2312" w:cs="仿宋_GB2312"/>
          <w:kern w:val="0"/>
          <w:sz w:val="32"/>
          <w:szCs w:val="32"/>
          <w:lang w:bidi="ar"/>
        </w:rPr>
        <w:t xml:space="preserve"> 归口管理部门：是指负有承担某类业务管理和专业指导职责的专门部门，如教务处、科研处、后勤处、信息技术中心、教职工发展中心等。主要职责：</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（一）教务处：负责对各部门提出的有关教学建设项目（含专业建设、课程建设、教学资源库建设、实训基地建设等）的预算进行汇总、论证、审核等，提出教学建设项目预算草案，报分管校领导审核。</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（二）科技处：负责对各部门提出的有关科研建设项目（含科研课题、科研平台建设等）的预算进行汇总、论证、审核等，提出科研建设项目预算草案，报分管校领导审核。</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（三）后勤处：负责对各部门提出的有关办公设备购置、基建维修等项目的预算进行汇总、论证、审核等，提出办公设备购置、基建维修等项目预算草案，报分管校领导审核。</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（四）信息技术服务中心：负责对各部门提出的有关信息化建设项目（含信息化系统、信息化平台建设等）的预算进行汇总、论证、审核等，提出信息化建设项目预算草案，报分管校领导审核。</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（五）教职工发</w:t>
      </w:r>
      <w:bookmarkStart w:id="1013" w:name="_Toc2570_WPSOffice_Level1"/>
      <w:r>
        <w:rPr>
          <w:rFonts w:hint="eastAsia" w:ascii="仿宋_GB2312" w:hAnsi="仿宋_GB2312" w:eastAsia="仿宋_GB2312" w:cs="仿宋_GB2312"/>
          <w:kern w:val="0"/>
          <w:sz w:val="32"/>
          <w:szCs w:val="32"/>
          <w:lang w:bidi="ar"/>
        </w:rPr>
        <w:t>展中心：负责对各部门提出的有关教职工培训项目的预算进行汇总、论</w:t>
      </w:r>
      <w:bookmarkEnd w:id="1013"/>
      <w:r>
        <w:rPr>
          <w:rFonts w:hint="eastAsia" w:ascii="仿宋_GB2312" w:hAnsi="仿宋_GB2312" w:eastAsia="仿宋_GB2312" w:cs="仿宋_GB2312"/>
          <w:kern w:val="0"/>
          <w:sz w:val="32"/>
          <w:szCs w:val="32"/>
          <w:lang w:bidi="ar"/>
        </w:rPr>
        <w:t>证、审核等，提出教职工培训项目预算草案，报分管校领导审核。</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质量办：是绩效管理部门，负责各部门预算执行绩效评价考核。</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第十五条</w:t>
      </w:r>
      <w:r>
        <w:rPr>
          <w:rFonts w:hint="eastAsia" w:ascii="仿宋_GB2312" w:hAnsi="仿宋_GB2312" w:eastAsia="仿宋_GB2312" w:cs="仿宋_GB2312"/>
          <w:kern w:val="0"/>
          <w:sz w:val="32"/>
          <w:szCs w:val="32"/>
          <w:lang w:bidi="ar"/>
        </w:rPr>
        <w:t xml:space="preserve">  教职工代表大会：有权听取学校年度预算和决算报告，提出意见和建议。</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14" w:name="_Toc7346_WPSOffice_Level1"/>
      <w:r>
        <w:rPr>
          <w:rFonts w:hint="eastAsia" w:ascii="黑体" w:hAnsi="仿宋_GB2312" w:eastAsia="黑体" w:cs="仿宋_GB2312"/>
          <w:b/>
          <w:kern w:val="0"/>
          <w:sz w:val="32"/>
          <w:szCs w:val="32"/>
          <w:lang w:bidi="ar"/>
        </w:rPr>
        <w:t>第三章 预算编制方法和内容</w:t>
      </w:r>
      <w:bookmarkEnd w:id="1014"/>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hint="eastAsia" w:ascii="仿宋_GB2312" w:hAnsi="仿宋_GB2312" w:eastAsia="仿宋_GB2312" w:cs="仿宋_GB2312"/>
          <w:kern w:val="0"/>
          <w:sz w:val="32"/>
          <w:szCs w:val="32"/>
          <w:lang w:bidi="ar"/>
        </w:rPr>
        <w:t xml:space="preserve">  学校年度预算是根据学校事业发展规划和任务编制的综合财务收支计划。预算由收入预算和支出预算两部分组成。</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第十七条 </w:t>
      </w:r>
      <w:r>
        <w:rPr>
          <w:rFonts w:hint="eastAsia" w:ascii="仿宋_GB2312" w:hAnsi="仿宋_GB2312" w:eastAsia="仿宋_GB2312" w:cs="仿宋_GB2312"/>
          <w:kern w:val="0"/>
          <w:sz w:val="32"/>
          <w:szCs w:val="32"/>
          <w:lang w:bidi="ar"/>
        </w:rPr>
        <w:t xml:space="preserve"> 收入预算。是预算年度内学校通过多种渠道取得的各类非偿还性办学资金的收入计划。包括：财政拨款收入、事业收入、上级补助收入、附属单位上缴收入、经营收入、非同级财政拨款收入、投资收益、捐赠收入、利息收入、租金收入、其他收入等。</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收入预算由财务处会同人事处、教务处、招就处、后勤处、科研处、社区学院等部门，并结合学校的人员编制情况、学生人数和各部门开展业务的实际情况进行编制。</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第十八条 </w:t>
      </w:r>
      <w:r>
        <w:rPr>
          <w:rFonts w:hint="eastAsia" w:ascii="仿宋_GB2312" w:hAnsi="仿宋_GB2312" w:eastAsia="仿宋_GB2312" w:cs="仿宋_GB2312"/>
          <w:kern w:val="0"/>
          <w:sz w:val="32"/>
          <w:szCs w:val="32"/>
          <w:lang w:bidi="ar"/>
        </w:rPr>
        <w:t xml:space="preserve"> 支出预算。支出预算是预算年度中学校用于教学科研及其他事业活动的资金支出计划。包括基本支出和项目支出：</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基本支出。是指各部门为履行本部门职责最基本的维持正常运转的必要开支。包括人员支出、公用支出及个人和家庭补助支出。由各部门根据履职需要及有关政策规定等提出需求，财务处会同各业务归口管理部门依据规定的支出、各定额标准及参照上一年的预算支出数额等因素进行审核，拟定预算数。</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项目支出。是指为完成特定的事业发展目标，在基本支出预算之外编制的年度项目支出计划。由各部门根据本部门的事业发展需要提出项目支出预算需求，并上报各归口管理部门进行汇总、论证、审核后，经分管校领导报校长办公会审议后交财务处纳入学校的预算草案。</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15" w:name="_Toc21736_WPSOffice_Level1"/>
      <w:r>
        <w:rPr>
          <w:rFonts w:hint="eastAsia" w:ascii="黑体" w:hAnsi="仿宋_GB2312" w:eastAsia="黑体" w:cs="仿宋_GB2312"/>
          <w:b/>
          <w:kern w:val="0"/>
          <w:sz w:val="32"/>
          <w:szCs w:val="32"/>
          <w:lang w:bidi="ar"/>
        </w:rPr>
        <w:t>第四章    预算编制程序及流程</w:t>
      </w:r>
      <w:bookmarkEnd w:id="1015"/>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第十九条  </w:t>
      </w:r>
      <w:r>
        <w:rPr>
          <w:rFonts w:hint="eastAsia" w:ascii="仿宋_GB2312" w:hAnsi="仿宋_GB2312" w:eastAsia="仿宋_GB2312" w:cs="仿宋_GB2312"/>
          <w:kern w:val="0"/>
          <w:sz w:val="32"/>
          <w:szCs w:val="32"/>
          <w:lang w:bidi="ar"/>
        </w:rPr>
        <w:t>根据《预算法》和上级主管部门的要求，采用“二上二下”的编制程序：</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（一）每年4-5月份，财务处下发通知启动预算编制工作。</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（二）各部门根据学校年度预算编制的要求，结合本部门工作计划、任务和发展需求提出本部门预算草案，经过分管校领导及归口管理部门审核后，于6月份报财务处汇总。</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（三）财务处对各部门上报的预算进行汇总、审核编制成学校年度预算草案，经校长办公会审议、校党委会批准后，于9月份上报上级主管部门（一上）。</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（四）根据上级主管部门下达的预算控制数（一下），对原预算草案进一步细化、调整，经校长办公会审议、校党委会批准后，再次上报上级主管部</w:t>
      </w:r>
      <w:bookmarkStart w:id="1016" w:name="_Toc30302_WPSOffice_Level1"/>
      <w:r>
        <w:rPr>
          <w:rFonts w:hint="eastAsia" w:ascii="仿宋_GB2312" w:hAnsi="仿宋_GB2312" w:eastAsia="仿宋_GB2312" w:cs="仿宋_GB2312"/>
          <w:kern w:val="0"/>
          <w:sz w:val="32"/>
          <w:szCs w:val="32"/>
          <w:lang w:bidi="ar"/>
        </w:rPr>
        <w:t>门（二上）。</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（五）财务处根据上</w:t>
      </w:r>
      <w:bookmarkEnd w:id="1016"/>
      <w:r>
        <w:rPr>
          <w:rFonts w:hint="eastAsia" w:ascii="仿宋_GB2312" w:hAnsi="仿宋_GB2312" w:eastAsia="仿宋_GB2312" w:cs="仿宋_GB2312"/>
          <w:kern w:val="0"/>
          <w:sz w:val="32"/>
          <w:szCs w:val="32"/>
          <w:lang w:bidi="ar"/>
        </w:rPr>
        <w:t>级主管部门的预算批复（二下），及时将预算分解下达给各部门执行。</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第二十条 </w:t>
      </w:r>
      <w:r>
        <w:rPr>
          <w:rFonts w:hint="eastAsia" w:ascii="仿宋_GB2312" w:hAnsi="仿宋_GB2312" w:eastAsia="仿宋_GB2312" w:cs="仿宋_GB2312"/>
          <w:kern w:val="0"/>
          <w:sz w:val="32"/>
          <w:szCs w:val="32"/>
          <w:lang w:bidi="ar"/>
        </w:rPr>
        <w:t xml:space="preserve"> 预算编制流程：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（一）基本预算的编制流程：各部门完成基本预算编制后，先报分管校领导审核，再报财务处审核、汇总，形成学校的预算草案。</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（二）项目预算的编制流程：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1.各部门完成项目预算草案编制后，报归口管理部门进行汇总。</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2.归口管理部门对各部门上报的项目预算草案，组织专家论证，按照建设的轻重缓急排序并提出纳入下年度项目预算的计划，提交其分管校领导审核。</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3.各分管校领导负责就各分管的归口管理部门提交项目预算计划报校长办公会审议。</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4.由归口管理部门根据校长办公会审议确定后的项目预算计划报财务处纳入学校预算草案。</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（三）学校总预算的编制流程：</w:t>
      </w:r>
      <w:r>
        <w:rPr>
          <w:rFonts w:ascii="仿宋_GB2312" w:hAnsi="仿宋_GB2312" w:eastAsia="仿宋_GB2312" w:cs="仿宋_GB2312"/>
          <w:kern w:val="0"/>
          <w:sz w:val="32"/>
          <w:szCs w:val="32"/>
          <w:lang w:bidi="ar"/>
        </w:rPr>
        <w:t>财务处</w:t>
      </w:r>
      <w:r>
        <w:rPr>
          <w:rFonts w:hint="eastAsia" w:ascii="仿宋_GB2312" w:hAnsi="仿宋_GB2312" w:eastAsia="仿宋_GB2312" w:cs="仿宋_GB2312"/>
          <w:kern w:val="0"/>
          <w:sz w:val="32"/>
          <w:szCs w:val="32"/>
          <w:lang w:bidi="ar"/>
        </w:rPr>
        <w:t>将各部门上报的</w:t>
      </w:r>
      <w:r>
        <w:rPr>
          <w:rFonts w:ascii="仿宋_GB2312" w:hAnsi="仿宋_GB2312" w:eastAsia="仿宋_GB2312" w:cs="仿宋_GB2312"/>
          <w:kern w:val="0"/>
          <w:sz w:val="32"/>
          <w:szCs w:val="32"/>
          <w:lang w:bidi="ar"/>
        </w:rPr>
        <w:t>基本预算和项目预算</w:t>
      </w:r>
      <w:r>
        <w:rPr>
          <w:rFonts w:hint="eastAsia" w:ascii="仿宋_GB2312" w:hAnsi="仿宋_GB2312" w:eastAsia="仿宋_GB2312" w:cs="仿宋_GB2312"/>
          <w:kern w:val="0"/>
          <w:sz w:val="32"/>
          <w:szCs w:val="32"/>
          <w:lang w:bidi="ar"/>
        </w:rPr>
        <w:t>进行汇总</w:t>
      </w:r>
      <w:r>
        <w:rPr>
          <w:rFonts w:ascii="仿宋_GB2312" w:hAnsi="仿宋_GB2312" w:eastAsia="仿宋_GB2312" w:cs="仿宋_GB2312"/>
          <w:kern w:val="0"/>
          <w:sz w:val="32"/>
          <w:szCs w:val="32"/>
          <w:lang w:bidi="ar"/>
        </w:rPr>
        <w:t>，编制</w:t>
      </w:r>
      <w:r>
        <w:rPr>
          <w:rFonts w:hint="eastAsia" w:ascii="仿宋_GB2312" w:hAnsi="仿宋_GB2312" w:eastAsia="仿宋_GB2312" w:cs="仿宋_GB2312"/>
          <w:kern w:val="0"/>
          <w:sz w:val="32"/>
          <w:szCs w:val="32"/>
          <w:lang w:bidi="ar"/>
        </w:rPr>
        <w:t>成</w:t>
      </w:r>
      <w:r>
        <w:rPr>
          <w:rFonts w:ascii="仿宋_GB2312" w:hAnsi="仿宋_GB2312" w:eastAsia="仿宋_GB2312" w:cs="仿宋_GB2312"/>
          <w:kern w:val="0"/>
          <w:sz w:val="32"/>
          <w:szCs w:val="32"/>
          <w:lang w:bidi="ar"/>
        </w:rPr>
        <w:t>学校</w:t>
      </w:r>
      <w:r>
        <w:rPr>
          <w:rFonts w:hint="eastAsia" w:ascii="仿宋_GB2312" w:hAnsi="仿宋_GB2312" w:eastAsia="仿宋_GB2312" w:cs="仿宋_GB2312"/>
          <w:kern w:val="0"/>
          <w:sz w:val="32"/>
          <w:szCs w:val="32"/>
          <w:lang w:bidi="ar"/>
        </w:rPr>
        <w:t>的</w:t>
      </w:r>
      <w:r>
        <w:rPr>
          <w:rFonts w:ascii="仿宋_GB2312" w:hAnsi="仿宋_GB2312" w:eastAsia="仿宋_GB2312" w:cs="仿宋_GB2312"/>
          <w:kern w:val="0"/>
          <w:sz w:val="32"/>
          <w:szCs w:val="32"/>
          <w:lang w:bidi="ar"/>
        </w:rPr>
        <w:t>年度预算</w:t>
      </w:r>
      <w:r>
        <w:rPr>
          <w:rFonts w:hint="eastAsia" w:ascii="仿宋_GB2312" w:hAnsi="仿宋_GB2312" w:eastAsia="仿宋_GB2312" w:cs="仿宋_GB2312"/>
          <w:kern w:val="0"/>
          <w:sz w:val="32"/>
          <w:szCs w:val="32"/>
          <w:lang w:bidi="ar"/>
        </w:rPr>
        <w:t>草案</w:t>
      </w:r>
      <w:r>
        <w:rPr>
          <w:rFonts w:ascii="仿宋_GB2312" w:hAnsi="仿宋_GB2312" w:eastAsia="仿宋_GB2312" w:cs="仿宋_GB2312"/>
          <w:kern w:val="0"/>
          <w:sz w:val="32"/>
          <w:szCs w:val="32"/>
          <w:lang w:bidi="ar"/>
        </w:rPr>
        <w:t>，报总会计师审核后，报校长办公会审议</w:t>
      </w:r>
      <w:r>
        <w:rPr>
          <w:rFonts w:hint="eastAsia" w:ascii="仿宋_GB2312" w:hAnsi="仿宋_GB2312" w:eastAsia="仿宋_GB2312" w:cs="仿宋_GB2312"/>
          <w:kern w:val="0"/>
          <w:sz w:val="32"/>
          <w:szCs w:val="32"/>
          <w:lang w:bidi="ar"/>
        </w:rPr>
        <w:t>和</w:t>
      </w:r>
      <w:r>
        <w:rPr>
          <w:rFonts w:ascii="仿宋_GB2312" w:hAnsi="仿宋_GB2312" w:eastAsia="仿宋_GB2312" w:cs="仿宋_GB2312"/>
          <w:kern w:val="0"/>
          <w:sz w:val="32"/>
          <w:szCs w:val="32"/>
          <w:lang w:bidi="ar"/>
        </w:rPr>
        <w:t>校党委会审</w:t>
      </w:r>
      <w:r>
        <w:rPr>
          <w:rFonts w:hint="eastAsia" w:ascii="仿宋_GB2312" w:hAnsi="仿宋_GB2312" w:eastAsia="仿宋_GB2312" w:cs="仿宋_GB2312"/>
          <w:kern w:val="0"/>
          <w:sz w:val="32"/>
          <w:szCs w:val="32"/>
          <w:lang w:bidi="ar"/>
        </w:rPr>
        <w:t>定后下达各部门执行。同时，每年的预决算报告要听取</w:t>
      </w:r>
      <w:r>
        <w:rPr>
          <w:rFonts w:ascii="仿宋_GB2312" w:hAnsi="仿宋_GB2312" w:eastAsia="仿宋_GB2312" w:cs="仿宋_GB2312"/>
          <w:kern w:val="0"/>
          <w:sz w:val="32"/>
          <w:szCs w:val="32"/>
          <w:lang w:bidi="ar"/>
        </w:rPr>
        <w:t>教职工代表大会</w:t>
      </w:r>
      <w:r>
        <w:rPr>
          <w:rFonts w:hint="eastAsia" w:ascii="仿宋_GB2312" w:hAnsi="仿宋_GB2312" w:eastAsia="仿宋_GB2312" w:cs="仿宋_GB2312"/>
          <w:kern w:val="0"/>
          <w:sz w:val="32"/>
          <w:szCs w:val="32"/>
          <w:lang w:bidi="ar"/>
        </w:rPr>
        <w:t>意见和建议</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17" w:name="_Toc7221_WPSOffice_Level1"/>
      <w:r>
        <w:rPr>
          <w:rFonts w:hint="eastAsia" w:ascii="黑体" w:hAnsi="仿宋_GB2312" w:eastAsia="黑体" w:cs="仿宋_GB2312"/>
          <w:b/>
          <w:kern w:val="0"/>
          <w:sz w:val="32"/>
          <w:szCs w:val="32"/>
          <w:lang w:bidi="ar"/>
        </w:rPr>
        <w:t>第五章  预算执行与调整</w:t>
      </w:r>
      <w:bookmarkEnd w:id="1017"/>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第二十一条  </w:t>
      </w:r>
      <w:r>
        <w:rPr>
          <w:rFonts w:hint="eastAsia" w:ascii="仿宋_GB2312" w:hAnsi="仿宋_GB2312" w:eastAsia="仿宋_GB2312" w:cs="仿宋_GB2312"/>
          <w:kern w:val="0"/>
          <w:sz w:val="32"/>
          <w:szCs w:val="32"/>
          <w:lang w:bidi="ar"/>
        </w:rPr>
        <w:t>学校预算经批准后，具有法律效力，非经规定程序不得更改，任何部门和个人无权减收增支。</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第二十二条</w:t>
      </w:r>
      <w:r>
        <w:rPr>
          <w:rFonts w:hint="eastAsia" w:ascii="仿宋_GB2312" w:hAnsi="仿宋_GB2312" w:eastAsia="仿宋_GB2312" w:cs="仿宋_GB2312"/>
          <w:kern w:val="0"/>
          <w:sz w:val="32"/>
          <w:szCs w:val="32"/>
          <w:lang w:bidi="ar"/>
        </w:rPr>
        <w:t xml:space="preserve">  各部门严格按照批复的范围、内容、标准执行，得无预算、超预算开支。</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第二十三条</w:t>
      </w:r>
      <w:r>
        <w:rPr>
          <w:rFonts w:hint="eastAsia" w:ascii="仿宋_GB2312" w:hAnsi="仿宋_GB2312" w:eastAsia="仿宋_GB2312" w:cs="仿宋_GB2312"/>
          <w:kern w:val="0"/>
          <w:sz w:val="32"/>
          <w:szCs w:val="32"/>
          <w:lang w:bidi="ar"/>
        </w:rPr>
        <w:t xml:space="preserve">  财务处按会计制度及相关法规进行会计核算和开展会计监督，加强对预算支出进度的管理，通报预算执行情况。</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第二十四条</w:t>
      </w:r>
      <w:r>
        <w:rPr>
          <w:rFonts w:hint="eastAsia" w:ascii="仿宋_GB2312" w:hAnsi="仿宋_GB2312" w:eastAsia="仿宋_GB2312" w:cs="仿宋_GB2312"/>
          <w:kern w:val="0"/>
          <w:sz w:val="32"/>
          <w:szCs w:val="32"/>
          <w:lang w:bidi="ar"/>
        </w:rPr>
        <w:t xml:space="preserve">  预算一经批复，原则上不能调整，如遇特殊情况确需调整的，按以下规定调整。</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（一）部门预算中基本预算和项目预算不可相互调整，基本经费各项目间可按规定调整，项目预算各项目间不可相互调整。</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（二）基本经费调整的程序：由使用部门提出，填写《部门经费项目调整申请》，按学校规定的审批权限通过CRP系统办理审批手续。</w:t>
      </w:r>
    </w:p>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第二十五条</w:t>
      </w:r>
      <w:r>
        <w:rPr>
          <w:rFonts w:hint="eastAsia" w:ascii="仿宋_GB2312" w:hAnsi="仿宋_GB2312" w:eastAsia="仿宋_GB2312" w:cs="仿宋_GB2312"/>
          <w:kern w:val="0"/>
          <w:sz w:val="32"/>
          <w:szCs w:val="32"/>
          <w:lang w:bidi="ar"/>
        </w:rPr>
        <w:t xml:space="preserve">  预留机动经费指是为应对突发性和不可预计性工作或事件而预留的经费。对确需追加经费的，由使用部门提出，填写《机动经费使用申请》，按学校规定的审批权限通过CRP系统办理追加手续。</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18" w:name="_Toc27955_WPSOffice_Level1"/>
      <w:r>
        <w:rPr>
          <w:rFonts w:hint="eastAsia" w:ascii="黑体" w:hAnsi="仿宋_GB2312" w:eastAsia="黑体" w:cs="仿宋_GB2312"/>
          <w:b/>
          <w:kern w:val="0"/>
          <w:sz w:val="32"/>
          <w:szCs w:val="32"/>
          <w:lang w:bidi="ar"/>
        </w:rPr>
        <w:t>第六章  决算</w:t>
      </w:r>
      <w:bookmarkEnd w:id="1018"/>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第二十六条</w:t>
      </w:r>
      <w:r>
        <w:rPr>
          <w:rFonts w:hint="eastAsia" w:ascii="仿宋_GB2312" w:hAnsi="仿宋_GB2312" w:eastAsia="仿宋_GB2312" w:cs="仿宋_GB2312"/>
          <w:kern w:val="0"/>
          <w:sz w:val="32"/>
          <w:szCs w:val="32"/>
          <w:lang w:bidi="ar"/>
        </w:rPr>
        <w:t xml:space="preserve">  决算是指学校根据预算执行结果编制的年度报告。</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第二十七条</w:t>
      </w:r>
      <w:r>
        <w:rPr>
          <w:rFonts w:hint="eastAsia" w:ascii="仿宋_GB2312" w:hAnsi="仿宋_GB2312" w:eastAsia="仿宋_GB2312" w:cs="仿宋_GB2312"/>
          <w:kern w:val="0"/>
          <w:sz w:val="32"/>
          <w:szCs w:val="32"/>
          <w:lang w:bidi="ar"/>
        </w:rPr>
        <w:t xml:space="preserve">  财务处按上级政部门的要求及进度开展年终结账、对账工作，编制决算报告，做到内容完整、数字真实、计算准确、编报及时，符合相关法规要求。</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第二十八条  </w:t>
      </w:r>
      <w:r>
        <w:rPr>
          <w:rFonts w:hint="eastAsia" w:ascii="仿宋_GB2312" w:hAnsi="仿宋_GB2312" w:eastAsia="仿宋_GB2312" w:cs="仿宋_GB2312"/>
          <w:kern w:val="0"/>
          <w:sz w:val="32"/>
          <w:szCs w:val="32"/>
          <w:lang w:bidi="ar"/>
        </w:rPr>
        <w:t>财务处编制的决算报告，经财务处长、总会计师和校长审核后报上级主管部门。</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第二十九条</w:t>
      </w:r>
      <w:r>
        <w:rPr>
          <w:rFonts w:hint="eastAsia" w:ascii="仿宋_GB2312" w:hAnsi="仿宋_GB2312" w:eastAsia="仿宋_GB2312" w:cs="仿宋_GB2312"/>
          <w:kern w:val="0"/>
          <w:sz w:val="32"/>
          <w:szCs w:val="32"/>
          <w:lang w:bidi="ar"/>
        </w:rPr>
        <w:t xml:space="preserve">  财务处应加强对财务报告的分析，构建科学的指标体系，充分利用决算报告反映的信息，全面分析财务状况和存在问题，为决策提供依据，持续改进预算管理工作。</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19" w:name="_Toc24952_WPSOffice_Level1"/>
      <w:r>
        <w:rPr>
          <w:rFonts w:hint="eastAsia" w:ascii="黑体" w:hAnsi="仿宋_GB2312" w:eastAsia="黑体" w:cs="仿宋_GB2312"/>
          <w:b/>
          <w:kern w:val="0"/>
          <w:sz w:val="32"/>
          <w:szCs w:val="32"/>
          <w:lang w:bidi="ar"/>
        </w:rPr>
        <w:t>第七章  绩效管理</w:t>
      </w:r>
      <w:bookmarkEnd w:id="1019"/>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第三十条</w:t>
      </w:r>
      <w:r>
        <w:rPr>
          <w:rFonts w:hint="eastAsia" w:ascii="仿宋_GB2312" w:hAnsi="仿宋_GB2312" w:eastAsia="仿宋_GB2312" w:cs="仿宋_GB2312"/>
          <w:kern w:val="0"/>
          <w:sz w:val="32"/>
          <w:szCs w:val="32"/>
          <w:lang w:bidi="ar"/>
        </w:rPr>
        <w:t xml:space="preserve">  学校应建立预算编制有目标、预算执行有监督、预算完成有评价、评价结果有反馈、反馈结果有应用的全过程预算绩效管理机制。</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第三十一条</w:t>
      </w:r>
      <w:r>
        <w:rPr>
          <w:rFonts w:hint="eastAsia" w:ascii="仿宋_GB2312" w:hAnsi="仿宋_GB2312" w:eastAsia="仿宋_GB2312" w:cs="仿宋_GB2312"/>
          <w:kern w:val="0"/>
          <w:sz w:val="32"/>
          <w:szCs w:val="32"/>
          <w:lang w:bidi="ar"/>
        </w:rPr>
        <w:t xml:space="preserve">  在预算编制时，应明确项目的绩效目标，并可量化、可考核。</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第三十二条</w:t>
      </w:r>
      <w:r>
        <w:rPr>
          <w:rFonts w:hint="eastAsia" w:ascii="仿宋_GB2312" w:hAnsi="仿宋_GB2312" w:eastAsia="仿宋_GB2312" w:cs="仿宋_GB2312"/>
          <w:kern w:val="0"/>
          <w:sz w:val="32"/>
          <w:szCs w:val="32"/>
          <w:lang w:bidi="ar"/>
        </w:rPr>
        <w:t xml:space="preserve">  在预算执行中，财务处和各部门应适时对照预算绩效目标监控经济活动情况。</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第三十三条</w:t>
      </w:r>
      <w:r>
        <w:rPr>
          <w:rFonts w:hint="eastAsia" w:ascii="仿宋_GB2312" w:hAnsi="仿宋_GB2312" w:eastAsia="仿宋_GB2312" w:cs="仿宋_GB2312"/>
          <w:kern w:val="0"/>
          <w:sz w:val="32"/>
          <w:szCs w:val="32"/>
          <w:lang w:bidi="ar"/>
        </w:rPr>
        <w:t xml:space="preserve">  在预算执行结束，绩效管理部门在各部门开展绩效自评的基础上形成学校进行评价报告，作为绩效考核依据。</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第三十四条</w:t>
      </w:r>
      <w:r>
        <w:rPr>
          <w:rFonts w:hint="eastAsia" w:ascii="仿宋_GB2312" w:hAnsi="仿宋_GB2312" w:eastAsia="仿宋_GB2312" w:cs="仿宋_GB2312"/>
          <w:kern w:val="0"/>
          <w:sz w:val="32"/>
          <w:szCs w:val="32"/>
          <w:lang w:bidi="ar"/>
        </w:rPr>
        <w:t xml:space="preserve">  绩效管理部门应将按照程序审议批准后的评价结果及时反馈各部门进行整改。</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第三十五条</w:t>
      </w:r>
      <w:r>
        <w:rPr>
          <w:rFonts w:hint="eastAsia" w:ascii="仿宋_GB2312" w:hAnsi="仿宋_GB2312" w:eastAsia="仿宋_GB2312" w:cs="仿宋_GB2312"/>
          <w:kern w:val="0"/>
          <w:sz w:val="32"/>
          <w:szCs w:val="32"/>
          <w:lang w:bidi="ar"/>
        </w:rPr>
        <w:t xml:space="preserve">  绩效管理部门监督检查整改落实情况，财务处将考核结果与下一年度的预算分配挂钩。</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20" w:name="_Toc31519_WPSOffice_Level1"/>
      <w:r>
        <w:rPr>
          <w:rFonts w:hint="eastAsia" w:ascii="黑体" w:hAnsi="仿宋_GB2312" w:eastAsia="黑体" w:cs="仿宋_GB2312"/>
          <w:b/>
          <w:kern w:val="0"/>
          <w:sz w:val="32"/>
          <w:szCs w:val="32"/>
          <w:lang w:bidi="ar"/>
        </w:rPr>
        <w:t>第八章  附则</w:t>
      </w:r>
      <w:bookmarkEnd w:id="1020"/>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bookmarkStart w:id="1021" w:name="_Toc1586_WPSOffice_Level1"/>
      <w:r>
        <w:rPr>
          <w:rFonts w:hint="eastAsia" w:ascii="仿宋_GB2312" w:hAnsi="仿宋_GB2312" w:eastAsia="仿宋_GB2312" w:cs="仿宋_GB2312"/>
          <w:b/>
          <w:kern w:val="0"/>
          <w:sz w:val="32"/>
          <w:szCs w:val="32"/>
          <w:lang w:bidi="ar"/>
        </w:rPr>
        <w:t>第三十六条</w:t>
      </w:r>
      <w:r>
        <w:rPr>
          <w:rFonts w:hint="eastAsia" w:ascii="仿宋_GB2312" w:hAnsi="仿宋_GB2312" w:eastAsia="仿宋_GB2312" w:cs="仿宋_GB2312"/>
          <w:kern w:val="0"/>
          <w:sz w:val="32"/>
          <w:szCs w:val="32"/>
          <w:lang w:bidi="ar"/>
        </w:rPr>
        <w:t xml:space="preserve">  本办法由财务管理部门负责解释。</w:t>
      </w:r>
      <w:bookmarkEnd w:id="1021"/>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bookmarkStart w:id="1022" w:name="_Toc27284_WPSOffice_Level1"/>
      <w:r>
        <w:rPr>
          <w:rFonts w:hint="eastAsia" w:ascii="仿宋_GB2312" w:hAnsi="仿宋_GB2312" w:eastAsia="仿宋_GB2312" w:cs="仿宋_GB2312"/>
          <w:b/>
          <w:kern w:val="0"/>
          <w:sz w:val="32"/>
          <w:szCs w:val="32"/>
          <w:lang w:bidi="ar"/>
        </w:rPr>
        <w:t>第三十七条</w:t>
      </w:r>
      <w:r>
        <w:rPr>
          <w:rFonts w:hint="eastAsia" w:ascii="仿宋_GB2312" w:hAnsi="仿宋_GB2312" w:eastAsia="仿宋_GB2312" w:cs="仿宋_GB2312"/>
          <w:kern w:val="0"/>
          <w:sz w:val="32"/>
          <w:szCs w:val="32"/>
          <w:lang w:bidi="ar"/>
        </w:rPr>
        <w:t xml:space="preserve">  本办法自公布之日起执行。</w:t>
      </w:r>
      <w:bookmarkEnd w:id="1022"/>
    </w:p>
    <w:p>
      <w:pPr>
        <w:pageBreakBefore w:val="0"/>
        <w:kinsoku/>
        <w:wordWrap/>
        <w:overflowPunct/>
        <w:topLinePunct w:val="0"/>
        <w:autoSpaceDE/>
        <w:autoSpaceDN/>
        <w:bidi w:val="0"/>
        <w:spacing w:line="570" w:lineRule="exact"/>
        <w:ind w:firstLine="1600" w:firstLineChars="500"/>
        <w:outlineLvl w:val="9"/>
        <w:rPr>
          <w:rFonts w:ascii="仿宋_GB2312" w:hAnsi="仿宋_GB2312" w:eastAsia="仿宋_GB2312" w:cs="仿宋_GB2312"/>
          <w:kern w:val="0"/>
          <w:sz w:val="32"/>
          <w:szCs w:val="32"/>
          <w:lang w:bidi="ar"/>
        </w:r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hint="eastAsia" w:asciiTheme="minorEastAsia" w:hAnsiTheme="minorEastAsia" w:eastAsiaTheme="minorEastAsia"/>
          <w:b/>
          <w:bCs/>
          <w:color w:val="000000"/>
          <w:kern w:val="2"/>
          <w:sz w:val="36"/>
          <w:szCs w:val="36"/>
          <w:lang w:val="en-US" w:eastAsia="zh-CN"/>
        </w:rPr>
      </w:pPr>
      <w:bookmarkStart w:id="1023" w:name="_Toc534379475"/>
      <w:bookmarkStart w:id="1024" w:name="_Toc4551"/>
      <w:bookmarkStart w:id="1025" w:name="_Toc17298_WPSOffice_Level1"/>
      <w:bookmarkStart w:id="1026" w:name="_Toc17526"/>
      <w:r>
        <w:rPr>
          <w:rFonts w:hint="eastAsia" w:asciiTheme="minorEastAsia" w:hAnsiTheme="minorEastAsia" w:eastAsiaTheme="minorEastAsia"/>
          <w:b/>
          <w:bCs/>
          <w:color w:val="000000"/>
          <w:kern w:val="2"/>
          <w:sz w:val="36"/>
          <w:szCs w:val="36"/>
          <w:lang w:val="en-US" w:eastAsia="zh-CN"/>
        </w:rPr>
        <w:t>柳州职业技术学院财务支出审批制度（修订）</w:t>
      </w:r>
      <w:bookmarkEnd w:id="1023"/>
      <w:bookmarkEnd w:id="1024"/>
      <w:bookmarkEnd w:id="1025"/>
      <w:bookmarkEnd w:id="1026"/>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（柳职院字〔2018〕16号）</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为进一步加强学校财务管理，明确经费支出审批权限和责任，强化经费支出审批管理，依据《中华人民共和国会计法》、《政府会计制度——行政事业单位会计科目和报表》(财会〔2017〕25号)等有关管理制度，结合学校的实际情况制定本制度。</w:t>
      </w:r>
    </w:p>
    <w:p>
      <w:pPr>
        <w:pageBreakBefore w:val="0"/>
        <w:kinsoku/>
        <w:wordWrap/>
        <w:overflowPunct/>
        <w:topLinePunct w:val="0"/>
        <w:autoSpaceDE/>
        <w:autoSpaceDN/>
        <w:bidi w:val="0"/>
        <w:spacing w:line="570" w:lineRule="exact"/>
        <w:ind w:firstLine="643" w:firstLineChars="200"/>
        <w:outlineLvl w:val="9"/>
        <w:rPr>
          <w:rFonts w:hint="eastAsia" w:ascii="黑体" w:hAnsi="仿宋_GB2312" w:eastAsia="黑体" w:cs="仿宋_GB2312"/>
          <w:b/>
          <w:kern w:val="0"/>
          <w:sz w:val="32"/>
          <w:szCs w:val="32"/>
          <w:lang w:bidi="ar"/>
        </w:rPr>
      </w:pPr>
      <w:bookmarkStart w:id="1027" w:name="_Toc8536_WPSOffice_Level1"/>
      <w:r>
        <w:rPr>
          <w:rFonts w:hint="eastAsia" w:ascii="黑体" w:hAnsi="仿宋_GB2312" w:eastAsia="黑体" w:cs="仿宋_GB2312"/>
          <w:b/>
          <w:kern w:val="0"/>
          <w:sz w:val="32"/>
          <w:szCs w:val="32"/>
          <w:lang w:bidi="ar"/>
        </w:rPr>
        <w:t>第一条  经费支出概念</w:t>
      </w:r>
      <w:bookmarkEnd w:id="1027"/>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本办法所指的经费支出，是指学校财务处负责核算和管理的全部经费支出，包括教育事业经费、科研事业经费、基本建设经费和代管经费等各项经费支出。</w:t>
      </w:r>
    </w:p>
    <w:p>
      <w:pPr>
        <w:pageBreakBefore w:val="0"/>
        <w:kinsoku/>
        <w:wordWrap/>
        <w:overflowPunct/>
        <w:topLinePunct w:val="0"/>
        <w:autoSpaceDE/>
        <w:autoSpaceDN/>
        <w:bidi w:val="0"/>
        <w:spacing w:line="570" w:lineRule="exact"/>
        <w:ind w:firstLine="643" w:firstLineChars="200"/>
        <w:outlineLvl w:val="9"/>
        <w:rPr>
          <w:rFonts w:ascii="黑体" w:hAnsi="仿宋_GB2312" w:eastAsia="黑体" w:cs="仿宋_GB2312"/>
          <w:b/>
          <w:kern w:val="0"/>
          <w:sz w:val="32"/>
          <w:szCs w:val="32"/>
          <w:lang w:bidi="ar"/>
        </w:rPr>
      </w:pPr>
      <w:bookmarkStart w:id="1028" w:name="_Toc7219_WPSOffice_Level1"/>
      <w:r>
        <w:rPr>
          <w:rFonts w:hint="eastAsia" w:ascii="黑体" w:hAnsi="仿宋_GB2312" w:eastAsia="黑体" w:cs="仿宋_GB2312"/>
          <w:b/>
          <w:kern w:val="0"/>
          <w:sz w:val="32"/>
          <w:szCs w:val="32"/>
          <w:lang w:bidi="ar"/>
        </w:rPr>
        <w:t>第二条  审批人的确定</w:t>
      </w:r>
      <w:bookmarkEnd w:id="1028"/>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各项经费支出的审批人，根据经费来源、职责分工、归口管理及支出额度等情况，分别予以确定，实行分级审批。原则上为单位及各部门行政主要负责人。</w:t>
      </w:r>
    </w:p>
    <w:p>
      <w:pPr>
        <w:pageBreakBefore w:val="0"/>
        <w:kinsoku/>
        <w:wordWrap/>
        <w:overflowPunct/>
        <w:topLinePunct w:val="0"/>
        <w:autoSpaceDE/>
        <w:autoSpaceDN/>
        <w:bidi w:val="0"/>
        <w:spacing w:line="570" w:lineRule="exact"/>
        <w:ind w:firstLine="643" w:firstLineChars="200"/>
        <w:outlineLvl w:val="9"/>
        <w:rPr>
          <w:rFonts w:ascii="黑体" w:hAnsi="仿宋_GB2312" w:eastAsia="黑体" w:cs="仿宋_GB2312"/>
          <w:b/>
          <w:kern w:val="0"/>
          <w:sz w:val="32"/>
          <w:szCs w:val="32"/>
          <w:lang w:bidi="ar"/>
        </w:rPr>
      </w:pPr>
      <w:bookmarkStart w:id="1029" w:name="_Toc17356_WPSOffice_Level1"/>
      <w:r>
        <w:rPr>
          <w:rFonts w:hint="eastAsia" w:ascii="黑体" w:hAnsi="仿宋_GB2312" w:eastAsia="黑体" w:cs="仿宋_GB2312"/>
          <w:b/>
          <w:kern w:val="0"/>
          <w:sz w:val="32"/>
          <w:szCs w:val="32"/>
          <w:lang w:bidi="ar"/>
        </w:rPr>
        <w:t>第三条  经费支出审批原则</w:t>
      </w:r>
      <w:bookmarkEnd w:id="1029"/>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各级审批人要严格遵守财经法规和各项规章制度，认真履行审批职责，遵循以下审批原则。</w:t>
      </w:r>
    </w:p>
    <w:p>
      <w:pPr>
        <w:pageBreakBefore w:val="0"/>
        <w:kinsoku/>
        <w:wordWrap/>
        <w:overflowPunct/>
        <w:topLinePunct w:val="0"/>
        <w:autoSpaceDE/>
        <w:autoSpaceDN/>
        <w:bidi w:val="0"/>
        <w:spacing w:line="570" w:lineRule="exact"/>
        <w:ind w:firstLine="643" w:firstLineChars="200"/>
        <w:outlineLvl w:val="9"/>
        <w:rPr>
          <w:rFonts w:hint="eastAsia"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（一）“谁主管、谁审批、谁负责”原则</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各级审批人应根据各自的职责分工和所授权限，在授权范围内进行审批，不得超越权限审批。权责分工：</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经办人负责根据实际支出情况填写报销单，对经费报销的真实性、合理性、必要性进行审核把关,依据提请各级领导进行审批。</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经办部门负责人对经费报销的真实性、合理性、必要性及事前申请一致性进行审核把关;</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经办部门分管校领导对于所分管业务财务支出行为的真实性、合理性及必要性进行审核把关;</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业务归口职能部门负责人对归口管理经费支出的专业性、合理性、必要性进行审核把关;</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财务处会计人员对报销票据的真实性、完整性及合规性，事前审批流程的合规性等进行审核把关，并按相关规定进行报销支付。</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经费支出审批人（含财务处核算科科长、综合科科长；财务处副处长；财务处处长；总会计师；校长。）对经费支出的合法性、合理性、必要性进行审核把关。</w:t>
      </w:r>
    </w:p>
    <w:p>
      <w:pPr>
        <w:pageBreakBefore w:val="0"/>
        <w:kinsoku/>
        <w:wordWrap/>
        <w:overflowPunct/>
        <w:topLinePunct w:val="0"/>
        <w:autoSpaceDE/>
        <w:autoSpaceDN/>
        <w:bidi w:val="0"/>
        <w:spacing w:line="57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（二）“财务一支笔”原则</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1.各部门经费支出的审批人，原则上为各部门行政主要负责人。各部门行政主要负责人外出1个月以上的，可以根据工作需要书面授权到财务处备案，被授权人原则上为部门中层领导职务。</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2.审批人不能审批本人、配偶、直系亲属经办的经费支出业务。</w:t>
      </w:r>
    </w:p>
    <w:p>
      <w:pPr>
        <w:pageBreakBefore w:val="0"/>
        <w:kinsoku/>
        <w:wordWrap/>
        <w:overflowPunct/>
        <w:topLinePunct w:val="0"/>
        <w:autoSpaceDE/>
        <w:autoSpaceDN/>
        <w:bidi w:val="0"/>
        <w:spacing w:line="57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（三）严格预算控制原则</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学校各项经费须严格按预算进行归口管理和控制。年度预算方案，提交办公会审议和党委会审定后，最后下达各部门。为维护预算的严肃性和权威性，各部门须在下达的经费预算额度内，按规定用途，控制好预算经费的使用。</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2.所有经费支出必须有预算安排或有确定的资金来源。没有落实经费预算或来源的项目，任何部门不得执行，否则将追究有关责任人的责任。</w:t>
      </w:r>
    </w:p>
    <w:p>
      <w:pPr>
        <w:pageBreakBefore w:val="0"/>
        <w:kinsoku/>
        <w:wordWrap/>
        <w:overflowPunct/>
        <w:topLinePunct w:val="0"/>
        <w:autoSpaceDE/>
        <w:autoSpaceDN/>
        <w:bidi w:val="0"/>
        <w:spacing w:line="570" w:lineRule="exact"/>
        <w:ind w:firstLine="643" w:firstLineChars="200"/>
        <w:outlineLvl w:val="9"/>
        <w:rPr>
          <w:rFonts w:ascii="黑体" w:hAnsi="仿宋_GB2312" w:eastAsia="黑体" w:cs="仿宋_GB2312"/>
          <w:b/>
          <w:kern w:val="0"/>
          <w:sz w:val="32"/>
          <w:szCs w:val="32"/>
          <w:lang w:bidi="ar"/>
        </w:rPr>
      </w:pPr>
      <w:bookmarkStart w:id="1030" w:name="_Toc18040_WPSOffice_Level1"/>
      <w:r>
        <w:rPr>
          <w:rFonts w:hint="eastAsia" w:ascii="黑体" w:hAnsi="仿宋_GB2312" w:eastAsia="黑体" w:cs="仿宋_GB2312"/>
          <w:b/>
          <w:kern w:val="0"/>
          <w:sz w:val="32"/>
          <w:szCs w:val="32"/>
          <w:lang w:bidi="ar"/>
        </w:rPr>
        <w:t>第四条  经费支出事前审批权限规定</w:t>
      </w:r>
      <w:bookmarkEnd w:id="1030"/>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经费支出事前审批是指各部门在做某件事情前，需要向有关部门或领导请示，经批准同意并获得资金支持后方能实施的行为。其审批权限规定如下：</w:t>
      </w:r>
    </w:p>
    <w:p>
      <w:pPr>
        <w:pageBreakBefore w:val="0"/>
        <w:kinsoku/>
        <w:wordWrap/>
        <w:overflowPunct/>
        <w:topLinePunct w:val="0"/>
        <w:autoSpaceDE/>
        <w:autoSpaceDN/>
        <w:bidi w:val="0"/>
        <w:spacing w:line="570" w:lineRule="exact"/>
        <w:ind w:firstLine="482" w:firstLineChars="150"/>
        <w:outlineLvl w:val="9"/>
        <w:rPr>
          <w:rFonts w:ascii="仿宋_GB2312" w:hAnsi="仿宋_GB2312" w:eastAsia="仿宋_GB2312" w:cs="仿宋_GB2312"/>
          <w:kern w:val="0"/>
          <w:sz w:val="32"/>
          <w:szCs w:val="32"/>
          <w:lang w:bidi="ar"/>
        </w:rPr>
      </w:pPr>
      <w:r>
        <w:rPr>
          <w:rFonts w:hint="eastAsia" w:ascii="楷体_GB2312" w:hAnsi="仿宋_GB2312" w:eastAsia="楷体_GB2312" w:cs="仿宋_GB2312"/>
          <w:b/>
          <w:kern w:val="0"/>
          <w:sz w:val="32"/>
          <w:szCs w:val="32"/>
          <w:lang w:bidi="ar"/>
        </w:rPr>
        <w:t>（一）一般事项事前审批权限</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一般事项是指各部门使用本部门预算购买办公用品、各类耗材、图书资料、报刊杂志等；以及支付邮电费、交通费、印刷费、维修费、实习费、会费、学生活动费等经济业务。具体审批规定如下：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1.支出金额在5,000元以下的，而且是用本部门预算的，由部门负责人审批； </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2.支出金额在5,000元至100,000元（含100,000元）的审批流程：经办人→部门（或项目）负责人→归口管理部门负责人→财务处处长→分管校领导→总会计师；</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3.支出金额在100,000元以上的审批流程：经办人→部门负责人→归口管理部门负责人→财务处处长→分管校领导→总会计师→校长;</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涉及以托收方式支付“电话费、水电费”和按政策支付的养老、保险、公积金等经济业务、按合同协议约定支付“货物、服务、基建、维修、社会服务费、水电、物业费、贷款利息”等经济业务不需要走事前审批流程，由部门负责人审核后，报财务处办理审批。</w:t>
      </w:r>
    </w:p>
    <w:p>
      <w:pPr>
        <w:pageBreakBefore w:val="0"/>
        <w:kinsoku/>
        <w:wordWrap/>
        <w:overflowPunct/>
        <w:topLinePunct w:val="0"/>
        <w:autoSpaceDE/>
        <w:autoSpaceDN/>
        <w:bidi w:val="0"/>
        <w:spacing w:line="57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（二）特殊事项事前审批权限</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特殊事项是指学校按有关规定需要重点监管的经济业务，包括固定资产、物资维修和服务采购、基建维修、公务接待、人员经费等。</w:t>
      </w:r>
    </w:p>
    <w:p>
      <w:pPr>
        <w:pageBreakBefore w:val="0"/>
        <w:numPr>
          <w:ilvl w:val="0"/>
          <w:numId w:val="7"/>
        </w:numPr>
        <w:kinsoku/>
        <w:wordWrap/>
        <w:overflowPunct/>
        <w:topLinePunct w:val="0"/>
        <w:autoSpaceDE/>
        <w:autoSpaceDN/>
        <w:bidi w:val="0"/>
        <w:spacing w:line="570" w:lineRule="exact"/>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部门事前审批事项</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支付固定资产、物资维修和服务采购5,000元以下；5,000元以下公务接待；零星基建维修10,000元以下的事项，具体审批规定如下：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经办人→部门负责人→归口管理部门负责人</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2.校领导事前审批事项</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支付金额在5,000元以下的人员经费，包括下拨至部门及二级学院自主分配的校内人员课酬及工作量、奖励性绩效(按备案到人事处的发放方案或学校相关标准执行)；社会服务利润分配；政府采购项目专家评审费；校外人员劳务费、讲课费</w:t>
      </w:r>
      <w:bookmarkStart w:id="1031" w:name="_Toc6766_WPSOffice_Level1"/>
      <w:r>
        <w:rPr>
          <w:rFonts w:hint="eastAsia" w:ascii="仿宋_GB2312" w:hAnsi="仿宋_GB2312" w:eastAsia="仿宋_GB2312" w:cs="仿宋_GB2312"/>
          <w:kern w:val="0"/>
          <w:sz w:val="32"/>
          <w:szCs w:val="32"/>
          <w:lang w:bidi="ar"/>
        </w:rPr>
        <w:t>，社会服务成本、奖助学金等，</w:t>
      </w:r>
      <w:bookmarkEnd w:id="1031"/>
      <w:r>
        <w:rPr>
          <w:rFonts w:hint="eastAsia" w:ascii="仿宋_GB2312" w:hAnsi="仿宋_GB2312" w:eastAsia="仿宋_GB2312" w:cs="仿宋_GB2312"/>
          <w:kern w:val="0"/>
          <w:sz w:val="32"/>
          <w:szCs w:val="32"/>
          <w:lang w:bidi="ar"/>
        </w:rPr>
        <w:t>具体审批流程：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经办人→部门（或项目）负责人→归口管理部门负责人→财务处处长→分管校领导；</w:t>
      </w:r>
    </w:p>
    <w:p>
      <w:pPr>
        <w:pageBreakBefore w:val="0"/>
        <w:kinsoku/>
        <w:wordWrap/>
        <w:overflowPunct/>
        <w:topLinePunct w:val="0"/>
        <w:autoSpaceDE/>
        <w:autoSpaceDN/>
        <w:bidi w:val="0"/>
        <w:spacing w:line="570" w:lineRule="exact"/>
        <w:ind w:firstLine="480" w:firstLineChars="15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（2）支出固定资产、物资维修和服务采购、公务接待、人员经费（劳务费、讲课费、评审费、社会服务成本等）、奖助学金5,000-100,000元（含），以及零星基建维修10,000元-100,000元（含）的审批流程：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经办人→部门（或项目）负责人→归口管理部门负责人→财务处处长→分管校领导→总会计师；</w:t>
      </w:r>
    </w:p>
    <w:p>
      <w:pPr>
        <w:pageBreakBefore w:val="0"/>
        <w:kinsoku/>
        <w:wordWrap/>
        <w:overflowPunct/>
        <w:topLinePunct w:val="0"/>
        <w:autoSpaceDE/>
        <w:autoSpaceDN/>
        <w:bidi w:val="0"/>
        <w:spacing w:line="570" w:lineRule="exact"/>
        <w:ind w:firstLine="480" w:firstLineChars="15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（3）支出固定资产、物资维修和服务采购、公务接待、人员经费（校外人员的劳务费、讲课费、评审费，社会服务成本等）、奖助学金、基建维修100,000元以上的审批流程：</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经办人→部门（或项目）负责人→归口管理部门负责人→财务处处长→分管校领导→总会计师→校长。</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支付金额在5,000元以上的人员经费，包括下拨至部门及二级学院自主分配的校内人员课酬及工作量、奖励性绩效(按备案到人事处的发放方案或学校相关标准执行)；社会服务利润分配；政府采购项目专家评审费；具体审批流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经办人→部门（或项目）负责人→归口管理部门负责人→财务处处长→分管校领导→总会计师；</w:t>
      </w:r>
    </w:p>
    <w:p>
      <w:pPr>
        <w:pageBreakBefore w:val="0"/>
        <w:kinsoku/>
        <w:wordWrap/>
        <w:overflowPunct/>
        <w:topLinePunct w:val="0"/>
        <w:autoSpaceDE/>
        <w:autoSpaceDN/>
        <w:bidi w:val="0"/>
        <w:spacing w:line="570" w:lineRule="exact"/>
        <w:ind w:firstLine="480" w:firstLineChars="15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（5）日常的职工基本工资、学校层面发放的工作量及课酬，发放业务不需要走事前审批流程，各部门报人事部门审核后，由人事处统一报财务处办理审批。</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7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（三）公务出差事前审批权限</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公务出差按学校的差旅费管理规定办理事前审批。具体审批规定如下：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1.出差人数≤3人(不含部门行政负责人)，由部门行政负责人审批；</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2.出差人数＞3人的审批流程：经办人→部门行政负责人→分管校领导；</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3.部门行政负责人出差的审批流程：经办人→部门行政负责人→分管校领导。</w:t>
      </w:r>
    </w:p>
    <w:p>
      <w:pPr>
        <w:pageBreakBefore w:val="0"/>
        <w:kinsoku/>
        <w:wordWrap/>
        <w:overflowPunct/>
        <w:topLinePunct w:val="0"/>
        <w:autoSpaceDE/>
        <w:autoSpaceDN/>
        <w:bidi w:val="0"/>
        <w:spacing w:line="57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（四）公务借款事前审批权限</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原则上不办理公务借款，特殊原因需公务借款的，必须事前提出申请，待批准后才能借款。具体审批规定如下：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1.借款金额在50,000元以下（含50,000元）的审批流程：借款人→部门负责人→财务处处长→分管校领导→总会计师；</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2.借款金额在50,000元以上的审批流程：借款人→部门负责人→财务处处长→分管校领导→总会计师→校长。</w:t>
      </w:r>
    </w:p>
    <w:p>
      <w:pPr>
        <w:pageBreakBefore w:val="0"/>
        <w:kinsoku/>
        <w:wordWrap/>
        <w:overflowPunct/>
        <w:topLinePunct w:val="0"/>
        <w:autoSpaceDE/>
        <w:autoSpaceDN/>
        <w:bidi w:val="0"/>
        <w:spacing w:line="57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（五）会签规定</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一般事项和特殊经费支出事前审批时，会签情况如下：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1.凡支付金额＜5,000元且使用本部门经费的，不需要归口管理部门事前审批，支付金额≥5,000元的需要归口管理部门审批。</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业务归口管理部门是指负有承担该项业务管理和专业指导职责的专门部门。比如①“公务接待、合同会签”的归口管理部门为学校办公室；②“专业建设、课程建设、教材建设和实训室建设等项目”归口管理部门为教务与实训管理处；③“教改项目”的归口管理部门为职业教育研究所；④“科研项目”的归口管理部门为科技开发处；⑤“人才引进、挂职锻炼项目、日常课酬及工作量”归口管理部门为党委组织部、人事处；⑥“职工培训、优秀人才工作室项目”归口管理部门为教职工发展中心；⑦“学生资助项目”归口管理部门为学生工作处；⑧“设备、器材等物资采购、基建维修、网络维护费和使用费”归口管理部门为后勤与资产管理处；</w:t>
      </w:r>
      <w:r>
        <w:rPr>
          <w:rFonts w:hint="eastAsia" w:ascii="宋体" w:hAnsi="宋体" w:cs="仿宋_GB2312"/>
          <w:kern w:val="0"/>
          <w:sz w:val="32"/>
          <w:szCs w:val="32"/>
          <w:lang w:bidi="ar"/>
        </w:rPr>
        <w:t>⑨</w:t>
      </w:r>
      <w:r>
        <w:rPr>
          <w:rFonts w:hint="eastAsia" w:ascii="仿宋_GB2312" w:hAnsi="仿宋_GB2312" w:eastAsia="仿宋_GB2312" w:cs="仿宋_GB2312"/>
          <w:kern w:val="0"/>
          <w:sz w:val="32"/>
          <w:szCs w:val="32"/>
          <w:lang w:bidi="ar"/>
        </w:rPr>
        <w:t>“信息化系统项目”归口管理部门为信息技术服务中心；</w:t>
      </w:r>
      <w:r>
        <w:rPr>
          <w:rFonts w:hint="eastAsia" w:ascii="宋体" w:hAnsi="宋体" w:cs="仿宋_GB2312"/>
          <w:kern w:val="0"/>
          <w:sz w:val="32"/>
          <w:szCs w:val="32"/>
          <w:lang w:bidi="ar"/>
        </w:rPr>
        <w:t>⑩“</w:t>
      </w:r>
      <w:r>
        <w:rPr>
          <w:rFonts w:hint="eastAsia" w:ascii="仿宋_GB2312" w:hAnsi="仿宋_GB2312" w:eastAsia="仿宋_GB2312" w:cs="仿宋_GB2312"/>
          <w:kern w:val="0"/>
          <w:sz w:val="32"/>
          <w:szCs w:val="32"/>
          <w:lang w:bidi="ar"/>
        </w:rPr>
        <w:t>社会服务成本、利润分配</w:t>
      </w:r>
      <w:r>
        <w:rPr>
          <w:rFonts w:hint="eastAsia" w:ascii="宋体" w:hAnsi="宋体" w:cs="仿宋_GB2312"/>
          <w:kern w:val="0"/>
          <w:sz w:val="32"/>
          <w:szCs w:val="32"/>
          <w:lang w:bidi="ar"/>
        </w:rPr>
        <w:t>”</w:t>
      </w:r>
      <w:r>
        <w:rPr>
          <w:rFonts w:hint="eastAsia" w:ascii="仿宋_GB2312" w:hAnsi="仿宋_GB2312" w:eastAsia="仿宋_GB2312" w:cs="仿宋_GB2312"/>
          <w:kern w:val="0"/>
          <w:sz w:val="32"/>
          <w:szCs w:val="32"/>
          <w:lang w:bidi="ar"/>
        </w:rPr>
        <w:t xml:space="preserve"> 归口管理部门为社区学院。</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2.属跨部门使用经费的，不管金额多少需经费归口管理部门事前审批。</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3.使用科研、教改、优秀人才工作室等项目支出事项，支出金额</w:t>
      </w:r>
      <w:r>
        <w:rPr>
          <w:rFonts w:hint="eastAsia" w:ascii="宋体" w:hAnsi="宋体" w:cs="仿宋_GB2312"/>
          <w:kern w:val="0"/>
          <w:sz w:val="32"/>
          <w:szCs w:val="32"/>
          <w:lang w:bidi="ar"/>
        </w:rPr>
        <w:t>&lt;5000元，</w:t>
      </w:r>
      <w:r>
        <w:rPr>
          <w:rFonts w:hint="eastAsia" w:ascii="仿宋_GB2312" w:hAnsi="仿宋_GB2312" w:eastAsia="仿宋_GB2312" w:cs="仿宋_GB2312"/>
          <w:kern w:val="0"/>
          <w:sz w:val="32"/>
          <w:szCs w:val="32"/>
          <w:lang w:bidi="ar"/>
        </w:rPr>
        <w:t>由项目负责人审批；支出金额≥5000元的，报部门负责人及归口管理部门负责人审批。</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4.经过事前审批的事项，涉及采购或服务合同签订的，还需办理合同会签。</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合同会签的归口管理部门包括学校办公室、财务处、后勤与资产管理处、教务与实训管理处、科技开发处、社区学院、内审室等部门及法律顾问。审批流程如下：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（1）合同金额</w:t>
      </w:r>
      <w:r>
        <w:rPr>
          <w:rFonts w:hint="eastAsia" w:ascii="宋体" w:hAnsi="宋体" w:cs="仿宋_GB2312"/>
          <w:kern w:val="0"/>
          <w:sz w:val="32"/>
          <w:szCs w:val="32"/>
          <w:lang w:bidi="ar"/>
        </w:rPr>
        <w:t>&lt;</w:t>
      </w:r>
      <w:r>
        <w:rPr>
          <w:rFonts w:hint="eastAsia" w:ascii="仿宋_GB2312" w:hAnsi="仿宋_GB2312" w:eastAsia="仿宋_GB2312" w:cs="仿宋_GB2312"/>
          <w:kern w:val="0"/>
          <w:sz w:val="32"/>
          <w:szCs w:val="32"/>
          <w:lang w:bidi="ar"/>
        </w:rPr>
        <w:t>5000元的不需提供合同会签流程；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（2）合同金额5,000-50,000元（含）合同会签审批流程：经办人→部门（或项目）负责人→归口管理部门负责人→财务处处长→内审部门负责人→分管校领导→总会计师→法律顾问；</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（3）合同金额50,000-100,000元（含）合同会签审批流程：经办人→部门（或项目）负责人→归口管理部门负责人→财务处处长→→内审部门负责人→分管校领导→总会计师→法律顾问；</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 xml:space="preserve">合同金额100,000元以上合同会签审批流程：经办人→部门（或项目）负责人→归口管理部门负责人→财务处处长→内审部门负责人→分管校领导→总会计师→法律顾问→校长。 </w:t>
      </w:r>
    </w:p>
    <w:p>
      <w:pPr>
        <w:pageBreakBefore w:val="0"/>
        <w:tabs>
          <w:tab w:val="left" w:pos="8037"/>
        </w:tabs>
        <w:kinsoku/>
        <w:wordWrap/>
        <w:overflowPunct/>
        <w:topLinePunct w:val="0"/>
        <w:autoSpaceDE/>
        <w:autoSpaceDN/>
        <w:bidi w:val="0"/>
        <w:spacing w:line="570" w:lineRule="exact"/>
        <w:ind w:firstLine="643" w:firstLineChars="200"/>
        <w:outlineLvl w:val="9"/>
        <w:rPr>
          <w:rFonts w:ascii="黑体" w:hAnsi="仿宋_GB2312" w:eastAsia="黑体" w:cs="仿宋_GB2312"/>
          <w:b/>
          <w:kern w:val="0"/>
          <w:sz w:val="32"/>
          <w:szCs w:val="32"/>
          <w:lang w:bidi="ar"/>
        </w:rPr>
      </w:pPr>
      <w:bookmarkStart w:id="1032" w:name="_Toc19513_WPSOffice_Level1"/>
      <w:r>
        <w:rPr>
          <w:rFonts w:hint="eastAsia" w:ascii="黑体" w:hAnsi="仿宋_GB2312" w:eastAsia="黑体" w:cs="仿宋_GB2312"/>
          <w:b/>
          <w:kern w:val="0"/>
          <w:sz w:val="32"/>
          <w:szCs w:val="32"/>
          <w:lang w:bidi="ar"/>
        </w:rPr>
        <w:t>第五条  经费支出事后报销签字审批规定</w:t>
      </w:r>
      <w:bookmarkEnd w:id="1032"/>
      <w:r>
        <w:rPr>
          <w:rFonts w:ascii="黑体" w:hAnsi="仿宋_GB2312" w:eastAsia="黑体" w:cs="仿宋_GB2312"/>
          <w:b/>
          <w:kern w:val="0"/>
          <w:sz w:val="32"/>
          <w:szCs w:val="32"/>
          <w:lang w:bidi="ar"/>
        </w:rPr>
        <w:tab/>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按照财务规章制度，各部门在发生经济业务以后，必须一个月内到财务处办理报账手续。并按财务处要求填写对应的单据，附上发票、购物清单、审批报告和合同等材料，待会计人员审核通过，呈相关领导签字后方能付款。具体签字权限及流程如下：</w:t>
      </w:r>
    </w:p>
    <w:p>
      <w:pPr>
        <w:pageBreakBefore w:val="0"/>
        <w:kinsoku/>
        <w:wordWrap/>
        <w:overflowPunct/>
        <w:topLinePunct w:val="0"/>
        <w:autoSpaceDE/>
        <w:autoSpaceDN/>
        <w:bidi w:val="0"/>
        <w:spacing w:line="570" w:lineRule="exact"/>
        <w:ind w:firstLine="472" w:firstLineChars="147"/>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（一）会计审批权限及流程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开支金额在5,000元以下的公务出差审批流程：经办人→部门（或项目）负责人→会计；</w:t>
      </w:r>
    </w:p>
    <w:p>
      <w:pPr>
        <w:pageBreakBefore w:val="0"/>
        <w:kinsoku/>
        <w:wordWrap/>
        <w:overflowPunct/>
        <w:topLinePunct w:val="0"/>
        <w:autoSpaceDE/>
        <w:autoSpaceDN/>
        <w:bidi w:val="0"/>
        <w:spacing w:line="570" w:lineRule="exact"/>
        <w:ind w:firstLine="472" w:firstLineChars="147"/>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（二）部门及校领导审批权限及流程</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1.开支金额在5,000以下审批权限</w:t>
      </w:r>
    </w:p>
    <w:p>
      <w:pPr>
        <w:pageBreakBefore w:val="0"/>
        <w:kinsoku/>
        <w:wordWrap/>
        <w:overflowPunct/>
        <w:topLinePunct w:val="0"/>
        <w:autoSpaceDE/>
        <w:autoSpaceDN/>
        <w:bidi w:val="0"/>
        <w:spacing w:line="570" w:lineRule="exact"/>
        <w:ind w:firstLine="480" w:firstLineChars="15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（1）使用基本支出开支金额在5,000元以下的审批流程：经办人→部门（或项目）负责人→会计→核算科科长；</w:t>
      </w:r>
    </w:p>
    <w:p>
      <w:pPr>
        <w:pageBreakBefore w:val="0"/>
        <w:kinsoku/>
        <w:wordWrap/>
        <w:overflowPunct/>
        <w:topLinePunct w:val="0"/>
        <w:autoSpaceDE/>
        <w:autoSpaceDN/>
        <w:bidi w:val="0"/>
        <w:spacing w:line="570" w:lineRule="exact"/>
        <w:ind w:firstLine="480" w:firstLineChars="15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（2）使用项目支出开支金额在5,000元以下的审批流程：经办人→部门（或项目）负责人→会计→综合科科长；</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2.开支金额在5,000-50,000元(含)的审批权限</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使用经费开支金额在5,000-50,000元(含)的审批</w:t>
      </w:r>
      <w:bookmarkStart w:id="1033" w:name="_Toc11657_WPSOffice_Level1"/>
      <w:r>
        <w:rPr>
          <w:rFonts w:hint="eastAsia" w:ascii="仿宋_GB2312" w:hAnsi="仿宋_GB2312" w:eastAsia="仿宋_GB2312" w:cs="仿宋_GB2312"/>
          <w:kern w:val="0"/>
          <w:sz w:val="32"/>
          <w:szCs w:val="32"/>
          <w:lang w:bidi="ar"/>
        </w:rPr>
        <w:t>流程：经办人→部门（或项目）负责人→会计</w:t>
      </w:r>
      <w:bookmarkEnd w:id="1033"/>
      <w:r>
        <w:rPr>
          <w:rFonts w:hint="eastAsia" w:ascii="仿宋_GB2312" w:hAnsi="仿宋_GB2312" w:eastAsia="仿宋_GB2312" w:cs="仿宋_GB2312"/>
          <w:kern w:val="0"/>
          <w:sz w:val="32"/>
          <w:szCs w:val="32"/>
          <w:lang w:bidi="ar"/>
        </w:rPr>
        <w:t>→综合科科长（审核项目经费）→财务处副处长；</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3.开支金额在50,000-100,000元(含)的审批权限</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使用经费开支金额在50,000-100,000元(含)的审批流程：经办人→部门（或项目）负责人→会计→综合科科长（审核项目经费）→财务处处长→总会计师；</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4.开支金额在100,000元以上的审批权限</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使用经费开支金额在100,000元以上的审批流程：经办人→部门（或项目）负责人→会计→综合科科长（审核项目经费）→财务处处长→总会计师→校长。</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5.经费报账规定</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①凡属于业务归口职能部门会签的经费，必须经过事前审批，报账时业务归口职能部门负责人不需再签字；</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②凡属于部门行政负责人出差，必须经过其分管领导事前审批，报账时其分管校领导不需再签字；</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③凡属于跨部门使用经费的，不管金额多少需经费归口管理部门事前审批；</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④凡属于需事前审批的经费，报销时无事前审批表或超过预算范围和金额的，财务人员有权不予受理。</w:t>
      </w:r>
    </w:p>
    <w:p>
      <w:pPr>
        <w:pageBreakBefore w:val="0"/>
        <w:kinsoku/>
        <w:wordWrap/>
        <w:overflowPunct/>
        <w:topLinePunct w:val="0"/>
        <w:autoSpaceDE/>
        <w:autoSpaceDN/>
        <w:bidi w:val="0"/>
        <w:spacing w:line="570" w:lineRule="exact"/>
        <w:ind w:firstLine="643" w:firstLineChars="200"/>
        <w:outlineLvl w:val="9"/>
        <w:rPr>
          <w:rFonts w:ascii="黑体" w:hAnsi="仿宋_GB2312" w:eastAsia="黑体" w:cs="仿宋_GB2312"/>
          <w:b/>
          <w:kern w:val="0"/>
          <w:sz w:val="32"/>
          <w:szCs w:val="32"/>
          <w:lang w:bidi="ar"/>
        </w:rPr>
      </w:pPr>
      <w:bookmarkStart w:id="1034" w:name="_Toc25365_WPSOffice_Level1"/>
      <w:r>
        <w:rPr>
          <w:rFonts w:hint="eastAsia" w:ascii="黑体" w:hAnsi="仿宋_GB2312" w:eastAsia="黑体" w:cs="仿宋_GB2312"/>
          <w:b/>
          <w:kern w:val="0"/>
          <w:sz w:val="32"/>
          <w:szCs w:val="32"/>
          <w:lang w:bidi="ar"/>
        </w:rPr>
        <w:t>第六条  调整和追加预算的审批</w:t>
      </w:r>
      <w:bookmarkEnd w:id="1034"/>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1.预算调整</w:t>
      </w:r>
    </w:p>
    <w:p>
      <w:pPr>
        <w:pageBreakBefore w:val="0"/>
        <w:kinsoku/>
        <w:wordWrap/>
        <w:overflowPunct/>
        <w:topLinePunct w:val="0"/>
        <w:autoSpaceDE/>
        <w:autoSpaceDN/>
        <w:bidi w:val="0"/>
        <w:spacing w:line="570" w:lineRule="exact"/>
        <w:ind w:firstLine="480" w:firstLineChars="15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（1）预算调整原则：部门预算中基本支出预算和项目支出预算不可相互调整；基本支出预算按当年学校下发的预算文件规定的可相互调整的项目才可调整；项目支出预算各项目间不可相互调整。</w:t>
      </w:r>
    </w:p>
    <w:p>
      <w:pPr>
        <w:pageBreakBefore w:val="0"/>
        <w:kinsoku/>
        <w:wordWrap/>
        <w:overflowPunct/>
        <w:topLinePunct w:val="0"/>
        <w:autoSpaceDE/>
        <w:autoSpaceDN/>
        <w:bidi w:val="0"/>
        <w:spacing w:line="570" w:lineRule="exact"/>
        <w:ind w:firstLine="480" w:firstLineChars="15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（2）预算调整流程：由使用部门提出，填写《部门经费项目调整申请》表，通过学校CRP办理审批，审批流程为：经办人→部门负责人→财务处处长。</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2.预算追加</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预算预留机动费，是为应对突发性和不可预计性工作或事件而预留的经费。对确需从预留机动费追加经费的，由使用部门提出申请，填写《预算追加申请》表，通过学校CRP办理审批，经分管校领导同意，金额2万元（含）以下的项目，由总会计师审批；金额在2-10万元（含）的项目由总会计师和校长审批；金额在10万元以上的项目，报党委办公会、校长办公会批准；经批准追加的经费，其支出按照本办法相关规定进行审批。</w:t>
      </w:r>
    </w:p>
    <w:p>
      <w:pPr>
        <w:pageBreakBefore w:val="0"/>
        <w:kinsoku/>
        <w:wordWrap/>
        <w:overflowPunct/>
        <w:topLinePunct w:val="0"/>
        <w:autoSpaceDE/>
        <w:autoSpaceDN/>
        <w:bidi w:val="0"/>
        <w:spacing w:line="570" w:lineRule="exact"/>
        <w:ind w:firstLine="643" w:firstLineChars="200"/>
        <w:outlineLvl w:val="9"/>
        <w:rPr>
          <w:rFonts w:hint="eastAsia" w:ascii="黑体" w:hAnsi="仿宋_GB2312" w:eastAsia="黑体" w:cs="仿宋_GB2312"/>
          <w:b/>
          <w:kern w:val="0"/>
          <w:sz w:val="32"/>
          <w:szCs w:val="32"/>
          <w:lang w:bidi="ar"/>
        </w:rPr>
      </w:pPr>
      <w:bookmarkStart w:id="1035" w:name="_Toc29141_WPSOffice_Level1"/>
      <w:r>
        <w:rPr>
          <w:rFonts w:hint="eastAsia" w:ascii="黑体" w:hAnsi="仿宋_GB2312" w:eastAsia="黑体" w:cs="仿宋_GB2312"/>
          <w:b/>
          <w:kern w:val="0"/>
          <w:sz w:val="32"/>
          <w:szCs w:val="32"/>
          <w:lang w:bidi="ar"/>
        </w:rPr>
        <w:t>第七条  付款方式及现金结算支付的规定</w:t>
      </w:r>
      <w:bookmarkEnd w:id="1035"/>
    </w:p>
    <w:p>
      <w:pPr>
        <w:pageBreakBefore w:val="0"/>
        <w:kinsoku/>
        <w:wordWrap/>
        <w:overflowPunct/>
        <w:topLinePunct w:val="0"/>
        <w:autoSpaceDE/>
        <w:autoSpaceDN/>
        <w:bidi w:val="0"/>
        <w:spacing w:line="570" w:lineRule="exact"/>
        <w:ind w:firstLine="472" w:firstLineChars="147"/>
        <w:outlineLvl w:val="9"/>
        <w:rPr>
          <w:rFonts w:ascii="黑体" w:hAnsi="仿宋_GB2312" w:eastAsia="黑体" w:cs="仿宋_GB2312"/>
          <w:b/>
          <w:kern w:val="0"/>
          <w:sz w:val="32"/>
          <w:szCs w:val="32"/>
          <w:lang w:bidi="ar"/>
        </w:rPr>
      </w:pPr>
      <w:r>
        <w:rPr>
          <w:rFonts w:hint="eastAsia" w:ascii="楷体_GB2312" w:hAnsi="仿宋_GB2312" w:eastAsia="楷体_GB2312" w:cs="仿宋_GB2312"/>
          <w:b/>
          <w:kern w:val="0"/>
          <w:sz w:val="32"/>
          <w:szCs w:val="32"/>
          <w:lang w:bidi="ar"/>
        </w:rPr>
        <w:t>（一）现金支付</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kern w:val="0"/>
          <w:sz w:val="32"/>
          <w:szCs w:val="32"/>
          <w:lang w:bidi="ar"/>
        </w:rPr>
        <w:t>1.按照国务院《现金管理暂行条例》的规定，现金结算起点定为1000元（含），其中:</w:t>
      </w:r>
      <w:r>
        <w:rPr>
          <w:rFonts w:hint="eastAsia" w:ascii="仿宋_GB2312" w:hAnsi="仿宋_GB2312" w:eastAsia="仿宋_GB2312" w:cs="仿宋_GB2312"/>
          <w:b/>
          <w:kern w:val="0"/>
          <w:sz w:val="32"/>
          <w:szCs w:val="32"/>
          <w:lang w:bidi="ar"/>
        </w:rPr>
        <w:t>纳入公务卡强制结算目录按公务卡管理规定执行。</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2.发放给教职工的慰问费或其他抚恤救济性支出等可通过现金发放。</w:t>
      </w:r>
    </w:p>
    <w:p>
      <w:pPr>
        <w:pageBreakBefore w:val="0"/>
        <w:kinsoku/>
        <w:wordWrap/>
        <w:overflowPunct/>
        <w:topLinePunct w:val="0"/>
        <w:autoSpaceDE/>
        <w:autoSpaceDN/>
        <w:bidi w:val="0"/>
        <w:spacing w:line="570" w:lineRule="exact"/>
        <w:ind w:firstLine="472" w:firstLineChars="147"/>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（二）银行转账和公务卡支付</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1.超过现金结算起点的，须通过银行转账或公务卡结算。</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2.发放给本校在职职工、长期聘用人员、离退休人员、在校学生的工资、劳务、补贴、课酬、奖助学金等须通过个人银行存折（卡）发放。</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3.按照《柳州职业技术学院公务卡管理暂行办法》的规定：</w:t>
      </w:r>
      <w:r>
        <w:rPr>
          <w:rFonts w:hint="eastAsia" w:ascii="仿宋_GB2312" w:hAnsi="仿宋_GB2312" w:eastAsia="仿宋_GB2312" w:cs="仿宋_GB2312"/>
          <w:b/>
          <w:kern w:val="0"/>
          <w:sz w:val="32"/>
          <w:szCs w:val="32"/>
          <w:lang w:bidi="ar"/>
        </w:rPr>
        <w:t>凡纳入公务卡强制结算目录，单次消费额度在</w:t>
      </w:r>
      <w:r>
        <w:rPr>
          <w:rFonts w:ascii="仿宋_GB2312" w:hAnsi="仿宋_GB2312" w:eastAsia="仿宋_GB2312" w:cs="仿宋_GB2312"/>
          <w:b/>
          <w:kern w:val="0"/>
          <w:sz w:val="32"/>
          <w:szCs w:val="32"/>
          <w:lang w:bidi="ar"/>
        </w:rPr>
        <w:t>5</w:t>
      </w:r>
      <w:r>
        <w:rPr>
          <w:rFonts w:hint="eastAsia" w:ascii="仿宋_GB2312" w:hAnsi="仿宋_GB2312" w:eastAsia="仿宋_GB2312" w:cs="仿宋_GB2312"/>
          <w:b/>
          <w:kern w:val="0"/>
          <w:sz w:val="32"/>
          <w:szCs w:val="32"/>
          <w:lang w:bidi="ar"/>
        </w:rPr>
        <w:t>万元以下，</w:t>
      </w:r>
      <w:r>
        <w:rPr>
          <w:rFonts w:ascii="仿宋_GB2312" w:hAnsi="仿宋_GB2312" w:eastAsia="仿宋_GB2312" w:cs="仿宋_GB2312"/>
          <w:b/>
          <w:kern w:val="0"/>
          <w:sz w:val="32"/>
          <w:szCs w:val="32"/>
          <w:lang w:bidi="ar"/>
        </w:rPr>
        <w:t>500</w:t>
      </w:r>
      <w:r>
        <w:rPr>
          <w:rFonts w:hint="eastAsia" w:ascii="仿宋_GB2312" w:hAnsi="仿宋_GB2312" w:eastAsia="仿宋_GB2312" w:cs="仿宋_GB2312"/>
          <w:b/>
          <w:kern w:val="0"/>
          <w:sz w:val="32"/>
          <w:szCs w:val="32"/>
          <w:lang w:bidi="ar"/>
        </w:rPr>
        <w:t>元以上的公务支出事项，必须通过银行转账或公务卡结算，并按照有关规定完成财务报账手续。单次消费额度在</w:t>
      </w:r>
      <w:r>
        <w:rPr>
          <w:rFonts w:ascii="仿宋_GB2312" w:hAnsi="仿宋_GB2312" w:eastAsia="仿宋_GB2312" w:cs="仿宋_GB2312"/>
          <w:b/>
          <w:kern w:val="0"/>
          <w:sz w:val="32"/>
          <w:szCs w:val="32"/>
          <w:lang w:bidi="ar"/>
        </w:rPr>
        <w:t>5</w:t>
      </w:r>
      <w:r>
        <w:rPr>
          <w:rFonts w:hint="eastAsia" w:ascii="仿宋_GB2312" w:hAnsi="仿宋_GB2312" w:eastAsia="仿宋_GB2312" w:cs="仿宋_GB2312"/>
          <w:b/>
          <w:kern w:val="0"/>
          <w:sz w:val="32"/>
          <w:szCs w:val="32"/>
          <w:lang w:bidi="ar"/>
        </w:rPr>
        <w:t>万元以上的大额商品和服务类公务支出，应按照原办法通过银行转账结算，不使用公务卡结算。</w:t>
      </w:r>
    </w:p>
    <w:p>
      <w:pPr>
        <w:pageBreakBefore w:val="0"/>
        <w:kinsoku/>
        <w:wordWrap/>
        <w:overflowPunct/>
        <w:topLinePunct w:val="0"/>
        <w:autoSpaceDE/>
        <w:autoSpaceDN/>
        <w:bidi w:val="0"/>
        <w:spacing w:line="570" w:lineRule="exact"/>
        <w:ind w:firstLine="643" w:firstLineChars="200"/>
        <w:outlineLvl w:val="9"/>
        <w:rPr>
          <w:rFonts w:ascii="黑体" w:hAnsi="仿宋_GB2312" w:eastAsia="黑体" w:cs="仿宋_GB2312"/>
          <w:b/>
          <w:kern w:val="0"/>
          <w:sz w:val="32"/>
          <w:szCs w:val="32"/>
          <w:lang w:bidi="ar"/>
        </w:rPr>
      </w:pPr>
      <w:bookmarkStart w:id="1036" w:name="_Toc10381_WPSOffice_Level1"/>
      <w:r>
        <w:rPr>
          <w:rFonts w:hint="eastAsia" w:ascii="黑体" w:hAnsi="仿宋_GB2312" w:eastAsia="黑体" w:cs="仿宋_GB2312"/>
          <w:b/>
          <w:kern w:val="0"/>
          <w:sz w:val="32"/>
          <w:szCs w:val="32"/>
          <w:lang w:bidi="ar"/>
        </w:rPr>
        <w:t>第八条  经费支出管理规定</w:t>
      </w:r>
      <w:bookmarkEnd w:id="1036"/>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（一）经办人所取得的原始票据必须符合国家会计制度的规定，对于不合理、不合法的原始凭证，财务处工作人员有权拒绝受理；</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（二）各部门采用银行转账方式付款的，原则上需凭发票办理转账；</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（三）根据文件、通知、合同协议等要求先付款才取得发票的，经办人可办理付款手续，视为经办人借款，经办人须在款项转出的十个工作日内，将合法原始票据交回财务处，作销账处理；</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（四）借支款项须在业务终结10个工作日内，到财务处办理报账或退款手续；不按以上规定时间办理事项的，财务处有权将暂停该部门一切开支，并发出催办通知书。</w:t>
      </w: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ascii="宋体" w:hAnsi="宋体"/>
          <w:b/>
          <w:bCs/>
          <w:color w:val="000000"/>
          <w:sz w:val="36"/>
          <w:szCs w:val="36"/>
          <w:lang w:val="en-US" w:eastAsia="zh-CN"/>
        </w:rPr>
      </w:pPr>
      <w:r>
        <w:rPr>
          <w:b/>
          <w:color w:val="000000"/>
          <w:sz w:val="36"/>
          <w:szCs w:val="36"/>
        </w:rPr>
        <w:br w:type="page"/>
      </w:r>
      <w:bookmarkStart w:id="1037" w:name="_Toc1197_WPSOffice_Level1"/>
      <w:bookmarkStart w:id="1038" w:name="_Toc534379476"/>
      <w:r>
        <w:rPr>
          <w:rFonts w:hint="eastAsia" w:asciiTheme="minorEastAsia" w:hAnsiTheme="minorEastAsia" w:eastAsiaTheme="minorEastAsia"/>
          <w:b/>
          <w:bCs/>
          <w:color w:val="000000"/>
          <w:kern w:val="2"/>
          <w:sz w:val="36"/>
          <w:szCs w:val="36"/>
          <w:lang w:val="en-US" w:eastAsia="zh-CN"/>
        </w:rPr>
        <w:t>柳州职业技术学院学杂费缴纳管理办法</w:t>
      </w:r>
      <w:bookmarkEnd w:id="1037"/>
      <w:bookmarkEnd w:id="1038"/>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（柳职院字〔2018〕17号）</w:t>
      </w:r>
    </w:p>
    <w:p>
      <w:pPr>
        <w:pageBreakBefore w:val="0"/>
        <w:kinsoku/>
        <w:wordWrap/>
        <w:overflowPunct/>
        <w:topLinePunct w:val="0"/>
        <w:autoSpaceDE/>
        <w:autoSpaceDN/>
        <w:bidi w:val="0"/>
        <w:spacing w:line="276" w:lineRule="auto"/>
        <w:outlineLvl w:val="9"/>
        <w:rPr>
          <w:rFonts w:ascii="仿宋" w:hAnsi="仿宋" w:eastAsia="仿宋" w:cs="仿宋"/>
          <w:b/>
          <w:sz w:val="30"/>
          <w:szCs w:val="30"/>
        </w:rPr>
      </w:pP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39" w:name="_Toc13288_WPSOffice_Level1"/>
      <w:r>
        <w:rPr>
          <w:rFonts w:hint="eastAsia" w:ascii="黑体" w:hAnsi="仿宋_GB2312" w:eastAsia="黑体" w:cs="仿宋_GB2312"/>
          <w:b/>
          <w:kern w:val="0"/>
          <w:sz w:val="32"/>
          <w:szCs w:val="32"/>
          <w:lang w:bidi="ar"/>
        </w:rPr>
        <w:t>第一章</w:t>
      </w:r>
      <w:r>
        <w:rPr>
          <w:rFonts w:ascii="黑体" w:hAnsi="仿宋_GB2312" w:eastAsia="黑体" w:cs="仿宋_GB2312"/>
          <w:b/>
          <w:kern w:val="0"/>
          <w:sz w:val="32"/>
          <w:szCs w:val="32"/>
          <w:lang w:bidi="ar"/>
        </w:rPr>
        <w:t xml:space="preserve">  </w:t>
      </w:r>
      <w:r>
        <w:rPr>
          <w:rFonts w:hint="eastAsia" w:ascii="黑体" w:hAnsi="仿宋_GB2312" w:eastAsia="黑体" w:cs="仿宋_GB2312"/>
          <w:b/>
          <w:kern w:val="0"/>
          <w:sz w:val="32"/>
          <w:szCs w:val="32"/>
          <w:lang w:bidi="ar"/>
        </w:rPr>
        <w:t>总则</w:t>
      </w:r>
      <w:bookmarkEnd w:id="1039"/>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为了加强学生学杂费收缴工作的管理，规范收费行为，保障学校和学生的合法权益，结合学校实际，制定本规定。</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收缴学杂费是一项涉及国家政策的刚性工作，学校各教学管理部门和有关职能部门要提高认识、高度重视，增强学杂费收缴工作的责任感，各二级学院要认真做好学生的政治思想工作，强化高等教育是非义务教育的观念，督促学生按时足额缴纳学杂费。</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高等教育是非义务性教育，学校有权依法按规定收缴学杂费及代收费，学生必须强化法制观念，积极主动、及时、足额缴费。</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ascii="仿宋_GB2312" w:hAnsi="仿宋_GB2312" w:eastAsia="仿宋_GB2312" w:cs="仿宋_GB2312"/>
          <w:b/>
          <w:kern w:val="0"/>
          <w:sz w:val="32"/>
          <w:szCs w:val="32"/>
          <w:lang w:bidi="ar"/>
        </w:rPr>
        <w:t xml:space="preserve"> </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本办法适用于我校全日制大专学生使用。</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40" w:name="_Toc19984_WPSOffice_Level1"/>
      <w:r>
        <w:rPr>
          <w:rFonts w:hint="eastAsia" w:ascii="黑体" w:hAnsi="仿宋_GB2312" w:eastAsia="黑体" w:cs="仿宋_GB2312"/>
          <w:b/>
          <w:kern w:val="0"/>
          <w:sz w:val="32"/>
          <w:szCs w:val="32"/>
          <w:lang w:bidi="ar"/>
        </w:rPr>
        <w:t>第二章</w:t>
      </w:r>
      <w:r>
        <w:rPr>
          <w:rFonts w:ascii="黑体" w:hAnsi="仿宋_GB2312" w:eastAsia="黑体" w:cs="仿宋_GB2312"/>
          <w:b/>
          <w:kern w:val="0"/>
          <w:sz w:val="32"/>
          <w:szCs w:val="32"/>
          <w:lang w:bidi="ar"/>
        </w:rPr>
        <w:t xml:space="preserve">  </w:t>
      </w:r>
      <w:r>
        <w:rPr>
          <w:rFonts w:hint="eastAsia" w:ascii="黑体" w:hAnsi="仿宋_GB2312" w:eastAsia="黑体" w:cs="仿宋_GB2312"/>
          <w:b/>
          <w:kern w:val="0"/>
          <w:sz w:val="32"/>
          <w:szCs w:val="32"/>
          <w:lang w:bidi="ar"/>
        </w:rPr>
        <w:t>学杂费的缴费项目</w:t>
      </w:r>
      <w:bookmarkEnd w:id="1040"/>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学杂费是指学费、住宿费和代收费等，代收费包括课本费、体检费、医保费等。</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学费、住宿费按照柳州市物价局审批的收费标准按学年缴纳，代收费按照相关文件规定的项目和标准收取。</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41" w:name="_Toc28670_WPSOffice_Level1"/>
      <w:r>
        <w:rPr>
          <w:rFonts w:hint="eastAsia" w:ascii="黑体" w:hAnsi="仿宋_GB2312" w:eastAsia="黑体" w:cs="仿宋_GB2312"/>
          <w:b/>
          <w:kern w:val="0"/>
          <w:sz w:val="32"/>
          <w:szCs w:val="32"/>
          <w:lang w:bidi="ar"/>
        </w:rPr>
        <w:t>第三章</w:t>
      </w:r>
      <w:r>
        <w:rPr>
          <w:rFonts w:ascii="黑体" w:hAnsi="仿宋_GB2312" w:eastAsia="黑体" w:cs="仿宋_GB2312"/>
          <w:b/>
          <w:kern w:val="0"/>
          <w:sz w:val="32"/>
          <w:szCs w:val="32"/>
          <w:lang w:bidi="ar"/>
        </w:rPr>
        <w:t xml:space="preserve">  </w:t>
      </w:r>
      <w:r>
        <w:rPr>
          <w:rFonts w:hint="eastAsia" w:ascii="黑体" w:hAnsi="仿宋_GB2312" w:eastAsia="黑体" w:cs="仿宋_GB2312"/>
          <w:b/>
          <w:kern w:val="0"/>
          <w:sz w:val="32"/>
          <w:szCs w:val="32"/>
          <w:lang w:bidi="ar"/>
        </w:rPr>
        <w:t>组织与管理职责</w:t>
      </w:r>
      <w:bookmarkEnd w:id="1041"/>
    </w:p>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ascii="仿宋_GB2312" w:hAnsi="仿宋_GB2312" w:eastAsia="仿宋_GB2312" w:cs="仿宋_GB2312"/>
          <w:b/>
          <w:kern w:val="0"/>
          <w:sz w:val="32"/>
          <w:szCs w:val="32"/>
          <w:lang w:bidi="ar"/>
        </w:rPr>
        <w:t xml:space="preserve"> </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财务处是学杂费收缴管理的职能部门，按照物价部门、财政部门的有关规定，拟定学生收费项目和收费标准，按规定程序报批并组织执行。未经批准，校属其他部门不得另立名目，自行收费。</w:t>
      </w:r>
    </w:p>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学杂费收入必须由学校财务处部门统一收取、统一核算、统一管理，收取的学杂费应开具合法的收费票据。</w:t>
      </w:r>
    </w:p>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学杂费是学校经费的主要来源之一，纳入学校，统筹用于各项支出，任何单位和个人不得截留、挤占和挪用。</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学校各类收费，要严格按照“收支两条线”管理，不得“坐支现金”，严禁账外设账，私设“小金库”；严禁公款私存、转移资金。任何部门、单位和个人不得截留、挤占和挪用。</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第十一条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学杂费的催缴工作实行部门目标责任制，确保学院收入及时、足额到位。具体部门及职责如下：</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财务处职责：负责学费、重修费及学生生源地贷款信息的录入工作；负责将新生体检费录入收费系统；负责提供学生实际欠费名单给各二级学院、学工处和教务处；负责学生各项收费标准的申报以及收费核算管理工作。</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教务处职责：负责教材费收费标准录入、对账及结算工作；负责提供学生重修科目费用信息，财务处负责重修费的录入；负责根据实际欠费名单办理有关学生的暂缓注册、休学、退学等手续；负责休学、复学、转专业、退学的学生学籍变动处理。</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学工处职责：负责学生住宿费、医保费收费标准的录入及结算工作；负责休学、复学、转专业、退学的学生住宿费标准变动处理；负责医保费的参保管理、催缴、对账、退医保与转账；负责审批由二级学院审核通过的学生学费缓交申请</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学生缓交期限最长为</w:t>
      </w:r>
      <w:r>
        <w:rPr>
          <w:rFonts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bidi="ar"/>
        </w:rPr>
        <w:t>个月，每年缓交截止</w:t>
      </w:r>
      <w:r>
        <w:rPr>
          <w:rFonts w:ascii="仿宋_GB2312" w:hAnsi="仿宋_GB2312" w:eastAsia="仿宋_GB2312" w:cs="仿宋_GB2312"/>
          <w:kern w:val="0"/>
          <w:sz w:val="32"/>
          <w:szCs w:val="32"/>
          <w:lang w:bidi="ar"/>
        </w:rPr>
        <w:t xml:space="preserve"> 12</w:t>
      </w:r>
      <w:r>
        <w:rPr>
          <w:rFonts w:hint="eastAsia" w:ascii="仿宋_GB2312" w:hAnsi="仿宋_GB2312" w:eastAsia="仿宋_GB2312" w:cs="仿宋_GB2312"/>
          <w:kern w:val="0"/>
          <w:sz w:val="32"/>
          <w:szCs w:val="32"/>
          <w:lang w:bidi="ar"/>
        </w:rPr>
        <w:t>月</w:t>
      </w:r>
      <w:r>
        <w:rPr>
          <w:rFonts w:ascii="仿宋_GB2312" w:hAnsi="仿宋_GB2312" w:eastAsia="仿宋_GB2312" w:cs="仿宋_GB2312"/>
          <w:kern w:val="0"/>
          <w:sz w:val="32"/>
          <w:szCs w:val="32"/>
          <w:lang w:bidi="ar"/>
        </w:rPr>
        <w:t xml:space="preserve"> 31</w:t>
      </w:r>
      <w:r>
        <w:rPr>
          <w:rFonts w:hint="eastAsia" w:ascii="仿宋_GB2312" w:hAnsi="仿宋_GB2312" w:eastAsia="仿宋_GB2312" w:cs="仿宋_GB2312"/>
          <w:kern w:val="0"/>
          <w:sz w:val="32"/>
          <w:szCs w:val="32"/>
          <w:lang w:bidi="ar"/>
        </w:rPr>
        <w:t>日；将缓交审批表交财务处录入收费系统，并作为应缴费依据留存。负责收集学生生源地贷款证明材料，提供相关信息给财务处，由财务录入收费系统；负责通知二级学院督促学生办理助学贷款或者减免、补助等手续；负责督促二级学院欠费催缴工作；负责及时更新学生暂缓注册、休学及退学名单，并提供给教务处；负责修订和完善二级学院督促学生缴存欠费的考核机制。</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二级学院职责：负责组织学生入学报到，协助教务处、学工处办理学生报到注册相关手续，以班级为单位将学生报到注册信息表，院（部）盖章领导签字一式两份分别报给教务处和学工处；负责核对学生欠费信息并督促学生按时缴费（包括学费、住宿费及代收费）；负责协助学工处办理学生缓交申请审批等工作。</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（五）后勤处职责：负责将新生体检费的收费标准及时传递给财务处；负责体检费管理、催缴、对账与转账的处理；负责收费现场设备、网络的日常维护。</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（六）保卫处职责：负责收费现场安保、硬件保护、现金的护送与收费监控设备的安装与调试。</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（七）信息中心职责：负责供电供网，安全性的维护等后备保障工作。</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绩效管理部门应将催缴学费纳入相关部门绩效考核，根据年度评价结果及时反馈各部门进行整改。</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bookmarkStart w:id="1042" w:name="_Toc16694_WPSOffice_Level1"/>
      <w:r>
        <w:rPr>
          <w:rFonts w:hint="eastAsia" w:ascii="黑体" w:hAnsi="仿宋_GB2312" w:eastAsia="黑体" w:cs="仿宋_GB2312"/>
          <w:b/>
          <w:kern w:val="0"/>
          <w:sz w:val="32"/>
          <w:szCs w:val="32"/>
          <w:lang w:bidi="ar"/>
        </w:rPr>
        <w:t>第四章</w:t>
      </w:r>
      <w:r>
        <w:rPr>
          <w:rFonts w:ascii="黑体" w:hAnsi="仿宋_GB2312" w:eastAsia="黑体" w:cs="仿宋_GB2312"/>
          <w:b/>
          <w:kern w:val="0"/>
          <w:sz w:val="32"/>
          <w:szCs w:val="32"/>
          <w:lang w:bidi="ar"/>
        </w:rPr>
        <w:t xml:space="preserve"> </w:t>
      </w:r>
      <w:r>
        <w:rPr>
          <w:rFonts w:hint="eastAsia" w:ascii="黑体" w:hAnsi="仿宋_GB2312" w:eastAsia="黑体" w:cs="仿宋_GB2312"/>
          <w:b/>
          <w:kern w:val="0"/>
          <w:sz w:val="32"/>
          <w:szCs w:val="32"/>
          <w:lang w:bidi="ar"/>
        </w:rPr>
        <w:t xml:space="preserve"> 附则</w:t>
      </w:r>
      <w:bookmarkEnd w:id="1042"/>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第十三条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本办法由财务管理部门负责解释。</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本办法自公布之日起执行。</w:t>
      </w: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ascii="宋体" w:hAnsi="宋体"/>
          <w:b/>
          <w:bCs/>
          <w:color w:val="000000"/>
          <w:sz w:val="36"/>
          <w:szCs w:val="36"/>
          <w:lang w:val="en-US" w:eastAsia="zh-CN"/>
        </w:rPr>
      </w:pPr>
      <w:r>
        <w:rPr>
          <w:b/>
          <w:color w:val="000000"/>
          <w:sz w:val="36"/>
          <w:szCs w:val="36"/>
        </w:rPr>
        <w:br w:type="page"/>
      </w:r>
      <w:bookmarkStart w:id="1043" w:name="_Toc20468_WPSOffice_Level1"/>
      <w:bookmarkStart w:id="1044" w:name="_Toc534379477"/>
      <w:r>
        <w:rPr>
          <w:rFonts w:hint="eastAsia" w:asciiTheme="minorEastAsia" w:hAnsiTheme="minorEastAsia" w:eastAsiaTheme="minorEastAsia"/>
          <w:b/>
          <w:bCs/>
          <w:color w:val="000000"/>
          <w:kern w:val="2"/>
          <w:sz w:val="36"/>
          <w:szCs w:val="36"/>
          <w:lang w:val="en-US" w:eastAsia="zh-CN"/>
        </w:rPr>
        <w:t>柳州职业技术学院会计档案管理办法</w:t>
      </w:r>
      <w:bookmarkEnd w:id="1043"/>
      <w:bookmarkEnd w:id="1044"/>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（柳职院字〔2018〕18号）</w:t>
      </w:r>
    </w:p>
    <w:p>
      <w:pPr>
        <w:pageBreakBefore w:val="0"/>
        <w:kinsoku/>
        <w:wordWrap/>
        <w:overflowPunct/>
        <w:topLinePunct w:val="0"/>
        <w:autoSpaceDE/>
        <w:autoSpaceDN/>
        <w:bidi w:val="0"/>
        <w:jc w:val="center"/>
        <w:outlineLvl w:val="9"/>
        <w:rPr>
          <w:rFonts w:ascii="仿宋" w:hAnsi="仿宋" w:eastAsia="仿宋"/>
          <w:b/>
          <w:szCs w:val="28"/>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45" w:name="_Toc26166_WPSOffice_Level1"/>
      <w:r>
        <w:rPr>
          <w:rFonts w:hint="eastAsia" w:ascii="黑体" w:hAnsi="仿宋_GB2312" w:eastAsia="黑体" w:cs="仿宋_GB2312"/>
          <w:b/>
          <w:kern w:val="0"/>
          <w:sz w:val="32"/>
          <w:szCs w:val="32"/>
          <w:lang w:bidi="ar"/>
        </w:rPr>
        <w:t>第一章  总则</w:t>
      </w:r>
      <w:bookmarkEnd w:id="1045"/>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xml:space="preserve">  为了加强会计档案管理,有效保护和利用会计档案，根据《中华人民共和国会计法》和《中华人民共和国档案法》及财政部《会计档案管理办法》的规定，结合本校实际情况，制定本制度。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第二条  </w:t>
      </w:r>
      <w:r>
        <w:rPr>
          <w:rFonts w:hint="eastAsia" w:ascii="仿宋_GB2312" w:hAnsi="仿宋_GB2312" w:eastAsia="仿宋_GB2312" w:cs="仿宋_GB2312"/>
          <w:kern w:val="0"/>
          <w:sz w:val="32"/>
          <w:szCs w:val="32"/>
          <w:lang w:bidi="ar"/>
        </w:rPr>
        <w:t>本办法所称会计档案是指学校在进行会计核算等过程中接收或形成的，记录和反映单位经济业务事项的，具有保存价值的文字、图表等各种形式的会计资料，其中通过计算机等电子设备形成、传输和存储的电子会计档案执行《柳州职业技术学院信息系统管理办法》；收费票据的管理执行《柳州职业技术学院票据管理办法》。</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第三条  </w:t>
      </w:r>
      <w:r>
        <w:rPr>
          <w:rFonts w:hint="eastAsia" w:ascii="仿宋_GB2312" w:hAnsi="仿宋_GB2312" w:eastAsia="仿宋_GB2312" w:cs="仿宋_GB2312"/>
          <w:kern w:val="0"/>
          <w:sz w:val="32"/>
          <w:szCs w:val="32"/>
          <w:lang w:bidi="ar"/>
        </w:rPr>
        <w:t>以下会计资料应当进行归档：</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（一）会计凭证，包括原始凭证、记账凭证；</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（二）会计账簿，包括总账、明细账、日记账、固定资产卡片及其他辅助性账簿；</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（三）财务报告，包括月度、季度、半年度、年度的会计报表及附注；</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（四）其他会计资料，包括银行存款余额调节表、银行对账单、纳税申报表</w:t>
      </w:r>
      <w:bookmarkStart w:id="1046" w:name="_Toc1796_WPSOffice_Level1"/>
      <w:r>
        <w:rPr>
          <w:rFonts w:hint="eastAsia" w:ascii="仿宋_GB2312" w:hAnsi="仿宋_GB2312" w:eastAsia="仿宋_GB2312" w:cs="仿宋_GB2312"/>
          <w:kern w:val="0"/>
          <w:sz w:val="32"/>
          <w:szCs w:val="32"/>
          <w:lang w:bidi="ar"/>
        </w:rPr>
        <w:t>、会计档案移交清册、会计档案保管清册、会计档案销毁清</w:t>
      </w:r>
      <w:bookmarkEnd w:id="1046"/>
      <w:r>
        <w:rPr>
          <w:rFonts w:hint="eastAsia" w:ascii="仿宋_GB2312" w:hAnsi="仿宋_GB2312" w:eastAsia="仿宋_GB2312" w:cs="仿宋_GB2312"/>
          <w:kern w:val="0"/>
          <w:sz w:val="32"/>
          <w:szCs w:val="32"/>
          <w:lang w:bidi="ar"/>
        </w:rPr>
        <w:t>册</w:t>
      </w:r>
      <w:bookmarkStart w:id="1047" w:name="_Toc20513_WPSOffice_Level1"/>
      <w:r>
        <w:rPr>
          <w:rFonts w:hint="eastAsia" w:ascii="仿宋_GB2312" w:hAnsi="仿宋_GB2312" w:eastAsia="仿宋_GB2312" w:cs="仿宋_GB2312"/>
          <w:kern w:val="0"/>
          <w:sz w:val="32"/>
          <w:szCs w:val="32"/>
          <w:lang w:bidi="ar"/>
        </w:rPr>
        <w:t>、会计档案鉴定意见书及其他具有保存价值</w:t>
      </w:r>
      <w:bookmarkEnd w:id="1047"/>
      <w:r>
        <w:rPr>
          <w:rFonts w:hint="eastAsia" w:ascii="仿宋_GB2312" w:hAnsi="仿宋_GB2312" w:eastAsia="仿宋_GB2312" w:cs="仿宋_GB2312"/>
          <w:kern w:val="0"/>
          <w:sz w:val="32"/>
          <w:szCs w:val="32"/>
          <w:lang w:bidi="ar"/>
        </w:rPr>
        <w:t>的会计</w:t>
      </w:r>
      <w:bookmarkStart w:id="1048" w:name="_Toc2635_WPSOffice_Level1"/>
      <w:r>
        <w:rPr>
          <w:rFonts w:hint="eastAsia" w:ascii="仿宋_GB2312" w:hAnsi="仿宋_GB2312" w:eastAsia="仿宋_GB2312" w:cs="仿宋_GB2312"/>
          <w:kern w:val="0"/>
          <w:sz w:val="32"/>
          <w:szCs w:val="32"/>
          <w:lang w:bidi="ar"/>
        </w:rPr>
        <w:t>资料。</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第四条 </w:t>
      </w:r>
      <w:r>
        <w:rPr>
          <w:rFonts w:hint="eastAsia" w:ascii="仿宋_GB2312" w:hAnsi="仿宋_GB2312" w:eastAsia="仿宋_GB2312" w:cs="仿宋_GB2312"/>
          <w:kern w:val="0"/>
          <w:sz w:val="32"/>
          <w:szCs w:val="32"/>
          <w:lang w:bidi="ar"/>
        </w:rPr>
        <w:t xml:space="preserve"> 会计凭证，</w:t>
      </w:r>
      <w:r>
        <w:rPr>
          <w:rFonts w:ascii="仿宋_GB2312" w:hAnsi="仿宋_GB2312" w:eastAsia="仿宋_GB2312" w:cs="仿宋_GB2312"/>
          <w:kern w:val="0"/>
          <w:sz w:val="32"/>
          <w:szCs w:val="32"/>
          <w:lang w:bidi="ar"/>
        </w:rPr>
        <w:t>是记录经</w:t>
      </w:r>
      <w:bookmarkEnd w:id="1048"/>
      <w:r>
        <w:rPr>
          <w:rFonts w:ascii="仿宋_GB2312" w:hAnsi="仿宋_GB2312" w:eastAsia="仿宋_GB2312" w:cs="仿宋_GB2312"/>
          <w:kern w:val="0"/>
          <w:sz w:val="32"/>
          <w:szCs w:val="32"/>
          <w:lang w:bidi="ar"/>
        </w:rPr>
        <w:t>济业务、明确经济责任、按一定格式编制的据以登记</w:t>
      </w:r>
      <w:r>
        <w:rPr>
          <w:rFonts w:ascii="仿宋_GB2312" w:hAnsi="仿宋_GB2312" w:eastAsia="仿宋_GB2312" w:cs="仿宋_GB2312"/>
          <w:kern w:val="0"/>
          <w:sz w:val="32"/>
          <w:szCs w:val="32"/>
          <w:lang w:bidi="ar"/>
        </w:rPr>
        <w:fldChar w:fldCharType="begin"/>
      </w:r>
      <w:r>
        <w:rPr>
          <w:rFonts w:ascii="仿宋_GB2312" w:hAnsi="仿宋_GB2312" w:eastAsia="仿宋_GB2312" w:cs="仿宋_GB2312"/>
          <w:kern w:val="0"/>
          <w:sz w:val="32"/>
          <w:szCs w:val="32"/>
          <w:lang w:bidi="ar"/>
        </w:rPr>
        <w:instrText xml:space="preserve">HYPERLINK "http://baike.so.com/doc/1226978.html" \t "_blank"</w:instrText>
      </w:r>
      <w:r>
        <w:rPr>
          <w:rFonts w:ascii="仿宋_GB2312" w:hAnsi="仿宋_GB2312" w:eastAsia="仿宋_GB2312" w:cs="仿宋_GB2312"/>
          <w:kern w:val="0"/>
          <w:sz w:val="32"/>
          <w:szCs w:val="32"/>
          <w:lang w:bidi="ar"/>
        </w:rPr>
        <w:fldChar w:fldCharType="separate"/>
      </w:r>
      <w:r>
        <w:rPr>
          <w:rFonts w:ascii="仿宋_GB2312" w:hAnsi="仿宋_GB2312" w:eastAsia="仿宋_GB2312" w:cs="仿宋_GB2312"/>
          <w:kern w:val="0"/>
          <w:sz w:val="32"/>
          <w:szCs w:val="32"/>
          <w:lang w:bidi="ar"/>
        </w:rPr>
        <w:t>会计账簿</w:t>
      </w:r>
      <w:r>
        <w:rPr>
          <w:rFonts w:ascii="仿宋_GB2312" w:hAnsi="仿宋_GB2312" w:eastAsia="仿宋_GB2312" w:cs="仿宋_GB2312"/>
          <w:kern w:val="0"/>
          <w:sz w:val="32"/>
          <w:szCs w:val="32"/>
          <w:lang w:bidi="ar"/>
        </w:rPr>
        <w:fldChar w:fldCharType="end"/>
      </w:r>
      <w:r>
        <w:rPr>
          <w:rFonts w:ascii="仿宋_GB2312" w:hAnsi="仿宋_GB2312" w:eastAsia="仿宋_GB2312" w:cs="仿宋_GB2312"/>
          <w:kern w:val="0"/>
          <w:sz w:val="32"/>
          <w:szCs w:val="32"/>
          <w:lang w:bidi="ar"/>
        </w:rPr>
        <w:t>的书面证明。用来记载经济业务的发生</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明确经济责任</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作为记账根据的书面证明。</w:t>
      </w:r>
      <w:r>
        <w:rPr>
          <w:rFonts w:hint="eastAsia" w:ascii="仿宋_GB2312" w:hAnsi="仿宋_GB2312" w:eastAsia="仿宋_GB2312" w:cs="仿宋_GB2312"/>
          <w:kern w:val="0"/>
          <w:sz w:val="32"/>
          <w:szCs w:val="32"/>
          <w:lang w:bidi="ar"/>
        </w:rPr>
        <w:t>包括</w:t>
      </w:r>
      <w:r>
        <w:rPr>
          <w:rFonts w:ascii="仿宋_GB2312" w:hAnsi="仿宋_GB2312" w:eastAsia="仿宋_GB2312" w:cs="仿宋_GB2312"/>
          <w:kern w:val="0"/>
          <w:sz w:val="32"/>
          <w:szCs w:val="32"/>
          <w:lang w:bidi="ar"/>
        </w:rPr>
        <w:fldChar w:fldCharType="begin"/>
      </w:r>
      <w:r>
        <w:rPr>
          <w:rFonts w:ascii="仿宋_GB2312" w:hAnsi="仿宋_GB2312" w:eastAsia="仿宋_GB2312" w:cs="仿宋_GB2312"/>
          <w:kern w:val="0"/>
          <w:sz w:val="32"/>
          <w:szCs w:val="32"/>
          <w:lang w:bidi="ar"/>
        </w:rPr>
        <w:instrText xml:space="preserve">HYPERLINK "http://baike.so.com/doc/4951547.html" \t "_blank"</w:instrText>
      </w:r>
      <w:r>
        <w:rPr>
          <w:rFonts w:ascii="仿宋_GB2312" w:hAnsi="仿宋_GB2312" w:eastAsia="仿宋_GB2312" w:cs="仿宋_GB2312"/>
          <w:kern w:val="0"/>
          <w:sz w:val="32"/>
          <w:szCs w:val="32"/>
          <w:lang w:bidi="ar"/>
        </w:rPr>
        <w:fldChar w:fldCharType="separate"/>
      </w:r>
      <w:r>
        <w:rPr>
          <w:rFonts w:ascii="仿宋_GB2312" w:hAnsi="仿宋_GB2312" w:eastAsia="仿宋_GB2312" w:cs="仿宋_GB2312"/>
          <w:kern w:val="0"/>
          <w:sz w:val="32"/>
          <w:szCs w:val="32"/>
          <w:lang w:bidi="ar"/>
        </w:rPr>
        <w:t>原始凭证</w:t>
      </w:r>
      <w:r>
        <w:rPr>
          <w:rFonts w:ascii="仿宋_GB2312" w:hAnsi="仿宋_GB2312" w:eastAsia="仿宋_GB2312" w:cs="仿宋_GB2312"/>
          <w:kern w:val="0"/>
          <w:sz w:val="32"/>
          <w:szCs w:val="32"/>
          <w:lang w:bidi="ar"/>
        </w:rPr>
        <w:fldChar w:fldCharType="end"/>
      </w:r>
      <w:r>
        <w:rPr>
          <w:rFonts w:ascii="仿宋_GB2312" w:hAnsi="仿宋_GB2312" w:eastAsia="仿宋_GB2312" w:cs="仿宋_GB2312"/>
          <w:kern w:val="0"/>
          <w:sz w:val="32"/>
          <w:szCs w:val="32"/>
          <w:lang w:bidi="ar"/>
        </w:rPr>
        <w:t>和记账凭证</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前者是在经济业务最初发生之时即行填制的原始书面证明</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后者是以原始凭证为依据</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作为记入账簿内各个分类</w:t>
      </w:r>
      <w:r>
        <w:rPr>
          <w:rFonts w:hint="eastAsia" w:ascii="仿宋_GB2312" w:hAnsi="仿宋_GB2312" w:eastAsia="仿宋_GB2312" w:cs="仿宋_GB2312"/>
          <w:kern w:val="0"/>
          <w:sz w:val="32"/>
          <w:szCs w:val="32"/>
          <w:lang w:bidi="ar"/>
        </w:rPr>
        <w:t>账户</w:t>
      </w:r>
      <w:r>
        <w:rPr>
          <w:rFonts w:ascii="仿宋_GB2312" w:hAnsi="仿宋_GB2312" w:eastAsia="仿宋_GB2312" w:cs="仿宋_GB2312"/>
          <w:kern w:val="0"/>
          <w:sz w:val="32"/>
          <w:szCs w:val="32"/>
          <w:lang w:bidi="ar"/>
        </w:rPr>
        <w:t>的书面证明</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会计账簿，是按照会计科目开设账户、账页，以</w:t>
      </w:r>
      <w:r>
        <w:rPr>
          <w:rFonts w:ascii="仿宋_GB2312" w:hAnsi="仿宋_GB2312" w:eastAsia="仿宋_GB2312" w:cs="仿宋_GB2312"/>
          <w:kern w:val="0"/>
          <w:sz w:val="32"/>
          <w:szCs w:val="32"/>
          <w:lang w:bidi="ar"/>
        </w:rPr>
        <w:fldChar w:fldCharType="begin"/>
      </w:r>
      <w:r>
        <w:rPr>
          <w:rFonts w:ascii="仿宋_GB2312" w:hAnsi="仿宋_GB2312" w:eastAsia="仿宋_GB2312" w:cs="仿宋_GB2312"/>
          <w:kern w:val="0"/>
          <w:sz w:val="32"/>
          <w:szCs w:val="32"/>
          <w:lang w:bidi="ar"/>
        </w:rPr>
        <w:instrText xml:space="preserve">HYPERLINK "http://baike.so.com/doc/2550263.html" \t "_blank"</w:instrText>
      </w:r>
      <w:r>
        <w:rPr>
          <w:rFonts w:ascii="仿宋_GB2312" w:hAnsi="仿宋_GB2312" w:eastAsia="仿宋_GB2312" w:cs="仿宋_GB2312"/>
          <w:kern w:val="0"/>
          <w:sz w:val="32"/>
          <w:szCs w:val="32"/>
          <w:lang w:bidi="ar"/>
        </w:rPr>
        <w:fldChar w:fldCharType="separate"/>
      </w:r>
      <w:r>
        <w:rPr>
          <w:rFonts w:ascii="仿宋_GB2312" w:hAnsi="仿宋_GB2312" w:eastAsia="仿宋_GB2312" w:cs="仿宋_GB2312"/>
          <w:kern w:val="0"/>
          <w:sz w:val="32"/>
          <w:szCs w:val="32"/>
          <w:lang w:bidi="ar"/>
        </w:rPr>
        <w:t>会计凭证</w:t>
      </w:r>
      <w:r>
        <w:rPr>
          <w:rFonts w:ascii="仿宋_GB2312" w:hAnsi="仿宋_GB2312" w:eastAsia="仿宋_GB2312" w:cs="仿宋_GB2312"/>
          <w:kern w:val="0"/>
          <w:sz w:val="32"/>
          <w:szCs w:val="32"/>
          <w:lang w:bidi="ar"/>
        </w:rPr>
        <w:fldChar w:fldCharType="end"/>
      </w:r>
      <w:r>
        <w:rPr>
          <w:rFonts w:ascii="仿宋_GB2312" w:hAnsi="仿宋_GB2312" w:eastAsia="仿宋_GB2312" w:cs="仿宋_GB2312"/>
          <w:kern w:val="0"/>
          <w:sz w:val="32"/>
          <w:szCs w:val="32"/>
          <w:lang w:bidi="ar"/>
        </w:rPr>
        <w:t>为依据</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用来序时、分类地记录和反映经济业务的簿籍</w:t>
      </w:r>
      <w:r>
        <w:rPr>
          <w:rFonts w:hint="eastAsia" w:ascii="仿宋_GB2312" w:hAnsi="仿宋_GB2312" w:eastAsia="仿宋_GB2312" w:cs="仿宋_GB2312"/>
          <w:kern w:val="0"/>
          <w:sz w:val="32"/>
          <w:szCs w:val="32"/>
          <w:lang w:bidi="ar"/>
        </w:rPr>
        <w:t>。包括总账、明细账、日记账、固定资产卡片及其他辅助性账簿。</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第六条 </w:t>
      </w:r>
      <w:r>
        <w:rPr>
          <w:rFonts w:hint="eastAsia" w:ascii="仿宋_GB2312" w:hAnsi="仿宋_GB2312" w:eastAsia="仿宋_GB2312" w:cs="仿宋_GB2312"/>
          <w:kern w:val="0"/>
          <w:sz w:val="32"/>
          <w:szCs w:val="32"/>
          <w:lang w:bidi="ar"/>
        </w:rPr>
        <w:t xml:space="preserve"> 财务报告，</w:t>
      </w:r>
      <w:r>
        <w:rPr>
          <w:rFonts w:ascii="仿宋_GB2312" w:hAnsi="仿宋_GB2312" w:eastAsia="仿宋_GB2312" w:cs="仿宋_GB2312"/>
          <w:kern w:val="0"/>
          <w:sz w:val="32"/>
          <w:szCs w:val="32"/>
          <w:lang w:bidi="ar"/>
        </w:rPr>
        <w:t>是根据日常会计核算资料定期编制的，综合反映本单位某一特定日期财务状况和某一会计期间预决算资金情况及资金用途的总结性书面文件。</w:t>
      </w:r>
      <w:r>
        <w:rPr>
          <w:rFonts w:hint="eastAsia" w:ascii="仿宋_GB2312" w:hAnsi="仿宋_GB2312" w:eastAsia="仿宋_GB2312" w:cs="仿宋_GB2312"/>
          <w:kern w:val="0"/>
          <w:sz w:val="32"/>
          <w:szCs w:val="32"/>
          <w:lang w:bidi="ar"/>
        </w:rPr>
        <w:t>包括月度、季度、半年度、年度财务会计报表及附注。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其它会计资料，凡与会计核算紧密相关的，由会计部门负责办理的有参考价值的数据资料。采用电子计算机进行会计核算的，应当保存打印出的纸质会计档案，具备保存条件的，应同时将数字媒介作为会计档案保存。包括银行存款余额调节表、银行对账单、纳税申报表、会计档案移交清册、会计档案保管清册及其他具有保存价值的会计资料。</w:t>
      </w: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49" w:name="_Toc16109_WPSOffice_Level1"/>
      <w:r>
        <w:rPr>
          <w:rFonts w:hint="eastAsia" w:ascii="黑体" w:hAnsi="仿宋_GB2312" w:eastAsia="黑体" w:cs="仿宋_GB2312"/>
          <w:b/>
          <w:kern w:val="0"/>
          <w:sz w:val="32"/>
          <w:szCs w:val="32"/>
          <w:lang w:bidi="ar"/>
        </w:rPr>
        <w:t>第二章  会计档案的收集、整理及装订</w:t>
      </w:r>
      <w:bookmarkEnd w:id="1049"/>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财务处的档案管理员负责督促会计承办人员做好平时原始凭证的收集、整理，确保会计材料的完整、系统、齐全。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第九条 </w:t>
      </w:r>
      <w:r>
        <w:rPr>
          <w:rFonts w:hint="eastAsia" w:ascii="仿宋_GB2312" w:hAnsi="仿宋_GB2312" w:eastAsia="仿宋_GB2312" w:cs="仿宋_GB2312"/>
          <w:kern w:val="0"/>
          <w:sz w:val="32"/>
          <w:szCs w:val="32"/>
          <w:lang w:bidi="ar"/>
        </w:rPr>
        <w:t xml:space="preserve"> 会计凭证的装订，应当连同所附的原始凭证，按照编号顺序，折叠整齐，按期装订成册，并加具封面，注明单位名称、年度、月份和起讫日期、凭证种类、起讫号码，由装订人在装订线封签外签名或者盖章。对于数量过多的原始凭证，可以单独装订保管，在封面上注明记账凭证日期、编号、种 类，同时在记账凭证上注明“附件另订”和原始凭证名称及编号。各种经济合同、存出保证金收据以及涉外文件等重要原始凭证，应当另编目录，单独登记保管，并在有关的记账凭证和原始凭证上相互注明日期和凭证编号。</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档案管理员将各种记账凭证按时间顺序整理，并</w:t>
      </w:r>
      <w:r>
        <w:rPr>
          <w:rFonts w:ascii="仿宋_GB2312" w:hAnsi="仿宋_GB2312" w:eastAsia="仿宋_GB2312" w:cs="仿宋_GB2312"/>
          <w:kern w:val="0"/>
          <w:sz w:val="32"/>
          <w:szCs w:val="32"/>
          <w:lang w:bidi="ar"/>
        </w:rPr>
        <w:t>将记账凭证</w:t>
      </w:r>
      <w:r>
        <w:rPr>
          <w:rFonts w:hint="eastAsia" w:ascii="仿宋_GB2312" w:hAnsi="仿宋_GB2312" w:eastAsia="仿宋_GB2312" w:cs="仿宋_GB2312"/>
          <w:kern w:val="0"/>
          <w:sz w:val="32"/>
          <w:szCs w:val="32"/>
          <w:lang w:bidi="ar"/>
        </w:rPr>
        <w:t>按月</w:t>
      </w:r>
      <w:r>
        <w:rPr>
          <w:rFonts w:ascii="仿宋_GB2312" w:hAnsi="仿宋_GB2312" w:eastAsia="仿宋_GB2312" w:cs="仿宋_GB2312"/>
          <w:kern w:val="0"/>
          <w:sz w:val="32"/>
          <w:szCs w:val="32"/>
          <w:lang w:bidi="ar"/>
        </w:rPr>
        <w:t>按适当厚度</w:t>
      </w:r>
      <w:r>
        <w:rPr>
          <w:rFonts w:hint="eastAsia" w:ascii="仿宋_GB2312" w:hAnsi="仿宋_GB2312" w:eastAsia="仿宋_GB2312" w:cs="仿宋_GB2312"/>
          <w:kern w:val="0"/>
          <w:sz w:val="32"/>
          <w:szCs w:val="32"/>
          <w:lang w:bidi="ar"/>
        </w:rPr>
        <w:t>（约3~4cm）</w:t>
      </w:r>
      <w:r>
        <w:rPr>
          <w:rFonts w:ascii="仿宋_GB2312" w:hAnsi="仿宋_GB2312" w:eastAsia="仿宋_GB2312" w:cs="仿宋_GB2312"/>
          <w:kern w:val="0"/>
          <w:sz w:val="32"/>
          <w:szCs w:val="32"/>
          <w:lang w:bidi="ar"/>
        </w:rPr>
        <w:t>分成若干本</w:t>
      </w:r>
      <w:r>
        <w:rPr>
          <w:rFonts w:hint="eastAsia" w:ascii="仿宋_GB2312" w:hAnsi="仿宋_GB2312" w:eastAsia="仿宋_GB2312" w:cs="仿宋_GB2312"/>
          <w:kern w:val="0"/>
          <w:sz w:val="32"/>
          <w:szCs w:val="32"/>
          <w:lang w:bidi="ar"/>
        </w:rPr>
        <w:t>，逐一装订成册。</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第十一条</w:t>
      </w:r>
      <w:r>
        <w:rPr>
          <w:rFonts w:hint="eastAsia" w:ascii="仿宋_GB2312" w:hAnsi="仿宋_GB2312" w:eastAsia="仿宋_GB2312" w:cs="仿宋_GB2312"/>
          <w:kern w:val="0"/>
          <w:sz w:val="32"/>
          <w:szCs w:val="32"/>
          <w:lang w:bidi="ar"/>
        </w:rPr>
        <w:t xml:space="preserve">  会计账簿的装订，应当在账簿封面上写明单位名称和账簿名称，并在账簿扉页上附启用表，启用表内容应包括：启用日期、账簿页数、记账人员和会计主管人员、单位负责人姓名，并加盖签章和学校公章。</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其他会计档案的装订，档案封面应逐项按规定填写清楚，标题简明完整，确切反映卷内材料的内容，包括档案名称、类型、内容、起止日期、责任者等，</w:t>
      </w:r>
      <w:r>
        <w:rPr>
          <w:rFonts w:ascii="仿宋_GB2312" w:hAnsi="仿宋_GB2312" w:eastAsia="仿宋_GB2312" w:cs="仿宋_GB2312"/>
          <w:kern w:val="0"/>
          <w:sz w:val="32"/>
          <w:szCs w:val="32"/>
          <w:lang w:bidi="ar"/>
        </w:rPr>
        <w:t>封面各记事栏是事后查账和查证有关事项的最基础的索引和凭证。填好卷脊上的项目</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卷脊上一般应写上×年×月凭证和案卷号。</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50" w:name="_Toc31108_WPSOffice_Level1"/>
      <w:r>
        <w:rPr>
          <w:rFonts w:hint="eastAsia" w:ascii="黑体" w:hAnsi="仿宋_GB2312" w:eastAsia="黑体" w:cs="仿宋_GB2312"/>
          <w:b/>
          <w:kern w:val="0"/>
          <w:sz w:val="32"/>
          <w:szCs w:val="32"/>
          <w:lang w:bidi="ar"/>
        </w:rPr>
        <w:t>第三章  会计档案的保管、借阅、归档管理</w:t>
      </w:r>
      <w:bookmarkEnd w:id="1050"/>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第十三条  </w:t>
      </w:r>
      <w:r>
        <w:rPr>
          <w:rFonts w:hint="eastAsia" w:ascii="仿宋_GB2312" w:hAnsi="仿宋_GB2312" w:eastAsia="仿宋_GB2312" w:cs="仿宋_GB2312"/>
          <w:kern w:val="0"/>
          <w:sz w:val="32"/>
          <w:szCs w:val="32"/>
          <w:lang w:bidi="ar"/>
        </w:rPr>
        <w:t>当年形成的会计档案，在会计年度终了后，可由财务处临时保管一年，临时保管期限最长不超过三年。隔年移交给学校档案馆保管财务处临时保管。临时保管期间，会计档案的保管应当符合国家档案管理的有关规定，且出纳人员不得兼管会计档案。</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在财务处临时管期间，所保存的会计档案不得借出。如有特殊需要，由借阅人提出申请，经财务处负责人批准，可以提供查阅或者复制，并办理登记手续。查阅或者复制会计档案的人员，严禁在会计档案上涂画、拆封和抽换。原则上规定当天借阅当天归还。如需借阅多天，必须当天归还后第二天再继续借阅。</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第十五条 </w:t>
      </w:r>
      <w:r>
        <w:rPr>
          <w:rFonts w:hint="eastAsia" w:ascii="仿宋_GB2312" w:hAnsi="仿宋_GB2312" w:eastAsia="仿宋_GB2312" w:cs="仿宋_GB2312"/>
          <w:kern w:val="0"/>
          <w:sz w:val="32"/>
          <w:szCs w:val="32"/>
          <w:lang w:bidi="ar"/>
        </w:rPr>
        <w:t xml:space="preserve"> 会计档案管理员在办理会计档案移交时，须编制会计档案移交清册，列明应当移交的会计档案名称、卷号、册数、起止年度、档案编号、应保管期限和已保管期限等内容，并按有关规定办理移交手续。纸质会计档案移交时应当保持原卷的封装。</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hint="eastAsia" w:ascii="仿宋_GB2312" w:hAnsi="仿宋_GB2312" w:eastAsia="仿宋_GB2312" w:cs="仿宋_GB2312"/>
          <w:kern w:val="0"/>
          <w:sz w:val="32"/>
          <w:szCs w:val="32"/>
          <w:lang w:bidi="ar"/>
        </w:rPr>
        <w:t xml:space="preserve">  会计档案移交清册的编制应一式三份，与档案资料一起送交学校综合档案室保管。</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hint="eastAsia" w:ascii="仿宋_GB2312" w:hAnsi="仿宋_GB2312" w:eastAsia="仿宋_GB2312" w:cs="仿宋_GB2312"/>
          <w:kern w:val="0"/>
          <w:sz w:val="32"/>
          <w:szCs w:val="32"/>
          <w:lang w:bidi="ar"/>
        </w:rPr>
        <w:t xml:space="preserve">  会计档案交接双方按照移交清册所列内容逐项交接，由财务处负责人进行监交。交接完毕后，交接双方经办人和监交人应当在移交清册上签字或盖章。</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第十八条  </w:t>
      </w:r>
      <w:r>
        <w:rPr>
          <w:rFonts w:hint="eastAsia" w:ascii="仿宋_GB2312" w:hAnsi="仿宋_GB2312" w:eastAsia="仿宋_GB2312" w:cs="仿宋_GB2312"/>
          <w:kern w:val="0"/>
          <w:sz w:val="32"/>
          <w:szCs w:val="32"/>
          <w:lang w:bidi="ar"/>
        </w:rPr>
        <w:t>会计档案的保管期限，从会计年度终了后的第一天算起。</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第十九条 </w:t>
      </w:r>
      <w:r>
        <w:rPr>
          <w:rFonts w:hint="eastAsia" w:ascii="仿宋_GB2312" w:hAnsi="仿宋_GB2312" w:eastAsia="仿宋_GB2312" w:cs="仿宋_GB2312"/>
          <w:kern w:val="0"/>
          <w:sz w:val="32"/>
          <w:szCs w:val="32"/>
          <w:lang w:bidi="ar"/>
        </w:rPr>
        <w:t xml:space="preserve"> 会计档案的保管期限分为永久、定期两类。定期保管期限分为10年、30年两类（详见附表）。本办法规定的会计档案保管期限为最低保管期限。</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51" w:name="_Toc30203_WPSOffice_Level1"/>
      <w:r>
        <w:rPr>
          <w:rFonts w:hint="eastAsia" w:ascii="黑体" w:hAnsi="仿宋_GB2312" w:eastAsia="黑体" w:cs="仿宋_GB2312"/>
          <w:b/>
          <w:kern w:val="0"/>
          <w:sz w:val="32"/>
          <w:szCs w:val="32"/>
          <w:lang w:bidi="ar"/>
        </w:rPr>
        <w:t>第四章  会计档案的销毁</w:t>
      </w:r>
      <w:bookmarkEnd w:id="1051"/>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第二十条  </w:t>
      </w:r>
      <w:r>
        <w:rPr>
          <w:rFonts w:hint="eastAsia" w:ascii="仿宋_GB2312" w:hAnsi="仿宋_GB2312" w:eastAsia="仿宋_GB2312" w:cs="仿宋_GB2312"/>
          <w:kern w:val="0"/>
          <w:sz w:val="32"/>
          <w:szCs w:val="32"/>
          <w:lang w:bidi="ar"/>
        </w:rPr>
        <w:t>学校应当定期对已到保管期限的会计档案进行鉴定，并形成会计档案鉴定意见书。经鉴定，仍需继续保存的会计档案，应当重新划定保管期限；对保管期满，确无保存价值的会计档案，可以销毁。</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第二十一条</w:t>
      </w:r>
      <w:r>
        <w:rPr>
          <w:rFonts w:hint="eastAsia" w:ascii="仿宋_GB2312" w:hAnsi="仿宋_GB2312" w:eastAsia="仿宋_GB2312" w:cs="仿宋_GB2312"/>
          <w:kern w:val="0"/>
          <w:sz w:val="32"/>
          <w:szCs w:val="32"/>
          <w:lang w:bidi="ar"/>
        </w:rPr>
        <w:t xml:space="preserve">  会计档案鉴定工作由学校档案馆牵头，组织学校财务部门、审计部门、内部审计与督导室等部门共同进行。</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第二十二条  </w:t>
      </w:r>
      <w:r>
        <w:rPr>
          <w:rFonts w:hint="eastAsia" w:ascii="仿宋_GB2312" w:hAnsi="仿宋_GB2312" w:eastAsia="仿宋_GB2312" w:cs="仿宋_GB2312"/>
          <w:kern w:val="0"/>
          <w:sz w:val="32"/>
          <w:szCs w:val="32"/>
          <w:lang w:bidi="ar"/>
        </w:rPr>
        <w:t>经鉴定可以销毁的会计档案，按照以下程序销毁:</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（一）学校档案馆编制会计档案销毁清册，列明拟销毁会计档案的名称、卷号、册数、起止年度、档案编号、应保管期限、已保管期限和销毁时间等内容。</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（二）学校负责人、档案馆部门负责人、财务部门负责人、档案馆经办人、财务处经办人在会计档案销毁清册上签署意见。</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学校档案馆负责组织会计档案销毁工作，并与财务部门、内部审计与督导室共同派员监销。监销人在会计档案销毁前，应当按照会计档案销毁清册所列内容进行清点核对；在会计档案销毁后，应当在会计档案销毁清册上签名或盖章。</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电子会计档案的销毁还应当符合国家有关电子档案的规定，并由学校档案馆、财务部门和信息系统管理部门共同派员监销。</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第二十三条</w:t>
      </w:r>
      <w:r>
        <w:rPr>
          <w:rFonts w:hint="eastAsia" w:ascii="仿宋_GB2312" w:hAnsi="仿宋_GB2312" w:eastAsia="仿宋_GB2312" w:cs="仿宋_GB2312"/>
          <w:kern w:val="0"/>
          <w:sz w:val="32"/>
          <w:szCs w:val="32"/>
          <w:lang w:bidi="ar"/>
        </w:rPr>
        <w:t xml:space="preserve">  保管期满但未结清的债权债务会计凭证和涉及其他未了事项的会计凭证不得销毁，纸质会计档案应当单独抽出立卷，电子会计档案单独转存，保管到未了事项完结时为止。</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第二十四条</w:t>
      </w:r>
      <w:r>
        <w:rPr>
          <w:rFonts w:hint="eastAsia" w:ascii="仿宋_GB2312" w:hAnsi="仿宋_GB2312" w:eastAsia="仿宋_GB2312" w:cs="仿宋_GB2312"/>
          <w:kern w:val="0"/>
          <w:sz w:val="32"/>
          <w:szCs w:val="32"/>
          <w:lang w:bidi="ar"/>
        </w:rPr>
        <w:t xml:space="preserve">  单独抽出立卷或转存的会计档案，应当在会计档案鉴定意见书、会计档案销毁清册和会计档案保管清册中列明。</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52" w:name="_Toc19601_WPSOffice_Level1"/>
      <w:r>
        <w:rPr>
          <w:rFonts w:hint="eastAsia" w:ascii="黑体" w:hAnsi="仿宋_GB2312" w:eastAsia="黑体" w:cs="仿宋_GB2312"/>
          <w:b/>
          <w:kern w:val="0"/>
          <w:sz w:val="32"/>
          <w:szCs w:val="32"/>
          <w:lang w:bidi="ar"/>
        </w:rPr>
        <w:t>第五章  附则</w:t>
      </w:r>
      <w:bookmarkEnd w:id="1052"/>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第二十五条</w:t>
      </w:r>
      <w:r>
        <w:rPr>
          <w:rFonts w:hint="eastAsia" w:ascii="仿宋_GB2312" w:hAnsi="仿宋_GB2312" w:eastAsia="仿宋_GB2312" w:cs="仿宋_GB2312"/>
          <w:kern w:val="0"/>
          <w:sz w:val="32"/>
          <w:szCs w:val="32"/>
          <w:lang w:bidi="ar"/>
        </w:rPr>
        <w:t xml:space="preserve">  本办法解释权属学校财务处。</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第二十六条</w:t>
      </w:r>
      <w:r>
        <w:rPr>
          <w:rFonts w:hint="eastAsia" w:ascii="仿宋_GB2312" w:hAnsi="仿宋_GB2312" w:eastAsia="仿宋_GB2312" w:cs="仿宋_GB2312"/>
          <w:kern w:val="0"/>
          <w:sz w:val="32"/>
          <w:szCs w:val="32"/>
          <w:lang w:bidi="ar"/>
        </w:rPr>
        <w:t xml:space="preserve">  本办法自公布之日起实施。</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附表：柳州职业技</w:t>
      </w:r>
      <w:bookmarkStart w:id="1053" w:name="_Toc6331_WPSOffice_Level1"/>
      <w:r>
        <w:rPr>
          <w:rFonts w:hint="eastAsia" w:ascii="仿宋_GB2312" w:hAnsi="仿宋_GB2312" w:eastAsia="仿宋_GB2312" w:cs="仿宋_GB2312"/>
          <w:kern w:val="0"/>
          <w:sz w:val="32"/>
          <w:szCs w:val="32"/>
          <w:lang w:bidi="ar"/>
        </w:rPr>
        <w:t>术学院会计档案保管期限表</w:t>
      </w:r>
    </w:p>
    <w:p>
      <w:pPr>
        <w:pageBreakBefore w:val="0"/>
        <w:kinsoku/>
        <w:wordWrap/>
        <w:overflowPunct/>
        <w:topLinePunct w:val="0"/>
        <w:autoSpaceDE/>
        <w:autoSpaceDN/>
        <w:bidi w:val="0"/>
        <w:spacing w:line="380" w:lineRule="exact"/>
        <w:jc w:val="left"/>
        <w:outlineLvl w:val="9"/>
        <w:rPr>
          <w:rFonts w:hint="eastAsia" w:ascii="黑体" w:eastAsia="黑体"/>
          <w:sz w:val="32"/>
          <w:szCs w:val="32"/>
        </w:rPr>
      </w:pPr>
    </w:p>
    <w:p>
      <w:pPr>
        <w:pageBreakBefore w:val="0"/>
        <w:kinsoku/>
        <w:wordWrap/>
        <w:overflowPunct/>
        <w:topLinePunct w:val="0"/>
        <w:autoSpaceDE/>
        <w:autoSpaceDN/>
        <w:bidi w:val="0"/>
        <w:spacing w:line="380" w:lineRule="exact"/>
        <w:jc w:val="left"/>
        <w:outlineLvl w:val="9"/>
        <w:rPr>
          <w:rFonts w:ascii="黑体" w:eastAsia="黑体"/>
          <w:sz w:val="32"/>
          <w:szCs w:val="32"/>
        </w:rPr>
      </w:pPr>
      <w:r>
        <w:rPr>
          <w:rFonts w:hint="eastAsia" w:ascii="黑体" w:eastAsia="黑体"/>
          <w:sz w:val="32"/>
          <w:szCs w:val="32"/>
        </w:rPr>
        <w:t>附表：</w:t>
      </w:r>
    </w:p>
    <w:bookmarkEnd w:id="1053"/>
    <w:p>
      <w:pPr>
        <w:pageBreakBefore w:val="0"/>
        <w:kinsoku/>
        <w:wordWrap/>
        <w:overflowPunct/>
        <w:topLinePunct w:val="0"/>
        <w:autoSpaceDE/>
        <w:autoSpaceDN/>
        <w:bidi w:val="0"/>
        <w:spacing w:line="590" w:lineRule="exact"/>
        <w:jc w:val="center"/>
        <w:outlineLvl w:val="9"/>
        <w:rPr>
          <w:b/>
          <w:color w:val="000000"/>
          <w:sz w:val="36"/>
          <w:szCs w:val="36"/>
        </w:rPr>
      </w:pPr>
      <w:bookmarkStart w:id="1054" w:name="_Toc13007_WPSOffice_Level1"/>
      <w:r>
        <w:rPr>
          <w:rFonts w:hint="eastAsia"/>
          <w:b/>
          <w:color w:val="000000"/>
          <w:sz w:val="36"/>
          <w:szCs w:val="36"/>
        </w:rPr>
        <w:t>柳州职业技术学院会计档案保管期限表</w:t>
      </w:r>
      <w:bookmarkEnd w:id="1054"/>
    </w:p>
    <w:tbl>
      <w:tblPr>
        <w:tblStyle w:val="14"/>
        <w:tblW w:w="9093"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71"/>
        <w:gridCol w:w="2680"/>
        <w:gridCol w:w="1394"/>
        <w:gridCol w:w="414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序号</w:t>
            </w:r>
          </w:p>
        </w:tc>
        <w:tc>
          <w:tcPr>
            <w:tcW w:w="268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center"/>
              <w:outlineLvl w:val="9"/>
              <w:rPr>
                <w:rFonts w:ascii="宋体" w:hAnsi="宋体" w:cs="宋体"/>
                <w:color w:val="333333"/>
                <w:kern w:val="0"/>
                <w:sz w:val="24"/>
              </w:rPr>
            </w:pPr>
            <w:r>
              <w:rPr>
                <w:rFonts w:hint="eastAsia" w:ascii="宋体" w:hAnsi="宋体" w:cs="宋体"/>
                <w:color w:val="333333"/>
                <w:kern w:val="0"/>
                <w:sz w:val="24"/>
              </w:rPr>
              <w:t>档案名称</w:t>
            </w:r>
          </w:p>
        </w:tc>
        <w:tc>
          <w:tcPr>
            <w:tcW w:w="139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保管期限</w:t>
            </w:r>
          </w:p>
        </w:tc>
        <w:tc>
          <w:tcPr>
            <w:tcW w:w="414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b/>
                <w:bCs/>
                <w:color w:val="333333"/>
                <w:kern w:val="0"/>
                <w:sz w:val="24"/>
              </w:rPr>
              <w:t>一</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6" w:leftChars="32" w:hanging="89" w:hangingChars="37"/>
              <w:jc w:val="left"/>
              <w:outlineLvl w:val="9"/>
              <w:rPr>
                <w:rFonts w:ascii="宋体" w:hAnsi="宋体" w:cs="宋体"/>
                <w:color w:val="333333"/>
                <w:kern w:val="0"/>
                <w:sz w:val="24"/>
              </w:rPr>
            </w:pPr>
            <w:r>
              <w:rPr>
                <w:rFonts w:hint="eastAsia" w:ascii="宋体" w:hAnsi="宋体" w:cs="宋体"/>
                <w:b/>
                <w:bCs/>
                <w:color w:val="333333"/>
                <w:kern w:val="0"/>
                <w:sz w:val="24"/>
              </w:rPr>
              <w:t>会计凭证类</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 </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原始凭证</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30年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2</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记账凭证</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30年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3</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汇总凭证</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30年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b/>
                <w:bCs/>
                <w:color w:val="333333"/>
                <w:kern w:val="0"/>
                <w:sz w:val="24"/>
              </w:rPr>
              <w:t>二</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6" w:leftChars="32" w:hanging="89" w:hangingChars="37"/>
              <w:jc w:val="left"/>
              <w:outlineLvl w:val="9"/>
              <w:rPr>
                <w:rFonts w:ascii="宋体" w:hAnsi="宋体" w:cs="宋体"/>
                <w:color w:val="333333"/>
                <w:kern w:val="0"/>
                <w:sz w:val="24"/>
              </w:rPr>
            </w:pPr>
            <w:r>
              <w:rPr>
                <w:rFonts w:hint="eastAsia" w:ascii="宋体" w:hAnsi="宋体" w:cs="宋体"/>
                <w:b/>
                <w:bCs/>
                <w:color w:val="333333"/>
                <w:kern w:val="0"/>
                <w:sz w:val="24"/>
              </w:rPr>
              <w:t>会计账簿类</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 </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4</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总账</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30年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包括日记账</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5</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明细账</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30年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6</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日记账</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30年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7</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固定资产卡片</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 </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固定资产报废清理后保管5年</w:t>
            </w:r>
          </w:p>
        </w:tc>
        <w:bookmarkStart w:id="1055" w:name="_Toc32337_WPSOffice_Level1"/>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8</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辅助账簿</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30年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b/>
                <w:bCs/>
                <w:color w:val="333333"/>
                <w:kern w:val="0"/>
                <w:sz w:val="24"/>
              </w:rPr>
              <w:t>三</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6" w:leftChars="32" w:hanging="89" w:hangingChars="37"/>
              <w:jc w:val="left"/>
              <w:outlineLvl w:val="9"/>
              <w:rPr>
                <w:rFonts w:ascii="宋体" w:hAnsi="宋体" w:cs="宋体"/>
                <w:color w:val="333333"/>
                <w:kern w:val="0"/>
                <w:sz w:val="24"/>
              </w:rPr>
            </w:pPr>
            <w:r>
              <w:rPr>
                <w:rFonts w:hint="eastAsia" w:ascii="宋体" w:hAnsi="宋体" w:cs="宋体"/>
                <w:b/>
                <w:bCs/>
                <w:color w:val="333333"/>
                <w:kern w:val="0"/>
                <w:sz w:val="24"/>
              </w:rPr>
              <w:t>财务报告类</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 </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9</w:t>
            </w:r>
            <w:bookmarkEnd w:id="1055"/>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bookmarkStart w:id="1056" w:name="_Toc973_WPSOffice_Level1"/>
            <w:r>
              <w:rPr>
                <w:rFonts w:hint="eastAsia" w:ascii="宋体" w:hAnsi="宋体" w:cs="宋体"/>
                <w:color w:val="333333"/>
                <w:kern w:val="0"/>
                <w:sz w:val="24"/>
              </w:rPr>
              <w:t>月、季度财务报告</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10年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包括文字分析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10</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年度财务报告（</w:t>
            </w:r>
            <w:bookmarkEnd w:id="1056"/>
            <w:r>
              <w:rPr>
                <w:rFonts w:hint="eastAsia" w:ascii="宋体" w:hAnsi="宋体" w:cs="宋体"/>
                <w:color w:val="333333"/>
                <w:kern w:val="0"/>
                <w:sz w:val="24"/>
              </w:rPr>
              <w:t>决算）</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永久</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包括文</w:t>
            </w:r>
            <w:bookmarkStart w:id="1057" w:name="_Toc21963_WPSOffice_Level1"/>
            <w:r>
              <w:rPr>
                <w:rFonts w:hint="eastAsia" w:ascii="宋体" w:hAnsi="宋体" w:cs="宋体"/>
                <w:color w:val="333333"/>
                <w:kern w:val="0"/>
                <w:sz w:val="24"/>
              </w:rPr>
              <w:t>字分析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b/>
                <w:bCs/>
                <w:color w:val="333333"/>
                <w:kern w:val="0"/>
                <w:sz w:val="24"/>
              </w:rPr>
              <w:t>四</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6" w:leftChars="32" w:hanging="89" w:hangingChars="37"/>
              <w:jc w:val="left"/>
              <w:outlineLvl w:val="9"/>
              <w:rPr>
                <w:rFonts w:ascii="宋体" w:hAnsi="宋体" w:cs="宋体"/>
                <w:color w:val="333333"/>
                <w:kern w:val="0"/>
                <w:sz w:val="24"/>
              </w:rPr>
            </w:pPr>
            <w:r>
              <w:rPr>
                <w:rFonts w:hint="eastAsia" w:ascii="宋体" w:hAnsi="宋体" w:cs="宋体"/>
                <w:b/>
                <w:bCs/>
                <w:color w:val="333333"/>
                <w:kern w:val="0"/>
                <w:sz w:val="24"/>
              </w:rPr>
              <w:t>其他类</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 </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11</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银行余额调节表</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w:t>
            </w:r>
            <w:bookmarkEnd w:id="1057"/>
            <w:r>
              <w:rPr>
                <w:rFonts w:hint="eastAsia" w:ascii="宋体" w:hAnsi="宋体" w:cs="宋体"/>
                <w:color w:val="333333"/>
                <w:kern w:val="0"/>
                <w:sz w:val="24"/>
              </w:rPr>
              <w:t>0</w:t>
            </w:r>
            <w:bookmarkStart w:id="1058" w:name="_Toc26861_WPSOffice_Level1"/>
            <w:r>
              <w:rPr>
                <w:rFonts w:hint="eastAsia" w:ascii="宋体" w:hAnsi="宋体" w:cs="宋体"/>
                <w:color w:val="333333"/>
                <w:kern w:val="0"/>
                <w:sz w:val="24"/>
              </w:rPr>
              <w:t>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12</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银行对账单</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10</w:t>
            </w:r>
            <w:bookmarkEnd w:id="1058"/>
            <w:r>
              <w:rPr>
                <w:rFonts w:hint="eastAsia" w:ascii="宋体" w:hAnsi="宋体" w:cs="宋体"/>
                <w:color w:val="333333"/>
                <w:kern w:val="0"/>
                <w:sz w:val="24"/>
              </w:rPr>
              <w:t>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r>
              <w:rPr>
                <w:rFonts w:hint="eastAsia" w:ascii="宋体" w:hAnsi="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13</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会计移交清册</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30年</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14</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55" w:leftChars="32" w:hanging="88" w:hangingChars="37"/>
              <w:jc w:val="left"/>
              <w:outlineLvl w:val="9"/>
              <w:rPr>
                <w:rFonts w:ascii="宋体" w:hAnsi="宋体" w:cs="宋体"/>
                <w:color w:val="333333"/>
                <w:kern w:val="0"/>
                <w:sz w:val="24"/>
              </w:rPr>
            </w:pPr>
            <w:r>
              <w:rPr>
                <w:rFonts w:hint="eastAsia" w:ascii="宋体" w:hAnsi="宋体" w:cs="宋体"/>
                <w:color w:val="333333"/>
                <w:kern w:val="0"/>
                <w:sz w:val="24"/>
              </w:rPr>
              <w:t>会计档案销毁清册</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永久</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15</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44" w:leftChars="32" w:hanging="77" w:hangingChars="37"/>
              <w:jc w:val="left"/>
              <w:outlineLvl w:val="9"/>
              <w:rPr>
                <w:rFonts w:ascii="宋体" w:hAnsi="宋体" w:cs="宋体"/>
                <w:szCs w:val="21"/>
              </w:rPr>
            </w:pPr>
            <w:r>
              <w:rPr>
                <w:rFonts w:hint="eastAsia" w:ascii="宋体" w:hAnsi="宋体" w:cs="宋体"/>
                <w:szCs w:val="21"/>
              </w:rPr>
              <w:t>会计档案销毁清册</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szCs w:val="21"/>
              </w:rPr>
            </w:pPr>
            <w:r>
              <w:rPr>
                <w:rFonts w:hint="eastAsia" w:ascii="宋体" w:hAnsi="宋体" w:cs="宋体"/>
                <w:szCs w:val="21"/>
              </w:rPr>
              <w:t>永久</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10" w:hRule="exact"/>
          <w:tblCellSpacing w:w="0" w:type="dxa"/>
          <w:jc w:val="center"/>
        </w:trPr>
        <w:tc>
          <w:tcPr>
            <w:tcW w:w="87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color w:val="333333"/>
                <w:kern w:val="0"/>
                <w:sz w:val="24"/>
              </w:rPr>
            </w:pPr>
            <w:r>
              <w:rPr>
                <w:rFonts w:hint="eastAsia" w:ascii="宋体" w:hAnsi="宋体" w:cs="宋体"/>
                <w:color w:val="333333"/>
                <w:kern w:val="0"/>
                <w:sz w:val="24"/>
              </w:rPr>
              <w:t>16</w:t>
            </w:r>
          </w:p>
        </w:tc>
        <w:tc>
          <w:tcPr>
            <w:tcW w:w="268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ind w:left="144" w:leftChars="32" w:hanging="77" w:hangingChars="37"/>
              <w:jc w:val="left"/>
              <w:outlineLvl w:val="9"/>
              <w:rPr>
                <w:rFonts w:ascii="宋体" w:hAnsi="宋体" w:cs="宋体"/>
                <w:szCs w:val="21"/>
              </w:rPr>
            </w:pPr>
            <w:r>
              <w:rPr>
                <w:rFonts w:hint="eastAsia" w:ascii="宋体" w:hAnsi="宋体" w:cs="宋体"/>
                <w:szCs w:val="21"/>
              </w:rPr>
              <w:t>会计档案鉴定意见书</w:t>
            </w:r>
          </w:p>
        </w:tc>
        <w:tc>
          <w:tcPr>
            <w:tcW w:w="139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center"/>
              <w:outlineLvl w:val="9"/>
              <w:rPr>
                <w:rFonts w:ascii="宋体" w:hAnsi="宋体" w:cs="宋体"/>
                <w:szCs w:val="21"/>
              </w:rPr>
            </w:pPr>
            <w:r>
              <w:rPr>
                <w:rFonts w:hint="eastAsia" w:ascii="宋体" w:hAnsi="宋体" w:cs="宋体"/>
                <w:szCs w:val="21"/>
              </w:rPr>
              <w:t>永久</w:t>
            </w:r>
          </w:p>
        </w:tc>
        <w:tc>
          <w:tcPr>
            <w:tcW w:w="414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pageBreakBefore w:val="0"/>
              <w:widowControl/>
              <w:kinsoku/>
              <w:wordWrap/>
              <w:overflowPunct/>
              <w:topLinePunct w:val="0"/>
              <w:autoSpaceDE/>
              <w:autoSpaceDN/>
              <w:bidi w:val="0"/>
              <w:spacing w:line="240" w:lineRule="exact"/>
              <w:jc w:val="left"/>
              <w:outlineLvl w:val="9"/>
              <w:rPr>
                <w:rFonts w:ascii="宋体" w:hAnsi="宋体" w:cs="宋体"/>
                <w:color w:val="333333"/>
                <w:kern w:val="0"/>
                <w:sz w:val="24"/>
              </w:rPr>
            </w:pPr>
          </w:p>
        </w:tc>
      </w:tr>
    </w:tbl>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ascii="宋体" w:hAnsi="宋体"/>
          <w:b/>
          <w:bCs/>
          <w:color w:val="000000"/>
          <w:sz w:val="36"/>
          <w:szCs w:val="36"/>
          <w:lang w:val="en-US" w:eastAsia="zh-CN"/>
        </w:rPr>
      </w:pPr>
      <w:r>
        <w:rPr>
          <w:rFonts w:ascii="仿宋_GB2312" w:hAnsi="仿宋_GB2312" w:eastAsia="仿宋_GB2312" w:cs="仿宋_GB2312"/>
          <w:kern w:val="0"/>
          <w:sz w:val="32"/>
          <w:szCs w:val="32"/>
          <w:lang w:bidi="ar"/>
        </w:rPr>
        <w:br w:type="page"/>
      </w:r>
      <w:bookmarkStart w:id="1059" w:name="_Toc23742_WPSOffice_Level1"/>
      <w:bookmarkStart w:id="1060" w:name="_Toc534379478"/>
      <w:r>
        <w:rPr>
          <w:rFonts w:hint="eastAsia" w:asciiTheme="minorEastAsia" w:hAnsiTheme="minorEastAsia" w:eastAsiaTheme="minorEastAsia"/>
          <w:b/>
          <w:bCs/>
          <w:color w:val="000000"/>
          <w:kern w:val="2"/>
          <w:sz w:val="36"/>
          <w:szCs w:val="36"/>
          <w:lang w:val="en-US" w:eastAsia="zh-CN"/>
        </w:rPr>
        <w:t>柳州职业技术学院会计核算管理办法</w:t>
      </w:r>
      <w:bookmarkEnd w:id="1059"/>
      <w:bookmarkEnd w:id="1060"/>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（柳职院字〔2018〕19）</w:t>
      </w:r>
    </w:p>
    <w:p>
      <w:pPr>
        <w:pageBreakBefore w:val="0"/>
        <w:kinsoku/>
        <w:wordWrap/>
        <w:overflowPunct/>
        <w:topLinePunct w:val="0"/>
        <w:autoSpaceDE/>
        <w:autoSpaceDN/>
        <w:bidi w:val="0"/>
        <w:outlineLvl w:val="9"/>
        <w:rPr>
          <w:rFonts w:ascii="仿宋" w:hAnsi="仿宋" w:eastAsia="仿宋"/>
          <w:b/>
          <w:szCs w:val="28"/>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61" w:name="_Toc14444_WPSOffice_Level1"/>
      <w:r>
        <w:rPr>
          <w:rFonts w:hint="eastAsia" w:ascii="黑体" w:hAnsi="仿宋_GB2312" w:eastAsia="黑体" w:cs="仿宋_GB2312"/>
          <w:b/>
          <w:kern w:val="0"/>
          <w:sz w:val="32"/>
          <w:szCs w:val="32"/>
          <w:lang w:bidi="ar"/>
        </w:rPr>
        <w:t>第一章  总则</w:t>
      </w:r>
      <w:bookmarkEnd w:id="1061"/>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第一条  </w:t>
      </w:r>
      <w:r>
        <w:rPr>
          <w:rFonts w:hint="eastAsia" w:ascii="仿宋_GB2312" w:hAnsi="仿宋_GB2312" w:eastAsia="仿宋_GB2312" w:cs="仿宋_GB2312"/>
          <w:kern w:val="0"/>
          <w:sz w:val="32"/>
          <w:szCs w:val="32"/>
          <w:lang w:bidi="ar"/>
        </w:rPr>
        <w:t>为规范学校的会计核算工作，提高会计信息质量，保证会计工作依法有序地进行，根据《中华人民共和国会计法》和《政府会计制度——行政事业单位会计科目和报表》(财会</w:t>
      </w:r>
      <w:r>
        <w:rPr>
          <w:rFonts w:hint="eastAsia" w:ascii="仿宋_GB2312" w:eastAsia="仿宋_GB2312"/>
          <w:sz w:val="32"/>
          <w:szCs w:val="32"/>
        </w:rPr>
        <w:t>〔2017〕</w:t>
      </w:r>
      <w:r>
        <w:rPr>
          <w:rFonts w:hint="eastAsia" w:ascii="仿宋_GB2312" w:hAnsi="仿宋_GB2312" w:eastAsia="仿宋_GB2312" w:cs="仿宋_GB2312"/>
          <w:kern w:val="0"/>
          <w:sz w:val="32"/>
          <w:szCs w:val="32"/>
          <w:lang w:bidi="ar"/>
        </w:rPr>
        <w:t>25号)、《会计基础工作规范》、《会计档案管理办法》等规章制度，结合本校的实际情况，制定本办法。</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第二条  </w:t>
      </w:r>
      <w:r>
        <w:rPr>
          <w:rFonts w:hint="eastAsia" w:ascii="仿宋_GB2312" w:hAnsi="仿宋_GB2312" w:eastAsia="仿宋_GB2312" w:cs="仿宋_GB2312"/>
          <w:kern w:val="0"/>
          <w:sz w:val="32"/>
          <w:szCs w:val="32"/>
          <w:lang w:bidi="ar"/>
        </w:rPr>
        <w:t>本办法适用于本校发生的所有经济业务的会计核算工作。具体包括：（一）款项和有价证券的收付；（二）财物的收发、增减和使用；（三）债权债务的发生和结算；（四）资本、基金的增减；（五）收入、支出、费用、成本的计算；（六）财务成果的计算和处理；（七）其他需要办理会计手续、进行会计核算的事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会计年度自公历</w:t>
      </w:r>
      <w:r>
        <w:rPr>
          <w:rFonts w:ascii="仿宋_GB2312" w:hAnsi="仿宋_GB2312" w:eastAsia="仿宋_GB2312" w:cs="仿宋_GB2312"/>
          <w:kern w:val="0"/>
          <w:sz w:val="32"/>
          <w:szCs w:val="32"/>
          <w:lang w:bidi="ar"/>
        </w:rPr>
        <w:t>1</w:t>
      </w:r>
      <w:r>
        <w:rPr>
          <w:rFonts w:hint="eastAsia" w:ascii="仿宋_GB2312" w:hAnsi="仿宋_GB2312" w:eastAsia="仿宋_GB2312" w:cs="仿宋_GB2312"/>
          <w:kern w:val="0"/>
          <w:sz w:val="32"/>
          <w:szCs w:val="32"/>
          <w:lang w:bidi="ar"/>
        </w:rPr>
        <w:t>月</w:t>
      </w:r>
      <w:r>
        <w:rPr>
          <w:rFonts w:ascii="仿宋_GB2312" w:hAnsi="仿宋_GB2312" w:eastAsia="仿宋_GB2312" w:cs="仿宋_GB2312"/>
          <w:kern w:val="0"/>
          <w:sz w:val="32"/>
          <w:szCs w:val="32"/>
          <w:lang w:bidi="ar"/>
        </w:rPr>
        <w:t>1</w:t>
      </w:r>
      <w:r>
        <w:rPr>
          <w:rFonts w:hint="eastAsia" w:ascii="仿宋_GB2312" w:hAnsi="仿宋_GB2312" w:eastAsia="仿宋_GB2312" w:cs="仿宋_GB2312"/>
          <w:kern w:val="0"/>
          <w:sz w:val="32"/>
          <w:szCs w:val="32"/>
          <w:lang w:bidi="ar"/>
        </w:rPr>
        <w:t>日起到</w:t>
      </w:r>
      <w:r>
        <w:rPr>
          <w:rFonts w:ascii="仿宋_GB2312" w:hAnsi="仿宋_GB2312" w:eastAsia="仿宋_GB2312" w:cs="仿宋_GB2312"/>
          <w:kern w:val="0"/>
          <w:sz w:val="32"/>
          <w:szCs w:val="32"/>
          <w:lang w:bidi="ar"/>
        </w:rPr>
        <w:t>12</w:t>
      </w:r>
      <w:r>
        <w:rPr>
          <w:rFonts w:hint="eastAsia" w:ascii="仿宋_GB2312" w:hAnsi="仿宋_GB2312" w:eastAsia="仿宋_GB2312" w:cs="仿宋_GB2312"/>
          <w:kern w:val="0"/>
          <w:sz w:val="32"/>
          <w:szCs w:val="32"/>
          <w:lang w:bidi="ar"/>
        </w:rPr>
        <w:t>月</w:t>
      </w:r>
      <w:r>
        <w:rPr>
          <w:rFonts w:ascii="仿宋_GB2312" w:hAnsi="仿宋_GB2312" w:eastAsia="仿宋_GB2312" w:cs="仿宋_GB2312"/>
          <w:kern w:val="0"/>
          <w:sz w:val="32"/>
          <w:szCs w:val="32"/>
          <w:lang w:bidi="ar"/>
        </w:rPr>
        <w:t>31</w:t>
      </w:r>
      <w:r>
        <w:rPr>
          <w:rFonts w:hint="eastAsia" w:ascii="仿宋_GB2312" w:hAnsi="仿宋_GB2312" w:eastAsia="仿宋_GB2312" w:cs="仿宋_GB2312"/>
          <w:kern w:val="0"/>
          <w:sz w:val="32"/>
          <w:szCs w:val="32"/>
          <w:lang w:bidi="ar"/>
        </w:rPr>
        <w:t>日止，为一个会计年度。</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会计核算以人民币作为记账本位币。</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财务会计核算实行权责发生制；预算会计核算实行收付实现制。</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hint="eastAsia" w:ascii="仿宋_GB2312" w:hAnsi="仿宋_GB2312" w:eastAsia="仿宋_GB2312" w:cs="仿宋_GB2312"/>
          <w:kern w:val="0"/>
          <w:sz w:val="32"/>
          <w:szCs w:val="32"/>
          <w:lang w:bidi="ar"/>
        </w:rPr>
        <w:t xml:space="preserve">  记账方法采用复式记账法。</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固定资产按平均年限法计提折旧。当月增加的资产当月不计提折旧，从下月起计提折旧；当月减少的固定资产，当月照提折旧，从下月起不提折旧；固定资产提足折旧后，无论能否继续使用，均不再计提折旧；提前报废的固定资产，也不再补提折旧。</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无形资产按平均年限法计提折旧。当月增加的无形资产，当月起进行摊销，当月减少的无形资产，当月起不摊销；无形资产全部摊销后，无论能否继续使用，均不再摊销；提前核销的无形资产，不再补计摊销。</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学校的财务报告应按规定上报学校领导及主管单位。年终决算按主管单位要求上报。</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十条</w:t>
      </w:r>
      <w:r>
        <w:rPr>
          <w:rFonts w:hint="eastAsia" w:ascii="仿宋_GB2312" w:hAnsi="仿宋_GB2312" w:eastAsia="仿宋_GB2312" w:cs="仿宋_GB2312"/>
          <w:kern w:val="0"/>
          <w:sz w:val="32"/>
          <w:szCs w:val="32"/>
          <w:lang w:bidi="ar"/>
        </w:rPr>
        <w:t xml:space="preserve">  会计季度、年度终了时，应将上季度、年度会计资料移交财务处档案管理员进行装订、存档。会计资料包括会计凭证、会计账簿、财务报告、经济合同等。</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62" w:name="_Toc21266_WPSOffice_Level1"/>
      <w:r>
        <w:rPr>
          <w:rFonts w:hint="eastAsia" w:ascii="黑体" w:hAnsi="仿宋_GB2312" w:eastAsia="黑体" w:cs="仿宋_GB2312"/>
          <w:b/>
          <w:kern w:val="0"/>
          <w:sz w:val="32"/>
          <w:szCs w:val="32"/>
          <w:lang w:bidi="ar"/>
        </w:rPr>
        <w:t>第二章  会计核算一般要求</w:t>
      </w:r>
      <w:bookmarkEnd w:id="1062"/>
    </w:p>
    <w:p>
      <w:pPr>
        <w:pageBreakBefore w:val="0"/>
        <w:kinsoku/>
        <w:wordWrap/>
        <w:overflowPunct/>
        <w:topLinePunct w:val="0"/>
        <w:autoSpaceDE/>
        <w:autoSpaceDN/>
        <w:bidi w:val="0"/>
        <w:spacing w:line="560" w:lineRule="exact"/>
        <w:jc w:val="center"/>
        <w:outlineLvl w:val="9"/>
        <w:rPr>
          <w:rFonts w:hint="eastAsia"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第一节  会计凭证</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第十一条  </w:t>
      </w:r>
      <w:r>
        <w:rPr>
          <w:rFonts w:hint="eastAsia" w:ascii="仿宋_GB2312" w:hAnsi="仿宋_GB2312" w:eastAsia="仿宋_GB2312" w:cs="仿宋_GB2312"/>
          <w:kern w:val="0"/>
          <w:sz w:val="32"/>
          <w:szCs w:val="32"/>
          <w:lang w:bidi="ar"/>
        </w:rPr>
        <w:t>各部门发生第二条所述经济业务时，必须取得或者填制原始凭证，并及时送交学校财务处。</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各项经济业务的经办人对取得的原始凭证的完整性、真实性、合法性负责。原始凭证的基本要求是：（一）原始凭证的内容必须具备：凭证的名称；填制凭证的日期；填制凭证单位名称或者填制人姓名；经办人员的签名或者盖章；接受凭证单位名称；经济业务内容、数量、单价和金额。（二）从外单位取得的原始凭证，必须盖有填制单位的公章；从个人取得的原始凭证，必须有填制人员的签名或者盖章。自制原始凭证必须有指定人员签名。对外开出的原始凭证，必须加盖学校公章。（三）凡填有大写和小写金额的原始凭证，大写与小写金额必须相符；购买实物的原始凭证，必须有验收证明；支付款项的原始凭证，必须有收款单位和收款人的收款证明。（四）一式几联的原始凭证，应当注明各联的用途，只能以一联作为报销凭证。一式几联的发票和收据，必须用双面复写纸（发票和收据本身具备复写纸功能的除外）套写，并连续编号。作废时应当加盖“作废”戳记，连同存根一起保存，不得撕毁。（五）职工公务借款，应填写一式三联的借款申请单，分别为财务付款凭证、冲账凭证、报销回执。一式三联的借款申请单附在借款业务的记账凭证之后，职工办理还款冲账时，则在原借款业务的记账凭证中，取出冲账凭证和报销回执。报销冲账或收回借款时，在冲账凭证联、报销回执联填写实际报销金额、交回余额、支付垫款等内容，并将报销回执联给到借款人，不再开出还款收据；（六）经上级有关部门批准的经济业务，应当将批准文件作为原始凭证，如果批准文件需要单独归档的，应当在凭证上注明批准机关名称、日期和文件字号。</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第十三条  </w:t>
      </w:r>
      <w:r>
        <w:rPr>
          <w:rFonts w:hint="eastAsia" w:ascii="仿宋_GB2312" w:hAnsi="仿宋_GB2312" w:eastAsia="仿宋_GB2312" w:cs="仿宋_GB2312"/>
          <w:kern w:val="0"/>
          <w:sz w:val="32"/>
          <w:szCs w:val="32"/>
          <w:lang w:bidi="ar"/>
        </w:rPr>
        <w:t>原始凭证不得涂改、挖补。发现原始凭证有错误的，应当由开出单位重开或者更正，更正处应当加盖开出单位的公章。</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会计人员根据审核无误的原始凭证填制记账凭证。凭证稽核人员根据相关财务规定复核记账凭证</w:t>
      </w:r>
      <w:r>
        <w:rPr>
          <w:rFonts w:ascii="仿宋_GB2312" w:hAnsi="仿宋_GB2312" w:eastAsia="仿宋_GB2312" w:cs="仿宋_GB2312"/>
          <w:kern w:val="0"/>
          <w:sz w:val="32"/>
          <w:szCs w:val="32"/>
          <w:lang w:bidi="ar"/>
        </w:rPr>
        <w:t>及所附原始凭证。</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第十五条  </w:t>
      </w:r>
      <w:r>
        <w:rPr>
          <w:rFonts w:hint="eastAsia" w:ascii="仿宋_GB2312" w:hAnsi="仿宋_GB2312" w:eastAsia="仿宋_GB2312" w:cs="仿宋_GB2312"/>
          <w:kern w:val="0"/>
          <w:sz w:val="32"/>
          <w:szCs w:val="32"/>
          <w:lang w:bidi="ar"/>
        </w:rPr>
        <w:t>记账凭证的基本要求是：（一）记账凭证的内容必须具备：填制凭证的日期；凭证编号；经济业务摘要；会计科目；金额；所附原始凭证张数；凭证制单人员、复核人员、记账人员、会计主管人员签名或者盖章。（二）除结账凭证可以不附原始凭证外，其他记账凭证必须附有原始凭证。（三）记账凭证在复核时发现错误，如果未记账前，应立即修改。如果已经登记入账，在当年内发现填写错误时，更正凭证的业务应作调账说明，并经财务处处长审核后，按说明调账更正。</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 xml:space="preserve">十六条  </w:t>
      </w:r>
      <w:r>
        <w:rPr>
          <w:rFonts w:hint="eastAsia" w:ascii="仿宋_GB2312" w:hAnsi="仿宋_GB2312" w:eastAsia="仿宋_GB2312" w:cs="仿宋_GB2312"/>
          <w:kern w:val="0"/>
          <w:sz w:val="32"/>
          <w:szCs w:val="32"/>
          <w:lang w:bidi="ar"/>
        </w:rPr>
        <w:t>通过计算机填制的记账凭证，打印出的机制记账凭证要加盖制单人员、复核人员、记账人员及会计主管人员的印章或者签字。</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hint="eastAsia" w:ascii="仿宋_GB2312" w:hAnsi="仿宋_GB2312" w:eastAsia="仿宋_GB2312" w:cs="仿宋_GB2312"/>
          <w:kern w:val="0"/>
          <w:sz w:val="32"/>
          <w:szCs w:val="32"/>
          <w:lang w:bidi="ar"/>
        </w:rPr>
        <w:t xml:space="preserve">  会计凭证在处理过程中，如涉及会计凭证交接业务，移交人员应与接收人员办理交接手续。</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第十八条 </w:t>
      </w:r>
      <w:r>
        <w:rPr>
          <w:rFonts w:hint="eastAsia" w:ascii="仿宋_GB2312" w:hAnsi="仿宋_GB2312" w:eastAsia="仿宋_GB2312" w:cs="仿宋_GB2312"/>
          <w:kern w:val="0"/>
          <w:sz w:val="32"/>
          <w:szCs w:val="32"/>
          <w:lang w:bidi="ar"/>
        </w:rPr>
        <w:t xml:space="preserve"> 学校财务处、会计人员应妥善保管会计凭证，做到：（一）会计凭证应当及时传递，不得积压。（二）会计凭证登记完毕后，应当按照分类和编号顺序保管，不得散乱丢失。（三）记账凭证应当连同所附的原始凭证，按照编号顺序，折叠整齐，按期装订成册。（四）从外单位取得的发票及清单如有遗失，应由原开出单位将发票存根联的复印件并加盖公章的证明，经学校相关领导批准后，才能代作原始凭证。如果确实无法取得证明的，如火车、轮船、飞机票等凭证，由当事人购票记录等佐证材料，经学校相关领导批准后，可代作原始凭证。</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第二节  会计科目</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第十九条</w:t>
      </w:r>
      <w:r>
        <w:rPr>
          <w:rFonts w:hint="eastAsia" w:ascii="仿宋_GB2312" w:hAnsi="仿宋_GB2312" w:eastAsia="仿宋_GB2312" w:cs="仿宋_GB2312"/>
          <w:kern w:val="0"/>
          <w:sz w:val="32"/>
          <w:szCs w:val="32"/>
          <w:lang w:bidi="ar"/>
        </w:rPr>
        <w:t xml:space="preserve">  会计科目的设置和使用严格按《政府会计制度——行政事业单位会计科目和报表》的规定。会计科目的运用及账户的设置在执行过程中，不得任意更改或自行设置。</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第二十条</w:t>
      </w:r>
      <w:r>
        <w:rPr>
          <w:rFonts w:hint="eastAsia" w:ascii="仿宋_GB2312" w:hAnsi="仿宋_GB2312" w:eastAsia="仿宋_GB2312" w:cs="仿宋_GB2312"/>
          <w:kern w:val="0"/>
          <w:sz w:val="32"/>
          <w:szCs w:val="32"/>
          <w:lang w:bidi="ar"/>
        </w:rPr>
        <w:t xml:space="preserve">  会计科目应当执行统一规定的编号，不得擅自更改，以便于填制会计凭证、登记账簿、查阅账目，实行会计信息化管理。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第二十一条</w:t>
      </w:r>
      <w:r>
        <w:rPr>
          <w:rFonts w:hint="eastAsia" w:ascii="仿宋_GB2312" w:hAnsi="仿宋_GB2312" w:eastAsia="仿宋_GB2312" w:cs="仿宋_GB2312"/>
          <w:kern w:val="0"/>
          <w:sz w:val="32"/>
          <w:szCs w:val="32"/>
          <w:lang w:bidi="ar"/>
        </w:rPr>
        <w:t xml:space="preserve">  在填制会计凭证、登记会计账簿时，应当填列会计科目的名称，或者同时填列会计科目的名称和编号，不得只填列会计科目编号、不填列会计科目名称。使用计算机填制的凭证也应遵循这一规则。</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第二十二条</w:t>
      </w:r>
      <w:r>
        <w:rPr>
          <w:rFonts w:hint="eastAsia" w:ascii="仿宋_GB2312" w:hAnsi="仿宋_GB2312" w:eastAsia="仿宋_GB2312" w:cs="仿宋_GB2312"/>
          <w:kern w:val="0"/>
          <w:sz w:val="32"/>
          <w:szCs w:val="32"/>
          <w:lang w:bidi="ar"/>
        </w:rPr>
        <w:t xml:space="preserve">  会计科目的设置，除遵循相关制度规定外，还应当满足权责发生制政府部门财务报告和政府综合财务报告编制的其他需要。</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第二十三条  </w:t>
      </w:r>
      <w:r>
        <w:rPr>
          <w:rFonts w:hint="eastAsia" w:ascii="仿宋_GB2312" w:hAnsi="仿宋_GB2312" w:eastAsia="仿宋_GB2312" w:cs="仿宋_GB2312"/>
          <w:kern w:val="0"/>
          <w:sz w:val="32"/>
          <w:szCs w:val="32"/>
          <w:lang w:bidi="ar"/>
        </w:rPr>
        <w:t>会计科目的运用及账户的设置在执行过程中，不得任意更改或自行设置，确保会计信息的准确性。</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第三节  会计账簿</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第二十四条</w:t>
      </w:r>
      <w:r>
        <w:rPr>
          <w:rFonts w:hint="eastAsia" w:ascii="仿宋_GB2312" w:hAnsi="仿宋_GB2312" w:eastAsia="仿宋_GB2312" w:cs="仿宋_GB2312"/>
          <w:kern w:val="0"/>
          <w:sz w:val="32"/>
          <w:szCs w:val="32"/>
          <w:lang w:bidi="ar"/>
        </w:rPr>
        <w:t xml:space="preserve">  会计账簿应设置现金日记账、银行存款日记账、总分类账、明细分类账及备查账簿等。明细分类账的设置同会计科目的设置相同。</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第二十五条</w:t>
      </w:r>
      <w:r>
        <w:rPr>
          <w:rFonts w:hint="eastAsia" w:ascii="仿宋_GB2312" w:hAnsi="仿宋_GB2312" w:eastAsia="仿宋_GB2312" w:cs="仿宋_GB2312"/>
          <w:kern w:val="0"/>
          <w:sz w:val="32"/>
          <w:szCs w:val="32"/>
          <w:lang w:bidi="ar"/>
        </w:rPr>
        <w:t xml:space="preserve">  账页格式应具备七要素，即账户名称，记账日期</w:t>
      </w:r>
      <w:bookmarkStart w:id="1063" w:name="_Toc17123_WPSOffice_Level1"/>
      <w:r>
        <w:rPr>
          <w:rFonts w:hint="eastAsia" w:ascii="仿宋_GB2312" w:hAnsi="仿宋_GB2312" w:eastAsia="仿宋_GB2312" w:cs="仿宋_GB2312"/>
          <w:kern w:val="0"/>
          <w:sz w:val="32"/>
          <w:szCs w:val="32"/>
          <w:lang w:bidi="ar"/>
        </w:rPr>
        <w:t>，凭证字号，经济业务摘要，借方贷方金额及</w:t>
      </w:r>
      <w:bookmarkEnd w:id="1063"/>
      <w:r>
        <w:rPr>
          <w:rFonts w:hint="eastAsia" w:ascii="仿宋_GB2312" w:hAnsi="仿宋_GB2312" w:eastAsia="仿宋_GB2312" w:cs="仿宋_GB2312"/>
          <w:kern w:val="0"/>
          <w:sz w:val="32"/>
          <w:szCs w:val="32"/>
          <w:lang w:bidi="ar"/>
        </w:rPr>
        <w:t>余</w:t>
      </w:r>
      <w:bookmarkStart w:id="1064" w:name="_Toc11998_WPSOffice_Level1"/>
      <w:r>
        <w:rPr>
          <w:rFonts w:hint="eastAsia" w:ascii="仿宋_GB2312" w:hAnsi="仿宋_GB2312" w:eastAsia="仿宋_GB2312" w:cs="仿宋_GB2312"/>
          <w:kern w:val="0"/>
          <w:sz w:val="32"/>
          <w:szCs w:val="32"/>
          <w:lang w:bidi="ar"/>
        </w:rPr>
        <w:t>额，余额方向标记，账页的</w:t>
      </w:r>
      <w:bookmarkEnd w:id="1064"/>
      <w:r>
        <w:rPr>
          <w:rFonts w:hint="eastAsia" w:ascii="仿宋_GB2312" w:hAnsi="仿宋_GB2312" w:eastAsia="仿宋_GB2312" w:cs="仿宋_GB2312"/>
          <w:kern w:val="0"/>
          <w:sz w:val="32"/>
          <w:szCs w:val="32"/>
          <w:lang w:bidi="ar"/>
        </w:rPr>
        <w:t>编号</w:t>
      </w:r>
      <w:bookmarkStart w:id="1065" w:name="_Toc8586_WPSOffice_Level1"/>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w:t>
      </w:r>
      <w:bookmarkEnd w:id="1065"/>
      <w:r>
        <w:rPr>
          <w:rFonts w:hint="eastAsia" w:ascii="仿宋_GB2312" w:hAnsi="仿宋_GB2312" w:eastAsia="仿宋_GB2312" w:cs="仿宋_GB2312"/>
          <w:b/>
          <w:kern w:val="0"/>
          <w:sz w:val="32"/>
          <w:szCs w:val="32"/>
          <w:lang w:bidi="ar"/>
        </w:rPr>
        <w:t>十</w:t>
      </w:r>
      <w:bookmarkStart w:id="1066" w:name="_Toc31004_WPSOffice_Level1"/>
      <w:r>
        <w:rPr>
          <w:rFonts w:hint="eastAsia" w:ascii="仿宋_GB2312" w:hAnsi="仿宋_GB2312" w:eastAsia="仿宋_GB2312" w:cs="仿宋_GB2312"/>
          <w:b/>
          <w:kern w:val="0"/>
          <w:sz w:val="32"/>
          <w:szCs w:val="32"/>
          <w:lang w:bidi="ar"/>
        </w:rPr>
        <w:t xml:space="preserve">六条 </w:t>
      </w:r>
      <w:r>
        <w:rPr>
          <w:rFonts w:hint="eastAsia" w:ascii="仿宋_GB2312" w:hAnsi="仿宋_GB2312" w:eastAsia="仿宋_GB2312" w:cs="仿宋_GB2312"/>
          <w:kern w:val="0"/>
          <w:sz w:val="32"/>
          <w:szCs w:val="32"/>
          <w:lang w:bidi="ar"/>
        </w:rPr>
        <w:t xml:space="preserve"> 记账人员或者会计主管人</w:t>
      </w:r>
      <w:bookmarkEnd w:id="1066"/>
      <w:r>
        <w:rPr>
          <w:rFonts w:hint="eastAsia" w:ascii="仿宋_GB2312" w:hAnsi="仿宋_GB2312" w:eastAsia="仿宋_GB2312" w:cs="仿宋_GB2312"/>
          <w:kern w:val="0"/>
          <w:sz w:val="32"/>
          <w:szCs w:val="32"/>
          <w:lang w:bidi="ar"/>
        </w:rPr>
        <w:t>员、单位负责人调动工作时，应当在会计账簿启用表上注明交接日期、接办人员或者监交人员姓名，并由交接双方人员签名或者盖章。启用订本式账簿，应当从第一页到最后一页顺序编定页数，不得跳页、缺号。</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第二十七条  </w:t>
      </w:r>
      <w:r>
        <w:rPr>
          <w:rFonts w:hint="eastAsia" w:ascii="仿宋_GB2312" w:hAnsi="仿宋_GB2312" w:eastAsia="仿宋_GB2312" w:cs="仿宋_GB2312"/>
          <w:kern w:val="0"/>
          <w:sz w:val="32"/>
          <w:szCs w:val="32"/>
          <w:lang w:bidi="ar"/>
        </w:rPr>
        <w:t>学校使用电子计算机进行会计核算的，年终完成决算工作后，将全年审核无误的总分类账和明细分类账打印纸质并装订成册。打印出来的会计账簿必须连续编号，经审核无疏漏后装订成册，并由记账人员和会计主管人员、</w:t>
      </w:r>
      <w:bookmarkStart w:id="1067" w:name="_Toc10580_WPSOffice_Level1"/>
      <w:r>
        <w:rPr>
          <w:rFonts w:hint="eastAsia" w:ascii="仿宋_GB2312" w:hAnsi="仿宋_GB2312" w:eastAsia="仿宋_GB2312" w:cs="仿宋_GB2312"/>
          <w:kern w:val="0"/>
          <w:sz w:val="32"/>
          <w:szCs w:val="32"/>
          <w:lang w:bidi="ar"/>
        </w:rPr>
        <w:t>单位负责</w:t>
      </w:r>
      <w:bookmarkEnd w:id="1067"/>
      <w:r>
        <w:rPr>
          <w:rFonts w:hint="eastAsia" w:ascii="仿宋_GB2312" w:hAnsi="仿宋_GB2312" w:eastAsia="仿宋_GB2312" w:cs="仿宋_GB2312"/>
          <w:kern w:val="0"/>
          <w:sz w:val="32"/>
          <w:szCs w:val="32"/>
          <w:lang w:bidi="ar"/>
        </w:rPr>
        <w:t>人</w:t>
      </w:r>
      <w:bookmarkStart w:id="1068" w:name="_Toc25297_WPSOffice_Level1"/>
      <w:r>
        <w:rPr>
          <w:rFonts w:hint="eastAsia" w:ascii="仿宋_GB2312" w:hAnsi="仿宋_GB2312" w:eastAsia="仿宋_GB2312" w:cs="仿宋_GB2312"/>
          <w:kern w:val="0"/>
          <w:sz w:val="32"/>
          <w:szCs w:val="32"/>
          <w:lang w:bidi="ar"/>
        </w:rPr>
        <w:t>签字或者盖章。账页格</w:t>
      </w:r>
      <w:bookmarkEnd w:id="1068"/>
      <w:r>
        <w:rPr>
          <w:rFonts w:hint="eastAsia" w:ascii="仿宋_GB2312" w:hAnsi="仿宋_GB2312" w:eastAsia="仿宋_GB2312" w:cs="仿宋_GB2312"/>
          <w:kern w:val="0"/>
          <w:sz w:val="32"/>
          <w:szCs w:val="32"/>
          <w:lang w:bidi="ar"/>
        </w:rPr>
        <w:t>式以</w:t>
      </w:r>
      <w:bookmarkStart w:id="1069" w:name="_Toc19232_WPSOffice_Level1"/>
      <w:r>
        <w:rPr>
          <w:rFonts w:hint="eastAsia" w:ascii="仿宋_GB2312" w:hAnsi="仿宋_GB2312" w:eastAsia="仿宋_GB2312" w:cs="仿宋_GB2312"/>
          <w:kern w:val="0"/>
          <w:sz w:val="32"/>
          <w:szCs w:val="32"/>
          <w:lang w:bidi="ar"/>
        </w:rPr>
        <w:t>及账簿启</w:t>
      </w:r>
      <w:bookmarkEnd w:id="1069"/>
      <w:r>
        <w:rPr>
          <w:rFonts w:hint="eastAsia" w:ascii="仿宋_GB2312" w:hAnsi="仿宋_GB2312" w:eastAsia="仿宋_GB2312" w:cs="仿宋_GB2312"/>
          <w:kern w:val="0"/>
          <w:sz w:val="32"/>
          <w:szCs w:val="32"/>
          <w:lang w:bidi="ar"/>
        </w:rPr>
        <w:t>用要求同本办法第二十五、二十六条。</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第二十八条</w:t>
      </w:r>
      <w:r>
        <w:rPr>
          <w:rFonts w:hint="eastAsia" w:ascii="仿宋_GB2312" w:hAnsi="仿宋_GB2312" w:eastAsia="仿宋_GB2312" w:cs="仿宋_GB2312"/>
          <w:kern w:val="0"/>
          <w:sz w:val="32"/>
          <w:szCs w:val="32"/>
          <w:lang w:bidi="ar"/>
        </w:rPr>
        <w:t xml:space="preserve">  现金日记账、银行日记账应按月打印，按年装订。出纳人员按月打印出的纸质现金日记账、银行日记账账页应妥善保存，年度终了时将全年现金日记账、银行存款日记账连续编号、经审核无疏漏后装订</w:t>
      </w:r>
      <w:bookmarkStart w:id="1070" w:name="_Toc14927_WPSOffice_Level1"/>
      <w:r>
        <w:rPr>
          <w:rFonts w:hint="eastAsia" w:ascii="仿宋_GB2312" w:hAnsi="仿宋_GB2312" w:eastAsia="仿宋_GB2312" w:cs="仿宋_GB2312"/>
          <w:kern w:val="0"/>
          <w:sz w:val="32"/>
          <w:szCs w:val="32"/>
          <w:lang w:bidi="ar"/>
        </w:rPr>
        <w:t>成册，账簿启</w:t>
      </w:r>
      <w:bookmarkEnd w:id="1070"/>
      <w:r>
        <w:rPr>
          <w:rFonts w:hint="eastAsia" w:ascii="仿宋_GB2312" w:hAnsi="仿宋_GB2312" w:eastAsia="仿宋_GB2312" w:cs="仿宋_GB2312"/>
          <w:kern w:val="0"/>
          <w:sz w:val="32"/>
          <w:szCs w:val="32"/>
          <w:lang w:bidi="ar"/>
        </w:rPr>
        <w:t>用要求同本办法第二十五、二十六条。</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第二十九条 </w:t>
      </w:r>
      <w:r>
        <w:rPr>
          <w:rFonts w:hint="eastAsia" w:ascii="仿宋_GB2312" w:hAnsi="仿宋_GB2312" w:eastAsia="仿宋_GB2312" w:cs="仿宋_GB2312"/>
          <w:kern w:val="0"/>
          <w:sz w:val="32"/>
          <w:szCs w:val="32"/>
          <w:lang w:bidi="ar"/>
        </w:rPr>
        <w:t xml:space="preserve"> 现金日记账和银行存款日记账必须采用订本式账簿。不得用银行对</w:t>
      </w:r>
      <w:bookmarkStart w:id="1071" w:name="_Toc286_WPSOffice_Level1"/>
      <w:r>
        <w:rPr>
          <w:rFonts w:hint="eastAsia" w:ascii="仿宋_GB2312" w:hAnsi="仿宋_GB2312" w:eastAsia="仿宋_GB2312" w:cs="仿宋_GB2312"/>
          <w:kern w:val="0"/>
          <w:sz w:val="32"/>
          <w:szCs w:val="32"/>
          <w:lang w:bidi="ar"/>
        </w:rPr>
        <w:t>账单或者</w:t>
      </w:r>
      <w:bookmarkEnd w:id="1071"/>
      <w:r>
        <w:rPr>
          <w:rFonts w:hint="eastAsia" w:ascii="仿宋_GB2312" w:hAnsi="仿宋_GB2312" w:eastAsia="仿宋_GB2312" w:cs="仿宋_GB2312"/>
          <w:kern w:val="0"/>
          <w:sz w:val="32"/>
          <w:szCs w:val="32"/>
          <w:lang w:bidi="ar"/>
        </w:rPr>
        <w:t>其他方法代替日记账。</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第三十条</w:t>
      </w:r>
      <w:r>
        <w:rPr>
          <w:rFonts w:hint="eastAsia" w:ascii="仿宋_GB2312" w:hAnsi="仿宋_GB2312" w:eastAsia="仿宋_GB2312" w:cs="仿宋_GB2312"/>
          <w:kern w:val="0"/>
          <w:sz w:val="32"/>
          <w:szCs w:val="32"/>
          <w:lang w:bidi="ar"/>
        </w:rPr>
        <w:t xml:space="preserve">  定期进行对账，确保账证相符、账账相符、账实相符。每月现金日记账的账面余额与现金实际库存数额相核对；</w:t>
      </w:r>
      <w:bookmarkStart w:id="1072" w:name="_Toc2441_WPSOffice_Level1"/>
      <w:r>
        <w:rPr>
          <w:rFonts w:hint="eastAsia" w:ascii="仿宋_GB2312" w:hAnsi="仿宋_GB2312" w:eastAsia="仿宋_GB2312" w:cs="仿宋_GB2312"/>
          <w:kern w:val="0"/>
          <w:sz w:val="32"/>
          <w:szCs w:val="32"/>
          <w:lang w:bidi="ar"/>
        </w:rPr>
        <w:t>银行存款</w:t>
      </w:r>
      <w:bookmarkEnd w:id="1072"/>
      <w:r>
        <w:rPr>
          <w:rFonts w:hint="eastAsia" w:ascii="仿宋_GB2312" w:hAnsi="仿宋_GB2312" w:eastAsia="仿宋_GB2312" w:cs="仿宋_GB2312"/>
          <w:kern w:val="0"/>
          <w:sz w:val="32"/>
          <w:szCs w:val="32"/>
          <w:lang w:bidi="ar"/>
        </w:rPr>
        <w:t>日记账的账面余额与开户银行</w:t>
      </w:r>
      <w:bookmarkStart w:id="1073" w:name="_Toc19445_WPSOffice_Level1"/>
      <w:r>
        <w:rPr>
          <w:rFonts w:hint="eastAsia" w:ascii="仿宋_GB2312" w:hAnsi="仿宋_GB2312" w:eastAsia="仿宋_GB2312" w:cs="仿宋_GB2312"/>
          <w:kern w:val="0"/>
          <w:sz w:val="32"/>
          <w:szCs w:val="32"/>
          <w:lang w:bidi="ar"/>
        </w:rPr>
        <w:t>对账单相核对；</w:t>
      </w:r>
      <w:bookmarkEnd w:id="1073"/>
      <w:r>
        <w:rPr>
          <w:rFonts w:hint="eastAsia" w:ascii="仿宋_GB2312" w:hAnsi="仿宋_GB2312" w:eastAsia="仿宋_GB2312" w:cs="仿宋_GB2312"/>
          <w:kern w:val="0"/>
          <w:sz w:val="32"/>
          <w:szCs w:val="32"/>
          <w:lang w:bidi="ar"/>
        </w:rPr>
        <w:t>每月各种往来账款明细账的账面余额与有关债权债务单位的账目相核对；每年末财产物资明细分类账的账面余额与财产物资实有数额相核对。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第三十一条 </w:t>
      </w:r>
      <w:r>
        <w:rPr>
          <w:rFonts w:hint="eastAsia" w:ascii="仿宋_GB2312" w:hAnsi="仿宋_GB2312" w:eastAsia="仿宋_GB2312" w:cs="仿宋_GB2312"/>
          <w:kern w:val="0"/>
          <w:sz w:val="32"/>
          <w:szCs w:val="32"/>
          <w:lang w:bidi="ar"/>
        </w:rPr>
        <w:t xml:space="preserve"> 结账实行月结、年结。结账前，必须将本期内所发生的各项经济业务全部登记入账。</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第四节  财务报告</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第三十二条  </w:t>
      </w:r>
      <w:r>
        <w:rPr>
          <w:rFonts w:hint="eastAsia" w:ascii="仿宋_GB2312" w:hAnsi="仿宋_GB2312" w:eastAsia="仿宋_GB2312" w:cs="仿宋_GB2312"/>
          <w:kern w:val="0"/>
          <w:sz w:val="32"/>
          <w:szCs w:val="32"/>
          <w:lang w:bidi="ar"/>
        </w:rPr>
        <w:t>学校应按主管单位的要求，按月度、季度、年度、按统一的报表格式编制财务报告。财务报告包括会计报表及其附注，会计报表包括资产负债表、收入支出表、财政拨款收入收支表。向不同的会计资料使用者提供的财务报告，编制依据应当一致。</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第三十三条</w:t>
      </w:r>
      <w:r>
        <w:rPr>
          <w:rFonts w:hint="eastAsia" w:ascii="仿宋_GB2312" w:hAnsi="仿宋_GB2312" w:eastAsia="仿宋_GB2312" w:cs="仿宋_GB2312"/>
          <w:kern w:val="0"/>
          <w:sz w:val="32"/>
          <w:szCs w:val="32"/>
          <w:lang w:bidi="ar"/>
        </w:rPr>
        <w:t xml:space="preserve">  会计报表应当根据登记完整、核对无误的会计账簿记录和其他有关资料编制，做到数字真实、计算准确、内容完整、说明清楚。任何人不得篡改或者授意、指使、强令他人篡改会计报表的有关数字。</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第三十四条  </w:t>
      </w:r>
      <w:r>
        <w:rPr>
          <w:rFonts w:hint="eastAsia" w:ascii="仿宋_GB2312" w:hAnsi="仿宋_GB2312" w:eastAsia="仿宋_GB2312" w:cs="仿宋_GB2312"/>
          <w:kern w:val="0"/>
          <w:sz w:val="32"/>
          <w:szCs w:val="32"/>
          <w:lang w:bidi="ar"/>
        </w:rPr>
        <w:t>会计报表之间、会计报表各项目之间，凡有对应关系的数字，应当相互一致。本期会计报表与上期会计报表之间有关的数字应当相互衔接。如果不同会计年度会计报表中各项目的内容和核算方法有变更的，应当在年度会计报表附注中加以说明。</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第三十五条</w:t>
      </w:r>
      <w:r>
        <w:rPr>
          <w:rFonts w:hint="eastAsia" w:ascii="仿宋_GB2312" w:hAnsi="仿宋_GB2312" w:eastAsia="仿宋_GB2312" w:cs="仿宋_GB2312"/>
          <w:kern w:val="0"/>
          <w:sz w:val="32"/>
          <w:szCs w:val="32"/>
          <w:lang w:bidi="ar"/>
        </w:rPr>
        <w:t xml:space="preserve">  会计报表附注应对学校的财务状况以及重大经济事项进行分析与说明，做到项目齐全，内容完整。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第三十六条  </w:t>
      </w:r>
      <w:r>
        <w:rPr>
          <w:rFonts w:ascii="仿宋_GB2312" w:hAnsi="仿宋_GB2312" w:eastAsia="仿宋_GB2312" w:cs="仿宋_GB2312"/>
          <w:kern w:val="0"/>
          <w:sz w:val="32"/>
          <w:szCs w:val="32"/>
          <w:lang w:bidi="ar"/>
        </w:rPr>
        <w:t>对外报送财务报告的期限应严格</w:t>
      </w:r>
      <w:r>
        <w:rPr>
          <w:rFonts w:hint="eastAsia" w:ascii="仿宋_GB2312" w:hAnsi="仿宋_GB2312" w:eastAsia="仿宋_GB2312" w:cs="仿宋_GB2312"/>
          <w:kern w:val="0"/>
          <w:sz w:val="32"/>
          <w:szCs w:val="32"/>
          <w:lang w:bidi="ar"/>
        </w:rPr>
        <w:t>按照相关规定的期限对外报。</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第三十七条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学校应定期或根据相关文件的规定不定期的</w:t>
      </w:r>
      <w:r>
        <w:rPr>
          <w:rFonts w:hint="eastAsia" w:ascii="仿宋_GB2312" w:hAnsi="仿宋_GB2312" w:eastAsia="仿宋_GB2312" w:cs="仿宋_GB2312"/>
          <w:kern w:val="0"/>
          <w:sz w:val="32"/>
          <w:szCs w:val="32"/>
          <w:lang w:bidi="ar"/>
        </w:rPr>
        <w:t>对财务报告进行审计，审计方式包括学校内审机构审计以及委托注册会计师进行审计。</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第三十八条</w:t>
      </w:r>
      <w:r>
        <w:rPr>
          <w:rFonts w:hint="eastAsia" w:ascii="仿宋_GB2312" w:hAnsi="仿宋_GB2312" w:eastAsia="仿宋_GB2312" w:cs="仿宋_GB2312"/>
          <w:kern w:val="0"/>
          <w:sz w:val="32"/>
          <w:szCs w:val="32"/>
          <w:lang w:bidi="ar"/>
        </w:rPr>
        <w:t xml:space="preserve">  如果发现对外报送的财务报告有错误，应当及时办理更正手续。除了更正校内留存的财务报告外，并应同时通知接受财务报告的单位更正。错误较多的，应当重新编报。</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74" w:name="_Toc16192_WPSOffice_Level1"/>
      <w:r>
        <w:rPr>
          <w:rFonts w:hint="eastAsia" w:ascii="黑体" w:hAnsi="仿宋_GB2312" w:eastAsia="黑体" w:cs="仿宋_GB2312"/>
          <w:b/>
          <w:kern w:val="0"/>
          <w:sz w:val="32"/>
          <w:szCs w:val="32"/>
          <w:lang w:bidi="ar"/>
        </w:rPr>
        <w:t>第三章  会计监督</w:t>
      </w:r>
      <w:bookmarkEnd w:id="1074"/>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第三十九条 </w:t>
      </w:r>
      <w:r>
        <w:rPr>
          <w:rFonts w:hint="eastAsia" w:ascii="仿宋_GB2312" w:hAnsi="仿宋_GB2312" w:eastAsia="仿宋_GB2312" w:cs="仿宋_GB2312"/>
          <w:kern w:val="0"/>
          <w:sz w:val="32"/>
          <w:szCs w:val="32"/>
          <w:lang w:bidi="ar"/>
        </w:rPr>
        <w:t xml:space="preserve"> 单位负责人对本单位的会计工作和会计资料的真实性、完整性负责。</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第四十条  </w:t>
      </w:r>
      <w:r>
        <w:rPr>
          <w:rFonts w:hint="eastAsia" w:ascii="仿宋_GB2312" w:hAnsi="仿宋_GB2312" w:eastAsia="仿宋_GB2312" w:cs="仿宋_GB2312"/>
          <w:kern w:val="0"/>
          <w:sz w:val="32"/>
          <w:szCs w:val="32"/>
          <w:lang w:bidi="ar"/>
        </w:rPr>
        <w:t>学校财务处、会</w:t>
      </w:r>
      <w:bookmarkStart w:id="1075" w:name="_Toc23325_WPSOffice_Level1"/>
      <w:r>
        <w:rPr>
          <w:rFonts w:hint="eastAsia" w:ascii="仿宋_GB2312" w:hAnsi="仿宋_GB2312" w:eastAsia="仿宋_GB2312" w:cs="仿宋_GB2312"/>
          <w:kern w:val="0"/>
          <w:sz w:val="32"/>
          <w:szCs w:val="32"/>
          <w:lang w:bidi="ar"/>
        </w:rPr>
        <w:t>计人员对学校的经济活动进行会计监督。</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第四十一条</w:t>
      </w:r>
      <w:r>
        <w:rPr>
          <w:rFonts w:hint="eastAsia" w:ascii="仿宋_GB2312" w:hAnsi="仿宋_GB2312" w:eastAsia="仿宋_GB2312" w:cs="仿宋_GB2312"/>
          <w:kern w:val="0"/>
          <w:sz w:val="32"/>
          <w:szCs w:val="32"/>
          <w:lang w:bidi="ar"/>
        </w:rPr>
        <w:t xml:space="preserve">  学校</w:t>
      </w:r>
      <w:bookmarkEnd w:id="1075"/>
      <w:r>
        <w:rPr>
          <w:rFonts w:hint="eastAsia" w:ascii="仿宋_GB2312" w:hAnsi="仿宋_GB2312" w:eastAsia="仿宋_GB2312" w:cs="仿宋_GB2312"/>
          <w:kern w:val="0"/>
          <w:sz w:val="32"/>
          <w:szCs w:val="32"/>
          <w:lang w:bidi="ar"/>
        </w:rPr>
        <w:t>财务处、会计人员进行会计监督的依据是：（一）财经法律、法规、规章；（二）会计法律、法规和国家统一会计制度；（三）主管单位根据《中华人民共和国会计法》和国家统一会计制度制定的具体实施办法或者补充规定；（四）根据《中华人民共和国会计法》和国家统一会计制度制定的学校内部会计管理制度；（五）内部的预算、财务计划、经济计划、业务计划。</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第四十二条  </w:t>
      </w:r>
      <w:r>
        <w:rPr>
          <w:rFonts w:hint="eastAsia" w:ascii="仿宋_GB2312" w:hAnsi="仿宋_GB2312" w:eastAsia="仿宋_GB2312" w:cs="仿宋_GB2312"/>
          <w:kern w:val="0"/>
          <w:sz w:val="32"/>
          <w:szCs w:val="32"/>
          <w:lang w:bidi="ar"/>
        </w:rPr>
        <w:t>学校财务处、会计人员对原始凭证进行审核和监督。对不真实、不合法的原始凭证，有权不予受理。对记载不明确、不完整的原始凭证，有权予以退回。</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第四十三条</w:t>
      </w:r>
      <w:r>
        <w:rPr>
          <w:rFonts w:hint="eastAsia" w:ascii="仿宋_GB2312" w:hAnsi="仿宋_GB2312" w:eastAsia="仿宋_GB2312" w:cs="仿宋_GB2312"/>
          <w:kern w:val="0"/>
          <w:sz w:val="32"/>
          <w:szCs w:val="32"/>
          <w:lang w:bidi="ar"/>
        </w:rPr>
        <w:t xml:space="preserve">  学校财务处、会计人员对伪造、变造、故意毁灭会计账簿或者账外设账的行为，应当向单位负责人汇报。</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第四十四条  </w:t>
      </w:r>
      <w:r>
        <w:rPr>
          <w:rFonts w:hint="eastAsia" w:ascii="仿宋_GB2312" w:hAnsi="仿宋_GB2312" w:eastAsia="仿宋_GB2312" w:cs="仿宋_GB2312"/>
          <w:kern w:val="0"/>
          <w:sz w:val="32"/>
          <w:szCs w:val="32"/>
          <w:lang w:bidi="ar"/>
        </w:rPr>
        <w:t>学校财务处、会计人员应当对实物进行监督，督促资产管理部门建立并严格执行财产清查制度。</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第四十五条</w:t>
      </w:r>
      <w:r>
        <w:rPr>
          <w:rFonts w:hint="eastAsia" w:ascii="仿宋_GB2312" w:hAnsi="仿宋_GB2312" w:eastAsia="仿宋_GB2312" w:cs="仿宋_GB2312"/>
          <w:kern w:val="0"/>
          <w:sz w:val="32"/>
          <w:szCs w:val="32"/>
          <w:lang w:bidi="ar"/>
        </w:rPr>
        <w:t xml:space="preserve">  学校财务处、会计人员对指使、强今编造、篡改财务报告行为，有权拒绝，并可向上级主管单位报告。</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第四十六条 </w:t>
      </w:r>
      <w:r>
        <w:rPr>
          <w:rFonts w:hint="eastAsia" w:ascii="仿宋_GB2312" w:hAnsi="仿宋_GB2312" w:eastAsia="仿宋_GB2312" w:cs="仿宋_GB2312"/>
          <w:kern w:val="0"/>
          <w:sz w:val="32"/>
          <w:szCs w:val="32"/>
          <w:lang w:bidi="ar"/>
        </w:rPr>
        <w:t xml:space="preserve"> 学校财务处、会计人员应当对财务收支进行监督。（一）对审批手续不全的财务收支，有权退回，要求补充、更正。（二）对违反规定不纳入单位统一会计核算的财务收支，应当制止和纠正。（三）对违反国家统一的财政、财务、会计制度规定的财务收支，不予办理。（四）对认为是违反国家统一的财政、财务、会计制度规定的财务收支</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应当制止和纠正；制止和纠正无效的，应当向相关领导人提出书面意见，相关领导应当在接到书面意见起十日内作出书面决定，并对决定承担责任。（五）对违反国家统一的财政、财务、会计制度规定的财务收支，不予制止和纠正，又不向相关领导提出书面意见的；也应当承担责任。（六）对严重违反国家利益和社会公众利益的财务收支，应当向主管单位或者相关部门报告。</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第四十七条 </w:t>
      </w:r>
      <w:r>
        <w:rPr>
          <w:rFonts w:hint="eastAsia" w:ascii="仿宋_GB2312" w:hAnsi="仿宋_GB2312" w:eastAsia="仿宋_GB2312" w:cs="仿宋_GB2312"/>
          <w:kern w:val="0"/>
          <w:sz w:val="32"/>
          <w:szCs w:val="32"/>
          <w:lang w:bidi="ar"/>
        </w:rPr>
        <w:t xml:space="preserve"> 学校财务处、会计人员对违反单位内部会计管理制度的经济活动，应当制止和纠正；制止和纠正无效的，向相关领导报告。</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第四十八条</w:t>
      </w:r>
      <w:r>
        <w:rPr>
          <w:rFonts w:hint="eastAsia" w:ascii="仿宋_GB2312" w:hAnsi="仿宋_GB2312" w:eastAsia="仿宋_GB2312" w:cs="仿宋_GB2312"/>
          <w:kern w:val="0"/>
          <w:sz w:val="32"/>
          <w:szCs w:val="32"/>
          <w:lang w:bidi="ar"/>
        </w:rPr>
        <w:t xml:space="preserve">  学校财务处、会计人员应当对单位制定的预算、财务计划、经济计划、业务计划的执行情况进行监督。</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第四十九条</w:t>
      </w:r>
      <w:r>
        <w:rPr>
          <w:rFonts w:hint="eastAsia" w:ascii="仿宋_GB2312" w:hAnsi="仿宋_GB2312" w:eastAsia="仿宋_GB2312" w:cs="仿宋_GB2312"/>
          <w:kern w:val="0"/>
          <w:sz w:val="32"/>
          <w:szCs w:val="32"/>
          <w:lang w:bidi="ar"/>
        </w:rPr>
        <w:t xml:space="preserve">  学校依照法律和国家有关规定接受财政、审计、税务等机关的监督，应如实提供会计凭证、会计账簿、会计报表和其他会计资料以及有关情况，不得拒绝、隐匿、谎报。</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76" w:name="_Toc14018_WPSOffice_Level1"/>
      <w:r>
        <w:rPr>
          <w:rFonts w:hint="eastAsia" w:ascii="黑体" w:hAnsi="仿宋_GB2312" w:eastAsia="黑体" w:cs="仿宋_GB2312"/>
          <w:b/>
          <w:kern w:val="0"/>
          <w:sz w:val="32"/>
          <w:szCs w:val="32"/>
          <w:lang w:bidi="ar"/>
        </w:rPr>
        <w:t>第四章  附则</w:t>
      </w:r>
      <w:bookmarkEnd w:id="1076"/>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第五十条  </w:t>
      </w:r>
      <w:r>
        <w:rPr>
          <w:rFonts w:hint="eastAsia" w:ascii="仿宋_GB2312" w:hAnsi="仿宋_GB2312" w:eastAsia="仿宋_GB2312" w:cs="仿宋_GB2312"/>
          <w:kern w:val="0"/>
          <w:sz w:val="32"/>
          <w:szCs w:val="32"/>
          <w:lang w:bidi="ar"/>
        </w:rPr>
        <w:t>本办法解释权属学校财务处。</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第五十一条  </w:t>
      </w:r>
      <w:r>
        <w:rPr>
          <w:rFonts w:hint="eastAsia" w:ascii="仿宋_GB2312" w:hAnsi="仿宋_GB2312" w:eastAsia="仿宋_GB2312" w:cs="仿宋_GB2312"/>
          <w:kern w:val="0"/>
          <w:sz w:val="32"/>
          <w:szCs w:val="32"/>
          <w:lang w:bidi="ar"/>
        </w:rPr>
        <w:t>本办法自公布之日起实施。</w:t>
      </w:r>
    </w:p>
    <w:p>
      <w:pPr>
        <w:pageBreakBefore w:val="0"/>
        <w:kinsoku/>
        <w:wordWrap/>
        <w:overflowPunct/>
        <w:topLinePunct w:val="0"/>
        <w:autoSpaceDE/>
        <w:autoSpaceDN/>
        <w:bidi w:val="0"/>
        <w:outlineLvl w:val="9"/>
      </w:pPr>
      <w:r>
        <w:rPr>
          <w:b/>
          <w:color w:val="000000"/>
          <w:sz w:val="36"/>
          <w:szCs w:val="36"/>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hint="eastAsia" w:asciiTheme="minorEastAsia" w:hAnsiTheme="minorEastAsia" w:eastAsiaTheme="minorEastAsia"/>
          <w:b/>
          <w:bCs/>
          <w:color w:val="000000"/>
          <w:kern w:val="2"/>
          <w:sz w:val="36"/>
          <w:szCs w:val="36"/>
          <w:lang w:val="en-US" w:eastAsia="zh-CN"/>
        </w:rPr>
      </w:pPr>
      <w:bookmarkStart w:id="1077" w:name="_Toc4246"/>
      <w:bookmarkStart w:id="1078" w:name="_Toc2760_WPSOffice_Level1"/>
      <w:bookmarkStart w:id="1079" w:name="_Toc27802"/>
      <w:bookmarkStart w:id="1080" w:name="_Toc534379485"/>
      <w:r>
        <w:rPr>
          <w:rFonts w:hint="eastAsia" w:asciiTheme="minorEastAsia" w:hAnsiTheme="minorEastAsia" w:eastAsiaTheme="minorEastAsia"/>
          <w:b/>
          <w:bCs/>
          <w:color w:val="000000"/>
          <w:kern w:val="2"/>
          <w:sz w:val="36"/>
          <w:szCs w:val="36"/>
          <w:lang w:val="en-US" w:eastAsia="zh-CN"/>
        </w:rPr>
        <w:t>柳州职业技术学院银行账户管理办法</w:t>
      </w:r>
      <w:bookmarkEnd w:id="1077"/>
      <w:bookmarkEnd w:id="1078"/>
      <w:bookmarkEnd w:id="1079"/>
      <w:bookmarkEnd w:id="1080"/>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（柳职院字〔2018〕28号）</w:t>
      </w:r>
    </w:p>
    <w:p>
      <w:pPr>
        <w:pageBreakBefore w:val="0"/>
        <w:kinsoku/>
        <w:wordWrap/>
        <w:overflowPunct/>
        <w:topLinePunct w:val="0"/>
        <w:autoSpaceDE/>
        <w:autoSpaceDN/>
        <w:bidi w:val="0"/>
        <w:spacing w:line="590" w:lineRule="exact"/>
        <w:jc w:val="center"/>
        <w:outlineLvl w:val="9"/>
        <w:rPr>
          <w:b/>
          <w:color w:val="000000"/>
          <w:sz w:val="36"/>
          <w:szCs w:val="36"/>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81" w:name="_Toc21251_WPSOffice_Level1"/>
      <w:r>
        <w:rPr>
          <w:rFonts w:ascii="黑体" w:hAnsi="仿宋_GB2312" w:eastAsia="黑体" w:cs="仿宋_GB2312"/>
          <w:b/>
          <w:kern w:val="0"/>
          <w:sz w:val="32"/>
          <w:szCs w:val="32"/>
          <w:lang w:bidi="ar"/>
        </w:rPr>
        <w:t>第一章</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 xml:space="preserve"> 总则</w:t>
      </w:r>
      <w:bookmarkEnd w:id="1081"/>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第一条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为规范和加强银行账户管理，集中学校财力，维护学校经济秩序，防止在银行账户使用上发生违纪行为，确保学校资金安全，根据中国人民银行总行《人民币银行结算账户管理办法》（中国人民银行令</w:t>
      </w:r>
      <w:r>
        <w:rPr>
          <w:rFonts w:hint="eastAsia" w:ascii="仿宋_GB2312" w:eastAsia="仿宋_GB2312"/>
          <w:sz w:val="32"/>
          <w:szCs w:val="32"/>
        </w:rPr>
        <w:t>〔2003〕</w:t>
      </w:r>
      <w:r>
        <w:rPr>
          <w:rFonts w:ascii="仿宋_GB2312" w:hAnsi="仿宋_GB2312" w:eastAsia="仿宋_GB2312" w:cs="仿宋_GB2312"/>
          <w:kern w:val="0"/>
          <w:sz w:val="32"/>
          <w:szCs w:val="32"/>
          <w:lang w:bidi="ar"/>
        </w:rPr>
        <w:t>第5号）、《教育部直属高校和事业单位银行账户管理暂行办法》（教财</w:t>
      </w:r>
      <w:r>
        <w:rPr>
          <w:rFonts w:hint="eastAsia" w:ascii="仿宋_GB2312" w:eastAsia="仿宋_GB2312"/>
          <w:sz w:val="32"/>
          <w:szCs w:val="32"/>
        </w:rPr>
        <w:t>〔2004〕</w:t>
      </w:r>
      <w:r>
        <w:rPr>
          <w:rFonts w:ascii="仿宋_GB2312" w:hAnsi="仿宋_GB2312" w:eastAsia="仿宋_GB2312" w:cs="仿宋_GB2312"/>
          <w:kern w:val="0"/>
          <w:sz w:val="32"/>
          <w:szCs w:val="32"/>
          <w:lang w:bidi="ar"/>
        </w:rPr>
        <w:t>19号）、《柳州市本级预算单位银行账户管理暂行办法》修订版（柳财库</w:t>
      </w:r>
      <w:r>
        <w:rPr>
          <w:rFonts w:hint="eastAsia" w:ascii="仿宋_GB2312" w:eastAsia="仿宋_GB2312"/>
          <w:sz w:val="32"/>
          <w:szCs w:val="32"/>
        </w:rPr>
        <w:t>〔2016〕</w:t>
      </w:r>
      <w:r>
        <w:rPr>
          <w:rFonts w:ascii="仿宋_GB2312" w:hAnsi="仿宋_GB2312" w:eastAsia="仿宋_GB2312" w:cs="仿宋_GB2312"/>
          <w:kern w:val="0"/>
          <w:sz w:val="32"/>
          <w:szCs w:val="32"/>
          <w:lang w:bidi="ar"/>
        </w:rPr>
        <w:t>10号）</w:t>
      </w:r>
      <w:r>
        <w:rPr>
          <w:rFonts w:hint="eastAsia" w:ascii="仿宋_GB2312" w:hAnsi="仿宋_GB2312" w:eastAsia="仿宋_GB2312" w:cs="仿宋_GB2312"/>
          <w:kern w:val="0"/>
          <w:sz w:val="32"/>
          <w:szCs w:val="32"/>
          <w:lang w:bidi="ar"/>
        </w:rPr>
        <w:t>、《柳州市财政局关于印发本级预算单位资金存放管理暂行办法的通知》（柳财规</w:t>
      </w:r>
      <w:r>
        <w:rPr>
          <w:rFonts w:hint="eastAsia" w:ascii="仿宋_GB2312" w:eastAsia="仿宋_GB2312"/>
          <w:sz w:val="32"/>
          <w:szCs w:val="32"/>
        </w:rPr>
        <w:t>〔2017〕</w:t>
      </w:r>
      <w:r>
        <w:rPr>
          <w:rFonts w:hint="eastAsia" w:ascii="仿宋_GB2312" w:hAnsi="仿宋_GB2312" w:eastAsia="仿宋_GB2312" w:cs="仿宋_GB2312"/>
          <w:kern w:val="0"/>
          <w:sz w:val="32"/>
          <w:szCs w:val="32"/>
          <w:lang w:bidi="ar"/>
        </w:rPr>
        <w:t>1号）</w:t>
      </w:r>
      <w:r>
        <w:rPr>
          <w:rFonts w:ascii="仿宋_GB2312" w:hAnsi="仿宋_GB2312" w:eastAsia="仿宋_GB2312" w:cs="仿宋_GB2312"/>
          <w:kern w:val="0"/>
          <w:sz w:val="32"/>
          <w:szCs w:val="32"/>
          <w:lang w:bidi="ar"/>
        </w:rPr>
        <w:t>及国家有关法规，结合学校实际情况，制定本管理办法。</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第二条</w:t>
      </w:r>
      <w:r>
        <w:rPr>
          <w:rFonts w:hint="eastAsia" w:ascii="仿宋_GB2312" w:hAnsi="仿宋_GB2312" w:eastAsia="仿宋_GB2312" w:cs="仿宋_GB2312"/>
          <w:b/>
          <w:kern w:val="0"/>
          <w:sz w:val="32"/>
          <w:szCs w:val="32"/>
          <w:lang w:bidi="ar"/>
        </w:rPr>
        <w:t xml:space="preserve"> </w:t>
      </w:r>
      <w:r>
        <w:rPr>
          <w:rFonts w:ascii="仿宋_GB2312" w:hAnsi="仿宋_GB2312" w:eastAsia="仿宋_GB2312" w:cs="仿宋_GB2312"/>
          <w:kern w:val="0"/>
          <w:sz w:val="32"/>
          <w:szCs w:val="32"/>
          <w:lang w:bidi="ar"/>
        </w:rPr>
        <w:t xml:space="preserve"> 学校所属全部银行账户</w:t>
      </w:r>
      <w:r>
        <w:rPr>
          <w:rFonts w:hint="eastAsia" w:ascii="仿宋_GB2312" w:hAnsi="仿宋_GB2312" w:eastAsia="仿宋_GB2312" w:cs="仿宋_GB2312"/>
          <w:kern w:val="0"/>
          <w:sz w:val="32"/>
          <w:szCs w:val="32"/>
          <w:lang w:bidi="ar"/>
        </w:rPr>
        <w:t>实行</w:t>
      </w:r>
      <w:r>
        <w:rPr>
          <w:rFonts w:ascii="仿宋_GB2312" w:hAnsi="仿宋_GB2312" w:eastAsia="仿宋_GB2312" w:cs="仿宋_GB2312"/>
          <w:kern w:val="0"/>
          <w:sz w:val="32"/>
          <w:szCs w:val="32"/>
          <w:lang w:bidi="ar"/>
        </w:rPr>
        <w:t>统一管理，财务处是学校进行银行账户管理的专门机构，配备专门人员，按照国家有关法律、法规和金融政策对银行账户进行管理。</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第三条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根据市本级预算单位银行账户按管理方式，学校银行账户分为审批类户和备案类账户。审批类账户包含基本存款账户、财政授权支付零余额账户和其他账户。其他账户：因其他特殊情况或特殊规章要求，经柳州市财政局批准开立或变更的银行账户，即：专用存款账户和一般存款账户。备案类账户是依据国家有关法律法规和规章制度规定及工作需要直接到开户银行办理开立或变更后需报柳州市财政局备案的账户，主要为按相关规定开设的党费、工会经费专用存款账户。</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（一）</w:t>
      </w:r>
      <w:r>
        <w:rPr>
          <w:rFonts w:hint="eastAsia" w:ascii="仿宋_GB2312" w:hAnsi="仿宋_GB2312" w:eastAsia="仿宋_GB2312" w:cs="仿宋_GB2312"/>
          <w:kern w:val="0"/>
          <w:sz w:val="32"/>
          <w:szCs w:val="32"/>
          <w:lang w:bidi="ar"/>
        </w:rPr>
        <w:t>基本存款账户是学校用于核算本单位经营性收支、自筹资金以及单位往来资金等的账户。同一类别（用途）的银行账户只能开立一个，不允许多头开立，对不同性质或需要单独核算的资金，应按照国家财务会计制度建立相应明细账，实行分账核算。</w:t>
      </w:r>
      <w:r>
        <w:rPr>
          <w:rFonts w:ascii="仿宋_GB2312" w:hAnsi="仿宋_GB2312" w:eastAsia="仿宋_GB2312" w:cs="仿宋_GB2312"/>
          <w:kern w:val="0"/>
          <w:sz w:val="32"/>
          <w:szCs w:val="32"/>
          <w:lang w:bidi="ar"/>
        </w:rPr>
        <w:t>开户银行和基本存款账户一经确认，非特殊原因，不得随意更改。</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二</w:t>
      </w:r>
      <w:r>
        <w:rPr>
          <w:rFonts w:ascii="仿宋_GB2312" w:hAnsi="仿宋_GB2312" w:eastAsia="仿宋_GB2312" w:cs="仿宋_GB2312"/>
          <w:kern w:val="0"/>
          <w:sz w:val="32"/>
          <w:szCs w:val="32"/>
          <w:lang w:bidi="ar"/>
        </w:rPr>
        <w:t>）财政授权支付零余额账户是根据国库集中支付管理的要求，学校开设的专门用于办理财政部授权学校支付额度内的转账结算、现金支付业务开立的银行账户。</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三</w:t>
      </w:r>
      <w:r>
        <w:rPr>
          <w:rFonts w:ascii="仿宋_GB2312" w:hAnsi="仿宋_GB2312" w:eastAsia="仿宋_GB2312" w:cs="仿宋_GB2312"/>
          <w:kern w:val="0"/>
          <w:sz w:val="32"/>
          <w:szCs w:val="32"/>
          <w:lang w:bidi="ar"/>
        </w:rPr>
        <w:t>）一般存款账户是学校因借款或其他结算需要，在基本存款账户开户银行以外的银行营业机构开立的银行结算账户。该账户可以办理转账结算和现金缴存，但不得办理现金支取。</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四</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专用</w:t>
      </w:r>
      <w:r>
        <w:rPr>
          <w:rFonts w:ascii="仿宋_GB2312" w:hAnsi="仿宋_GB2312" w:eastAsia="仿宋_GB2312" w:cs="仿宋_GB2312"/>
          <w:kern w:val="0"/>
          <w:sz w:val="32"/>
          <w:szCs w:val="32"/>
          <w:lang w:bidi="ar"/>
        </w:rPr>
        <w:t>存款账户是学校按照法律、行政法规和规章，对有特定用途资金进行专项管理和使用而开立的银行结算账户，如教育经费拨款</w:t>
      </w:r>
      <w:r>
        <w:rPr>
          <w:rFonts w:hint="eastAsia" w:ascii="仿宋_GB2312" w:hAnsi="仿宋_GB2312" w:eastAsia="仿宋_GB2312" w:cs="仿宋_GB2312"/>
          <w:kern w:val="0"/>
          <w:sz w:val="32"/>
          <w:szCs w:val="32"/>
          <w:lang w:bidi="ar"/>
        </w:rPr>
        <w:t>和</w:t>
      </w:r>
      <w:r>
        <w:rPr>
          <w:rFonts w:ascii="仿宋_GB2312" w:hAnsi="仿宋_GB2312" w:eastAsia="仿宋_GB2312" w:cs="仿宋_GB2312"/>
          <w:kern w:val="0"/>
          <w:sz w:val="32"/>
          <w:szCs w:val="32"/>
          <w:lang w:bidi="ar"/>
        </w:rPr>
        <w:t>收入汇缴等账户。专用存款账户用于办理各项专用资金的收付，允许支取现金的专用存款账户。</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第四条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财务处根据学校实际需要，申请和开设银行账户，保证学校资金的安全性、流动性和效益性，防范和规避金融风险。适当控制银行开设账户的数量，原则上不得多头开户。学校</w:t>
      </w:r>
      <w:r>
        <w:rPr>
          <w:rFonts w:hint="eastAsia" w:ascii="仿宋_GB2312" w:hAnsi="仿宋_GB2312" w:eastAsia="仿宋_GB2312" w:cs="仿宋_GB2312"/>
          <w:kern w:val="0"/>
          <w:sz w:val="32"/>
          <w:szCs w:val="32"/>
          <w:lang w:bidi="ar"/>
        </w:rPr>
        <w:t>负责人</w:t>
      </w:r>
      <w:r>
        <w:rPr>
          <w:rFonts w:ascii="仿宋_GB2312" w:hAnsi="仿宋_GB2312" w:eastAsia="仿宋_GB2312" w:cs="仿宋_GB2312"/>
          <w:kern w:val="0"/>
          <w:sz w:val="32"/>
          <w:szCs w:val="32"/>
          <w:lang w:bidi="ar"/>
        </w:rPr>
        <w:t>对学校银行账户的开立及使用的合法性、合规性、安全性负责。</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82" w:name="_Toc4510_WPSOffice_Level1"/>
      <w:r>
        <w:rPr>
          <w:rFonts w:ascii="黑体" w:hAnsi="仿宋_GB2312" w:eastAsia="黑体" w:cs="仿宋_GB2312"/>
          <w:b/>
          <w:kern w:val="0"/>
          <w:sz w:val="32"/>
          <w:szCs w:val="32"/>
          <w:lang w:bidi="ar"/>
        </w:rPr>
        <w:t xml:space="preserve">第二章 </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开户与销户</w:t>
      </w:r>
      <w:bookmarkEnd w:id="1082"/>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第五条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学校开立</w:t>
      </w:r>
      <w:r>
        <w:rPr>
          <w:rFonts w:hint="eastAsia" w:ascii="仿宋_GB2312" w:hAnsi="仿宋_GB2312" w:eastAsia="仿宋_GB2312" w:cs="仿宋_GB2312"/>
          <w:kern w:val="0"/>
          <w:sz w:val="32"/>
          <w:szCs w:val="32"/>
          <w:lang w:bidi="ar"/>
        </w:rPr>
        <w:t>银行</w:t>
      </w:r>
      <w:r>
        <w:rPr>
          <w:rFonts w:ascii="仿宋_GB2312" w:hAnsi="仿宋_GB2312" w:eastAsia="仿宋_GB2312" w:cs="仿宋_GB2312"/>
          <w:kern w:val="0"/>
          <w:sz w:val="32"/>
          <w:szCs w:val="32"/>
          <w:lang w:bidi="ar"/>
        </w:rPr>
        <w:t>账户应</w:t>
      </w:r>
      <w:r>
        <w:rPr>
          <w:rFonts w:hint="eastAsia" w:ascii="仿宋_GB2312" w:hAnsi="仿宋_GB2312" w:eastAsia="仿宋_GB2312" w:cs="仿宋_GB2312"/>
          <w:kern w:val="0"/>
          <w:sz w:val="32"/>
          <w:szCs w:val="32"/>
          <w:lang w:bidi="ar"/>
        </w:rPr>
        <w:t>参照《柳州市本级预算单位资金存放管理暂行办法》中的原则并采取综合评分法，综合考虑银行的经营状况、服务水平、利率水平等因素，在保证资金安全的基础上择优选择存放银行。</w:t>
      </w:r>
      <w:r>
        <w:rPr>
          <w:rFonts w:ascii="仿宋_GB2312" w:hAnsi="仿宋_GB2312" w:eastAsia="仿宋_GB2312" w:cs="仿宋_GB2312"/>
          <w:kern w:val="0"/>
          <w:sz w:val="32"/>
          <w:szCs w:val="32"/>
          <w:lang w:bidi="ar"/>
        </w:rPr>
        <w:t>按照财政部门的要求，</w:t>
      </w:r>
      <w:r>
        <w:rPr>
          <w:rFonts w:hint="eastAsia" w:ascii="仿宋_GB2312" w:hAnsi="仿宋_GB2312" w:eastAsia="仿宋_GB2312" w:cs="仿宋_GB2312"/>
          <w:kern w:val="0"/>
          <w:sz w:val="32"/>
          <w:szCs w:val="32"/>
          <w:lang w:bidi="ar"/>
        </w:rPr>
        <w:t>开立审批类账户需要</w:t>
      </w:r>
      <w:r>
        <w:rPr>
          <w:rFonts w:ascii="仿宋_GB2312" w:hAnsi="仿宋_GB2312" w:eastAsia="仿宋_GB2312" w:cs="仿宋_GB2312"/>
          <w:kern w:val="0"/>
          <w:sz w:val="32"/>
          <w:szCs w:val="32"/>
          <w:lang w:bidi="ar"/>
        </w:rPr>
        <w:t>提出开户申请，经学校领导同意</w:t>
      </w:r>
      <w:r>
        <w:rPr>
          <w:rFonts w:hint="eastAsia" w:ascii="仿宋_GB2312" w:hAnsi="仿宋_GB2312" w:eastAsia="仿宋_GB2312" w:cs="仿宋_GB2312"/>
          <w:kern w:val="0"/>
          <w:sz w:val="32"/>
          <w:szCs w:val="32"/>
          <w:lang w:bidi="ar"/>
        </w:rPr>
        <w:t>后</w:t>
      </w:r>
      <w:r>
        <w:rPr>
          <w:rFonts w:ascii="仿宋_GB2312" w:hAnsi="仿宋_GB2312" w:eastAsia="仿宋_GB2312" w:cs="仿宋_GB2312"/>
          <w:kern w:val="0"/>
          <w:sz w:val="32"/>
          <w:szCs w:val="32"/>
          <w:lang w:bidi="ar"/>
        </w:rPr>
        <w:t>报同级教育主管部门和同级财政部门审批。开户应如实填写《柳州市行政事业单位账户开设、变更及撤消申请表》，并提供相关证明材料，详细说明本单位的基本情况和申请开户的理由，包括新开账户的名称、用途，使用范围，开户依据或开户理由，相关证明材料清单及其他需要说明的情况等，由财务处报柳州市财政局审批。</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学校在收到柳州市财政局签发的《柳州市本级预算单位开立银行账户批复书》并</w:t>
      </w:r>
      <w:bookmarkStart w:id="1083" w:name="_Toc11790_WPSOffice_Level1"/>
      <w:r>
        <w:rPr>
          <w:rFonts w:ascii="仿宋_GB2312" w:hAnsi="仿宋_GB2312" w:eastAsia="仿宋_GB2312" w:cs="仿宋_GB2312"/>
          <w:kern w:val="0"/>
          <w:sz w:val="32"/>
          <w:szCs w:val="32"/>
          <w:lang w:bidi="ar"/>
        </w:rPr>
        <w:t>取得人民银行核发的开户核准通知书15个工作日内，到</w:t>
      </w:r>
      <w:bookmarkEnd w:id="1083"/>
      <w:r>
        <w:rPr>
          <w:rFonts w:ascii="仿宋_GB2312" w:hAnsi="仿宋_GB2312" w:eastAsia="仿宋_GB2312" w:cs="仿宋_GB2312"/>
          <w:kern w:val="0"/>
          <w:sz w:val="32"/>
          <w:szCs w:val="32"/>
          <w:lang w:bidi="ar"/>
        </w:rPr>
        <w:t>相关银行办理开立账户手续，并向市财政局国库管理机构和市财政局国库支付执行机构办理预留印鉴手续。</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六</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学校开立的银行账户应保持稳定。</w:t>
      </w:r>
      <w:r>
        <w:rPr>
          <w:rFonts w:hint="eastAsia" w:ascii="仿宋_GB2312" w:hAnsi="仿宋_GB2312" w:eastAsia="仿宋_GB2312" w:cs="仿宋_GB2312"/>
          <w:kern w:val="0"/>
          <w:sz w:val="32"/>
          <w:szCs w:val="32"/>
          <w:lang w:bidi="ar"/>
        </w:rPr>
        <w:t>预算单位如存在新开立银行账户存放资金或变更开户银行存放资金情形的，应分类采取集体决策方式或竞争性方式选择资金存放银行。</w:t>
      </w:r>
      <w:r>
        <w:rPr>
          <w:rFonts w:ascii="仿宋_GB2312" w:hAnsi="仿宋_GB2312" w:eastAsia="仿宋_GB2312" w:cs="仿宋_GB2312"/>
          <w:kern w:val="0"/>
          <w:sz w:val="32"/>
          <w:szCs w:val="32"/>
          <w:lang w:bidi="ar"/>
        </w:rPr>
        <w:t>确因学校管理需要变更开户银行、账户性质、用途等，应按规定将原账户撤销，重新办理开户的审批、备案手续。</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学校发生下列变更事项，应向开户银行办理变更手续，并按规定进行备案：</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（一）学校名称变更，但不改变开户银行及账号的；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二</w:t>
      </w:r>
      <w:r>
        <w:rPr>
          <w:rFonts w:ascii="仿宋_GB2312" w:hAnsi="仿宋_GB2312" w:eastAsia="仿宋_GB2312" w:cs="仿宋_GB2312"/>
          <w:kern w:val="0"/>
          <w:sz w:val="32"/>
          <w:szCs w:val="32"/>
          <w:lang w:bidi="ar"/>
        </w:rPr>
        <w:t>）学校法人、地址及其他开户资料变更的；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三</w:t>
      </w:r>
      <w:r>
        <w:rPr>
          <w:rFonts w:ascii="仿宋_GB2312" w:hAnsi="仿宋_GB2312" w:eastAsia="仿宋_GB2312" w:cs="仿宋_GB2312"/>
          <w:kern w:val="0"/>
          <w:sz w:val="32"/>
          <w:szCs w:val="32"/>
          <w:lang w:bidi="ar"/>
        </w:rPr>
        <w:t>）因开户银行原因变更银行名称或账号，但不改变开户银行的；</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七</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学校因工作需要或使用期满需将银行账户撤销时，必须与开户银行核对余额，确认无误后，提交银行账户撤销申请</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并报经教育主管部门和财政部门审批，经开户银行审查同意后，办理撤销手续，并将销户证明资料报财政部门备案。撤销账户时预算或预算外收入汇缴专用存款账户的资金余额按规定汇入柳州市本级国库或柳州市本级预算外资金财政专户，其他账户资金余额转入本单位基本存款账户，销户后的未了事项纳入基本存款账户核算。</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84" w:name="_Toc9044_WPSOffice_Level1"/>
      <w:r>
        <w:rPr>
          <w:rFonts w:ascii="黑体" w:hAnsi="仿宋_GB2312" w:eastAsia="黑体" w:cs="仿宋_GB2312"/>
          <w:b/>
          <w:kern w:val="0"/>
          <w:sz w:val="32"/>
          <w:szCs w:val="32"/>
          <w:lang w:bidi="ar"/>
        </w:rPr>
        <w:t xml:space="preserve">第三章 </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管理与监督</w:t>
      </w:r>
      <w:bookmarkEnd w:id="1084"/>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八</w:t>
      </w:r>
      <w:r>
        <w:rPr>
          <w:rFonts w:ascii="仿宋_GB2312" w:hAnsi="仿宋_GB2312" w:eastAsia="仿宋_GB2312" w:cs="仿宋_GB2312"/>
          <w:b/>
          <w:kern w:val="0"/>
          <w:sz w:val="32"/>
          <w:szCs w:val="32"/>
          <w:lang w:bidi="ar"/>
        </w:rPr>
        <w:t xml:space="preserve">条 </w:t>
      </w:r>
      <w:r>
        <w:rPr>
          <w:rFonts w:hint="eastAsia" w:ascii="仿宋_GB2312" w:hAnsi="仿宋_GB2312" w:eastAsia="仿宋_GB2312" w:cs="仿宋_GB2312"/>
          <w:b/>
          <w:kern w:val="0"/>
          <w:sz w:val="32"/>
          <w:szCs w:val="32"/>
          <w:lang w:bidi="ar"/>
        </w:rPr>
        <w:t xml:space="preserve"> </w:t>
      </w:r>
      <w:r>
        <w:rPr>
          <w:rFonts w:ascii="仿宋_GB2312" w:hAnsi="仿宋_GB2312" w:eastAsia="仿宋_GB2312" w:cs="仿宋_GB2312"/>
          <w:kern w:val="0"/>
          <w:sz w:val="32"/>
          <w:szCs w:val="32"/>
          <w:lang w:bidi="ar"/>
        </w:rPr>
        <w:t>加强银行账户的印鉴管理。银行账户的预留印鉴包括财务专用章和法人名章。依据内部控制管理的要求，印鉴的使用、保管应由两个以上会计人员分别管理。人员变动时，要及时变更。</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九</w:t>
      </w:r>
      <w:r>
        <w:rPr>
          <w:rFonts w:ascii="仿宋_GB2312" w:hAnsi="仿宋_GB2312" w:eastAsia="仿宋_GB2312" w:cs="仿宋_GB2312"/>
          <w:b/>
          <w:kern w:val="0"/>
          <w:sz w:val="32"/>
          <w:szCs w:val="32"/>
          <w:lang w:bidi="ar"/>
        </w:rPr>
        <w:t>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加强对财政资金支付凭证、转账支票、现金支票、汇票等管理。</w:t>
      </w:r>
      <w:r>
        <w:rPr>
          <w:rFonts w:hint="eastAsia" w:ascii="仿宋_GB2312" w:hAnsi="仿宋_GB2312" w:eastAsia="仿宋_GB2312" w:cs="仿宋_GB2312"/>
          <w:kern w:val="0"/>
          <w:sz w:val="32"/>
          <w:szCs w:val="32"/>
          <w:lang w:bidi="ar"/>
        </w:rPr>
        <w:t>财务处原则上应由专人管理票据，在人员有限的情况下，可由出纳员兼任，对</w:t>
      </w:r>
      <w:r>
        <w:rPr>
          <w:rFonts w:ascii="仿宋_GB2312" w:hAnsi="仿宋_GB2312" w:eastAsia="仿宋_GB2312" w:cs="仿宋_GB2312"/>
          <w:kern w:val="0"/>
          <w:sz w:val="32"/>
          <w:szCs w:val="32"/>
          <w:lang w:bidi="ar"/>
        </w:rPr>
        <w:t>转账支票、现金支票等银行票据的购买、使用和核销要设置备查簿</w:t>
      </w:r>
      <w:r>
        <w:rPr>
          <w:rFonts w:hint="eastAsia" w:ascii="仿宋_GB2312" w:hAnsi="仿宋_GB2312" w:eastAsia="仿宋_GB2312" w:cs="仿宋_GB2312"/>
          <w:kern w:val="0"/>
          <w:sz w:val="32"/>
          <w:szCs w:val="32"/>
          <w:lang w:bidi="ar"/>
        </w:rPr>
        <w:t>进行登记，并加强监管</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学校出纳人员必须根据审核无误的会计凭证正确填写支票，包括日期、金额、收款单位名称、用途等，不得开具空白支票。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w:t>
      </w:r>
      <w:r>
        <w:rPr>
          <w:rFonts w:hint="eastAsia" w:ascii="仿宋_GB2312" w:hAnsi="仿宋_GB2312" w:eastAsia="仿宋_GB2312" w:cs="仿宋_GB2312"/>
          <w:b/>
          <w:kern w:val="0"/>
          <w:sz w:val="32"/>
          <w:szCs w:val="32"/>
          <w:lang w:bidi="ar"/>
        </w:rPr>
        <w:t>一</w:t>
      </w:r>
      <w:r>
        <w:rPr>
          <w:rFonts w:ascii="仿宋_GB2312" w:hAnsi="仿宋_GB2312" w:eastAsia="仿宋_GB2312" w:cs="仿宋_GB2312"/>
          <w:b/>
          <w:kern w:val="0"/>
          <w:sz w:val="32"/>
          <w:szCs w:val="32"/>
          <w:lang w:bidi="ar"/>
        </w:rPr>
        <w:t xml:space="preserve">条 </w:t>
      </w:r>
      <w:r>
        <w:rPr>
          <w:rFonts w:ascii="仿宋_GB2312" w:hAnsi="仿宋_GB2312" w:eastAsia="仿宋_GB2312" w:cs="仿宋_GB2312"/>
          <w:kern w:val="0"/>
          <w:sz w:val="32"/>
          <w:szCs w:val="32"/>
          <w:lang w:bidi="ar"/>
        </w:rPr>
        <w:t xml:space="preserve"> 加强对银行存款账户资金的管理，财务处应按照规定设置现金日记账和银行存款日记账，用于详细记录银行存款账户所有资金的收支情况。年度终了时，</w:t>
      </w:r>
      <w:r>
        <w:rPr>
          <w:rFonts w:hint="eastAsia" w:ascii="仿宋_GB2312" w:hAnsi="仿宋_GB2312" w:eastAsia="仿宋_GB2312" w:cs="仿宋_GB2312"/>
          <w:kern w:val="0"/>
          <w:sz w:val="32"/>
          <w:szCs w:val="32"/>
          <w:lang w:bidi="ar"/>
        </w:rPr>
        <w:t>账簿作为会计档案应及时移交到校档案室妥善保管。</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w:t>
      </w:r>
      <w:r>
        <w:rPr>
          <w:rFonts w:hint="eastAsia" w:ascii="仿宋_GB2312" w:hAnsi="仿宋_GB2312" w:eastAsia="仿宋_GB2312" w:cs="仿宋_GB2312"/>
          <w:b/>
          <w:kern w:val="0"/>
          <w:sz w:val="32"/>
          <w:szCs w:val="32"/>
          <w:lang w:bidi="ar"/>
        </w:rPr>
        <w:t>二</w:t>
      </w:r>
      <w:r>
        <w:rPr>
          <w:rFonts w:ascii="仿宋_GB2312" w:hAnsi="仿宋_GB2312" w:eastAsia="仿宋_GB2312" w:cs="仿宋_GB2312"/>
          <w:b/>
          <w:kern w:val="0"/>
          <w:sz w:val="32"/>
          <w:szCs w:val="32"/>
          <w:lang w:bidi="ar"/>
        </w:rPr>
        <w:t>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按照银行结算办法的有关规定，学校须将收入的款项及时送存银行，不得坐收坐支。不得出租、出借和转让银行账户给校内外其他任何单位和个人使用</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不得开具空头支票和远期支票；不得公款私存。</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w:t>
      </w:r>
      <w:r>
        <w:rPr>
          <w:rFonts w:hint="eastAsia" w:ascii="仿宋_GB2312" w:hAnsi="仿宋_GB2312" w:eastAsia="仿宋_GB2312" w:cs="仿宋_GB2312"/>
          <w:b/>
          <w:kern w:val="0"/>
          <w:sz w:val="32"/>
          <w:szCs w:val="32"/>
          <w:lang w:bidi="ar"/>
        </w:rPr>
        <w:t>三</w:t>
      </w:r>
      <w:r>
        <w:rPr>
          <w:rFonts w:ascii="仿宋_GB2312" w:hAnsi="仿宋_GB2312" w:eastAsia="仿宋_GB2312" w:cs="仿宋_GB2312"/>
          <w:b/>
          <w:kern w:val="0"/>
          <w:sz w:val="32"/>
          <w:szCs w:val="32"/>
          <w:lang w:bidi="ar"/>
        </w:rPr>
        <w:t>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学校银行账户发生重大变动或重要情况时(如银行账户被冻结或资金被划走)，财务处应及时上报学校领导，并采取必要的防控措施，努力将学校的损失降低到最小的程度，并积极协调有关部门解决。</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w:t>
      </w:r>
      <w:r>
        <w:rPr>
          <w:rFonts w:hint="eastAsia" w:ascii="仿宋_GB2312" w:hAnsi="仿宋_GB2312" w:eastAsia="仿宋_GB2312" w:cs="仿宋_GB2312"/>
          <w:b/>
          <w:kern w:val="0"/>
          <w:sz w:val="32"/>
          <w:szCs w:val="32"/>
          <w:lang w:bidi="ar"/>
        </w:rPr>
        <w:t>四</w:t>
      </w:r>
      <w:r>
        <w:rPr>
          <w:rFonts w:ascii="仿宋_GB2312" w:hAnsi="仿宋_GB2312" w:eastAsia="仿宋_GB2312" w:cs="仿宋_GB2312"/>
          <w:b/>
          <w:kern w:val="0"/>
          <w:sz w:val="32"/>
          <w:szCs w:val="32"/>
          <w:lang w:bidi="ar"/>
        </w:rPr>
        <w:t>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学校应依照国家有关法律法规办理银行账户年检。每年财务处根据银行要求，将相关资料报送银行办理年检</w:t>
      </w:r>
      <w:r>
        <w:rPr>
          <w:rFonts w:hint="eastAsia" w:ascii="仿宋_GB2312" w:hAnsi="仿宋_GB2312" w:eastAsia="仿宋_GB2312" w:cs="仿宋_GB2312"/>
          <w:kern w:val="0"/>
          <w:sz w:val="32"/>
          <w:szCs w:val="32"/>
          <w:lang w:bidi="ar"/>
        </w:rPr>
        <w:t>，年检材料和报送要求可参照银行账户开户行规定执行</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w:t>
      </w:r>
      <w:r>
        <w:rPr>
          <w:rFonts w:hint="eastAsia" w:ascii="仿宋_GB2312" w:hAnsi="仿宋_GB2312" w:eastAsia="仿宋_GB2312" w:cs="仿宋_GB2312"/>
          <w:b/>
          <w:kern w:val="0"/>
          <w:sz w:val="32"/>
          <w:szCs w:val="32"/>
          <w:lang w:bidi="ar"/>
        </w:rPr>
        <w:t>五</w:t>
      </w:r>
      <w:r>
        <w:rPr>
          <w:rFonts w:ascii="仿宋_GB2312" w:hAnsi="仿宋_GB2312" w:eastAsia="仿宋_GB2312" w:cs="仿宋_GB2312"/>
          <w:b/>
          <w:kern w:val="0"/>
          <w:sz w:val="32"/>
          <w:szCs w:val="32"/>
          <w:lang w:bidi="ar"/>
        </w:rPr>
        <w:t>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学校财务处主要负责人为学校银行账户管理责任人，应定期组织相关人员检查、监督各个银行账户的使用情况，发现问题应及时按规定处理，必要时报总会计师处理。</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w:t>
      </w:r>
      <w:r>
        <w:rPr>
          <w:rFonts w:hint="eastAsia" w:ascii="仿宋_GB2312" w:hAnsi="仿宋_GB2312" w:eastAsia="仿宋_GB2312" w:cs="仿宋_GB2312"/>
          <w:b/>
          <w:kern w:val="0"/>
          <w:sz w:val="32"/>
          <w:szCs w:val="32"/>
          <w:lang w:bidi="ar"/>
        </w:rPr>
        <w:t>六</w:t>
      </w:r>
      <w:r>
        <w:rPr>
          <w:rFonts w:ascii="仿宋_GB2312" w:hAnsi="仿宋_GB2312" w:eastAsia="仿宋_GB2312" w:cs="仿宋_GB2312"/>
          <w:b/>
          <w:kern w:val="0"/>
          <w:sz w:val="32"/>
          <w:szCs w:val="32"/>
          <w:lang w:bidi="ar"/>
        </w:rPr>
        <w:t xml:space="preserve">条 </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学校纪检监察</w:t>
      </w:r>
      <w:r>
        <w:rPr>
          <w:rFonts w:ascii="仿宋_GB2312" w:hAnsi="仿宋_GB2312" w:eastAsia="仿宋_GB2312" w:cs="仿宋_GB2312"/>
          <w:kern w:val="0"/>
          <w:sz w:val="32"/>
          <w:szCs w:val="32"/>
          <w:lang w:bidi="ar"/>
        </w:rPr>
        <w:t>等有关部门有权对学校银行账户的管理及使用情况进行监督检查。</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85" w:name="_Toc2896_WPSOffice_Level1"/>
      <w:r>
        <w:rPr>
          <w:rFonts w:ascii="黑体" w:hAnsi="仿宋_GB2312" w:eastAsia="黑体" w:cs="仿宋_GB2312"/>
          <w:b/>
          <w:kern w:val="0"/>
          <w:sz w:val="32"/>
          <w:szCs w:val="32"/>
          <w:lang w:bidi="ar"/>
        </w:rPr>
        <w:t xml:space="preserve">第四章 </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责任</w:t>
      </w:r>
      <w:bookmarkEnd w:id="1085"/>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w:t>
      </w:r>
      <w:r>
        <w:rPr>
          <w:rFonts w:hint="eastAsia" w:ascii="仿宋_GB2312" w:hAnsi="仿宋_GB2312" w:eastAsia="仿宋_GB2312" w:cs="仿宋_GB2312"/>
          <w:b/>
          <w:kern w:val="0"/>
          <w:sz w:val="32"/>
          <w:szCs w:val="32"/>
          <w:lang w:bidi="ar"/>
        </w:rPr>
        <w:t>七</w:t>
      </w:r>
      <w:r>
        <w:rPr>
          <w:rFonts w:ascii="仿宋_GB2312" w:hAnsi="仿宋_GB2312" w:eastAsia="仿宋_GB2312" w:cs="仿宋_GB2312"/>
          <w:b/>
          <w:kern w:val="0"/>
          <w:sz w:val="32"/>
          <w:szCs w:val="32"/>
          <w:lang w:bidi="ar"/>
        </w:rPr>
        <w:t>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银行账户必须严格按照银行账户管理的相关规定使用，如有违规使用银行账户的，</w:t>
      </w:r>
      <w:r>
        <w:rPr>
          <w:rFonts w:hint="eastAsia" w:ascii="仿宋_GB2312" w:hAnsi="仿宋_GB2312" w:eastAsia="仿宋_GB2312" w:cs="仿宋_GB2312"/>
          <w:kern w:val="0"/>
          <w:sz w:val="32"/>
          <w:szCs w:val="32"/>
          <w:lang w:bidi="ar"/>
        </w:rPr>
        <w:t>如有违规使用银行账户的，应立即纠正，相关负责人和责任人要承担相应的责任</w:t>
      </w:r>
      <w:r>
        <w:rPr>
          <w:rFonts w:ascii="仿宋_GB2312" w:hAnsi="仿宋_GB2312" w:eastAsia="仿宋_GB2312" w:cs="仿宋_GB2312"/>
          <w:kern w:val="0"/>
          <w:sz w:val="32"/>
          <w:szCs w:val="32"/>
          <w:lang w:bidi="ar"/>
        </w:rPr>
        <w:t>；如构成犯罪的，移送司法机关依法追究刑事责任。</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（一）由于印鉴管理不当导致学校利益受损的，要追究</w:t>
      </w:r>
      <w:r>
        <w:rPr>
          <w:rFonts w:hint="eastAsia" w:ascii="仿宋_GB2312" w:hAnsi="仿宋_GB2312" w:eastAsia="仿宋_GB2312" w:cs="仿宋_GB2312"/>
          <w:kern w:val="0"/>
          <w:sz w:val="32"/>
          <w:szCs w:val="32"/>
          <w:lang w:bidi="ar"/>
        </w:rPr>
        <w:t>部门负责人和直接责任人的责任</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（二）由于票据管理不当导致学校重大经济损失的（如丢失重要银行票据等），学校将按有关规定对其进行处罚，对情节严重构成犯罪的，移送司法机关处理。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（三）未经批准，私自开设银行账户的，要限期撤销，并根据其性质和情节按规定对直接责任人进行处罚。触犯法律的，移送司法机关依法追究刑事责任。</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（四）违反银行账户管理办法、公款私存的，学校将没收全部款项，并按有关规定进行处罚；情节严重构成犯罪的，移送司法机关依法追究刑事责任。</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（五）违反银行账户管理办法规定，出租、出借和转让银行账户的，学校除责令纠正外，没收出租账户的非法所得，并按规定追究当事人的责任，情节严重者，移送司法机关依法追究刑事责任。</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086" w:name="_Toc10992_WPSOffice_Level1"/>
      <w:r>
        <w:rPr>
          <w:rFonts w:ascii="黑体" w:hAnsi="仿宋_GB2312" w:eastAsia="黑体" w:cs="仿宋_GB2312"/>
          <w:b/>
          <w:kern w:val="0"/>
          <w:sz w:val="32"/>
          <w:szCs w:val="32"/>
          <w:lang w:bidi="ar"/>
        </w:rPr>
        <w:t xml:space="preserve">第五章 </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附则</w:t>
      </w:r>
      <w:bookmarkEnd w:id="1086"/>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第十八条  </w:t>
      </w:r>
      <w:r>
        <w:rPr>
          <w:rFonts w:ascii="仿宋_GB2312" w:hAnsi="仿宋_GB2312" w:eastAsia="仿宋_GB2312" w:cs="仿宋_GB2312"/>
          <w:kern w:val="0"/>
          <w:sz w:val="32"/>
          <w:szCs w:val="32"/>
          <w:lang w:bidi="ar"/>
        </w:rPr>
        <w:t>学校下属独立法人的二级单位（包括校办</w:t>
      </w:r>
      <w:r>
        <w:rPr>
          <w:rFonts w:hint="eastAsia" w:ascii="仿宋_GB2312" w:hAnsi="仿宋_GB2312" w:eastAsia="仿宋_GB2312" w:cs="仿宋_GB2312"/>
          <w:kern w:val="0"/>
          <w:sz w:val="32"/>
          <w:szCs w:val="32"/>
          <w:lang w:bidi="ar"/>
        </w:rPr>
        <w:t>工厂</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及党费账户、工会经费开设、变更和撤销银行账户参照</w:t>
      </w:r>
      <w:r>
        <w:rPr>
          <w:rFonts w:ascii="仿宋_GB2312" w:hAnsi="仿宋_GB2312" w:eastAsia="仿宋_GB2312" w:cs="仿宋_GB2312"/>
          <w:kern w:val="0"/>
          <w:sz w:val="32"/>
          <w:szCs w:val="32"/>
          <w:lang w:bidi="ar"/>
        </w:rPr>
        <w:t>本办法</w:t>
      </w:r>
      <w:r>
        <w:rPr>
          <w:rFonts w:hint="eastAsia" w:ascii="仿宋_GB2312" w:hAnsi="仿宋_GB2312" w:eastAsia="仿宋_GB2312" w:cs="仿宋_GB2312"/>
          <w:kern w:val="0"/>
          <w:sz w:val="32"/>
          <w:szCs w:val="32"/>
          <w:lang w:bidi="ar"/>
        </w:rPr>
        <w:t>执行</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第十九条  </w:t>
      </w:r>
      <w:r>
        <w:rPr>
          <w:rFonts w:hint="eastAsia" w:ascii="仿宋_GB2312" w:hAnsi="仿宋_GB2312" w:eastAsia="仿宋_GB2312" w:cs="仿宋_GB2312"/>
          <w:kern w:val="0"/>
          <w:sz w:val="32"/>
          <w:szCs w:val="32"/>
          <w:lang w:bidi="ar"/>
        </w:rPr>
        <w:t>本办法由柳州职业技术学院财务处负责解释。</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第二十条</w:t>
      </w:r>
      <w:r>
        <w:rPr>
          <w:rFonts w:hint="eastAsia" w:ascii="仿宋_GB2312" w:hAnsi="仿宋_GB2312" w:eastAsia="仿宋_GB2312" w:cs="仿宋_GB2312"/>
          <w:kern w:val="0"/>
          <w:sz w:val="32"/>
          <w:szCs w:val="32"/>
          <w:lang w:bidi="ar"/>
        </w:rPr>
        <w:t xml:space="preserve">  本办法自2018年6月起执行</w:t>
      </w: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ascii="宋体" w:hAnsi="宋体"/>
          <w:b/>
          <w:bCs/>
          <w:color w:val="000000"/>
          <w:sz w:val="36"/>
          <w:szCs w:val="36"/>
          <w:lang w:val="en-US" w:eastAsia="zh-CN"/>
        </w:rPr>
      </w:pPr>
      <w:r>
        <w:rPr>
          <w:b/>
          <w:color w:val="000000"/>
          <w:sz w:val="36"/>
          <w:szCs w:val="36"/>
        </w:rPr>
        <w:br w:type="page"/>
      </w:r>
      <w:bookmarkStart w:id="1087" w:name="_Toc534379487"/>
      <w:bookmarkStart w:id="1088" w:name="_Toc30856_WPSOffice_Level1"/>
      <w:r>
        <w:rPr>
          <w:rFonts w:hint="eastAsia" w:asciiTheme="minorEastAsia" w:hAnsiTheme="minorEastAsia" w:eastAsiaTheme="minorEastAsia"/>
          <w:b/>
          <w:bCs/>
          <w:color w:val="000000"/>
          <w:kern w:val="2"/>
          <w:sz w:val="36"/>
          <w:szCs w:val="36"/>
          <w:lang w:val="en-US" w:eastAsia="zh-CN"/>
        </w:rPr>
        <w:t>柳州职业技术学院收费管理办法</w:t>
      </w:r>
      <w:bookmarkEnd w:id="1087"/>
      <w:bookmarkEnd w:id="1088"/>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（柳职院字〔2018〕30号）</w:t>
      </w:r>
    </w:p>
    <w:p>
      <w:pPr>
        <w:pageBreakBefore w:val="0"/>
        <w:kinsoku/>
        <w:wordWrap/>
        <w:overflowPunct/>
        <w:topLinePunct w:val="0"/>
        <w:autoSpaceDE/>
        <w:autoSpaceDN/>
        <w:bidi w:val="0"/>
        <w:outlineLvl w:val="9"/>
        <w:rPr>
          <w:sz w:val="32"/>
          <w:szCs w:val="32"/>
        </w:rPr>
      </w:pP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为加强学校收费管理，规范各类收费行为，治理乱收费，切实维护学校和学生的合法权益，保障学校、学生正常的教学及学校生活，促进廉政建设和学校事业的持续健康发展，根据《教育法》第二十九条、《关于进一步规范高效教育收费管理若干问题的通知》和国家行政事业性收费的相关规定，结合学校实际，特制定本办法。</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第二条 </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学校收费分为行政事业性收费、服务性收费、代收费等。</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学校行政事业性收费主要指各类学历教育收取的学费、住宿费以及根据国家有关规定代教育主管部门或根据国家有关规定自行组织入学考试收取的考试费等。</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服务性收费是指学校在完成正常教学任务之外，为在校学生提供由学生自愿选择的服务，以及学校向校外人员和单位提供服务而收取的费用。</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代收费是指学校为方便学生在校学习和生活，在学生自愿的前提下，为提供服务的单位代收的相关费用。</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学校因管理需要，暂收的款项如：保证金、押金等应严格控制，及时清理。</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学校各类收费应符合国家法律、法规的规定。</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（一）行政事业性收费必须到物价部门办理收费许可，严格按照自治区（或市）物价局核准的</w:t>
      </w:r>
      <w:bookmarkStart w:id="1089" w:name="_Toc26864_WPSOffice_Level1"/>
      <w:r>
        <w:rPr>
          <w:rFonts w:hint="eastAsia" w:ascii="仿宋_GB2312" w:hAnsi="仿宋_GB2312" w:eastAsia="仿宋_GB2312" w:cs="仿宋_GB2312"/>
          <w:kern w:val="0"/>
          <w:sz w:val="32"/>
          <w:szCs w:val="32"/>
          <w:lang w:bidi="ar"/>
        </w:rPr>
        <w:t>收费项目和标准收费，收费时使用财政部</w:t>
      </w:r>
      <w:bookmarkEnd w:id="1089"/>
      <w:r>
        <w:rPr>
          <w:rFonts w:hint="eastAsia" w:ascii="仿宋_GB2312" w:hAnsi="仿宋_GB2312" w:eastAsia="仿宋_GB2312" w:cs="仿宋_GB2312"/>
          <w:kern w:val="0"/>
          <w:sz w:val="32"/>
          <w:szCs w:val="32"/>
          <w:lang w:bidi="ar"/>
        </w:rPr>
        <w:t>门统一监印制的财政专用票据。</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（二）服务性收费必须坚持学生自愿和非营利原则，由学校在收费发生时即时收取，不得与学费、住宿费合并收取，严禁学校强制服务，或只收费不服务。</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代收费必须遵循自愿和合理成本的原则，不得强行统一收取代收费。收费项目仅限于教材、体检费等规定必须由学校财务部门统一代收的项目，不得在学生缴纳学费时合并收取，所收款项应及时据实结算、多退少补，不得在代办收费中加收任何费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根据国家有关规定，对家庭经济困难的学生应酌情减免收取学费，各级政府、主管部门及学校应采取包括奖学金、贷学金、勤工助学、困难补助等多种方式，切实帮助家庭经济困难学生解决学习和生活上的困难，保证他们不因经济原因而中断学业。</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学费按学年或学期收取，不得跨学年预收。学费收取实行“老生老办法，新生新办法”，学生缴纳学费后，如因故退学或提前结束学业，应根据学生实际学习时间，按月计退剩余的学费。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学校为学生提供的住宿收费，不得以营利为目的，应按照优质优价、补偿成本的原则，报当地物价部门会同财政部门审批。住宿费按学年或学期收取，不得跨学年预收。</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如学生因故退学或提前结束学业，应根据学生实际住宿时间，按月计退剩余的住宿费。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校收费原则上由学校财务部门统一收取，也可由学校相关职能部门收取，但应由学校财务部门统一核算和管理。严禁学校财务管理部门以外的其他部门自立账户，进行核算和管理。并严格实行“收支两条线”管理，收入按照国家有关规定及时全额上缴财政国库，支出由财政部门按预算核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学校按照自愿原则面向在校学生和社会人员或接受委托对外提供各类培训服务，可以收取培训费。职业技能及行政许可等培训收费，按照行政审批的有关规定执行和管理；其他培训收费标准实行市场调节价管理。</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代收费应纳入学校财务部门统一管理，代收费收入由学校全部转交提供服务的单位，不得计入学校收入，并应即时收取，及时据实结算、多退少补，不得加收额外费用。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财务管理部门指定专人负责各类收费的票据管理工作，收费时必须使用学校财务管理部门指定的统一收费票据，并按财政、税务部门有关规定，做好票据的领用与核销登记。</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第十一条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学校各类收费，要严格按照“收支两条线”管理，不得“坐收坐支”，严禁帐外设账，私设“小金库”；严禁公款私存、转移资金。任何部门、单位和个人不得以任何形式截留、挤占和挪用。学费的收支情况应按级次向教育主管部门和财政、物价部门报告，并接受社会和群众监督。</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严格执行收费公示制度，实行亮证收费，在学校醒目位置或网站公示收费项目、收费标准、收费依据以及举报电话，主动接受学生、家长和社会的监督。</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第十三条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校应当建立健全收费监督检查制度。财务管理部门应对收费标准执行情况进行检测或定期审核，包括：收费项目和标准的执行情况、票据使用情况、收入上缴情况以及有无违规收费等；审计部门应将收费资金收支情况，资金分配上缴情况以及纳入对收费单位负责人的任期届满审计；行政监察部门应当依法对违规违纪收费行为进行立案、查处。</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有下列情形之一的，属乱收费行为：</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（一）未经学校批准，擅自设收费项目或自定收费标准的；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（二）未经学校批准，擅自扩大收费范围或调整收费标准的；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（三）其他违法、违规收费行为。</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第十五条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有下列行为之一的，属违纪违规行为：</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（一）现金收费时不开收据的；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（二）现金收费后不入账或者不上缴财务的；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（三）将收费收入私自或在领导授意下公款私存的；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（四）不使用国家和学校规定的统一收费票据，或者擅自印制、转让、转移、代开收费票据，或者超范围使用和收费票据的；</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校内部各部门或个人本办法规定的，擅自设立收费项目乱收费行为者，学校将责令立即停止收费行为，并将所收款项退还原缴费者；无法退还的，学校予以没收，根据国家有关规定处理，并追究有关人员的责任。对严重违纪违规、乱收费行为，学校将移送司法机关处理。</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本办法未尽事宜按国家和学校的有关规定执行。</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第十八条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本办法由学校财务管理部门负责解释。</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本办法自</w:t>
      </w:r>
      <w:r>
        <w:rPr>
          <w:rFonts w:ascii="仿宋_GB2312" w:hAnsi="仿宋_GB2312" w:eastAsia="仿宋_GB2312" w:cs="仿宋_GB2312"/>
          <w:kern w:val="0"/>
          <w:sz w:val="32"/>
          <w:szCs w:val="32"/>
          <w:lang w:bidi="ar"/>
        </w:rPr>
        <w:t>2018</w:t>
      </w:r>
      <w:r>
        <w:rPr>
          <w:rFonts w:hint="eastAsia" w:ascii="仿宋_GB2312" w:hAnsi="仿宋_GB2312" w:eastAsia="仿宋_GB2312" w:cs="仿宋_GB2312"/>
          <w:kern w:val="0"/>
          <w:sz w:val="32"/>
          <w:szCs w:val="32"/>
          <w:lang w:bidi="ar"/>
        </w:rPr>
        <w:t>年</w:t>
      </w:r>
      <w:r>
        <w:rPr>
          <w:rFonts w:ascii="仿宋_GB2312" w:hAnsi="仿宋_GB2312" w:eastAsia="仿宋_GB2312" w:cs="仿宋_GB2312"/>
          <w:kern w:val="0"/>
          <w:sz w:val="32"/>
          <w:szCs w:val="32"/>
          <w:lang w:bidi="ar"/>
        </w:rPr>
        <w:t>6</w:t>
      </w:r>
      <w:r>
        <w:rPr>
          <w:rFonts w:hint="eastAsia" w:ascii="仿宋_GB2312" w:hAnsi="仿宋_GB2312" w:eastAsia="仿宋_GB2312" w:cs="仿宋_GB2312"/>
          <w:kern w:val="0"/>
          <w:sz w:val="32"/>
          <w:szCs w:val="32"/>
          <w:lang w:bidi="ar"/>
        </w:rPr>
        <w:t>月</w:t>
      </w:r>
      <w:r>
        <w:rPr>
          <w:rFonts w:ascii="仿宋_GB2312" w:hAnsi="仿宋_GB2312" w:eastAsia="仿宋_GB2312" w:cs="仿宋_GB2312"/>
          <w:kern w:val="0"/>
          <w:sz w:val="32"/>
          <w:szCs w:val="32"/>
          <w:lang w:bidi="ar"/>
        </w:rPr>
        <w:t>25</w:t>
      </w:r>
      <w:r>
        <w:rPr>
          <w:rFonts w:hint="eastAsia" w:ascii="仿宋_GB2312" w:hAnsi="仿宋_GB2312" w:eastAsia="仿宋_GB2312" w:cs="仿宋_GB2312"/>
          <w:kern w:val="0"/>
          <w:sz w:val="32"/>
          <w:szCs w:val="32"/>
          <w:lang w:bidi="ar"/>
        </w:rPr>
        <w:t>日起执行。</w:t>
      </w: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hint="eastAsia" w:ascii="宋体" w:hAnsi="宋体"/>
          <w:b/>
          <w:bCs/>
          <w:color w:val="000000"/>
          <w:sz w:val="36"/>
          <w:szCs w:val="36"/>
          <w:lang w:val="en-US" w:eastAsia="zh-CN"/>
        </w:rPr>
      </w:pPr>
      <w:r>
        <w:rPr>
          <w:rFonts w:ascii="仿宋_GB2312" w:hAnsi="仿宋_GB2312" w:eastAsia="仿宋_GB2312" w:cs="仿宋_GB2312"/>
          <w:kern w:val="0"/>
          <w:sz w:val="32"/>
          <w:szCs w:val="32"/>
          <w:lang w:bidi="ar"/>
        </w:rPr>
        <w:br w:type="page"/>
      </w:r>
      <w:bookmarkStart w:id="1090" w:name="_Toc12491_WPSOffice_Level1"/>
      <w:bookmarkStart w:id="1091" w:name="_Toc534379498"/>
      <w:r>
        <w:rPr>
          <w:rFonts w:hint="eastAsia" w:asciiTheme="minorEastAsia" w:hAnsiTheme="minorEastAsia" w:eastAsiaTheme="minorEastAsia"/>
          <w:b/>
          <w:bCs/>
          <w:color w:val="000000"/>
          <w:kern w:val="2"/>
          <w:sz w:val="36"/>
          <w:szCs w:val="36"/>
          <w:lang w:val="en-US" w:eastAsia="zh-CN"/>
        </w:rPr>
        <w:t>柳州职业技术学院内部审计工作规定（试行）</w:t>
      </w:r>
      <w:bookmarkEnd w:id="1090"/>
      <w:bookmarkEnd w:id="1091"/>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（柳职院字〔2018〕49号）</w:t>
      </w:r>
    </w:p>
    <w:p>
      <w:pPr>
        <w:pageBreakBefore w:val="0"/>
        <w:kinsoku/>
        <w:wordWrap/>
        <w:overflowPunct/>
        <w:topLinePunct w:val="0"/>
        <w:autoSpaceDE/>
        <w:autoSpaceDN/>
        <w:bidi w:val="0"/>
        <w:outlineLvl w:val="9"/>
        <w:rPr>
          <w:rFonts w:ascii="仿宋" w:hAnsi="仿宋" w:eastAsia="仿宋"/>
          <w:szCs w:val="28"/>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bookmarkStart w:id="1092" w:name="_Toc29071_WPSOffice_Level1"/>
      <w:r>
        <w:rPr>
          <w:rFonts w:hint="eastAsia" w:ascii="黑体" w:hAnsi="仿宋_GB2312" w:eastAsia="黑体" w:cs="仿宋_GB2312"/>
          <w:b/>
          <w:kern w:val="0"/>
          <w:sz w:val="32"/>
          <w:szCs w:val="32"/>
          <w:lang w:bidi="ar"/>
        </w:rPr>
        <w:t>第一章  总  则</w:t>
      </w:r>
      <w:bookmarkEnd w:id="1092"/>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第一条</w:t>
      </w:r>
      <w:r>
        <w:rPr>
          <w:rFonts w:hint="eastAsia" w:ascii="仿宋_GB2312" w:hAnsi="宋体" w:eastAsia="仿宋_GB2312"/>
          <w:sz w:val="32"/>
          <w:szCs w:val="32"/>
        </w:rPr>
        <w:t xml:space="preserve">  为建立健全学校内部审计制度，规范内部审计工作，根据《中华人民共和国审计法》、《审计署关于内部审计工作的规定》（审计署 2018 年第 11 号令）、《教育系统内部审计工作规定》（教育部 2004 年第 17 号令）等法律、法规，结合学校实际，制定本规定。</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第二条</w:t>
      </w:r>
      <w:r>
        <w:rPr>
          <w:rFonts w:hint="eastAsia" w:ascii="仿宋_GB2312" w:hAnsi="宋体" w:eastAsia="仿宋_GB2312"/>
          <w:sz w:val="32"/>
          <w:szCs w:val="32"/>
        </w:rPr>
        <w:t xml:space="preserve">  学校按照依法治校、加强内部控制的原则，建立健全内部审计制度，设置独立的内部审计机构，配备审计人员，开展内部审计工作。</w:t>
      </w:r>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第三条  </w:t>
      </w:r>
      <w:r>
        <w:rPr>
          <w:rFonts w:hint="eastAsia" w:ascii="仿宋_GB2312" w:hAnsi="宋体" w:eastAsia="仿宋_GB2312"/>
          <w:sz w:val="32"/>
          <w:szCs w:val="32"/>
        </w:rPr>
        <w:t>学校内部审计工作遵循依法、客观、独立、公正的原则，为学校事业发展服务，促进学校加强内部管理和廉政建设，防范风险，推进学校治理体系的完善与治理水平的提升。</w:t>
      </w:r>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第四条</w:t>
      </w:r>
      <w:r>
        <w:rPr>
          <w:rFonts w:hint="eastAsia" w:ascii="仿宋_GB2312" w:hAnsi="宋体" w:eastAsia="仿宋_GB2312"/>
          <w:sz w:val="32"/>
          <w:szCs w:val="32"/>
        </w:rPr>
        <w:t xml:space="preserve">  内部审计与督导室在学校领导下，依据国家法律、法规和政策，以及上级部门和本单位的规章制度，独立开展内部审计工作，对学校主要负责人负责并报告工作，同时接受国家审计机关和上级主管部门审计机构的业务指导和检查。</w:t>
      </w:r>
    </w:p>
    <w:p>
      <w:pPr>
        <w:pageBreakBefore w:val="0"/>
        <w:kinsoku/>
        <w:wordWrap/>
        <w:overflowPunct/>
        <w:topLinePunct w:val="0"/>
        <w:autoSpaceDE/>
        <w:autoSpaceDN/>
        <w:bidi w:val="0"/>
        <w:adjustRightInd w:val="0"/>
        <w:snapToGrid w:val="0"/>
        <w:spacing w:line="560" w:lineRule="exact"/>
        <w:jc w:val="center"/>
        <w:outlineLvl w:val="9"/>
        <w:rPr>
          <w:rFonts w:hint="eastAsia" w:ascii="仿宋_GB2312" w:hAnsi="宋体" w:eastAsia="仿宋_GB2312"/>
          <w:sz w:val="32"/>
          <w:szCs w:val="32"/>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bookmarkStart w:id="1093" w:name="_Toc19593_WPSOffice_Level1"/>
      <w:r>
        <w:rPr>
          <w:rFonts w:hint="eastAsia" w:ascii="黑体" w:hAnsi="仿宋_GB2312" w:eastAsia="黑体" w:cs="仿宋_GB2312"/>
          <w:b/>
          <w:kern w:val="0"/>
          <w:sz w:val="32"/>
          <w:szCs w:val="32"/>
          <w:lang w:bidi="ar"/>
        </w:rPr>
        <w:t>第二章  组织和领导</w:t>
      </w:r>
      <w:bookmarkEnd w:id="1093"/>
    </w:p>
    <w:p>
      <w:pPr>
        <w:pageBreakBefore w:val="0"/>
        <w:kinsoku/>
        <w:wordWrap/>
        <w:overflowPunct/>
        <w:topLinePunct w:val="0"/>
        <w:autoSpaceDE/>
        <w:autoSpaceDN/>
        <w:bidi w:val="0"/>
        <w:adjustRightInd w:val="0"/>
        <w:snapToGrid w:val="0"/>
        <w:spacing w:line="560" w:lineRule="exact"/>
        <w:jc w:val="left"/>
        <w:outlineLvl w:val="9"/>
        <w:rPr>
          <w:rFonts w:hint="eastAsia" w:ascii="仿宋_GB2312" w:hAnsi="宋体" w:eastAsia="仿宋_GB2312"/>
          <w:spacing w:val="-6"/>
          <w:sz w:val="32"/>
          <w:szCs w:val="32"/>
        </w:rPr>
      </w:pPr>
      <w:r>
        <w:rPr>
          <w:rFonts w:hint="eastAsia" w:ascii="仿宋_GB2312" w:hAnsi="宋体" w:eastAsia="仿宋_GB2312"/>
          <w:sz w:val="32"/>
          <w:szCs w:val="32"/>
        </w:rPr>
        <w:t xml:space="preserve">    </w:t>
      </w:r>
      <w:r>
        <w:rPr>
          <w:rFonts w:hint="eastAsia" w:ascii="仿宋_GB2312" w:hAnsi="宋体" w:eastAsia="仿宋_GB2312"/>
          <w:b/>
          <w:spacing w:val="-6"/>
          <w:sz w:val="32"/>
          <w:szCs w:val="32"/>
        </w:rPr>
        <w:t xml:space="preserve">第五条  </w:t>
      </w:r>
      <w:r>
        <w:rPr>
          <w:rFonts w:hint="eastAsia" w:ascii="仿宋_GB2312" w:hAnsi="宋体" w:eastAsia="仿宋_GB2312"/>
          <w:spacing w:val="-6"/>
          <w:sz w:val="32"/>
          <w:szCs w:val="32"/>
        </w:rPr>
        <w:t>内部审计与督导室在校长的直接领导下，依法独立开展内部审计工作。校长根据工作需要，委托其他校领导协助分管。</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第六条</w:t>
      </w:r>
      <w:r>
        <w:rPr>
          <w:rFonts w:hint="eastAsia" w:ascii="仿宋_GB2312" w:hAnsi="宋体" w:eastAsia="仿宋_GB2312"/>
          <w:sz w:val="32"/>
          <w:szCs w:val="32"/>
        </w:rPr>
        <w:t xml:space="preserve">  内部审计与督导室负责对学校各部门、各二级学院及所属单位实施内部审计。</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 xml:space="preserve">第七条 </w:t>
      </w:r>
      <w:r>
        <w:rPr>
          <w:rFonts w:hint="eastAsia" w:ascii="仿宋_GB2312" w:hAnsi="宋体" w:eastAsia="仿宋_GB2312"/>
          <w:sz w:val="32"/>
          <w:szCs w:val="32"/>
        </w:rPr>
        <w:t xml:space="preserve"> 校长和协管审计工作的校领导应在以下几方面加强对内部审计工作的领导： </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（一）建立健全内部审计机构，完善内部审计规章制度；</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（二）定期研究、部署和检查审计工作，听取审计部门的工作汇报，审批审计工作计划、审计报告，协调、督促审计意见和审计建议的执行；</w:t>
      </w:r>
    </w:p>
    <w:p>
      <w:pPr>
        <w:pageBreakBefore w:val="0"/>
        <w:kinsoku/>
        <w:wordWrap/>
        <w:overflowPunct/>
        <w:topLinePunct w:val="0"/>
        <w:autoSpaceDE/>
        <w:autoSpaceDN/>
        <w:bidi w:val="0"/>
        <w:adjustRightInd w:val="0"/>
        <w:snapToGrid w:val="0"/>
        <w:spacing w:line="560" w:lineRule="exact"/>
        <w:ind w:firstLine="645"/>
        <w:outlineLvl w:val="9"/>
        <w:rPr>
          <w:rFonts w:hint="eastAsia" w:ascii="仿宋_GB2312" w:hAnsi="宋体" w:eastAsia="仿宋_GB2312"/>
          <w:sz w:val="32"/>
          <w:szCs w:val="32"/>
        </w:rPr>
      </w:pPr>
      <w:r>
        <w:rPr>
          <w:rFonts w:hint="eastAsia" w:ascii="仿宋_GB2312" w:hAnsi="宋体" w:eastAsia="仿宋_GB2312"/>
          <w:sz w:val="32"/>
          <w:szCs w:val="32"/>
        </w:rPr>
        <w:t>（三）支持内部审计机构和审计人员依法履行职责，维护内部审计机构和审计人员的合法权益，保障必要的业务经费和工作条件；</w:t>
      </w:r>
    </w:p>
    <w:p>
      <w:pPr>
        <w:pageBreakBefore w:val="0"/>
        <w:widowControl/>
        <w:kinsoku/>
        <w:wordWrap/>
        <w:overflowPunct/>
        <w:topLinePunct w:val="0"/>
        <w:autoSpaceDE/>
        <w:autoSpaceDN/>
        <w:bidi w:val="0"/>
        <w:adjustRightInd w:val="0"/>
        <w:snapToGrid w:val="0"/>
        <w:spacing w:line="560" w:lineRule="exact"/>
        <w:ind w:firstLine="800" w:firstLineChars="250"/>
        <w:jc w:val="left"/>
        <w:outlineLvl w:val="9"/>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(四)对成绩显著的内部审计机构和审计人员进行表彰和奖励；</w:t>
      </w:r>
    </w:p>
    <w:p>
      <w:pPr>
        <w:pageBreakBefore w:val="0"/>
        <w:widowControl/>
        <w:kinsoku/>
        <w:wordWrap/>
        <w:overflowPunct/>
        <w:topLinePunct w:val="0"/>
        <w:autoSpaceDE/>
        <w:autoSpaceDN/>
        <w:bidi w:val="0"/>
        <w:adjustRightInd w:val="0"/>
        <w:snapToGrid w:val="0"/>
        <w:spacing w:line="560" w:lineRule="exact"/>
        <w:jc w:val="left"/>
        <w:outlineLvl w:val="9"/>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(五)加强审计队伍建设，切实解决审计人员在培训、</w:t>
      </w:r>
      <w:bookmarkStart w:id="1094" w:name="_Toc15959_WPSOffice_Level1"/>
      <w:r>
        <w:rPr>
          <w:rFonts w:hint="eastAsia" w:ascii="仿宋_GB2312" w:hAnsi="宋体" w:eastAsia="仿宋_GB2312" w:cs="宋体"/>
          <w:color w:val="000000"/>
          <w:kern w:val="0"/>
          <w:sz w:val="32"/>
          <w:szCs w:val="32"/>
        </w:rPr>
        <w:t>专业职务评聘和待遇等方面存在的实</w:t>
      </w:r>
      <w:bookmarkEnd w:id="1094"/>
      <w:r>
        <w:rPr>
          <w:rFonts w:hint="eastAsia" w:ascii="仿宋_GB2312" w:hAnsi="宋体" w:eastAsia="仿宋_GB2312" w:cs="宋体"/>
          <w:color w:val="000000"/>
          <w:kern w:val="0"/>
          <w:sz w:val="32"/>
          <w:szCs w:val="32"/>
        </w:rPr>
        <w:t>际困难和问题。</w:t>
      </w:r>
    </w:p>
    <w:p>
      <w:pPr>
        <w:pageBreakBefore w:val="0"/>
        <w:kinsoku/>
        <w:wordWrap/>
        <w:overflowPunct/>
        <w:topLinePunct w:val="0"/>
        <w:autoSpaceDE/>
        <w:autoSpaceDN/>
        <w:bidi w:val="0"/>
        <w:adjustRightInd w:val="0"/>
        <w:snapToGrid w:val="0"/>
        <w:spacing w:line="560" w:lineRule="exact"/>
        <w:ind w:firstLine="645"/>
        <w:outlineLvl w:val="9"/>
        <w:rPr>
          <w:rFonts w:hint="eastAsia" w:ascii="仿宋_GB2312" w:hAnsi="宋体" w:eastAsia="仿宋_GB2312"/>
          <w:b/>
          <w:color w:val="FF0000"/>
          <w:sz w:val="32"/>
          <w:szCs w:val="32"/>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bookmarkStart w:id="1095" w:name="_Toc5622_WPSOffice_Level1"/>
      <w:r>
        <w:rPr>
          <w:rFonts w:hint="eastAsia" w:ascii="黑体" w:hAnsi="仿宋_GB2312" w:eastAsia="黑体" w:cs="仿宋_GB2312"/>
          <w:b/>
          <w:kern w:val="0"/>
          <w:sz w:val="32"/>
          <w:szCs w:val="32"/>
          <w:lang w:bidi="ar"/>
        </w:rPr>
        <w:t>第三章  内部审计机构和审计人员</w:t>
      </w:r>
      <w:bookmarkEnd w:id="1095"/>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 xml:space="preserve">第八条  </w:t>
      </w:r>
      <w:r>
        <w:rPr>
          <w:rFonts w:hint="eastAsia" w:ascii="仿宋_GB2312" w:hAnsi="宋体" w:eastAsia="仿宋_GB2312"/>
          <w:sz w:val="32"/>
          <w:szCs w:val="32"/>
        </w:rPr>
        <w:t>学校按照职责分明、科学管理和审计独立性的原则设置内部审计机构，内部审计与督导室履行学校内部审计机构职责，组织开展内部审计工作。</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 xml:space="preserve">第九条  </w:t>
      </w:r>
      <w:r>
        <w:rPr>
          <w:rFonts w:hint="eastAsia" w:ascii="仿宋_GB2312" w:hAnsi="宋体" w:eastAsia="仿宋_GB2312"/>
          <w:sz w:val="32"/>
          <w:szCs w:val="32"/>
        </w:rPr>
        <w:t>内部审计与督导室应当严格执行国家法律法规和内部审计制度，保证审计业务质量，提高审计工作效率，在规定期限内完成审计任务。</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 xml:space="preserve">第十条  </w:t>
      </w:r>
      <w:r>
        <w:rPr>
          <w:rFonts w:hint="eastAsia" w:ascii="仿宋_GB2312" w:hAnsi="宋体" w:eastAsia="仿宋_GB2312"/>
          <w:sz w:val="32"/>
          <w:szCs w:val="32"/>
        </w:rPr>
        <w:t>内部审计队伍配备具备思想品德好、具有专业知识和业务能力，能够保证审计工作需要的专职审计人员。</w:t>
      </w:r>
    </w:p>
    <w:p>
      <w:pPr>
        <w:pageBreakBefore w:val="0"/>
        <w:tabs>
          <w:tab w:val="left" w:pos="709"/>
        </w:tabs>
        <w:kinsoku/>
        <w:wordWrap/>
        <w:overflowPunct/>
        <w:topLinePunct w:val="0"/>
        <w:autoSpaceDE/>
        <w:autoSpaceDN/>
        <w:bidi w:val="0"/>
        <w:adjustRightInd w:val="0"/>
        <w:snapToGrid w:val="0"/>
        <w:spacing w:line="560" w:lineRule="exact"/>
        <w:ind w:firstLine="660"/>
        <w:outlineLvl w:val="9"/>
        <w:rPr>
          <w:rFonts w:hint="eastAsia" w:ascii="仿宋_GB2312" w:hAnsi="宋体" w:eastAsia="仿宋_GB2312"/>
          <w:sz w:val="32"/>
          <w:szCs w:val="32"/>
        </w:rPr>
      </w:pPr>
      <w:r>
        <w:rPr>
          <w:rFonts w:hint="eastAsia" w:ascii="仿宋_GB2312" w:hAnsi="宋体" w:eastAsia="仿宋_GB2312"/>
          <w:b/>
          <w:sz w:val="32"/>
          <w:szCs w:val="32"/>
        </w:rPr>
        <w:t>第十一条</w:t>
      </w:r>
      <w:r>
        <w:rPr>
          <w:rFonts w:hint="eastAsia" w:ascii="仿宋_GB2312" w:hAnsi="宋体" w:eastAsia="仿宋_GB2312"/>
          <w:sz w:val="32"/>
          <w:szCs w:val="32"/>
        </w:rPr>
        <w:t xml:space="preserve">  内部审计与督导室应按照规定组织审计人员参加岗位资格培训和后续教育，学校应当保证审计人员参加学习、培训或进修的时间。  </w:t>
      </w:r>
    </w:p>
    <w:p>
      <w:pPr>
        <w:pageBreakBefore w:val="0"/>
        <w:kinsoku/>
        <w:wordWrap/>
        <w:overflowPunct/>
        <w:topLinePunct w:val="0"/>
        <w:autoSpaceDE/>
        <w:autoSpaceDN/>
        <w:bidi w:val="0"/>
        <w:adjustRightInd w:val="0"/>
        <w:snapToGrid w:val="0"/>
        <w:spacing w:line="560" w:lineRule="exact"/>
        <w:ind w:firstLine="660"/>
        <w:outlineLvl w:val="9"/>
        <w:rPr>
          <w:rFonts w:hint="eastAsia" w:ascii="仿宋_GB2312" w:hAnsi="宋体" w:eastAsia="仿宋_GB2312"/>
          <w:sz w:val="32"/>
          <w:szCs w:val="32"/>
        </w:rPr>
      </w:pPr>
      <w:r>
        <w:rPr>
          <w:rFonts w:hint="eastAsia" w:ascii="仿宋_GB2312" w:hAnsi="宋体" w:eastAsia="仿宋_GB2312"/>
          <w:b/>
          <w:sz w:val="32"/>
          <w:szCs w:val="32"/>
        </w:rPr>
        <w:t>第十二条</w:t>
      </w:r>
      <w:r>
        <w:rPr>
          <w:rFonts w:hint="eastAsia" w:ascii="仿宋_GB2312" w:hAnsi="宋体" w:eastAsia="仿宋_GB2312"/>
          <w:sz w:val="32"/>
          <w:szCs w:val="32"/>
        </w:rPr>
        <w:t xml:space="preserve">  审计人员办理审计事项，应当严格遵守内部审计准则和内部审计人员职业道德规范。与被审计单位或审计事项有直接利害关系的，应当回避。</w:t>
      </w:r>
    </w:p>
    <w:p>
      <w:pPr>
        <w:pageBreakBefore w:val="0"/>
        <w:kinsoku/>
        <w:wordWrap/>
        <w:overflowPunct/>
        <w:topLinePunct w:val="0"/>
        <w:autoSpaceDE/>
        <w:autoSpaceDN/>
        <w:bidi w:val="0"/>
        <w:adjustRightInd w:val="0"/>
        <w:snapToGrid w:val="0"/>
        <w:spacing w:line="560" w:lineRule="exact"/>
        <w:ind w:firstLine="660"/>
        <w:outlineLvl w:val="9"/>
        <w:rPr>
          <w:rFonts w:hint="eastAsia" w:ascii="仿宋_GB2312" w:hAnsi="宋体" w:eastAsia="仿宋_GB2312"/>
          <w:sz w:val="32"/>
          <w:szCs w:val="32"/>
        </w:rPr>
      </w:pPr>
      <w:r>
        <w:rPr>
          <w:rFonts w:hint="eastAsia" w:ascii="仿宋_GB2312" w:hAnsi="宋体" w:eastAsia="仿宋_GB2312"/>
          <w:b/>
          <w:sz w:val="32"/>
          <w:szCs w:val="32"/>
        </w:rPr>
        <w:t xml:space="preserve">第十三条  </w:t>
      </w:r>
      <w:r>
        <w:rPr>
          <w:rFonts w:hint="eastAsia" w:ascii="仿宋_GB2312" w:hAnsi="宋体" w:eastAsia="仿宋_GB2312"/>
          <w:sz w:val="32"/>
          <w:szCs w:val="32"/>
        </w:rPr>
        <w:t>审计人员依法履行职责，受法律保护，任何单位和个人不得设置障碍和打击报复。</w:t>
      </w:r>
    </w:p>
    <w:p>
      <w:pPr>
        <w:pageBreakBefore w:val="0"/>
        <w:kinsoku/>
        <w:wordWrap/>
        <w:overflowPunct/>
        <w:topLinePunct w:val="0"/>
        <w:autoSpaceDE/>
        <w:autoSpaceDN/>
        <w:bidi w:val="0"/>
        <w:adjustRightInd w:val="0"/>
        <w:snapToGrid w:val="0"/>
        <w:spacing w:line="560" w:lineRule="exact"/>
        <w:ind w:firstLine="660"/>
        <w:outlineLvl w:val="9"/>
        <w:rPr>
          <w:rFonts w:hint="eastAsia" w:ascii="仿宋_GB2312" w:hAnsi="宋体" w:eastAsia="仿宋_GB2312"/>
          <w:sz w:val="32"/>
          <w:szCs w:val="32"/>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bookmarkStart w:id="1096" w:name="_Toc21517_WPSOffice_Level1"/>
      <w:r>
        <w:rPr>
          <w:rFonts w:hint="eastAsia" w:ascii="黑体" w:hAnsi="仿宋_GB2312" w:eastAsia="黑体" w:cs="仿宋_GB2312"/>
          <w:b/>
          <w:kern w:val="0"/>
          <w:sz w:val="32"/>
          <w:szCs w:val="32"/>
          <w:lang w:bidi="ar"/>
        </w:rPr>
        <w:t>第四章 内部审计与督导室的职责和权限</w:t>
      </w:r>
      <w:bookmarkEnd w:id="1096"/>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第十四条</w:t>
      </w:r>
      <w:r>
        <w:rPr>
          <w:rFonts w:hint="eastAsia" w:ascii="仿宋_GB2312" w:hAnsi="宋体" w:eastAsia="仿宋_GB2312"/>
          <w:sz w:val="32"/>
          <w:szCs w:val="32"/>
        </w:rPr>
        <w:t xml:space="preserve">  内部审计与督导室按照本单位及上级主管部门要求，履行审计职责，对学校及其所属部门和单位下列经济事项进行审计：</w:t>
      </w:r>
    </w:p>
    <w:p>
      <w:pPr>
        <w:pageBreakBefore w:val="0"/>
        <w:kinsoku/>
        <w:wordWrap/>
        <w:overflowPunct/>
        <w:topLinePunct w:val="0"/>
        <w:autoSpaceDE/>
        <w:autoSpaceDN/>
        <w:bidi w:val="0"/>
        <w:adjustRightInd w:val="0"/>
        <w:snapToGrid w:val="0"/>
        <w:spacing w:line="560" w:lineRule="exact"/>
        <w:ind w:firstLine="640" w:firstLineChars="200"/>
        <w:outlineLvl w:val="9"/>
        <w:rPr>
          <w:rFonts w:hint="eastAsia" w:ascii="仿宋_GB2312" w:hAnsi="宋体" w:eastAsia="仿宋_GB2312"/>
          <w:sz w:val="32"/>
          <w:szCs w:val="32"/>
        </w:rPr>
      </w:pPr>
      <w:r>
        <w:rPr>
          <w:rFonts w:hint="eastAsia" w:ascii="仿宋_GB2312" w:hAnsi="宋体" w:eastAsia="仿宋_GB2312" w:cs="宋体"/>
          <w:color w:val="000000"/>
          <w:kern w:val="0"/>
          <w:sz w:val="32"/>
          <w:szCs w:val="32"/>
        </w:rPr>
        <w:t>(一)财务收支及有关经济活动；</w:t>
      </w:r>
    </w:p>
    <w:p>
      <w:pPr>
        <w:pageBreakBefore w:val="0"/>
        <w:widowControl/>
        <w:kinsoku/>
        <w:wordWrap/>
        <w:overflowPunct/>
        <w:topLinePunct w:val="0"/>
        <w:autoSpaceDE/>
        <w:autoSpaceDN/>
        <w:bidi w:val="0"/>
        <w:adjustRightInd w:val="0"/>
        <w:snapToGrid w:val="0"/>
        <w:spacing w:line="560" w:lineRule="exact"/>
        <w:ind w:firstLine="555"/>
        <w:jc w:val="left"/>
        <w:outlineLvl w:val="9"/>
        <w:rPr>
          <w:rFonts w:hint="eastAsia" w:ascii="仿宋_GB2312" w:hAnsi="宋体" w:eastAsia="仿宋_GB2312" w:cs="宋体"/>
          <w:color w:val="FF0000"/>
          <w:kern w:val="0"/>
          <w:sz w:val="32"/>
          <w:szCs w:val="32"/>
        </w:rPr>
      </w:pPr>
      <w:r>
        <w:rPr>
          <w:rFonts w:hint="eastAsia" w:ascii="仿宋_GB2312" w:hAnsi="宋体" w:eastAsia="仿宋_GB2312" w:cs="宋体"/>
          <w:color w:val="000000"/>
          <w:kern w:val="0"/>
          <w:sz w:val="32"/>
          <w:szCs w:val="32"/>
        </w:rPr>
        <w:t>(二)预算执行和决算；　　</w:t>
      </w:r>
    </w:p>
    <w:p>
      <w:pPr>
        <w:pageBreakBefore w:val="0"/>
        <w:widowControl/>
        <w:kinsoku/>
        <w:wordWrap/>
        <w:overflowPunct/>
        <w:topLinePunct w:val="0"/>
        <w:autoSpaceDE/>
        <w:autoSpaceDN/>
        <w:bidi w:val="0"/>
        <w:adjustRightInd w:val="0"/>
        <w:snapToGrid w:val="0"/>
        <w:spacing w:line="560" w:lineRule="exact"/>
        <w:ind w:firstLine="555"/>
        <w:jc w:val="left"/>
        <w:outlineLvl w:val="9"/>
        <w:rPr>
          <w:rFonts w:hint="eastAsia" w:ascii="仿宋_GB2312" w:hAnsi="宋体" w:eastAsia="仿宋_GB2312" w:cs="宋体"/>
          <w:color w:val="FF0000"/>
          <w:kern w:val="0"/>
          <w:sz w:val="32"/>
          <w:szCs w:val="32"/>
        </w:rPr>
      </w:pPr>
      <w:r>
        <w:rPr>
          <w:rFonts w:hint="eastAsia" w:ascii="仿宋_GB2312" w:hAnsi="宋体" w:eastAsia="仿宋_GB2312" w:cs="宋体"/>
          <w:color w:val="000000"/>
          <w:kern w:val="0"/>
          <w:sz w:val="32"/>
          <w:szCs w:val="32"/>
        </w:rPr>
        <w:t>(三)专项教育资金的筹措、拨付、管理和使用；</w:t>
      </w:r>
    </w:p>
    <w:p>
      <w:pPr>
        <w:pageBreakBefore w:val="0"/>
        <w:widowControl/>
        <w:kinsoku/>
        <w:wordWrap/>
        <w:overflowPunct/>
        <w:topLinePunct w:val="0"/>
        <w:autoSpaceDE/>
        <w:autoSpaceDN/>
        <w:bidi w:val="0"/>
        <w:adjustRightInd w:val="0"/>
        <w:snapToGrid w:val="0"/>
        <w:spacing w:line="560" w:lineRule="exact"/>
        <w:ind w:firstLine="555"/>
        <w:jc w:val="left"/>
        <w:outlineLvl w:val="9"/>
        <w:rPr>
          <w:rFonts w:hint="eastAsia" w:ascii="仿宋_GB2312" w:hAnsi="宋体" w:eastAsia="仿宋_GB2312" w:cs="宋体"/>
          <w:color w:val="FF0000"/>
          <w:kern w:val="0"/>
          <w:sz w:val="32"/>
          <w:szCs w:val="32"/>
        </w:rPr>
      </w:pPr>
      <w:r>
        <w:rPr>
          <w:rFonts w:hint="eastAsia" w:ascii="仿宋_GB2312" w:hAnsi="宋体" w:eastAsia="仿宋_GB2312" w:cs="宋体"/>
          <w:color w:val="000000"/>
          <w:kern w:val="0"/>
          <w:sz w:val="32"/>
          <w:szCs w:val="32"/>
        </w:rPr>
        <w:t>(四)</w:t>
      </w:r>
      <w:r>
        <w:rPr>
          <w:rFonts w:hint="eastAsia" w:ascii="仿宋_GB2312" w:hAnsi="宋体" w:eastAsia="仿宋_GB2312" w:cs="宋体"/>
          <w:kern w:val="0"/>
          <w:sz w:val="32"/>
          <w:szCs w:val="32"/>
        </w:rPr>
        <w:t>物资、服务的采购，国有资产的购置、管理和使用情况；</w:t>
      </w:r>
    </w:p>
    <w:p>
      <w:pPr>
        <w:pageBreakBefore w:val="0"/>
        <w:widowControl/>
        <w:kinsoku/>
        <w:wordWrap/>
        <w:overflowPunct/>
        <w:topLinePunct w:val="0"/>
        <w:autoSpaceDE/>
        <w:autoSpaceDN/>
        <w:bidi w:val="0"/>
        <w:adjustRightInd w:val="0"/>
        <w:snapToGrid w:val="0"/>
        <w:spacing w:line="560" w:lineRule="exact"/>
        <w:jc w:val="left"/>
        <w:outlineLvl w:val="9"/>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(五)建设、修缮工程项目；</w:t>
      </w:r>
    </w:p>
    <w:p>
      <w:pPr>
        <w:pageBreakBefore w:val="0"/>
        <w:widowControl/>
        <w:kinsoku/>
        <w:wordWrap/>
        <w:overflowPunct/>
        <w:topLinePunct w:val="0"/>
        <w:autoSpaceDE/>
        <w:autoSpaceDN/>
        <w:bidi w:val="0"/>
        <w:adjustRightInd w:val="0"/>
        <w:snapToGrid w:val="0"/>
        <w:spacing w:line="560" w:lineRule="exact"/>
        <w:jc w:val="left"/>
        <w:outlineLvl w:val="9"/>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(六)对外投资项目；</w:t>
      </w:r>
    </w:p>
    <w:p>
      <w:pPr>
        <w:pageBreakBefore w:val="0"/>
        <w:widowControl/>
        <w:kinsoku/>
        <w:wordWrap/>
        <w:overflowPunct/>
        <w:topLinePunct w:val="0"/>
        <w:autoSpaceDE/>
        <w:autoSpaceDN/>
        <w:bidi w:val="0"/>
        <w:adjustRightInd w:val="0"/>
        <w:snapToGrid w:val="0"/>
        <w:spacing w:line="560" w:lineRule="exact"/>
        <w:ind w:firstLine="555"/>
        <w:jc w:val="left"/>
        <w:outlineLvl w:val="9"/>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(七)科研项目立项、管理及经费使用情况；</w:t>
      </w:r>
    </w:p>
    <w:p>
      <w:pPr>
        <w:pageBreakBefore w:val="0"/>
        <w:widowControl/>
        <w:kinsoku/>
        <w:wordWrap/>
        <w:overflowPunct/>
        <w:topLinePunct w:val="0"/>
        <w:autoSpaceDE/>
        <w:autoSpaceDN/>
        <w:bidi w:val="0"/>
        <w:adjustRightInd w:val="0"/>
        <w:snapToGrid w:val="0"/>
        <w:spacing w:line="560" w:lineRule="exact"/>
        <w:ind w:firstLine="555"/>
        <w:jc w:val="left"/>
        <w:outlineLvl w:val="9"/>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(八)经济管理和效益情况；</w:t>
      </w:r>
    </w:p>
    <w:p>
      <w:pPr>
        <w:pageBreakBefore w:val="0"/>
        <w:widowControl/>
        <w:kinsoku/>
        <w:wordWrap/>
        <w:overflowPunct/>
        <w:topLinePunct w:val="0"/>
        <w:autoSpaceDE/>
        <w:autoSpaceDN/>
        <w:bidi w:val="0"/>
        <w:adjustRightInd w:val="0"/>
        <w:snapToGrid w:val="0"/>
        <w:spacing w:line="560" w:lineRule="exact"/>
        <w:ind w:firstLine="555"/>
        <w:jc w:val="left"/>
        <w:outlineLvl w:val="9"/>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(九)</w:t>
      </w:r>
      <w:r>
        <w:rPr>
          <w:rFonts w:hint="eastAsia" w:ascii="仿宋_GB2312" w:hAnsi="宋体" w:eastAsia="仿宋_GB2312" w:cs="宋体"/>
          <w:kern w:val="0"/>
          <w:sz w:val="32"/>
          <w:szCs w:val="32"/>
        </w:rPr>
        <w:t>校内中层干部的任期经济责任；</w:t>
      </w:r>
    </w:p>
    <w:p>
      <w:pPr>
        <w:pageBreakBefore w:val="0"/>
        <w:widowControl/>
        <w:kinsoku/>
        <w:wordWrap/>
        <w:overflowPunct/>
        <w:topLinePunct w:val="0"/>
        <w:autoSpaceDE/>
        <w:autoSpaceDN/>
        <w:bidi w:val="0"/>
        <w:adjustRightInd w:val="0"/>
        <w:snapToGrid w:val="0"/>
        <w:spacing w:line="560" w:lineRule="exact"/>
        <w:ind w:firstLine="555"/>
        <w:jc w:val="left"/>
        <w:outlineLvl w:val="9"/>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(十)</w:t>
      </w:r>
      <w:r>
        <w:rPr>
          <w:rFonts w:hint="eastAsia" w:ascii="仿宋_GB2312" w:hAnsi="宋体" w:eastAsia="仿宋_GB2312" w:cs="宋体"/>
          <w:kern w:val="0"/>
          <w:sz w:val="32"/>
          <w:szCs w:val="32"/>
        </w:rPr>
        <w:t>学校领导和上级审计部门交办的其他审计事项</w:t>
      </w:r>
      <w:r>
        <w:rPr>
          <w:rFonts w:hint="eastAsia" w:ascii="仿宋_GB2312" w:hAnsi="宋体" w:eastAsia="仿宋_GB2312" w:cs="宋体"/>
          <w:color w:val="000000"/>
          <w:kern w:val="0"/>
          <w:sz w:val="32"/>
          <w:szCs w:val="32"/>
        </w:rPr>
        <w:t>。</w:t>
      </w:r>
    </w:p>
    <w:p>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cs="宋体"/>
          <w:color w:val="000000"/>
          <w:kern w:val="0"/>
          <w:sz w:val="32"/>
          <w:szCs w:val="32"/>
        </w:rPr>
      </w:pPr>
      <w:r>
        <w:rPr>
          <w:rFonts w:hint="eastAsia" w:ascii="仿宋_GB2312" w:hAnsi="宋体" w:eastAsia="仿宋_GB2312"/>
          <w:b/>
          <w:sz w:val="32"/>
          <w:szCs w:val="32"/>
        </w:rPr>
        <w:t xml:space="preserve">第十五条 </w:t>
      </w:r>
      <w:r>
        <w:rPr>
          <w:rFonts w:hint="eastAsia" w:ascii="仿宋_GB2312" w:hAnsi="宋体" w:eastAsia="仿宋_GB2312"/>
          <w:sz w:val="32"/>
          <w:szCs w:val="32"/>
        </w:rPr>
        <w:t xml:space="preserve"> 内部审计与督导室应在职责范围内为学校所属部门和单位提供审计咨询服务。</w:t>
      </w:r>
    </w:p>
    <w:p>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cs="宋体"/>
          <w:color w:val="000000"/>
          <w:kern w:val="0"/>
          <w:sz w:val="32"/>
          <w:szCs w:val="32"/>
        </w:rPr>
      </w:pPr>
      <w:r>
        <w:rPr>
          <w:rFonts w:hint="eastAsia" w:ascii="仿宋_GB2312" w:hAnsi="宋体" w:eastAsia="仿宋_GB2312"/>
          <w:b/>
          <w:sz w:val="32"/>
          <w:szCs w:val="32"/>
        </w:rPr>
        <w:t>第十六条</w:t>
      </w:r>
      <w:r>
        <w:rPr>
          <w:rFonts w:hint="eastAsia" w:ascii="仿宋_GB2312" w:hAnsi="宋体" w:eastAsia="仿宋_GB2312"/>
          <w:sz w:val="32"/>
          <w:szCs w:val="32"/>
        </w:rPr>
        <w:t xml:space="preserve">  内部审计与督导室应根据审计情况，对一些共性、倾向性问题进行专项审计调查，提出加强内部管理的意见和建议。</w:t>
      </w:r>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第十七条 </w:t>
      </w:r>
      <w:r>
        <w:rPr>
          <w:rFonts w:hint="eastAsia" w:ascii="仿宋_GB2312" w:hAnsi="宋体" w:eastAsia="仿宋_GB2312"/>
          <w:sz w:val="32"/>
          <w:szCs w:val="32"/>
        </w:rPr>
        <w:t xml:space="preserve"> 内部审计与督导室根据工作需要，经校领导批准，可委托社会中介机构对有关事项进行审计，并对社会中介机构的审计质量进行监督和评估。</w:t>
      </w:r>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第十八条</w:t>
      </w:r>
      <w:r>
        <w:rPr>
          <w:rFonts w:hint="eastAsia" w:ascii="仿宋_GB2312" w:hAnsi="宋体" w:eastAsia="仿宋_GB2312"/>
          <w:sz w:val="32"/>
          <w:szCs w:val="32"/>
        </w:rPr>
        <w:t xml:space="preserve">  内部审计与督导室在履行审计职责时，具有下列主要权限：</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（一）要求有关单位按时报送真实、完整的财务收支明细账、预算管理、决算、会计报表和其他有关文件、资料等；</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（二）对审计涉及的有关事项，向有关单位和个人进行调查并取得有关文件、资料和证明材料；</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（三）审查会计凭证、账簿等，检查资金和资产，检查有关电子数据和资料，勘察现场实物；</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（四）对正在进行的严重违法违纪、严重损失浪费行为，经学校主要领导同意，做出临时制止决定；</w:t>
      </w:r>
    </w:p>
    <w:p>
      <w:pPr>
        <w:pageBreakBefore w:val="0"/>
        <w:kinsoku/>
        <w:wordWrap/>
        <w:overflowPunct/>
        <w:topLinePunct w:val="0"/>
        <w:autoSpaceDE/>
        <w:autoSpaceDN/>
        <w:bidi w:val="0"/>
        <w:adjustRightInd w:val="0"/>
        <w:snapToGrid w:val="0"/>
        <w:spacing w:line="560" w:lineRule="exact"/>
        <w:ind w:firstLine="660"/>
        <w:outlineLvl w:val="9"/>
        <w:rPr>
          <w:rFonts w:hint="eastAsia" w:ascii="仿宋_GB2312" w:hAnsi="宋体" w:eastAsia="仿宋_GB2312"/>
          <w:sz w:val="32"/>
          <w:szCs w:val="32"/>
        </w:rPr>
      </w:pPr>
      <w:r>
        <w:rPr>
          <w:rFonts w:hint="eastAsia" w:ascii="仿宋_GB2312" w:hAnsi="宋体" w:eastAsia="仿宋_GB2312"/>
          <w:sz w:val="32"/>
          <w:szCs w:val="32"/>
        </w:rPr>
        <w:t>（五）对可能转移、隐匿、篡改、毁弃的会计凭证、会计账簿、会计报表以及与经济活动有关的资料，经学校主要领导批准，有权采取暂时封存的措施；</w:t>
      </w:r>
    </w:p>
    <w:p>
      <w:pPr>
        <w:pageBreakBefore w:val="0"/>
        <w:kinsoku/>
        <w:wordWrap/>
        <w:overflowPunct/>
        <w:topLinePunct w:val="0"/>
        <w:autoSpaceDE/>
        <w:autoSpaceDN/>
        <w:bidi w:val="0"/>
        <w:adjustRightInd w:val="0"/>
        <w:snapToGrid w:val="0"/>
        <w:spacing w:line="560" w:lineRule="exact"/>
        <w:ind w:firstLine="660"/>
        <w:outlineLvl w:val="9"/>
        <w:rPr>
          <w:rFonts w:hint="eastAsia" w:ascii="仿宋_GB2312" w:hAnsi="宋体" w:eastAsia="仿宋_GB2312"/>
          <w:sz w:val="32"/>
          <w:szCs w:val="32"/>
        </w:rPr>
      </w:pPr>
      <w:r>
        <w:rPr>
          <w:rFonts w:hint="eastAsia" w:ascii="仿宋_GB2312" w:hAnsi="宋体" w:eastAsia="仿宋_GB2312"/>
          <w:sz w:val="32"/>
          <w:szCs w:val="32"/>
        </w:rPr>
        <w:t>（六）提出改善内部管理、提高经济效益的建议，对违法违规和造成损失浪费的行为提出纠正、处理意见；</w:t>
      </w:r>
    </w:p>
    <w:p>
      <w:pPr>
        <w:pageBreakBefore w:val="0"/>
        <w:kinsoku/>
        <w:wordWrap/>
        <w:overflowPunct/>
        <w:topLinePunct w:val="0"/>
        <w:autoSpaceDE/>
        <w:autoSpaceDN/>
        <w:bidi w:val="0"/>
        <w:adjustRightInd w:val="0"/>
        <w:snapToGrid w:val="0"/>
        <w:spacing w:line="560" w:lineRule="exact"/>
        <w:ind w:firstLine="660"/>
        <w:outlineLvl w:val="9"/>
        <w:rPr>
          <w:rFonts w:hint="eastAsia" w:ascii="仿宋_GB2312" w:hAnsi="宋体" w:eastAsia="仿宋_GB2312"/>
          <w:sz w:val="32"/>
          <w:szCs w:val="32"/>
        </w:rPr>
      </w:pPr>
      <w:r>
        <w:rPr>
          <w:rFonts w:hint="eastAsia" w:ascii="仿宋_GB2312" w:hAnsi="宋体" w:eastAsia="仿宋_GB2312"/>
          <w:sz w:val="32"/>
          <w:szCs w:val="32"/>
        </w:rPr>
        <w:t>（七）对审计工作的重大事项，按照有关规定及时向学校党政及校领导反映；</w:t>
      </w:r>
    </w:p>
    <w:p>
      <w:pPr>
        <w:pageBreakBefore w:val="0"/>
        <w:kinsoku/>
        <w:wordWrap/>
        <w:overflowPunct/>
        <w:topLinePunct w:val="0"/>
        <w:autoSpaceDE/>
        <w:autoSpaceDN/>
        <w:bidi w:val="0"/>
        <w:adjustRightInd w:val="0"/>
        <w:snapToGrid w:val="0"/>
        <w:spacing w:line="56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（八）对涉及严重违纪违规和造成重大损失浪费的有关单位和人员，提出移交纪检监察部门或有关部门处理的建议。</w:t>
      </w:r>
    </w:p>
    <w:p>
      <w:pPr>
        <w:pageBreakBefore w:val="0"/>
        <w:kinsoku/>
        <w:wordWrap/>
        <w:overflowPunct/>
        <w:topLinePunct w:val="0"/>
        <w:autoSpaceDE/>
        <w:autoSpaceDN/>
        <w:bidi w:val="0"/>
        <w:adjustRightInd w:val="0"/>
        <w:snapToGrid w:val="0"/>
        <w:spacing w:line="560" w:lineRule="exact"/>
        <w:ind w:firstLine="645"/>
        <w:outlineLvl w:val="9"/>
        <w:rPr>
          <w:rFonts w:hint="eastAsia" w:ascii="仿宋_GB2312" w:hAnsi="宋体" w:eastAsia="仿宋_GB2312"/>
          <w:sz w:val="32"/>
          <w:szCs w:val="32"/>
        </w:rPr>
      </w:pPr>
      <w:r>
        <w:rPr>
          <w:rFonts w:hint="eastAsia" w:ascii="仿宋_GB2312" w:hAnsi="宋体" w:eastAsia="仿宋_GB2312"/>
          <w:b/>
          <w:sz w:val="32"/>
          <w:szCs w:val="32"/>
        </w:rPr>
        <w:t>第十九条</w:t>
      </w:r>
      <w:r>
        <w:rPr>
          <w:rFonts w:hint="eastAsia" w:ascii="仿宋_GB2312" w:hAnsi="宋体" w:eastAsia="仿宋_GB2312"/>
          <w:sz w:val="32"/>
          <w:szCs w:val="32"/>
        </w:rPr>
        <w:t xml:space="preserve">  内部审计与督导室可以利用国家审计机关、上级内部审计部门和社会审计机构的审计结果；内部审计的审计结果经学校主要领导批准同意后，可提供给有关部门。</w:t>
      </w:r>
    </w:p>
    <w:p>
      <w:pPr>
        <w:pageBreakBefore w:val="0"/>
        <w:kinsoku/>
        <w:wordWrap/>
        <w:overflowPunct/>
        <w:topLinePunct w:val="0"/>
        <w:autoSpaceDE/>
        <w:autoSpaceDN/>
        <w:bidi w:val="0"/>
        <w:adjustRightInd w:val="0"/>
        <w:snapToGrid w:val="0"/>
        <w:spacing w:line="560" w:lineRule="exact"/>
        <w:ind w:firstLine="645"/>
        <w:outlineLvl w:val="9"/>
        <w:rPr>
          <w:rFonts w:hint="eastAsia" w:ascii="仿宋_GB2312" w:hAnsi="宋体" w:eastAsia="仿宋_GB2312"/>
          <w:sz w:val="32"/>
          <w:szCs w:val="32"/>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bookmarkStart w:id="1097" w:name="_Toc3681_WPSOffice_Level1"/>
      <w:r>
        <w:rPr>
          <w:rFonts w:hint="eastAsia" w:ascii="黑体" w:hAnsi="仿宋_GB2312" w:eastAsia="黑体" w:cs="仿宋_GB2312"/>
          <w:b/>
          <w:kern w:val="0"/>
          <w:sz w:val="32"/>
          <w:szCs w:val="32"/>
          <w:lang w:bidi="ar"/>
        </w:rPr>
        <w:t>第五章  审计工作程序</w:t>
      </w:r>
      <w:bookmarkEnd w:id="1097"/>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 xml:space="preserve">第二十条 </w:t>
      </w:r>
      <w:r>
        <w:rPr>
          <w:rFonts w:hint="eastAsia" w:ascii="仿宋_GB2312" w:hAnsi="宋体" w:eastAsia="仿宋_GB2312"/>
          <w:sz w:val="32"/>
          <w:szCs w:val="32"/>
        </w:rPr>
        <w:t xml:space="preserve"> 内部审计与督导室根据学校的工作需要和上级主管部门的部署，制定审计工作计划，报经学校校长批准同意后组织实施。</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 xml:space="preserve">第二十一条 </w:t>
      </w:r>
      <w:r>
        <w:rPr>
          <w:rFonts w:hint="eastAsia" w:ascii="仿宋_GB2312" w:hAnsi="宋体" w:eastAsia="仿宋_GB2312"/>
          <w:sz w:val="32"/>
          <w:szCs w:val="32"/>
        </w:rPr>
        <w:t xml:space="preserve"> 内部审计与督导室实施审计，应组成审计组，编制项目审计计划，制定审计方案，并在实施审计前向被审计单位下发审计通知书，做好必要的审计准备工作。被审计单位应对所提供审计资料的真实性和完整性做出书面承诺，并为开展审计工作提供必要的条件。</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第二十二条</w:t>
      </w:r>
      <w:r>
        <w:rPr>
          <w:rFonts w:hint="eastAsia" w:ascii="仿宋_GB2312" w:hAnsi="宋体" w:eastAsia="仿宋_GB2312"/>
          <w:sz w:val="32"/>
          <w:szCs w:val="32"/>
        </w:rPr>
        <w:t xml:space="preserve">  审计组在实施审计前组织召开审计进点会，学校相关部门和被审计单位相关人员参加。</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第二十三条</w:t>
      </w:r>
      <w:r>
        <w:rPr>
          <w:rFonts w:hint="eastAsia" w:ascii="仿宋_GB2312" w:hAnsi="宋体" w:eastAsia="仿宋_GB2312"/>
          <w:sz w:val="32"/>
          <w:szCs w:val="32"/>
        </w:rPr>
        <w:t xml:space="preserve">  审计人员对审计事项实施审计，应取得有关证明材料，编制审计工作底稿。</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 xml:space="preserve">第二十四条 </w:t>
      </w:r>
      <w:r>
        <w:rPr>
          <w:rFonts w:hint="eastAsia" w:ascii="仿宋_GB2312" w:hAnsi="宋体" w:eastAsia="仿宋_GB2312"/>
          <w:sz w:val="32"/>
          <w:szCs w:val="32"/>
        </w:rPr>
        <w:t xml:space="preserve"> 审计组对审计事项实施审计后，在规定期限内出具审计报告，并征求被审计单位意见。被审计单位应自接到审计报告之日起10个工作日内，将书面意见送交内部审计与督导室，逾期即视为无异议。</w:t>
      </w:r>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第二十五条</w:t>
      </w:r>
      <w:r>
        <w:rPr>
          <w:rFonts w:hint="eastAsia" w:ascii="仿宋_GB2312" w:hAnsi="宋体" w:eastAsia="仿宋_GB2312"/>
          <w:sz w:val="32"/>
          <w:szCs w:val="32"/>
        </w:rPr>
        <w:t xml:space="preserve">  内部审计与督导室对审计报告征求意见稿和被审计单位（人员）的书面意见进行审议后，形成审计报告；内部审计与督导室对审计报告审核后，报校长和协管审计校领导审批。经批准的审计报告，应及时送达学校主要领导、相关校领导，相关职能部门、被审计单位和被审计人。同时送达审计整改通知，被审计单位和相关职能部门针对审计提出的问题应当及时推进审计整改，并在三个月内将审计整改情况以书面形式报送内部审计与督导室。</w:t>
      </w:r>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第二十六条</w:t>
      </w:r>
      <w:r>
        <w:rPr>
          <w:rFonts w:hint="eastAsia" w:ascii="仿宋_GB2312" w:hAnsi="宋体" w:eastAsia="仿宋_GB2312"/>
          <w:sz w:val="32"/>
          <w:szCs w:val="32"/>
        </w:rPr>
        <w:t xml:space="preserve">  内部审计与督导室应对重要审计事项进行后续审计，检查被审计单位对审计发现的问题和审计建议所采取的纠正措施及其效果。</w:t>
      </w:r>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第二十七条</w:t>
      </w:r>
      <w:r>
        <w:rPr>
          <w:rFonts w:hint="eastAsia" w:ascii="仿宋_GB2312" w:hAnsi="宋体" w:eastAsia="仿宋_GB2312"/>
          <w:sz w:val="32"/>
          <w:szCs w:val="32"/>
        </w:rPr>
        <w:t xml:space="preserve">  内部审计与督导室应按审计类型在一定的范围内公开审计报告，并通过适当途径逐步推进审计公开工作。</w:t>
      </w:r>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r>
        <w:rPr>
          <w:rFonts w:hint="eastAsia" w:ascii="仿宋_GB2312" w:hAnsi="宋体" w:eastAsia="仿宋_GB2312"/>
          <w:b/>
          <w:sz w:val="32"/>
          <w:szCs w:val="32"/>
        </w:rPr>
        <w:t xml:space="preserve">第二十八条 </w:t>
      </w:r>
      <w:r>
        <w:rPr>
          <w:rFonts w:hint="eastAsia" w:ascii="仿宋_GB2312" w:hAnsi="宋体" w:eastAsia="仿宋_GB2312"/>
          <w:sz w:val="32"/>
          <w:szCs w:val="32"/>
        </w:rPr>
        <w:t xml:space="preserve"> 内部审计与督导室在审计事项结束后，应按照规定建立和管理审计档案，并按学校档案馆要求对应由学校统一管理的资料及时办理归档工作。</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 xml:space="preserve"> </w:t>
      </w:r>
      <w:bookmarkStart w:id="1098" w:name="_Toc30348_WPSOffice_Level1"/>
      <w:r>
        <w:rPr>
          <w:rFonts w:hint="eastAsia" w:ascii="黑体" w:hAnsi="仿宋_GB2312" w:eastAsia="黑体" w:cs="仿宋_GB2312"/>
          <w:b/>
          <w:kern w:val="0"/>
          <w:sz w:val="32"/>
          <w:szCs w:val="32"/>
          <w:lang w:bidi="ar"/>
        </w:rPr>
        <w:t>第六章  责任追究</w:t>
      </w:r>
      <w:bookmarkEnd w:id="1098"/>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第二十九条</w:t>
      </w:r>
      <w:r>
        <w:rPr>
          <w:rFonts w:hint="eastAsia" w:ascii="仿宋_GB2312" w:hAnsi="宋体" w:eastAsia="仿宋_GB2312"/>
          <w:sz w:val="32"/>
          <w:szCs w:val="32"/>
        </w:rPr>
        <w:t xml:space="preserve">  违反本规定，有下列行为之一的单位和个人，根据情节轻重，可以提出给予党纪、政纪处分或经济处罚等建议，报请校领导或纪检、监察部门处理：</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（一）拒绝或故意拖延提供与审计事项有关的文件、会计资料和证明材料</w:t>
      </w:r>
      <w:bookmarkStart w:id="1099" w:name="_Toc2158_WPSOffice_Level1"/>
      <w:r>
        <w:rPr>
          <w:rFonts w:hint="eastAsia" w:ascii="仿宋_GB2312" w:hAnsi="宋体" w:eastAsia="仿宋_GB2312"/>
          <w:sz w:val="32"/>
          <w:szCs w:val="32"/>
        </w:rPr>
        <w:t>的；</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（二）转移、隐匿</w:t>
      </w:r>
      <w:bookmarkEnd w:id="1099"/>
      <w:r>
        <w:rPr>
          <w:rFonts w:hint="eastAsia" w:ascii="仿宋_GB2312" w:hAnsi="宋体" w:eastAsia="仿宋_GB2312"/>
          <w:sz w:val="32"/>
          <w:szCs w:val="32"/>
        </w:rPr>
        <w:t>、篡改、毁弃有关文件和会计资料的；</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（三）转移、隐匿违法所得财产的；</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（四）弄虚作假，隐瞒事实真相的；</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（五）阻挠审计人员行使职权，抗拒、破坏监督检查的；</w:t>
      </w:r>
    </w:p>
    <w:p>
      <w:pPr>
        <w:pageBreakBefore w:val="0"/>
        <w:kinsoku/>
        <w:wordWrap/>
        <w:overflowPunct/>
        <w:topLinePunct w:val="0"/>
        <w:autoSpaceDE/>
        <w:autoSpaceDN/>
        <w:bidi w:val="0"/>
        <w:adjustRightInd w:val="0"/>
        <w:snapToGrid w:val="0"/>
        <w:spacing w:line="56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（六）报复陷害审计人员或检举人员的。</w:t>
      </w:r>
    </w:p>
    <w:p>
      <w:pPr>
        <w:pageBreakBefore w:val="0"/>
        <w:kinsoku/>
        <w:wordWrap/>
        <w:overflowPunct/>
        <w:topLinePunct w:val="0"/>
        <w:autoSpaceDE/>
        <w:autoSpaceDN/>
        <w:bidi w:val="0"/>
        <w:adjustRightInd w:val="0"/>
        <w:snapToGrid w:val="0"/>
        <w:spacing w:line="560" w:lineRule="exact"/>
        <w:ind w:firstLine="555"/>
        <w:outlineLvl w:val="9"/>
        <w:rPr>
          <w:rFonts w:hint="eastAsia" w:ascii="仿宋_GB2312" w:hAnsi="宋体" w:eastAsia="仿宋_GB2312"/>
          <w:sz w:val="32"/>
          <w:szCs w:val="32"/>
        </w:rPr>
      </w:pPr>
      <w:r>
        <w:rPr>
          <w:rFonts w:hint="eastAsia" w:ascii="仿宋_GB2312" w:hAnsi="宋体" w:eastAsia="仿宋_GB2312"/>
          <w:sz w:val="32"/>
          <w:szCs w:val="32"/>
        </w:rPr>
        <w:t>以上行为涉嫌犯罪的，移交司法机关处理。</w:t>
      </w:r>
    </w:p>
    <w:p>
      <w:pPr>
        <w:pageBreakBefore w:val="0"/>
        <w:kinsoku/>
        <w:wordWrap/>
        <w:overflowPunct/>
        <w:topLinePunct w:val="0"/>
        <w:autoSpaceDE/>
        <w:autoSpaceDN/>
        <w:bidi w:val="0"/>
        <w:adjustRightInd w:val="0"/>
        <w:snapToGrid w:val="0"/>
        <w:spacing w:line="560" w:lineRule="exact"/>
        <w:ind w:firstLine="555"/>
        <w:outlineLvl w:val="9"/>
        <w:rPr>
          <w:rFonts w:hint="eastAsia" w:ascii="仿宋_GB2312" w:hAnsi="宋体" w:eastAsia="仿宋_GB2312"/>
          <w:sz w:val="32"/>
          <w:szCs w:val="32"/>
        </w:rPr>
      </w:pPr>
      <w:r>
        <w:rPr>
          <w:rFonts w:hint="eastAsia" w:ascii="仿宋_GB2312" w:hAnsi="宋体" w:eastAsia="仿宋_GB2312"/>
          <w:b/>
          <w:sz w:val="32"/>
          <w:szCs w:val="32"/>
        </w:rPr>
        <w:t>第三十条</w:t>
      </w:r>
      <w:r>
        <w:rPr>
          <w:rFonts w:hint="eastAsia" w:ascii="仿宋_GB2312" w:hAnsi="宋体" w:eastAsia="仿宋_GB2312"/>
          <w:sz w:val="32"/>
          <w:szCs w:val="32"/>
        </w:rPr>
        <w:t xml:space="preserve">  违反本规定，有下列行为之一的审计人员，学校根据有关规定给予批评教育或行政处分：</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（一）利用职权，谋取私利的；</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（二）弄虚作假，徇私舞弊的；</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（三）玩忽职守，给国家和单位造成重大损失的；</w:t>
      </w:r>
    </w:p>
    <w:p>
      <w:pPr>
        <w:pageBreakBefore w:val="0"/>
        <w:kinsoku/>
        <w:wordWrap/>
        <w:overflowPunct/>
        <w:topLinePunct w:val="0"/>
        <w:autoSpaceDE/>
        <w:autoSpaceDN/>
        <w:bidi w:val="0"/>
        <w:adjustRightInd w:val="0"/>
        <w:snapToGrid w:val="0"/>
        <w:spacing w:line="560" w:lineRule="exact"/>
        <w:ind w:firstLine="630"/>
        <w:outlineLvl w:val="9"/>
        <w:rPr>
          <w:rFonts w:hint="eastAsia" w:ascii="仿宋_GB2312" w:hAnsi="宋体" w:eastAsia="仿宋_GB2312"/>
          <w:sz w:val="32"/>
          <w:szCs w:val="32"/>
        </w:rPr>
      </w:pPr>
      <w:r>
        <w:rPr>
          <w:rFonts w:hint="eastAsia" w:ascii="仿宋_GB2312" w:hAnsi="宋体" w:eastAsia="仿宋_GB2312"/>
          <w:sz w:val="32"/>
          <w:szCs w:val="32"/>
        </w:rPr>
        <w:t>（四）泄露国家秘密和被审计单位秘密的。</w:t>
      </w:r>
    </w:p>
    <w:p>
      <w:pPr>
        <w:pageBreakBefore w:val="0"/>
        <w:kinsoku/>
        <w:wordWrap/>
        <w:overflowPunct/>
        <w:topLinePunct w:val="0"/>
        <w:autoSpaceDE/>
        <w:autoSpaceDN/>
        <w:bidi w:val="0"/>
        <w:adjustRightInd w:val="0"/>
        <w:snapToGrid w:val="0"/>
        <w:spacing w:line="560" w:lineRule="exact"/>
        <w:ind w:firstLine="630"/>
        <w:outlineLvl w:val="9"/>
        <w:rPr>
          <w:rFonts w:hint="eastAsia" w:ascii="仿宋_GB2312" w:hAnsi="宋体" w:eastAsia="仿宋_GB2312"/>
          <w:sz w:val="32"/>
          <w:szCs w:val="32"/>
        </w:rPr>
      </w:pPr>
      <w:r>
        <w:rPr>
          <w:rFonts w:hint="eastAsia" w:ascii="仿宋_GB2312" w:hAnsi="宋体" w:eastAsia="仿宋_GB2312"/>
          <w:sz w:val="32"/>
          <w:szCs w:val="32"/>
        </w:rPr>
        <w:t>以上行为涉嫌犯罪的，移交司法机关处理。</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b/>
          <w:sz w:val="32"/>
          <w:szCs w:val="32"/>
        </w:rPr>
        <w:t>第三十一条</w:t>
      </w:r>
      <w:r>
        <w:rPr>
          <w:rFonts w:hint="eastAsia" w:ascii="仿宋_GB2312" w:hAnsi="宋体" w:eastAsia="仿宋_GB2312"/>
          <w:sz w:val="32"/>
          <w:szCs w:val="32"/>
        </w:rPr>
        <w:t xml:space="preserve">  对审计发现的问题和提出的审计建议，被审计单位要认真研究，及时整改。对审计发现的重大问题，学校有关部门要依法依纪做出相应处理，严肃追究有关人员责任。学校有关部门要把审计结果及其整改情况作为对有关单位和人员考核、奖惩的重要依据。</w:t>
      </w:r>
    </w:p>
    <w:p>
      <w:pPr>
        <w:pageBreakBefore w:val="0"/>
        <w:kinsoku/>
        <w:wordWrap/>
        <w:overflowPunct/>
        <w:topLinePunct w:val="0"/>
        <w:autoSpaceDE/>
        <w:autoSpaceDN/>
        <w:bidi w:val="0"/>
        <w:adjustRightInd w:val="0"/>
        <w:snapToGrid w:val="0"/>
        <w:spacing w:line="560" w:lineRule="exact"/>
        <w:outlineLvl w:val="9"/>
        <w:rPr>
          <w:rFonts w:hint="eastAsia" w:ascii="仿宋_GB2312" w:hAnsi="宋体" w:eastAsia="仿宋_GB2312"/>
          <w:sz w:val="32"/>
          <w:szCs w:val="32"/>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bookmarkStart w:id="1100" w:name="_Toc22982_WPSOffice_Level1"/>
      <w:r>
        <w:rPr>
          <w:rFonts w:hint="eastAsia" w:ascii="黑体" w:hAnsi="仿宋_GB2312" w:eastAsia="黑体" w:cs="仿宋_GB2312"/>
          <w:b/>
          <w:kern w:val="0"/>
          <w:sz w:val="32"/>
          <w:szCs w:val="32"/>
          <w:lang w:bidi="ar"/>
        </w:rPr>
        <w:t>第七章　附  则</w:t>
      </w:r>
      <w:bookmarkEnd w:id="1100"/>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bookmarkStart w:id="1101" w:name="_Toc31061_WPSOffice_Level1"/>
      <w:r>
        <w:rPr>
          <w:rFonts w:hint="eastAsia" w:ascii="仿宋_GB2312" w:hAnsi="宋体" w:eastAsia="仿宋_GB2312"/>
          <w:b/>
          <w:sz w:val="32"/>
          <w:szCs w:val="32"/>
        </w:rPr>
        <w:t>第三十二条</w:t>
      </w:r>
      <w:r>
        <w:rPr>
          <w:rFonts w:hint="eastAsia" w:ascii="仿宋_GB2312" w:hAnsi="宋体" w:eastAsia="仿宋_GB2312"/>
          <w:sz w:val="32"/>
          <w:szCs w:val="32"/>
        </w:rPr>
        <w:t xml:space="preserve">  本规定由学校内部审计与督导室负责解释。</w:t>
      </w:r>
      <w:bookmarkEnd w:id="1101"/>
    </w:p>
    <w:p>
      <w:pPr>
        <w:pageBreakBefore w:val="0"/>
        <w:kinsoku/>
        <w:wordWrap/>
        <w:overflowPunct/>
        <w:topLinePunct w:val="0"/>
        <w:autoSpaceDE/>
        <w:autoSpaceDN/>
        <w:bidi w:val="0"/>
        <w:adjustRightInd w:val="0"/>
        <w:snapToGrid w:val="0"/>
        <w:spacing w:line="560" w:lineRule="exact"/>
        <w:ind w:firstLine="643" w:firstLineChars="200"/>
        <w:outlineLvl w:val="9"/>
        <w:rPr>
          <w:rFonts w:hint="eastAsia" w:ascii="仿宋_GB2312" w:hAnsi="宋体" w:eastAsia="仿宋_GB2312"/>
          <w:sz w:val="32"/>
          <w:szCs w:val="32"/>
        </w:rPr>
      </w:pPr>
      <w:bookmarkStart w:id="1102" w:name="_Toc10663_WPSOffice_Level1"/>
      <w:r>
        <w:rPr>
          <w:rFonts w:hint="eastAsia" w:ascii="仿宋_GB2312" w:hAnsi="宋体" w:eastAsia="仿宋_GB2312"/>
          <w:b/>
          <w:sz w:val="32"/>
          <w:szCs w:val="32"/>
        </w:rPr>
        <w:t xml:space="preserve">第三十三条 </w:t>
      </w:r>
      <w:r>
        <w:rPr>
          <w:rFonts w:hint="eastAsia" w:ascii="仿宋_GB2312" w:hAnsi="宋体" w:eastAsia="仿宋_GB2312"/>
          <w:sz w:val="32"/>
          <w:szCs w:val="32"/>
        </w:rPr>
        <w:t xml:space="preserve"> 本规定自发布之日起实施。</w:t>
      </w:r>
      <w:bookmarkEnd w:id="1102"/>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p>
    <w:p>
      <w:pPr>
        <w:pageBreakBefore w:val="0"/>
        <w:numPr>
          <w:ilvl w:val="0"/>
          <w:numId w:val="0"/>
        </w:numPr>
        <w:kinsoku/>
        <w:wordWrap/>
        <w:overflowPunct/>
        <w:topLinePunct w:val="0"/>
        <w:autoSpaceDE/>
        <w:autoSpaceDN/>
        <w:bidi w:val="0"/>
        <w:outlineLvl w:val="9"/>
        <w:rPr>
          <w:rFonts w:hint="default" w:ascii="仿宋_GB2312" w:hAnsi="仿宋_GB2312" w:eastAsia="仿宋_GB2312" w:cs="仿宋_GB2312"/>
          <w:color w:val="000000"/>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hint="eastAsia" w:asciiTheme="minorEastAsia" w:hAnsiTheme="minorEastAsia" w:eastAsiaTheme="minorEastAsia"/>
          <w:b/>
          <w:bCs/>
          <w:color w:val="000000"/>
          <w:kern w:val="2"/>
          <w:sz w:val="36"/>
          <w:szCs w:val="36"/>
        </w:rPr>
      </w:pPr>
      <w:bookmarkStart w:id="1103" w:name="_Toc27554_WPSOffice_Level1"/>
      <w:bookmarkStart w:id="1104" w:name="_Toc27457"/>
      <w:bookmarkStart w:id="1105" w:name="_Toc18059"/>
      <w:bookmarkStart w:id="1106" w:name="_Toc12518"/>
      <w:bookmarkStart w:id="1107" w:name="_Toc11573"/>
      <w:r>
        <w:rPr>
          <w:rFonts w:hint="eastAsia" w:asciiTheme="minorEastAsia" w:hAnsiTheme="minorEastAsia" w:eastAsiaTheme="minorEastAsia"/>
          <w:b/>
          <w:bCs/>
          <w:color w:val="000000"/>
          <w:kern w:val="2"/>
          <w:sz w:val="36"/>
          <w:szCs w:val="36"/>
        </w:rPr>
        <w:t>柳州职业技术学院财务信息系统管理办法</w:t>
      </w:r>
      <w:bookmarkEnd w:id="1103"/>
      <w:bookmarkEnd w:id="1104"/>
      <w:bookmarkEnd w:id="1105"/>
      <w:bookmarkEnd w:id="1106"/>
      <w:bookmarkEnd w:id="1107"/>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rPr>
        <w:t>柳职院字〔2019〕47 号</w:t>
      </w:r>
      <w:r>
        <w:rPr>
          <w:rFonts w:hint="eastAsia" w:ascii="仿宋_GB2312" w:eastAsia="仿宋_GB2312"/>
          <w:sz w:val="32"/>
          <w:szCs w:val="32"/>
          <w:lang w:eastAsia="zh-CN"/>
        </w:rPr>
        <w:t>）</w:t>
      </w:r>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lang w:eastAsia="zh-CN"/>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08" w:name="_Toc27916_WPSOffice_Level1"/>
      <w:r>
        <w:rPr>
          <w:rFonts w:hint="eastAsia" w:ascii="黑体" w:hAnsi="黑体" w:eastAsia="黑体"/>
          <w:b/>
          <w:sz w:val="32"/>
          <w:szCs w:val="32"/>
        </w:rPr>
        <w:t>第一章  总  则</w:t>
      </w:r>
      <w:bookmarkEnd w:id="1108"/>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第一条</w:t>
      </w:r>
      <w:r>
        <w:rPr>
          <w:rFonts w:hint="eastAsia" w:ascii="仿宋_GB2312" w:eastAsia="仿宋_GB2312" w:cs="仿宋_GB2312"/>
          <w:color w:val="000000"/>
          <w:sz w:val="32"/>
          <w:szCs w:val="32"/>
        </w:rPr>
        <w:t xml:space="preserve">  为了加强学院财务信息系统的管理，促进学院财会电算化工作持续健康的发展，根据财政部《会计电算化管理办法》、《会计电算化工作规范》，结合学校财务信息系统工作的特点，特制定本办法。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第二条</w:t>
      </w:r>
      <w:r>
        <w:rPr>
          <w:rFonts w:hint="eastAsia" w:ascii="仿宋_GB2312" w:eastAsia="仿宋_GB2312" w:cs="仿宋_GB2312"/>
          <w:color w:val="000000"/>
          <w:sz w:val="32"/>
          <w:szCs w:val="32"/>
        </w:rPr>
        <w:t xml:space="preserve">  学院财务信息系统是指在财务工作中，运用通信技术、网络技术、计算机技术和现代信息技术而建造和运行的能对财务、资产及其有关数据进行收集、传送、加工、处理、存储和管理的各种系统的总和。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第三条 </w:t>
      </w:r>
      <w:r>
        <w:rPr>
          <w:rFonts w:hint="eastAsia" w:ascii="仿宋_GB2312" w:eastAsia="仿宋_GB2312" w:cs="仿宋_GB2312"/>
          <w:color w:val="000000"/>
          <w:sz w:val="32"/>
          <w:szCs w:val="32"/>
        </w:rPr>
        <w:t xml:space="preserve"> 学院财务信息系统工作的目标是：以会计核算为基础，逐步建立本校统一的、科学的、经济合理的，并具有辅助预算、支持决策和办公自动化功能的财务信息网络系统。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第四条</w:t>
      </w:r>
      <w:r>
        <w:rPr>
          <w:rFonts w:hint="eastAsia" w:ascii="仿宋_GB2312" w:eastAsia="仿宋_GB2312" w:cs="仿宋_GB2312"/>
          <w:color w:val="000000"/>
          <w:sz w:val="32"/>
          <w:szCs w:val="32"/>
        </w:rPr>
        <w:t xml:space="preserve">  学院财务处负责管理学院财务信息系统工作。基本任务是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（一）研究制定柳州职业技术学院财务信息系统发展规划，并组织实施；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（二）制定柳州职业技术学院财务信息系统管理办法；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（三）管理财务会计软件的使用；</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（四）组织和管理学院财务信息系统人员培训工作；</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09" w:name="_Toc4659_WPSOffice_Level1"/>
      <w:r>
        <w:rPr>
          <w:rFonts w:hint="eastAsia" w:ascii="黑体" w:hAnsi="黑体" w:eastAsia="黑体"/>
          <w:b/>
          <w:sz w:val="32"/>
          <w:szCs w:val="32"/>
        </w:rPr>
        <w:t>第二章  人员分工及岗位职责</w:t>
      </w:r>
      <w:bookmarkEnd w:id="1109"/>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第五条</w:t>
      </w:r>
      <w:r>
        <w:rPr>
          <w:rFonts w:hint="eastAsia" w:ascii="仿宋_GB2312" w:eastAsia="仿宋_GB2312" w:cs="仿宋_GB2312"/>
          <w:color w:val="000000"/>
          <w:sz w:val="32"/>
          <w:szCs w:val="32"/>
        </w:rPr>
        <w:t xml:space="preserve">  财务负责人应组织领导财务信息系统工作，主持拟定学院财务信息系统工作规划，协调学院内各部门之间关系，并按照本办法，结合本单位实际，做好人员的分工和职责权限的落实。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第六条</w:t>
      </w:r>
      <w:r>
        <w:rPr>
          <w:rFonts w:hint="eastAsia" w:ascii="仿宋_GB2312" w:eastAsia="仿宋_GB2312" w:cs="仿宋_GB2312"/>
          <w:color w:val="000000"/>
          <w:sz w:val="32"/>
          <w:szCs w:val="32"/>
        </w:rPr>
        <w:t xml:space="preserve">  财务信息系统岗位的安排可以采取一人一岗、一人多岗、一岗多人的方式。但是要注意岗位不相容原则。可设置信息主管 、系统管理员、数据管理员岗位。</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第七条</w:t>
      </w:r>
      <w:r>
        <w:rPr>
          <w:rFonts w:hint="eastAsia" w:ascii="仿宋_GB2312" w:eastAsia="仿宋_GB2312" w:cs="仿宋_GB2312"/>
          <w:color w:val="000000"/>
          <w:sz w:val="32"/>
          <w:szCs w:val="32"/>
        </w:rPr>
        <w:t xml:space="preserve">  主要工作职责划分。</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（一）信息主管：负责协调财务信息系统的总体运行工作。具体职责包括：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1.负责岗位的设定和分配，结合本单位情况确定每个人员的职责；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2.组织财务信息系统的实施工作，对工作的进度、数据安全负总责；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3.研究本单位的需求，组织财务信息系统工作向深度、广度发展。</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（二）系统管理员：负责财务信息系统的技术管理工作，职责包括：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1.根据软件功能及学院标准，确定学校的系统应用模式，系统初始化；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2.负责信息系统的技术问题．保障系统的正常运行；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3.掌握系统管理员权限，按信息主管的书面要求，为其他人员分配使用权限；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4.管理财务数据，负责进行数据的备份、恢复；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 xml:space="preserve">（三）数据管理员：负责财务信息软件日常维护、数据录入。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第八条</w:t>
      </w:r>
      <w:r>
        <w:rPr>
          <w:rFonts w:hint="eastAsia" w:ascii="仿宋_GB2312" w:eastAsia="仿宋_GB2312" w:cs="仿宋_GB2312"/>
          <w:color w:val="000000"/>
          <w:sz w:val="32"/>
          <w:szCs w:val="32"/>
        </w:rPr>
        <w:t xml:space="preserve">  各管理员在变动前必须办理交接手续，接替人员应认真接管移交工作。 </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第九条</w:t>
      </w:r>
      <w:r>
        <w:rPr>
          <w:rFonts w:hint="eastAsia" w:ascii="仿宋_GB2312" w:eastAsia="仿宋_GB2312" w:cs="仿宋_GB2312"/>
          <w:color w:val="000000"/>
          <w:sz w:val="32"/>
          <w:szCs w:val="32"/>
        </w:rPr>
        <w:t xml:space="preserve">  对交接内容应进行上机测试，确保交接质量。操作口令应最后交接。一旦交接，接替人员应立即更换所有口令，并开始承担管理员的所有工作。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10" w:name="_Toc26687_WPSOffice_Level1"/>
      <w:r>
        <w:rPr>
          <w:rFonts w:hint="eastAsia" w:ascii="黑体" w:hAnsi="黑体" w:eastAsia="黑体"/>
          <w:b/>
          <w:sz w:val="32"/>
          <w:szCs w:val="32"/>
        </w:rPr>
        <w:t>第三章  软硬件管理</w:t>
      </w:r>
      <w:bookmarkEnd w:id="1110"/>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第十条</w:t>
      </w:r>
      <w:r>
        <w:rPr>
          <w:rFonts w:hint="eastAsia" w:ascii="仿宋_GB2312" w:eastAsia="仿宋_GB2312" w:cs="仿宋_GB2312"/>
          <w:color w:val="000000"/>
          <w:sz w:val="32"/>
          <w:szCs w:val="32"/>
        </w:rPr>
        <w:t xml:space="preserve">  财务处要对财务信息系统所用硬件设备进行统一管理。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第十一条 </w:t>
      </w:r>
      <w:r>
        <w:rPr>
          <w:rFonts w:hint="eastAsia" w:ascii="仿宋_GB2312" w:eastAsia="仿宋_GB2312" w:cs="仿宋_GB2312"/>
          <w:color w:val="000000"/>
          <w:sz w:val="32"/>
          <w:szCs w:val="32"/>
        </w:rPr>
        <w:t xml:space="preserve"> 财务信息系统所用设备、软件的购置应坚持技术先进和经济合理原则。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第十二条 </w:t>
      </w:r>
      <w:r>
        <w:rPr>
          <w:rFonts w:hint="eastAsia" w:ascii="仿宋_GB2312" w:eastAsia="仿宋_GB2312" w:cs="仿宋_GB2312"/>
          <w:color w:val="000000"/>
          <w:sz w:val="32"/>
          <w:szCs w:val="32"/>
        </w:rPr>
        <w:t xml:space="preserve"> 要严格保护所有在用正版软件的版权。严禁将软件以任何形式出售、转让或赠送给该范围以外的单位或个人。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第十三条</w:t>
      </w:r>
      <w:r>
        <w:rPr>
          <w:rFonts w:hint="eastAsia" w:ascii="仿宋_GB2312" w:eastAsia="仿宋_GB2312" w:cs="仿宋_GB2312"/>
          <w:color w:val="000000"/>
          <w:sz w:val="32"/>
          <w:szCs w:val="32"/>
        </w:rPr>
        <w:t xml:space="preserve">  软件使用人员要严格执行防病毒措施，在使用前必须经过病毒检测。使用网络的软件要严防病毒通过网络传播。</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11" w:name="_Toc4228_WPSOffice_Level1"/>
      <w:r>
        <w:rPr>
          <w:rFonts w:hint="eastAsia" w:ascii="黑体" w:hAnsi="黑体" w:eastAsia="黑体"/>
          <w:b/>
          <w:sz w:val="32"/>
          <w:szCs w:val="32"/>
        </w:rPr>
        <w:t>第四章  操作管理</w:t>
      </w:r>
      <w:bookmarkEnd w:id="1111"/>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第十四条</w:t>
      </w:r>
      <w:r>
        <w:rPr>
          <w:rFonts w:hint="eastAsia" w:ascii="仿宋_GB2312" w:eastAsia="仿宋_GB2312" w:cs="仿宋_GB2312"/>
          <w:color w:val="000000"/>
          <w:sz w:val="32"/>
          <w:szCs w:val="32"/>
        </w:rPr>
        <w:t xml:space="preserve">  应根据各岗位工作内容制定、分配岗位权限，临时性的赋予权限应由财务负责人签字；"历史数据调整"、"数据恢复"等对信息正确性起决定性意义的功能权限不能作为任何岗位的永久性权限；</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第十五条</w:t>
      </w:r>
      <w:r>
        <w:rPr>
          <w:rFonts w:hint="eastAsia" w:ascii="仿宋_GB2312" w:eastAsia="仿宋_GB2312" w:cs="仿宋_GB2312"/>
          <w:color w:val="000000"/>
          <w:sz w:val="32"/>
          <w:szCs w:val="32"/>
        </w:rPr>
        <w:t xml:space="preserve">  系统管理员负责依据财务负责人签字通过的岗位权限，对各岗位分配权限。临时性赋权在完成所批准的任务后立即收回。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第十六条 </w:t>
      </w:r>
      <w:r>
        <w:rPr>
          <w:rFonts w:hint="eastAsia" w:ascii="仿宋_GB2312" w:eastAsia="仿宋_GB2312" w:cs="仿宋_GB2312"/>
          <w:color w:val="000000"/>
          <w:sz w:val="32"/>
          <w:szCs w:val="32"/>
        </w:rPr>
        <w:t xml:space="preserve"> 操作人员必须设置自己唯一知道的口令，并定期更换口令。口令的安全由操作人员自己负责，操作人员发现自己口令被修改或删除应及时向管理员报告，待查明原因后再做处理。</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第十七条</w:t>
      </w:r>
      <w:r>
        <w:rPr>
          <w:rFonts w:hint="eastAsia" w:ascii="仿宋_GB2312" w:eastAsia="仿宋_GB2312" w:cs="仿宋_GB2312"/>
          <w:color w:val="000000"/>
          <w:sz w:val="32"/>
          <w:szCs w:val="32"/>
        </w:rPr>
        <w:t xml:space="preserve">  操作人员离开系统时应退出系统或进行系统封锁，操作人员对自己帐号下的所有操作负完全责任。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第十八条 </w:t>
      </w:r>
      <w:r>
        <w:rPr>
          <w:rFonts w:hint="eastAsia" w:ascii="仿宋_GB2312" w:eastAsia="仿宋_GB2312" w:cs="仿宋_GB2312"/>
          <w:color w:val="000000"/>
          <w:sz w:val="32"/>
          <w:szCs w:val="32"/>
        </w:rPr>
        <w:t xml:space="preserve"> 原则上由处理一项业务的操作人员本人进行信息处理，特殊情况下也可以委托他人代为处理，但必须将业务交代清楚，并且使用输入者本人的名字及口令。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第十九条</w:t>
      </w:r>
      <w:r>
        <w:rPr>
          <w:rFonts w:hint="eastAsia" w:ascii="仿宋_GB2312" w:eastAsia="仿宋_GB2312" w:cs="仿宋_GB2312"/>
          <w:color w:val="000000"/>
          <w:sz w:val="32"/>
          <w:szCs w:val="32"/>
        </w:rPr>
        <w:t xml:space="preserve">  系统管理员应每半个月检查一次工作日志，核实操作人员的主权时间、操作内容等。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第二十条</w:t>
      </w:r>
      <w:r>
        <w:rPr>
          <w:rFonts w:hint="eastAsia" w:ascii="仿宋_GB2312" w:eastAsia="仿宋_GB2312" w:cs="仿宋_GB2312"/>
          <w:color w:val="000000"/>
          <w:sz w:val="32"/>
          <w:szCs w:val="32"/>
        </w:rPr>
        <w:t xml:space="preserve">  对系统软硬件的操作必须按照正确的操作规程进行。电源的开关、软件的启动与关闭都应遵循正确的顺序。</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12" w:name="_Toc26537_WPSOffice_Level1"/>
      <w:r>
        <w:rPr>
          <w:rFonts w:hint="eastAsia" w:ascii="黑体" w:hAnsi="黑体" w:eastAsia="黑体"/>
          <w:b/>
          <w:sz w:val="32"/>
          <w:szCs w:val="32"/>
        </w:rPr>
        <w:t>第五章  系统维护管理</w:t>
      </w:r>
      <w:bookmarkEnd w:id="1112"/>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第二十一条  </w:t>
      </w:r>
      <w:r>
        <w:rPr>
          <w:rFonts w:hint="eastAsia" w:ascii="仿宋_GB2312" w:eastAsia="仿宋_GB2312" w:cs="仿宋_GB2312"/>
          <w:color w:val="000000"/>
          <w:sz w:val="32"/>
          <w:szCs w:val="32"/>
        </w:rPr>
        <w:t xml:space="preserve">系统维护管理是指为保障系统正常运行而进行的对硬件、网络、数据库、操作系统、财务软件及相关办公自动化软件进行的安装、修正、更新版本、扩展、备份等操作以及对软件应用模式的设计及实施工作。系统的维护管理工作由系统管理人员或由系统管理人员授权的专业维护人员负责进行。未经系统管理员授权，其他人员不得进行系统维护操作。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第二十二条</w:t>
      </w:r>
      <w:r>
        <w:rPr>
          <w:rFonts w:hint="eastAsia" w:ascii="仿宋_GB2312" w:eastAsia="仿宋_GB2312" w:cs="仿宋_GB2312"/>
          <w:color w:val="000000"/>
          <w:sz w:val="32"/>
          <w:szCs w:val="32"/>
        </w:rPr>
        <w:t xml:space="preserve">  未经系统管理员许可，不得在财务信息系统上安装拆卸其他硬、软件，不得改变系统的运行环境。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第二十三条  </w:t>
      </w:r>
      <w:r>
        <w:rPr>
          <w:rFonts w:hint="eastAsia" w:ascii="仿宋_GB2312" w:eastAsia="仿宋_GB2312" w:cs="仿宋_GB2312"/>
          <w:color w:val="000000"/>
          <w:sz w:val="32"/>
          <w:szCs w:val="32"/>
        </w:rPr>
        <w:t>系统运行时，应获得充分的维护保障。系统发生影响正常运行的故障时，系统管理员应及时给予处理。</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第二十四条 </w:t>
      </w:r>
      <w:r>
        <w:rPr>
          <w:rFonts w:hint="eastAsia" w:ascii="仿宋_GB2312" w:eastAsia="仿宋_GB2312" w:cs="仿宋_GB2312"/>
          <w:color w:val="000000"/>
          <w:sz w:val="32"/>
          <w:szCs w:val="32"/>
        </w:rPr>
        <w:t xml:space="preserve"> 系统管理员在不能直接排除故障并且没有替代解决方案时．应请求专业维护人员的技术支持。</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第二十五条 </w:t>
      </w:r>
      <w:r>
        <w:rPr>
          <w:rFonts w:hint="eastAsia" w:ascii="仿宋_GB2312" w:eastAsia="仿宋_GB2312" w:cs="仿宋_GB2312"/>
          <w:color w:val="000000"/>
          <w:sz w:val="32"/>
          <w:szCs w:val="32"/>
        </w:rPr>
        <w:t xml:space="preserve"> 要建立系统管理维护记录本，实行系统维护记录制度。对故障的发生时间、表现、解决办法、结果以及对系统进行的版本升级、运行环境更改等进行详细的记录．并有维护人员或系统管理员签字。系统管理维护记录本的登记要条理清楚、时间准确、字迹工整。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13" w:name="_Toc17620_WPSOffice_Level1"/>
      <w:r>
        <w:rPr>
          <w:rFonts w:hint="eastAsia" w:ascii="黑体" w:hAnsi="黑体" w:eastAsia="黑体"/>
          <w:b/>
          <w:sz w:val="32"/>
          <w:szCs w:val="32"/>
        </w:rPr>
        <w:t>第六章  信息安全保障管理</w:t>
      </w:r>
      <w:bookmarkEnd w:id="1113"/>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第二十六条  </w:t>
      </w:r>
      <w:r>
        <w:rPr>
          <w:rFonts w:hint="eastAsia" w:ascii="仿宋_GB2312" w:eastAsia="仿宋_GB2312" w:cs="仿宋_GB2312"/>
          <w:color w:val="000000"/>
          <w:sz w:val="32"/>
          <w:szCs w:val="32"/>
        </w:rPr>
        <w:t>财务信息的安全是指信息不丢失、不损毁、不向无关人员泄露、不被非法修改。</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第二十七条</w:t>
      </w:r>
      <w:r>
        <w:rPr>
          <w:rFonts w:hint="eastAsia" w:ascii="仿宋_GB2312" w:eastAsia="仿宋_GB2312" w:cs="仿宋_GB2312"/>
          <w:color w:val="000000"/>
          <w:sz w:val="32"/>
          <w:szCs w:val="32"/>
        </w:rPr>
        <w:t xml:space="preserve">  财务数据的备份或保存可采用移动硬盘等。</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第二十八条</w:t>
      </w:r>
      <w:r>
        <w:rPr>
          <w:rFonts w:hint="eastAsia" w:ascii="仿宋_GB2312" w:eastAsia="仿宋_GB2312" w:cs="仿宋_GB2312"/>
          <w:color w:val="000000"/>
          <w:sz w:val="32"/>
          <w:szCs w:val="32"/>
        </w:rPr>
        <w:t xml:space="preserve">  要经常对系统中的数据进行备份，以便在计算机发生故障时可将数据恢复到最近状态。数据备份的目标是防止发生的硬、软件故障以及人为失误造成的数据损毁。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第二十九条</w:t>
      </w:r>
      <w:r>
        <w:rPr>
          <w:rFonts w:hint="eastAsia" w:ascii="仿宋_GB2312" w:eastAsia="仿宋_GB2312" w:cs="仿宋_GB2312"/>
          <w:color w:val="000000"/>
          <w:sz w:val="32"/>
          <w:szCs w:val="32"/>
        </w:rPr>
        <w:t xml:space="preserve">  对备份的数据应加强管理，防止被非法拷贝或毁坏，要对其内容及运行环境（如财务软件的版本）等进行记录。</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第三十条 </w:t>
      </w:r>
      <w:r>
        <w:rPr>
          <w:rFonts w:hint="eastAsia" w:ascii="仿宋_GB2312" w:eastAsia="仿宋_GB2312" w:cs="仿宋_GB2312"/>
          <w:color w:val="000000"/>
          <w:sz w:val="32"/>
          <w:szCs w:val="32"/>
        </w:rPr>
        <w:t xml:space="preserve"> 参加财务软件开发的单位或专职从事系统维护工作的人员不得泄露软件的技术资料。</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第三十一条</w:t>
      </w:r>
      <w:r>
        <w:rPr>
          <w:rFonts w:hint="eastAsia" w:ascii="仿宋_GB2312" w:eastAsia="仿宋_GB2312" w:cs="仿宋_GB2312"/>
          <w:color w:val="000000"/>
          <w:sz w:val="32"/>
          <w:szCs w:val="32"/>
        </w:rPr>
        <w:t xml:space="preserve">  对财务信息的备份、恢复、转出、转入的权限都应严加控制。</w:t>
      </w:r>
      <w:r>
        <w:rPr>
          <w:rFonts w:ascii="仿宋_GB2312" w:eastAsia="仿宋_GB2312" w:cs="仿宋_GB2312"/>
          <w:color w:val="000000"/>
          <w:sz w:val="32"/>
          <w:szCs w:val="32"/>
        </w:rPr>
        <w:t xml:space="preserve">  </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第三十二条</w:t>
      </w:r>
      <w:r>
        <w:rPr>
          <w:rFonts w:hint="eastAsia" w:ascii="仿宋_GB2312" w:eastAsia="仿宋_GB2312" w:cs="仿宋_GB2312"/>
          <w:color w:val="000000"/>
          <w:sz w:val="32"/>
          <w:szCs w:val="32"/>
        </w:rPr>
        <w:t xml:space="preserve">  实行联网的财务软件要采取各种措施来保障上网数据的安全性。要严密控制好财务数据库及其服务器的口令，控制好各用户的口令。</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14" w:name="_Toc20020_WPSOffice_Level1"/>
      <w:r>
        <w:rPr>
          <w:rFonts w:hint="eastAsia" w:ascii="黑体" w:hAnsi="黑体" w:eastAsia="黑体"/>
          <w:b/>
          <w:sz w:val="32"/>
          <w:szCs w:val="32"/>
        </w:rPr>
        <w:t>第七章  档案管理</w:t>
      </w:r>
      <w:bookmarkEnd w:id="1114"/>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bookmarkStart w:id="1115" w:name="_Toc13665_WPSOffice_Level1"/>
      <w:r>
        <w:rPr>
          <w:rFonts w:hint="eastAsia" w:ascii="仿宋_GB2312" w:eastAsia="仿宋_GB2312" w:cs="仿宋_GB2312"/>
          <w:b/>
          <w:bCs/>
          <w:color w:val="000000"/>
          <w:sz w:val="32"/>
          <w:szCs w:val="32"/>
        </w:rPr>
        <w:t xml:space="preserve">第三十三条 </w:t>
      </w:r>
      <w:r>
        <w:rPr>
          <w:rFonts w:hint="eastAsia" w:ascii="仿宋_GB2312" w:eastAsia="仿宋_GB2312" w:cs="仿宋_GB2312"/>
          <w:color w:val="000000"/>
          <w:sz w:val="32"/>
          <w:szCs w:val="32"/>
        </w:rPr>
        <w:t xml:space="preserve"> 财务信息系统档案包括：</w:t>
      </w:r>
      <w:bookmarkEnd w:id="1115"/>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（一）定期备份的数据库备份；</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（二）财务软件升级前的数据库备份；</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（三）每次经系统管理员签字的系统管理维护记录；</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（四）所有系统、网络、数据库、软件的版本信息；</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（五）其他应该存档的资料或数据。</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第三十四条</w:t>
      </w:r>
      <w:r>
        <w:rPr>
          <w:rFonts w:hint="eastAsia" w:ascii="仿宋_GB2312" w:eastAsia="仿宋_GB2312" w:cs="仿宋_GB2312"/>
          <w:color w:val="000000"/>
          <w:sz w:val="32"/>
          <w:szCs w:val="32"/>
        </w:rPr>
        <w:t xml:space="preserve">  数据库的备份要永久保留，档案要有双份备份，并分别存于不同地点，并按照有关规定保存在温湿度适宜、阳光不直射，不能被损害的场所。</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第三十五条  </w:t>
      </w:r>
      <w:r>
        <w:rPr>
          <w:rFonts w:hint="eastAsia" w:ascii="仿宋_GB2312" w:eastAsia="仿宋_GB2312" w:cs="仿宋_GB2312"/>
          <w:color w:val="000000"/>
          <w:sz w:val="32"/>
          <w:szCs w:val="32"/>
        </w:rPr>
        <w:t>存储的数据应定期更换新的介质，进行再拷贝。</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第三十六条</w:t>
      </w:r>
      <w:r>
        <w:rPr>
          <w:rFonts w:hint="eastAsia" w:ascii="仿宋_GB2312" w:eastAsia="仿宋_GB2312" w:cs="仿宋_GB2312"/>
          <w:color w:val="000000"/>
          <w:sz w:val="32"/>
          <w:szCs w:val="32"/>
        </w:rPr>
        <w:t xml:space="preserve">  有关纸质资料参看财务处《会计档案管理办法》执行。</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16" w:name="_Toc1055_WPSOffice_Level1"/>
      <w:r>
        <w:rPr>
          <w:rFonts w:hint="eastAsia" w:ascii="黑体" w:hAnsi="黑体" w:eastAsia="黑体"/>
          <w:b/>
          <w:sz w:val="32"/>
          <w:szCs w:val="32"/>
        </w:rPr>
        <w:t>第八章  附则</w:t>
      </w:r>
      <w:bookmarkEnd w:id="1116"/>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bookmarkStart w:id="1117" w:name="_Toc8323_WPSOffice_Level1"/>
      <w:r>
        <w:rPr>
          <w:rFonts w:hint="eastAsia" w:ascii="仿宋_GB2312" w:eastAsia="仿宋_GB2312" w:cs="仿宋_GB2312"/>
          <w:b/>
          <w:bCs/>
          <w:color w:val="000000"/>
          <w:sz w:val="32"/>
          <w:szCs w:val="32"/>
        </w:rPr>
        <w:t xml:space="preserve">第三十七条  </w:t>
      </w:r>
      <w:r>
        <w:rPr>
          <w:rFonts w:hint="eastAsia" w:ascii="仿宋_GB2312" w:eastAsia="仿宋_GB2312" w:cs="仿宋_GB2312"/>
          <w:color w:val="000000"/>
          <w:sz w:val="32"/>
          <w:szCs w:val="32"/>
        </w:rPr>
        <w:t>本办法由财务处负责解释。自发布之日起实施。</w:t>
      </w:r>
      <w:bookmarkEnd w:id="1117"/>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hint="eastAsia" w:asciiTheme="minorEastAsia" w:hAnsiTheme="minorEastAsia" w:eastAsiaTheme="minorEastAsia"/>
          <w:b/>
          <w:bCs/>
          <w:color w:val="000000"/>
          <w:kern w:val="2"/>
          <w:sz w:val="36"/>
          <w:szCs w:val="36"/>
        </w:rPr>
      </w:pPr>
      <w:bookmarkStart w:id="1118" w:name="_Toc25281"/>
      <w:bookmarkStart w:id="1119" w:name="_Toc3695"/>
      <w:bookmarkStart w:id="1120" w:name="_Toc27890"/>
      <w:bookmarkStart w:id="1121" w:name="_Toc5743"/>
      <w:bookmarkStart w:id="1122" w:name="_Toc12593_WPSOffice_Level1"/>
      <w:r>
        <w:rPr>
          <w:rFonts w:hint="eastAsia" w:asciiTheme="minorEastAsia" w:hAnsiTheme="minorEastAsia" w:eastAsiaTheme="minorEastAsia"/>
          <w:b/>
          <w:bCs/>
          <w:color w:val="000000"/>
          <w:kern w:val="2"/>
          <w:sz w:val="36"/>
          <w:szCs w:val="36"/>
        </w:rPr>
        <w:t>柳州职业技术学院往来款项管理办法</w:t>
      </w:r>
      <w:bookmarkEnd w:id="1118"/>
      <w:bookmarkEnd w:id="1119"/>
      <w:bookmarkEnd w:id="1120"/>
      <w:bookmarkEnd w:id="1121"/>
      <w:bookmarkEnd w:id="1122"/>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rPr>
        <w:t>柳职院字〔2019〕48 号</w:t>
      </w:r>
      <w:r>
        <w:rPr>
          <w:rFonts w:hint="eastAsia" w:ascii="仿宋_GB2312" w:eastAsia="仿宋_GB2312"/>
          <w:sz w:val="32"/>
          <w:szCs w:val="32"/>
          <w:lang w:eastAsia="zh-CN"/>
        </w:rPr>
        <w:t>）</w:t>
      </w:r>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lang w:eastAsia="zh-CN"/>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23" w:name="_Toc3716_WPSOffice_Level1"/>
      <w:r>
        <w:rPr>
          <w:rFonts w:hint="eastAsia" w:ascii="黑体" w:hAnsi="黑体" w:eastAsia="黑体"/>
          <w:b/>
          <w:sz w:val="32"/>
          <w:szCs w:val="32"/>
        </w:rPr>
        <w:t>第一章  总 则</w:t>
      </w:r>
      <w:bookmarkEnd w:id="1123"/>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第一条</w:t>
      </w:r>
      <w:r>
        <w:rPr>
          <w:rFonts w:hint="eastAsia" w:ascii="仿宋_GB2312" w:eastAsia="仿宋_GB2312" w:cs="仿宋_GB2312"/>
          <w:color w:val="000000"/>
          <w:sz w:val="32"/>
          <w:szCs w:val="32"/>
        </w:rPr>
        <w:t xml:space="preserve">  为加强学校资金管理，提高资金的使用效益，保障学校资金的流动和安全，根据《政府会计制度》和我校财务制度等相关规定，结合学校实际情况，特制定本办法。</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第二条</w:t>
      </w:r>
      <w:r>
        <w:rPr>
          <w:rFonts w:hint="eastAsia" w:ascii="仿宋_GB2312" w:eastAsia="仿宋_GB2312" w:cs="仿宋_GB2312"/>
          <w:color w:val="000000"/>
          <w:sz w:val="32"/>
          <w:szCs w:val="32"/>
        </w:rPr>
        <w:t xml:space="preserve">  往来款项包括应收账款、预付账款、其他应收款以及应付账款、预收账款、其他应付款。应收账款、预付账款和其他应收款（以下简称为“应收及预付款项”）是学校对单位及个人的一种债权，应付账款、预收账款和其他应付款（以下简称为“应付及预收款项”）是学校对单位及个人的一种债务。</w:t>
      </w: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24" w:name="_Toc17827_WPSOffice_Level1"/>
      <w:r>
        <w:rPr>
          <w:rFonts w:hint="eastAsia" w:ascii="黑体" w:hAnsi="黑体" w:eastAsia="黑体"/>
          <w:b/>
          <w:sz w:val="32"/>
          <w:szCs w:val="32"/>
        </w:rPr>
        <w:t>第二章  管理职责</w:t>
      </w:r>
      <w:bookmarkEnd w:id="1124"/>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ascii="仿宋_GB2312" w:eastAsia="仿宋_GB2312" w:cs="仿宋_GB2312"/>
          <w:b/>
          <w:bCs/>
          <w:color w:val="000000"/>
          <w:sz w:val="32"/>
          <w:szCs w:val="32"/>
        </w:rPr>
        <w:t>第</w:t>
      </w:r>
      <w:r>
        <w:rPr>
          <w:rFonts w:hint="eastAsia" w:ascii="仿宋_GB2312" w:eastAsia="仿宋_GB2312" w:cs="仿宋_GB2312"/>
          <w:b/>
          <w:bCs/>
          <w:color w:val="000000"/>
          <w:sz w:val="32"/>
          <w:szCs w:val="32"/>
        </w:rPr>
        <w:t>三</w:t>
      </w:r>
      <w:r>
        <w:rPr>
          <w:rFonts w:ascii="仿宋_GB2312" w:eastAsia="仿宋_GB2312" w:cs="仿宋_GB2312"/>
          <w:b/>
          <w:bCs/>
          <w:color w:val="000000"/>
          <w:sz w:val="32"/>
          <w:szCs w:val="32"/>
        </w:rPr>
        <w:t>条</w:t>
      </w:r>
      <w:r>
        <w:rPr>
          <w:rFonts w:hint="eastAsia" w:ascii="仿宋_GB2312" w:eastAsia="仿宋_GB2312" w:cs="仿宋_GB2312"/>
          <w:b/>
          <w:bCs/>
          <w:color w:val="000000"/>
          <w:sz w:val="32"/>
          <w:szCs w:val="32"/>
        </w:rPr>
        <w:t xml:space="preserve">  </w:t>
      </w:r>
      <w:r>
        <w:rPr>
          <w:rFonts w:hint="eastAsia" w:ascii="仿宋_GB2312" w:eastAsia="仿宋_GB2312" w:cs="仿宋_GB2312"/>
          <w:color w:val="000000"/>
          <w:sz w:val="32"/>
          <w:szCs w:val="32"/>
        </w:rPr>
        <w:t>各部门往来款项经办人对往来款项办理挂账核销手续负直接责任，部门负责人负监管责任。对往来款项未能办理核销手续的，部门应提供相应的佐证材料。</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ascii="仿宋_GB2312" w:eastAsia="仿宋_GB2312" w:cs="仿宋_GB2312"/>
          <w:b/>
          <w:bCs/>
          <w:color w:val="000000"/>
          <w:sz w:val="32"/>
          <w:szCs w:val="32"/>
        </w:rPr>
        <w:t>第</w:t>
      </w:r>
      <w:r>
        <w:rPr>
          <w:rFonts w:hint="eastAsia" w:ascii="仿宋_GB2312" w:eastAsia="仿宋_GB2312" w:cs="仿宋_GB2312"/>
          <w:b/>
          <w:bCs/>
          <w:color w:val="000000"/>
          <w:sz w:val="32"/>
          <w:szCs w:val="32"/>
        </w:rPr>
        <w:t>四</w:t>
      </w:r>
      <w:r>
        <w:rPr>
          <w:rFonts w:ascii="仿宋_GB2312" w:eastAsia="仿宋_GB2312" w:cs="仿宋_GB2312"/>
          <w:b/>
          <w:bCs/>
          <w:color w:val="000000"/>
          <w:sz w:val="32"/>
          <w:szCs w:val="32"/>
        </w:rPr>
        <w:t>条</w:t>
      </w:r>
      <w:r>
        <w:rPr>
          <w:rFonts w:hint="eastAsia" w:ascii="仿宋_GB2312" w:eastAsia="仿宋_GB2312" w:cs="仿宋_GB2312"/>
          <w:color w:val="000000"/>
          <w:sz w:val="32"/>
          <w:szCs w:val="32"/>
        </w:rPr>
        <w:t xml:space="preserve">  </w:t>
      </w:r>
      <w:r>
        <w:rPr>
          <w:rFonts w:ascii="仿宋_GB2312" w:eastAsia="仿宋_GB2312" w:cs="仿宋_GB2312"/>
          <w:color w:val="000000"/>
          <w:sz w:val="32"/>
          <w:szCs w:val="32"/>
        </w:rPr>
        <w:t>财务处负责往来款项的日常</w:t>
      </w:r>
      <w:r>
        <w:rPr>
          <w:rFonts w:hint="eastAsia" w:ascii="仿宋_GB2312" w:eastAsia="仿宋_GB2312" w:cs="仿宋_GB2312"/>
          <w:color w:val="000000"/>
          <w:sz w:val="32"/>
          <w:szCs w:val="32"/>
        </w:rPr>
        <w:t>管理，根据《政府会计制度》的要求和管理的实际需要设明细科目进行核算；设专人每半年进行一次清理，经办会计将及时通知经办人和部门负责人，部门负责人督促经办人及时报账或归还账款；对</w:t>
      </w:r>
      <w:r>
        <w:rPr>
          <w:rFonts w:ascii="仿宋_GB2312" w:eastAsia="仿宋_GB2312" w:cs="仿宋_GB2312"/>
          <w:color w:val="000000"/>
          <w:sz w:val="32"/>
          <w:szCs w:val="32"/>
        </w:rPr>
        <w:t>无法收回或收回的可能性极小的</w:t>
      </w: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HYPERLINK "https://baike.so.com/doc/6134472-6347633.html" \t "https://baike.so.com/doc/_blank" </w:instrText>
      </w:r>
      <w:r>
        <w:rPr>
          <w:rFonts w:ascii="仿宋_GB2312" w:eastAsia="仿宋_GB2312" w:cs="仿宋_GB2312"/>
          <w:color w:val="000000"/>
          <w:sz w:val="32"/>
          <w:szCs w:val="32"/>
        </w:rPr>
        <w:fldChar w:fldCharType="separate"/>
      </w:r>
      <w:r>
        <w:rPr>
          <w:rFonts w:ascii="仿宋_GB2312" w:eastAsia="仿宋_GB2312" w:cs="仿宋_GB2312"/>
        </w:rPr>
        <w:t>应收款项</w:t>
      </w:r>
      <w:r>
        <w:rPr>
          <w:rFonts w:ascii="仿宋_GB2312" w:eastAsia="仿宋_GB2312" w:cs="仿宋_GB2312"/>
          <w:color w:val="000000"/>
          <w:sz w:val="32"/>
          <w:szCs w:val="32"/>
        </w:rPr>
        <w:fldChar w:fldCharType="end"/>
      </w:r>
      <w:r>
        <w:rPr>
          <w:rFonts w:hint="eastAsia" w:ascii="仿宋_GB2312" w:eastAsia="仿宋_GB2312" w:cs="仿宋_GB2312"/>
          <w:color w:val="000000"/>
          <w:sz w:val="32"/>
          <w:szCs w:val="32"/>
        </w:rPr>
        <w:t>形成的坏账损失</w:t>
      </w:r>
      <w:r>
        <w:rPr>
          <w:rFonts w:ascii="仿宋_GB2312" w:eastAsia="仿宋_GB2312" w:cs="仿宋_GB2312"/>
          <w:color w:val="000000"/>
          <w:sz w:val="32"/>
          <w:szCs w:val="32"/>
        </w:rPr>
        <w:t>清查结果提出初步处理意见。</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ascii="仿宋_GB2312" w:eastAsia="仿宋_GB2312" w:cs="仿宋_GB2312"/>
          <w:b/>
          <w:bCs/>
          <w:color w:val="000000"/>
          <w:sz w:val="32"/>
          <w:szCs w:val="32"/>
        </w:rPr>
        <w:t>第</w:t>
      </w:r>
      <w:r>
        <w:rPr>
          <w:rFonts w:hint="eastAsia" w:ascii="仿宋_GB2312" w:eastAsia="仿宋_GB2312" w:cs="仿宋_GB2312"/>
          <w:b/>
          <w:bCs/>
          <w:color w:val="000000"/>
          <w:sz w:val="32"/>
          <w:szCs w:val="32"/>
        </w:rPr>
        <w:t>五</w:t>
      </w:r>
      <w:r>
        <w:rPr>
          <w:rFonts w:ascii="仿宋_GB2312" w:eastAsia="仿宋_GB2312" w:cs="仿宋_GB2312"/>
          <w:b/>
          <w:bCs/>
          <w:color w:val="000000"/>
          <w:sz w:val="32"/>
          <w:szCs w:val="32"/>
        </w:rPr>
        <w:t>条</w:t>
      </w:r>
      <w:r>
        <w:rPr>
          <w:rFonts w:hint="eastAsia" w:ascii="仿宋_GB2312" w:eastAsia="仿宋_GB2312" w:cs="仿宋_GB2312"/>
          <w:color w:val="000000"/>
          <w:sz w:val="32"/>
          <w:szCs w:val="32"/>
        </w:rPr>
        <w:t xml:space="preserve">  内部审计与督导室负责往来款项坏账核销审查工作。</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第六条</w:t>
      </w:r>
      <w:r>
        <w:rPr>
          <w:rFonts w:hint="eastAsia" w:ascii="仿宋_GB2312" w:eastAsia="仿宋_GB2312" w:cs="仿宋_GB2312"/>
          <w:color w:val="000000"/>
          <w:sz w:val="32"/>
          <w:szCs w:val="32"/>
        </w:rPr>
        <w:t xml:space="preserve">  往来款项坏账损失核销需报校长办公会和党委会审议通过后，再报上级部门进行审批。</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ascii="仿宋_GB2312" w:eastAsia="仿宋_GB2312" w:cs="仿宋_GB2312"/>
          <w:b/>
          <w:bCs/>
          <w:color w:val="000000"/>
          <w:sz w:val="32"/>
          <w:szCs w:val="32"/>
        </w:rPr>
        <w:t>第</w:t>
      </w:r>
      <w:r>
        <w:rPr>
          <w:rFonts w:hint="eastAsia" w:ascii="仿宋_GB2312" w:eastAsia="仿宋_GB2312" w:cs="仿宋_GB2312"/>
          <w:b/>
          <w:bCs/>
          <w:color w:val="000000"/>
          <w:sz w:val="32"/>
          <w:szCs w:val="32"/>
        </w:rPr>
        <w:t>七</w:t>
      </w:r>
      <w:r>
        <w:rPr>
          <w:rFonts w:ascii="仿宋_GB2312" w:eastAsia="仿宋_GB2312" w:cs="仿宋_GB2312"/>
          <w:b/>
          <w:bCs/>
          <w:color w:val="000000"/>
          <w:sz w:val="32"/>
          <w:szCs w:val="32"/>
        </w:rPr>
        <w:t>条</w:t>
      </w:r>
      <w:r>
        <w:rPr>
          <w:rFonts w:hint="eastAsia" w:ascii="仿宋_GB2312" w:eastAsia="仿宋_GB2312" w:cs="仿宋_GB2312"/>
          <w:color w:val="000000"/>
          <w:sz w:val="32"/>
          <w:szCs w:val="32"/>
        </w:rPr>
        <w:t xml:space="preserve">  </w:t>
      </w:r>
      <w:r>
        <w:rPr>
          <w:rFonts w:ascii="仿宋_GB2312" w:eastAsia="仿宋_GB2312" w:cs="仿宋_GB2312"/>
          <w:color w:val="000000"/>
          <w:sz w:val="32"/>
          <w:szCs w:val="32"/>
        </w:rPr>
        <w:t>纪</w:t>
      </w:r>
      <w:r>
        <w:rPr>
          <w:rFonts w:hint="eastAsia" w:ascii="仿宋_GB2312" w:eastAsia="仿宋_GB2312" w:cs="仿宋_GB2312"/>
          <w:color w:val="000000"/>
          <w:sz w:val="32"/>
          <w:szCs w:val="32"/>
        </w:rPr>
        <w:t>检</w:t>
      </w:r>
      <w:r>
        <w:rPr>
          <w:rFonts w:ascii="仿宋_GB2312" w:eastAsia="仿宋_GB2312" w:cs="仿宋_GB2312"/>
          <w:color w:val="000000"/>
          <w:sz w:val="32"/>
          <w:szCs w:val="32"/>
        </w:rPr>
        <w:t>监察室负责对造成经济损失的往来款项责任人进行问责处理。</w:t>
      </w: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25" w:name="_Toc31600_WPSOffice_Level1"/>
      <w:r>
        <w:rPr>
          <w:rFonts w:hint="eastAsia" w:ascii="黑体" w:hAnsi="黑体" w:eastAsia="黑体"/>
          <w:b/>
          <w:sz w:val="32"/>
          <w:szCs w:val="32"/>
        </w:rPr>
        <w:t>第三章  应收及预付款项的管理</w:t>
      </w:r>
      <w:bookmarkEnd w:id="1125"/>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第八条 </w:t>
      </w:r>
      <w:r>
        <w:rPr>
          <w:rFonts w:hint="eastAsia" w:ascii="仿宋_GB2312" w:eastAsia="仿宋_GB2312" w:cs="仿宋_GB2312"/>
          <w:color w:val="000000"/>
          <w:sz w:val="32"/>
          <w:szCs w:val="32"/>
        </w:rPr>
        <w:t xml:space="preserve"> 应收账款是指学校开展经营活动销售产品、提供服务等而应收取的款项。预付账款是指学校按照购货、劳务合同或协议规定预付给供应单位的款项。其他应收款是学校除应收票据、应收账款、预付账款以外的其他各项应收及暂付款项。</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第九条</w:t>
      </w:r>
      <w:r>
        <w:rPr>
          <w:rFonts w:hint="eastAsia" w:ascii="仿宋_GB2312" w:eastAsia="仿宋_GB2312" w:cs="仿宋_GB2312"/>
          <w:color w:val="000000"/>
          <w:sz w:val="32"/>
          <w:szCs w:val="32"/>
        </w:rPr>
        <w:t xml:space="preserve">  各部门应根据合同和协议对应收账款进行催收，明确催收责任人，对逾期没有收回的，应追究相关责任人的责任，对因个人原因造成应收账款无法收回而给学校带来经济损失的，应由相关责任人全部或部分赔偿损失。</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第十条</w:t>
      </w:r>
      <w:r>
        <w:rPr>
          <w:rFonts w:hint="eastAsia" w:ascii="仿宋_GB2312" w:eastAsia="仿宋_GB2312" w:cs="仿宋_GB2312"/>
          <w:color w:val="000000"/>
          <w:sz w:val="32"/>
          <w:szCs w:val="32"/>
        </w:rPr>
        <w:t xml:space="preserve">  预付账款应凭合同或协议付款，凡未签订有效合同或协议的，财务处应拒绝付款。 </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color w:val="000000"/>
          <w:sz w:val="32"/>
          <w:szCs w:val="32"/>
        </w:rPr>
        <w:t>各部门应在货物到货、劳务提供完成、工程完工后及时从提供单位取得发票或其他合法有效票据，并办理相应审批、资产或工程验收等程序后到财务处办理挂账核销手续。                                                               对经办部门无正当理由未按要求及时办理挂账核销手续的，财务处有权暂停该部门一切开支，直到到期预付账款挂账核销完毕。</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第十一条 </w:t>
      </w:r>
      <w:r>
        <w:rPr>
          <w:rFonts w:hint="eastAsia" w:ascii="仿宋_GB2312" w:eastAsia="仿宋_GB2312" w:cs="仿宋_GB2312"/>
          <w:color w:val="000000"/>
          <w:sz w:val="32"/>
          <w:szCs w:val="32"/>
        </w:rPr>
        <w:t xml:space="preserve"> 预借款项时，应列明所借款项用途。各部门和个人应及时核销所借款项，不得无故拖欠和占用学校资金。各部门应严格执行“一事一借、前清后借”的原则。每一事项应单独办理借款手续，不得将多项事由合在一起办理借款手续；前款未清，又无正当理由的，原则上不得再次借款。 个人所借款项应在借款之日起一个月内到财务处办理报账手续，无正当理由逾期不报的，财务处有权将暂停该部门一切开支，直至预借款核销。</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第十二条</w:t>
      </w:r>
      <w:r>
        <w:rPr>
          <w:rFonts w:hint="eastAsia" w:ascii="仿宋_GB2312" w:eastAsia="仿宋_GB2312" w:cs="仿宋_GB2312"/>
          <w:color w:val="000000"/>
          <w:sz w:val="32"/>
          <w:szCs w:val="32"/>
        </w:rPr>
        <w:t xml:space="preserve">  财务处在按学校规定程序办理调出、离职、退休等人员的离校手续时，应对其在校期间的借款进行清查。如发现存在未核销暂借款的，应督促其核销后方能为其办理离校手续。</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126" w:name="_Toc12092_WPSOffice_Level1"/>
      <w:r>
        <w:rPr>
          <w:rFonts w:hint="eastAsia" w:ascii="黑体" w:hAnsi="黑体" w:eastAsia="黑体"/>
          <w:b/>
          <w:sz w:val="32"/>
          <w:szCs w:val="32"/>
        </w:rPr>
        <w:t>第四章  应付及预收款项的管理</w:t>
      </w:r>
      <w:bookmarkEnd w:id="1126"/>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第十三条 </w:t>
      </w:r>
      <w:r>
        <w:rPr>
          <w:rFonts w:hint="eastAsia" w:ascii="仿宋_GB2312" w:eastAsia="仿宋_GB2312" w:cs="仿宋_GB2312"/>
          <w:color w:val="000000"/>
          <w:sz w:val="32"/>
          <w:szCs w:val="32"/>
        </w:rPr>
        <w:t xml:space="preserve"> 应付账款是指学校因购买材料、物资等应付的款项。预收账款是指学校根据合同或协议规定预收的款项。其他应付款是指学校除应缴税费、应缴国库款、应缴财政专户款、应付职工薪酬、应付票据、应付账款、预收账款之外的其他各项偿还的应付及暂收款项，如各类保证金、学生代收费、代扣职工个人社会保障金等。</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第十四条</w:t>
      </w:r>
      <w:r>
        <w:rPr>
          <w:rFonts w:hint="eastAsia" w:ascii="仿宋_GB2312" w:eastAsia="仿宋_GB2312" w:cs="仿宋_GB2312"/>
          <w:color w:val="000000"/>
          <w:sz w:val="32"/>
          <w:szCs w:val="32"/>
        </w:rPr>
        <w:t xml:space="preserve">  财务处应加强对应付及预收款项的管理，根据《政府会计制度》要求和学校管理的需要设明细科目进行核算，设专人定期进行分类清理。</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收取保证金应凭合同或协议办理，到期由相关部门凭有效证明材料办理结账手续。</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学生代收费的收取必须遵循自愿和合理成本的原则，及时据时结算、多退少补。</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从职工工资中代为扣除的社会保障金，实行分类别核算，与支付的款项定期核对。</w:t>
      </w: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127" w:name="_Toc8242_WPSOffice_Level1"/>
      <w:r>
        <w:rPr>
          <w:rFonts w:hint="eastAsia" w:ascii="黑体" w:hAnsi="黑体" w:eastAsia="黑体"/>
          <w:b/>
          <w:sz w:val="32"/>
          <w:szCs w:val="32"/>
        </w:rPr>
        <w:t>第五章  往来款项的核销</w:t>
      </w:r>
      <w:bookmarkEnd w:id="1127"/>
      <w:r>
        <w:rPr>
          <w:rFonts w:hint="eastAsia" w:ascii="黑体" w:hAnsi="黑体" w:eastAsia="黑体"/>
          <w:b/>
          <w:sz w:val="32"/>
          <w:szCs w:val="32"/>
        </w:rPr>
        <w:t xml:space="preserve">  </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第十五条</w:t>
      </w:r>
      <w:r>
        <w:rPr>
          <w:rFonts w:hint="eastAsia" w:ascii="仿宋_GB2312" w:eastAsia="仿宋_GB2312" w:cs="仿宋_GB2312"/>
          <w:color w:val="000000"/>
          <w:sz w:val="32"/>
          <w:szCs w:val="32"/>
        </w:rPr>
        <w:t xml:space="preserve">  坏账指单位</w:t>
      </w:r>
      <w:r>
        <w:rPr>
          <w:rFonts w:ascii="仿宋_GB2312" w:eastAsia="仿宋_GB2312" w:cs="仿宋_GB2312"/>
          <w:color w:val="000000"/>
          <w:sz w:val="32"/>
          <w:szCs w:val="32"/>
        </w:rPr>
        <w:t>无法收回或收回的可能性极小的</w:t>
      </w:r>
      <w:r>
        <w:rPr>
          <w:rFonts w:ascii="仿宋_GB2312" w:eastAsia="仿宋_GB2312" w:cs="仿宋_GB2312"/>
          <w:color w:val="000000"/>
          <w:sz w:val="32"/>
          <w:szCs w:val="32"/>
        </w:rPr>
        <w:fldChar w:fldCharType="begin"/>
      </w:r>
      <w:r>
        <w:rPr>
          <w:rFonts w:ascii="仿宋_GB2312" w:eastAsia="仿宋_GB2312" w:cs="仿宋_GB2312"/>
          <w:color w:val="000000"/>
          <w:sz w:val="32"/>
          <w:szCs w:val="32"/>
        </w:rPr>
        <w:instrText xml:space="preserve"> HYPERLINK "https://baike.so.com/doc/6134472-6347633.html" \t "https://baike.so.com/doc/_blank" </w:instrText>
      </w:r>
      <w:r>
        <w:rPr>
          <w:rFonts w:ascii="仿宋_GB2312" w:eastAsia="仿宋_GB2312" w:cs="仿宋_GB2312"/>
          <w:color w:val="000000"/>
          <w:sz w:val="32"/>
          <w:szCs w:val="32"/>
        </w:rPr>
        <w:fldChar w:fldCharType="separate"/>
      </w:r>
      <w:r>
        <w:rPr>
          <w:rFonts w:ascii="仿宋_GB2312" w:eastAsia="仿宋_GB2312" w:cs="仿宋_GB2312"/>
        </w:rPr>
        <w:t>应收款项</w:t>
      </w:r>
      <w:r>
        <w:rPr>
          <w:rFonts w:ascii="仿宋_GB2312" w:eastAsia="仿宋_GB2312" w:cs="仿宋_GB2312"/>
          <w:color w:val="000000"/>
          <w:sz w:val="32"/>
          <w:szCs w:val="32"/>
        </w:rPr>
        <w:fldChar w:fldCharType="end"/>
      </w:r>
      <w:r>
        <w:rPr>
          <w:rFonts w:hint="eastAsia" w:ascii="仿宋_GB2312" w:eastAsia="仿宋_GB2312" w:cs="仿宋_GB2312"/>
          <w:color w:val="000000"/>
          <w:sz w:val="32"/>
          <w:szCs w:val="32"/>
        </w:rPr>
        <w:t>。因坏账而发生的损失称为坏账损失。往来款项损失核销即坏账损失核销是指单位按现行财务与会计制度，对确认形成损失的往来款项进行核销的行为。</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第十六条 </w:t>
      </w:r>
      <w:r>
        <w:rPr>
          <w:rFonts w:hint="eastAsia" w:ascii="仿宋_GB2312" w:eastAsia="仿宋_GB2312" w:cs="仿宋_GB2312"/>
          <w:color w:val="000000"/>
          <w:sz w:val="32"/>
          <w:szCs w:val="32"/>
        </w:rPr>
        <w:t xml:space="preserve"> 往来款项损失核销流程：由经办部门提出核销申请，提供相关材料，先报财务处审核，再报内部审计与督导室审查，经审查后需报校长办公会和党委会审议，最后由财务处上报市教育局和市财政局审批。</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第十七条  </w:t>
      </w:r>
      <w:r>
        <w:rPr>
          <w:rFonts w:hint="eastAsia" w:ascii="仿宋_GB2312" w:eastAsia="仿宋_GB2312" w:cs="仿宋_GB2312"/>
          <w:color w:val="000000"/>
          <w:sz w:val="32"/>
          <w:szCs w:val="32"/>
        </w:rPr>
        <w:t>根据上级部门相关文件的规定，申请往来款项损失核销，应提交以下材料：</w:t>
      </w:r>
    </w:p>
    <w:p>
      <w:pPr>
        <w:pageBreakBefore w:val="0"/>
        <w:kinsoku/>
        <w:wordWrap/>
        <w:overflowPunct/>
        <w:topLinePunct w:val="0"/>
        <w:autoSpaceDE/>
        <w:autoSpaceDN/>
        <w:bidi w:val="0"/>
        <w:spacing w:line="596" w:lineRule="exact"/>
        <w:ind w:firstLine="627" w:firstLineChars="196"/>
        <w:outlineLvl w:val="9"/>
        <w:rPr>
          <w:rFonts w:hint="eastAsia" w:ascii="楷体_GB2312" w:eastAsia="楷体_GB2312" w:cs="仿宋_GB2312"/>
          <w:b/>
          <w:color w:val="000000"/>
          <w:sz w:val="32"/>
          <w:szCs w:val="32"/>
        </w:rPr>
      </w:pPr>
      <w:r>
        <w:rPr>
          <w:rFonts w:hint="eastAsia" w:ascii="楷体_GB2312" w:eastAsia="楷体_GB2312" w:cs="仿宋_GB2312"/>
          <w:b/>
          <w:color w:val="000000"/>
          <w:sz w:val="32"/>
          <w:szCs w:val="32"/>
        </w:rPr>
        <w:t>（一）经办部门负责提供的材料：</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1.</w:t>
      </w:r>
      <w:r>
        <w:rPr>
          <w:rFonts w:ascii="仿宋_GB2312" w:eastAsia="仿宋_GB2312" w:cs="仿宋_GB2312"/>
          <w:color w:val="000000"/>
          <w:sz w:val="32"/>
          <w:szCs w:val="32"/>
        </w:rPr>
        <w:t>债务人已被依法宣告破产、撤销、关闭，用债务人清算财产清偿后仍不能弥补损失的，提供宣告破产的民事裁定书以及财产清算报告、注销工商登记或吊销营业执照的证明、政府有关部门决定关闭的文件；</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2.</w:t>
      </w:r>
      <w:r>
        <w:rPr>
          <w:rFonts w:ascii="仿宋_GB2312" w:eastAsia="仿宋_GB2312" w:cs="仿宋_GB2312"/>
          <w:color w:val="000000"/>
          <w:sz w:val="32"/>
          <w:szCs w:val="32"/>
        </w:rPr>
        <w:t>债务人死亡或者依法被宣告失踪、死亡的，</w:t>
      </w:r>
      <w:bookmarkStart w:id="1128" w:name="_Toc30198_WPSOffice_Level1"/>
      <w:r>
        <w:rPr>
          <w:rFonts w:ascii="仿宋_GB2312" w:eastAsia="仿宋_GB2312" w:cs="仿宋_GB2312"/>
          <w:color w:val="000000"/>
          <w:sz w:val="32"/>
          <w:szCs w:val="32"/>
        </w:rPr>
        <w:t>提供其财产或遗产不足清偿的法律文件；</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3.</w:t>
      </w:r>
      <w:r>
        <w:rPr>
          <w:rFonts w:ascii="仿宋_GB2312" w:eastAsia="仿宋_GB2312" w:cs="仿宋_GB2312"/>
          <w:color w:val="000000"/>
          <w:sz w:val="32"/>
          <w:szCs w:val="32"/>
        </w:rPr>
        <w:t>逾期三年以上，提供相</w:t>
      </w:r>
      <w:bookmarkEnd w:id="1128"/>
      <w:r>
        <w:rPr>
          <w:rFonts w:ascii="仿宋_GB2312" w:eastAsia="仿宋_GB2312" w:cs="仿宋_GB2312"/>
          <w:color w:val="000000"/>
          <w:sz w:val="32"/>
          <w:szCs w:val="32"/>
        </w:rPr>
        <w:t>关</w:t>
      </w:r>
      <w:bookmarkStart w:id="1129" w:name="_Toc2529_WPSOffice_Level1"/>
      <w:r>
        <w:rPr>
          <w:rFonts w:ascii="仿宋_GB2312" w:eastAsia="仿宋_GB2312" w:cs="仿宋_GB2312"/>
          <w:color w:val="000000"/>
          <w:sz w:val="32"/>
          <w:szCs w:val="32"/>
        </w:rPr>
        <w:t>的催收记录、债务人无法清偿的相关证明文件；</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4.</w:t>
      </w:r>
      <w:r>
        <w:rPr>
          <w:rFonts w:ascii="仿宋_GB2312" w:eastAsia="仿宋_GB2312" w:cs="仿宋_GB2312"/>
          <w:color w:val="000000"/>
          <w:sz w:val="32"/>
          <w:szCs w:val="32"/>
        </w:rPr>
        <w:t>涉及诉</w:t>
      </w:r>
      <w:bookmarkEnd w:id="1129"/>
      <w:r>
        <w:rPr>
          <w:rFonts w:ascii="仿宋_GB2312" w:eastAsia="仿宋_GB2312" w:cs="仿宋_GB2312"/>
          <w:color w:val="000000"/>
          <w:sz w:val="32"/>
          <w:szCs w:val="32"/>
        </w:rPr>
        <w:t>讼的</w:t>
      </w:r>
      <w:bookmarkStart w:id="1130" w:name="_Toc14537_WPSOffice_Level1"/>
      <w:r>
        <w:rPr>
          <w:rFonts w:ascii="仿宋_GB2312" w:eastAsia="仿宋_GB2312" w:cs="仿宋_GB2312"/>
          <w:color w:val="000000"/>
          <w:sz w:val="32"/>
          <w:szCs w:val="32"/>
        </w:rPr>
        <w:t>，提供能证明申报单位败诉的人民法院生效法</w:t>
      </w:r>
      <w:bookmarkEnd w:id="1130"/>
      <w:r>
        <w:rPr>
          <w:rFonts w:ascii="仿宋_GB2312" w:eastAsia="仿宋_GB2312" w:cs="仿宋_GB2312"/>
          <w:color w:val="000000"/>
          <w:sz w:val="32"/>
          <w:szCs w:val="32"/>
        </w:rPr>
        <w:t>律</w:t>
      </w:r>
      <w:bookmarkStart w:id="1131" w:name="_Toc11142_WPSOffice_Level1"/>
      <w:r>
        <w:rPr>
          <w:rFonts w:ascii="仿宋_GB2312" w:eastAsia="仿宋_GB2312" w:cs="仿宋_GB2312"/>
          <w:color w:val="000000"/>
          <w:sz w:val="32"/>
          <w:szCs w:val="32"/>
        </w:rPr>
        <w:t>文书，或虽胜诉但因无法执行被裁定终止执行的法律文</w:t>
      </w:r>
      <w:bookmarkEnd w:id="1131"/>
      <w:r>
        <w:rPr>
          <w:rFonts w:ascii="仿宋_GB2312" w:eastAsia="仿宋_GB2312" w:cs="仿宋_GB2312"/>
          <w:color w:val="000000"/>
          <w:sz w:val="32"/>
          <w:szCs w:val="32"/>
        </w:rPr>
        <w:t>件</w:t>
      </w:r>
      <w:r>
        <w:rPr>
          <w:rFonts w:hint="eastAsia" w:ascii="仿宋_GB2312" w:eastAsia="仿宋_GB2312" w:cs="仿宋_GB2312"/>
          <w:color w:val="000000"/>
          <w:sz w:val="32"/>
          <w:szCs w:val="32"/>
        </w:rPr>
        <w:t>；</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5.</w:t>
      </w:r>
      <w:r>
        <w:rPr>
          <w:rFonts w:ascii="仿宋_GB2312" w:eastAsia="仿宋_GB2312" w:cs="仿宋_GB2312"/>
          <w:color w:val="000000"/>
          <w:sz w:val="32"/>
          <w:szCs w:val="32"/>
        </w:rPr>
        <w:t>其他相</w:t>
      </w:r>
      <w:bookmarkStart w:id="1132" w:name="_Toc22179_WPSOffice_Level1"/>
      <w:r>
        <w:rPr>
          <w:rFonts w:ascii="仿宋_GB2312" w:eastAsia="仿宋_GB2312" w:cs="仿宋_GB2312"/>
          <w:color w:val="000000"/>
          <w:sz w:val="32"/>
          <w:szCs w:val="32"/>
        </w:rPr>
        <w:t>关材料。</w:t>
      </w:r>
    </w:p>
    <w:p>
      <w:pPr>
        <w:pageBreakBefore w:val="0"/>
        <w:kinsoku/>
        <w:wordWrap/>
        <w:overflowPunct/>
        <w:topLinePunct w:val="0"/>
        <w:autoSpaceDE/>
        <w:autoSpaceDN/>
        <w:bidi w:val="0"/>
        <w:spacing w:line="596" w:lineRule="exact"/>
        <w:ind w:firstLine="627" w:firstLineChars="196"/>
        <w:outlineLvl w:val="9"/>
        <w:rPr>
          <w:rFonts w:hint="eastAsia" w:ascii="楷体_GB2312" w:eastAsia="楷体_GB2312" w:cs="仿宋_GB2312"/>
          <w:b/>
          <w:color w:val="000000"/>
          <w:sz w:val="32"/>
          <w:szCs w:val="32"/>
        </w:rPr>
      </w:pPr>
      <w:r>
        <w:rPr>
          <w:rFonts w:hint="eastAsia" w:ascii="楷体_GB2312" w:eastAsia="楷体_GB2312" w:cs="仿宋_GB2312"/>
          <w:b/>
          <w:color w:val="000000"/>
          <w:sz w:val="32"/>
          <w:szCs w:val="32"/>
        </w:rPr>
        <w:t>（二）学校报上级部门</w:t>
      </w:r>
      <w:bookmarkEnd w:id="1132"/>
      <w:r>
        <w:rPr>
          <w:rFonts w:hint="eastAsia" w:ascii="楷体_GB2312" w:eastAsia="楷体_GB2312" w:cs="仿宋_GB2312"/>
          <w:b/>
          <w:color w:val="000000"/>
          <w:sz w:val="32"/>
          <w:szCs w:val="32"/>
        </w:rPr>
        <w:t>提交的材料：除</w:t>
      </w:r>
      <w:bookmarkStart w:id="1133" w:name="_Toc1606_WPSOffice_Level1"/>
      <w:r>
        <w:rPr>
          <w:rFonts w:hint="eastAsia" w:ascii="楷体_GB2312" w:eastAsia="楷体_GB2312" w:cs="仿宋_GB2312"/>
          <w:b/>
          <w:color w:val="000000"/>
          <w:sz w:val="32"/>
          <w:szCs w:val="32"/>
        </w:rPr>
        <w:t>经办部门</w:t>
      </w:r>
      <w:bookmarkEnd w:id="1133"/>
      <w:r>
        <w:rPr>
          <w:rFonts w:hint="eastAsia" w:ascii="楷体_GB2312" w:eastAsia="楷体_GB2312" w:cs="仿宋_GB2312"/>
          <w:b/>
          <w:color w:val="000000"/>
          <w:sz w:val="32"/>
          <w:szCs w:val="32"/>
        </w:rPr>
        <w:t>提供的材料外，还需提供以下材料：</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1.往来款项损失核销申请文件；</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2.《柳州市教育系统国有资产处置审批表》、《柳州市本级行政事业单位国有资产处置申请表》。</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第十八条</w:t>
      </w:r>
      <w:r>
        <w:rPr>
          <w:rFonts w:hint="eastAsia" w:ascii="仿宋_GB2312" w:eastAsia="仿宋_GB2312" w:cs="仿宋_GB2312"/>
          <w:color w:val="000000"/>
          <w:sz w:val="32"/>
          <w:szCs w:val="32"/>
        </w:rPr>
        <w:t xml:space="preserve">  由于部门或工作人员失误造成的，不得确认为坏账，要追究相关部门和责任人的责任，并要求予以赔偿。如涉嫌挪用公款，将依法追究相关责任人责任。</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第十九条</w:t>
      </w:r>
      <w:r>
        <w:rPr>
          <w:rFonts w:hint="eastAsia" w:ascii="仿宋_GB2312" w:eastAsia="仿宋_GB2312" w:cs="仿宋_GB2312"/>
          <w:color w:val="000000"/>
          <w:sz w:val="32"/>
          <w:szCs w:val="32"/>
        </w:rPr>
        <w:t xml:space="preserve">  已确认为坏账并已核销的应收及暂付款，学校仍然保持追索权，有关部门要予以协助，一旦有重新收回的可能，应积极追索。</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第二十条  </w:t>
      </w:r>
      <w:r>
        <w:rPr>
          <w:rFonts w:hint="eastAsia" w:ascii="仿宋_GB2312" w:eastAsia="仿宋_GB2312" w:cs="仿宋_GB2312"/>
          <w:color w:val="000000"/>
          <w:sz w:val="32"/>
          <w:szCs w:val="32"/>
        </w:rPr>
        <w:t>对超过3年以上长期挂账的应付及预收款项，学校应及时进行清理，确属无法偿付或债权人豁免的，应进行核销，并确认为学校收入。</w:t>
      </w: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134" w:name="_Toc17524_WPSOffice_Level1"/>
      <w:r>
        <w:rPr>
          <w:rFonts w:hint="eastAsia" w:ascii="黑体" w:hAnsi="黑体" w:eastAsia="黑体"/>
          <w:b/>
          <w:sz w:val="32"/>
          <w:szCs w:val="32"/>
        </w:rPr>
        <w:t>第六章  附则</w:t>
      </w:r>
      <w:bookmarkEnd w:id="1134"/>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第二十一条</w:t>
      </w:r>
      <w:r>
        <w:rPr>
          <w:rFonts w:hint="eastAsia" w:ascii="仿宋_GB2312" w:eastAsia="仿宋_GB2312" w:cs="仿宋_GB2312"/>
          <w:color w:val="000000"/>
          <w:sz w:val="32"/>
          <w:szCs w:val="32"/>
        </w:rPr>
        <w:t xml:space="preserve">  本办法由学校财务处负责解释。</w:t>
      </w:r>
    </w:p>
    <w:p>
      <w:pPr>
        <w:pageBreakBefore w:val="0"/>
        <w:kinsoku/>
        <w:wordWrap/>
        <w:overflowPunct/>
        <w:topLinePunct w:val="0"/>
        <w:autoSpaceDE/>
        <w:autoSpaceDN/>
        <w:bidi w:val="0"/>
        <w:spacing w:line="596" w:lineRule="exact"/>
        <w:ind w:firstLine="627" w:firstLineChars="196"/>
        <w:outlineLvl w:val="9"/>
        <w:rPr>
          <w:rFonts w:ascii="仿宋_GB2312" w:eastAsia="仿宋_GB2312" w:cs="仿宋_GB2312"/>
          <w:color w:val="000000"/>
          <w:sz w:val="32"/>
          <w:szCs w:val="32"/>
        </w:rPr>
      </w:pPr>
      <w:r>
        <w:rPr>
          <w:rFonts w:hint="eastAsia" w:ascii="仿宋_GB2312" w:eastAsia="仿宋_GB2312" w:cs="仿宋_GB2312"/>
          <w:b/>
          <w:bCs/>
          <w:color w:val="000000"/>
          <w:sz w:val="32"/>
          <w:szCs w:val="32"/>
        </w:rPr>
        <w:t>第二十二条</w:t>
      </w:r>
      <w:r>
        <w:rPr>
          <w:rFonts w:hint="eastAsia" w:ascii="仿宋_GB2312" w:eastAsia="仿宋_GB2312" w:cs="仿宋_GB2312"/>
          <w:color w:val="000000"/>
          <w:sz w:val="32"/>
          <w:szCs w:val="32"/>
        </w:rPr>
        <w:t xml:space="preserve">  本办法自发布</w:t>
      </w:r>
      <w:bookmarkStart w:id="1135" w:name="_Toc29598_WPSOffice_Level1"/>
      <w:r>
        <w:rPr>
          <w:rFonts w:hint="eastAsia" w:ascii="仿宋_GB2312" w:eastAsia="仿宋_GB2312" w:cs="仿宋_GB2312"/>
          <w:color w:val="000000"/>
          <w:sz w:val="32"/>
          <w:szCs w:val="32"/>
        </w:rPr>
        <w:t>之日起施</w:t>
      </w:r>
      <w:bookmarkEnd w:id="1135"/>
      <w:r>
        <w:rPr>
          <w:rFonts w:hint="eastAsia" w:ascii="仿宋_GB2312" w:eastAsia="仿宋_GB2312" w:cs="仿宋_GB2312"/>
          <w:color w:val="000000"/>
          <w:sz w:val="32"/>
          <w:szCs w:val="32"/>
        </w:rPr>
        <w:t>行。</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 xml:space="preserve"> </w:t>
      </w:r>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附件：1.柳州职业技术学院往来款项清理表</w:t>
      </w:r>
    </w:p>
    <w:p>
      <w:pPr>
        <w:pageBreakBefore w:val="0"/>
        <w:kinsoku/>
        <w:wordWrap/>
        <w:overflowPunct/>
        <w:topLinePunct w:val="0"/>
        <w:autoSpaceDE/>
        <w:autoSpaceDN/>
        <w:bidi w:val="0"/>
        <w:spacing w:line="596" w:lineRule="exact"/>
        <w:ind w:firstLine="1587" w:firstLineChars="4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2.往来款项损失核销流程</w:t>
      </w:r>
    </w:p>
    <w:p>
      <w:pPr>
        <w:pageBreakBefore w:val="0"/>
        <w:kinsoku/>
        <w:wordWrap/>
        <w:overflowPunct/>
        <w:topLinePunct w:val="0"/>
        <w:autoSpaceDE/>
        <w:autoSpaceDN/>
        <w:bidi w:val="0"/>
        <w:spacing w:line="596" w:lineRule="exact"/>
        <w:outlineLvl w:val="9"/>
        <w:rPr>
          <w:rFonts w:hint="eastAsia" w:ascii="仿宋_GB2312" w:eastAsia="仿宋_GB2312" w:cs="仿宋_GB2312"/>
          <w:color w:val="000000"/>
          <w:sz w:val="32"/>
          <w:szCs w:val="32"/>
        </w:rPr>
        <w:sectPr>
          <w:pgSz w:w="11906" w:h="16838"/>
          <w:pgMar w:top="1418" w:right="1417" w:bottom="1418" w:left="1417" w:header="851" w:footer="1020" w:gutter="0"/>
          <w:pgNumType w:fmt="decimal"/>
          <w:cols w:space="0" w:num="1"/>
          <w:rtlGutter w:val="0"/>
          <w:docGrid w:type="linesAndChars" w:linePitch="312" w:charSpace="0"/>
        </w:sectPr>
      </w:pPr>
    </w:p>
    <w:p>
      <w:pPr>
        <w:pageBreakBefore w:val="0"/>
        <w:kinsoku/>
        <w:wordWrap/>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附件1：</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136" w:name="_Toc23984_WPSOffice_Level1"/>
      <w:r>
        <w:rPr>
          <w:rFonts w:hint="eastAsia"/>
          <w:b/>
          <w:color w:val="000000"/>
          <w:sz w:val="36"/>
          <w:szCs w:val="36"/>
        </w:rPr>
        <w:t>柳州职业技术学院往来款项清理表</w:t>
      </w:r>
      <w:bookmarkEnd w:id="1136"/>
    </w:p>
    <w:p>
      <w:pPr>
        <w:pageBreakBefore w:val="0"/>
        <w:widowControl/>
        <w:kinsoku/>
        <w:wordWrap/>
        <w:overflowPunct/>
        <w:topLinePunct w:val="0"/>
        <w:autoSpaceDE/>
        <w:autoSpaceDN/>
        <w:bidi w:val="0"/>
        <w:spacing w:line="440" w:lineRule="exact"/>
        <w:jc w:val="left"/>
        <w:outlineLvl w:val="9"/>
        <w:rPr>
          <w:rFonts w:hint="eastAsia" w:ascii="仿宋_GB2312" w:hAnsi="仿宋" w:eastAsia="仿宋_GB2312" w:cs="宋体"/>
          <w:kern w:val="0"/>
          <w:szCs w:val="28"/>
          <w:shd w:val="clear" w:color="auto" w:fill="FFFFFF"/>
          <w:lang w:bidi="ar"/>
        </w:rPr>
      </w:pPr>
      <w:r>
        <w:rPr>
          <w:rFonts w:hint="eastAsia" w:ascii="仿宋_GB2312" w:hAnsi="仿宋" w:eastAsia="仿宋_GB2312" w:cs="宋体"/>
          <w:kern w:val="0"/>
          <w:szCs w:val="28"/>
          <w:shd w:val="clear" w:color="auto" w:fill="FFFFFF"/>
          <w:lang w:bidi="ar"/>
        </w:rPr>
        <w:t xml:space="preserve">截止时间： </w:t>
      </w:r>
    </w:p>
    <w:tbl>
      <w:tblPr>
        <w:tblStyle w:val="14"/>
        <w:tblW w:w="132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709"/>
        <w:gridCol w:w="814"/>
        <w:gridCol w:w="745"/>
        <w:gridCol w:w="817"/>
        <w:gridCol w:w="817"/>
        <w:gridCol w:w="1021"/>
        <w:gridCol w:w="1134"/>
        <w:gridCol w:w="992"/>
        <w:gridCol w:w="1072"/>
        <w:gridCol w:w="992"/>
        <w:gridCol w:w="1093"/>
        <w:gridCol w:w="952"/>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5"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序号</w:t>
            </w:r>
          </w:p>
        </w:tc>
        <w:tc>
          <w:tcPr>
            <w:tcW w:w="709"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一级科目</w:t>
            </w:r>
          </w:p>
        </w:tc>
        <w:tc>
          <w:tcPr>
            <w:tcW w:w="814"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明细科目</w:t>
            </w:r>
          </w:p>
        </w:tc>
        <w:tc>
          <w:tcPr>
            <w:tcW w:w="745"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发生时间</w:t>
            </w:r>
          </w:p>
        </w:tc>
        <w:tc>
          <w:tcPr>
            <w:tcW w:w="817"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业务内容</w:t>
            </w:r>
          </w:p>
        </w:tc>
        <w:tc>
          <w:tcPr>
            <w:tcW w:w="817"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金额</w:t>
            </w:r>
          </w:p>
        </w:tc>
        <w:tc>
          <w:tcPr>
            <w:tcW w:w="1021"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收款人</w:t>
            </w:r>
          </w:p>
        </w:tc>
        <w:tc>
          <w:tcPr>
            <w:tcW w:w="1134"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涉及凭证</w:t>
            </w:r>
          </w:p>
        </w:tc>
        <w:tc>
          <w:tcPr>
            <w:tcW w:w="992"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经办</w:t>
            </w:r>
          </w:p>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会计</w:t>
            </w:r>
          </w:p>
        </w:tc>
        <w:tc>
          <w:tcPr>
            <w:tcW w:w="1072"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经办人</w:t>
            </w:r>
          </w:p>
        </w:tc>
        <w:tc>
          <w:tcPr>
            <w:tcW w:w="992"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经办</w:t>
            </w:r>
          </w:p>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部门</w:t>
            </w:r>
          </w:p>
        </w:tc>
        <w:tc>
          <w:tcPr>
            <w:tcW w:w="1093"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经办部门意见</w:t>
            </w:r>
          </w:p>
        </w:tc>
        <w:tc>
          <w:tcPr>
            <w:tcW w:w="952"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s="宋体"/>
                <w:color w:val="000000"/>
                <w:kern w:val="0"/>
                <w:sz w:val="21"/>
                <w:szCs w:val="21"/>
                <w:shd w:val="clear" w:color="auto" w:fill="FFFFFF"/>
                <w:lang w:bidi="ar"/>
              </w:rPr>
              <w:t>财务处意见</w:t>
            </w:r>
          </w:p>
        </w:tc>
        <w:tc>
          <w:tcPr>
            <w:tcW w:w="1600" w:type="dxa"/>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olor w:val="000000"/>
                <w:sz w:val="21"/>
                <w:szCs w:val="21"/>
                <w:lang w:bidi="ar"/>
              </w:rPr>
            </w:pPr>
            <w:r>
              <w:rPr>
                <w:rFonts w:hint="eastAsia" w:ascii="仿宋" w:hAnsi="仿宋" w:eastAsia="仿宋"/>
                <w:color w:val="000000"/>
                <w:sz w:val="21"/>
                <w:szCs w:val="21"/>
                <w:lang w:bidi="ar"/>
              </w:rPr>
              <w:t>内部审计与</w:t>
            </w:r>
          </w:p>
          <w:p>
            <w:pPr>
              <w:pageBreakBefore w:val="0"/>
              <w:widowControl/>
              <w:kinsoku/>
              <w:wordWrap/>
              <w:overflowPunct/>
              <w:topLinePunct w:val="0"/>
              <w:autoSpaceDE/>
              <w:autoSpaceDN/>
              <w:bidi w:val="0"/>
              <w:spacing w:line="360" w:lineRule="exact"/>
              <w:jc w:val="center"/>
              <w:outlineLvl w:val="9"/>
              <w:rPr>
                <w:rFonts w:hint="eastAsia" w:ascii="仿宋" w:hAnsi="仿宋" w:eastAsia="仿宋" w:cs="宋体"/>
                <w:color w:val="000000"/>
                <w:kern w:val="0"/>
                <w:sz w:val="21"/>
                <w:szCs w:val="21"/>
                <w:shd w:val="clear" w:color="auto" w:fill="FFFFFF"/>
                <w:lang w:bidi="ar"/>
              </w:rPr>
            </w:pPr>
            <w:r>
              <w:rPr>
                <w:rFonts w:hint="eastAsia" w:ascii="仿宋" w:hAnsi="仿宋" w:eastAsia="仿宋"/>
                <w:color w:val="000000"/>
                <w:sz w:val="21"/>
                <w:szCs w:val="21"/>
                <w:lang w:bidi="ar"/>
              </w:rPr>
              <w:t>督导室意见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r>
              <w:rPr>
                <w:rFonts w:hint="eastAsia" w:ascii="仿宋" w:hAnsi="仿宋" w:eastAsia="仿宋" w:cs="宋体"/>
                <w:kern w:val="0"/>
                <w:sz w:val="21"/>
                <w:szCs w:val="21"/>
                <w:shd w:val="clear" w:color="auto" w:fill="FFFFFF"/>
                <w:lang w:bidi="ar"/>
              </w:rPr>
              <w:t>1</w:t>
            </w:r>
          </w:p>
        </w:tc>
        <w:tc>
          <w:tcPr>
            <w:tcW w:w="709"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74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21"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13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7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93"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5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600"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r>
              <w:rPr>
                <w:rFonts w:hint="eastAsia" w:ascii="仿宋" w:hAnsi="仿宋" w:eastAsia="仿宋" w:cs="宋体"/>
                <w:kern w:val="0"/>
                <w:sz w:val="21"/>
                <w:szCs w:val="21"/>
                <w:shd w:val="clear" w:color="auto" w:fill="FFFFFF"/>
                <w:lang w:bidi="ar"/>
              </w:rPr>
              <w:t>2</w:t>
            </w:r>
          </w:p>
        </w:tc>
        <w:tc>
          <w:tcPr>
            <w:tcW w:w="709"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74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21"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13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7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93"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5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600"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r>
              <w:rPr>
                <w:rFonts w:hint="eastAsia" w:ascii="仿宋" w:hAnsi="仿宋" w:eastAsia="仿宋" w:cs="宋体"/>
                <w:kern w:val="0"/>
                <w:sz w:val="21"/>
                <w:szCs w:val="21"/>
                <w:shd w:val="clear" w:color="auto" w:fill="FFFFFF"/>
                <w:lang w:bidi="ar"/>
              </w:rPr>
              <w:t>3</w:t>
            </w:r>
          </w:p>
        </w:tc>
        <w:tc>
          <w:tcPr>
            <w:tcW w:w="709"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74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21"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13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7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93"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5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600"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r>
              <w:rPr>
                <w:rFonts w:hint="eastAsia" w:ascii="仿宋" w:hAnsi="仿宋" w:eastAsia="仿宋" w:cs="宋体"/>
                <w:kern w:val="0"/>
                <w:sz w:val="21"/>
                <w:szCs w:val="21"/>
                <w:shd w:val="clear" w:color="auto" w:fill="FFFFFF"/>
                <w:lang w:bidi="ar"/>
              </w:rPr>
              <w:t>4</w:t>
            </w:r>
          </w:p>
        </w:tc>
        <w:tc>
          <w:tcPr>
            <w:tcW w:w="709"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74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21"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13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7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93"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5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600"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r>
              <w:rPr>
                <w:rFonts w:hint="eastAsia" w:ascii="仿宋" w:hAnsi="仿宋" w:eastAsia="仿宋" w:cs="宋体"/>
                <w:kern w:val="0"/>
                <w:sz w:val="21"/>
                <w:szCs w:val="21"/>
                <w:shd w:val="clear" w:color="auto" w:fill="FFFFFF"/>
                <w:lang w:bidi="ar"/>
              </w:rPr>
              <w:t>5</w:t>
            </w:r>
          </w:p>
        </w:tc>
        <w:tc>
          <w:tcPr>
            <w:tcW w:w="709"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74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r>
              <mc:AlternateContent>
                <mc:Choice Requires="wps">
                  <w:drawing>
                    <wp:anchor distT="0" distB="0" distL="114300" distR="114300" simplePos="0" relativeHeight="251692032" behindDoc="0" locked="0" layoutInCell="1" allowOverlap="1">
                      <wp:simplePos x="0" y="0"/>
                      <wp:positionH relativeFrom="column">
                        <wp:posOffset>917575</wp:posOffset>
                      </wp:positionH>
                      <wp:positionV relativeFrom="paragraph">
                        <wp:posOffset>6448425</wp:posOffset>
                      </wp:positionV>
                      <wp:extent cx="421640" cy="539750"/>
                      <wp:effectExtent l="0" t="0" r="16510" b="12700"/>
                      <wp:wrapNone/>
                      <wp:docPr id="53"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421640" cy="539750"/>
                              </a:xfrm>
                              <a:prstGeom prst="rect">
                                <a:avLst/>
                              </a:prstGeom>
                              <a:solidFill>
                                <a:srgbClr val="FFFFFF"/>
                              </a:solidFill>
                              <a:ln>
                                <a:noFill/>
                              </a:ln>
                              <a:effectLst/>
                            </wps:spPr>
                            <wps:txbx>
                              <w:txbxContent>
                                <w:p>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9 -</w:t>
                                  </w:r>
                                  <w:r>
                                    <w:rPr>
                                      <w:rFonts w:ascii="宋体" w:hAnsi="宋体"/>
                                      <w:sz w:val="28"/>
                                      <w:szCs w:val="28"/>
                                    </w:rPr>
                                    <w:fldChar w:fldCharType="end"/>
                                  </w:r>
                                </w:p>
                              </w:txbxContent>
                            </wps:txbx>
                            <wps:bodyPr rot="0" vert="vert" wrap="square" lIns="91440" tIns="45720" rIns="91440" bIns="45720" anchor="t" anchorCtr="0" upright="1">
                              <a:spAutoFit/>
                            </wps:bodyPr>
                          </wps:wsp>
                        </a:graphicData>
                      </a:graphic>
                    </wp:anchor>
                  </w:drawing>
                </mc:Choice>
                <mc:Fallback>
                  <w:pict>
                    <v:shape id="文本框 20" o:spid="_x0000_s1026" o:spt="202" type="#_x0000_t202" style="position:absolute;left:0pt;margin-left:72.25pt;margin-top:507.75pt;height:42.5pt;width:33.2pt;z-index:251692032;mso-width-relative:page;mso-height-relative:page;" fillcolor="#FFFFFF" filled="t" stroked="f" coordsize="21600,21600" o:gfxdata="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ULFm2wAAAA0BAAAPAAAA&#10;AAAAAAEAIAAAACIAAABkcnMvZG93bnJldi54bWxQSwECFAAUAAAACACHTuJA1d03FhICAAD/AwAA&#10;DgAAAAAAAAABACAAAAAqAQAAZHJzL2Uyb0RvYy54bWxQSwUGAAAAAAYABgBZAQAArgUAAAAA&#10;">
                      <v:fill on="t" focussize="0,0"/>
                      <v:stroke on="f"/>
                      <v:imagedata o:title=""/>
                      <o:lock v:ext="edit" aspectratio="f"/>
                      <v:textbox style="layout-flow:vertical;mso-fit-shape-to-text:t;">
                        <w:txbxContent>
                          <w:p>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9 -</w:t>
                            </w:r>
                            <w:r>
                              <w:rPr>
                                <w:rFonts w:ascii="宋体" w:hAnsi="宋体"/>
                                <w:sz w:val="28"/>
                                <w:szCs w:val="28"/>
                              </w:rPr>
                              <w:fldChar w:fldCharType="end"/>
                            </w:r>
                          </w:p>
                        </w:txbxContent>
                      </v:textbox>
                    </v:shape>
                  </w:pict>
                </mc:Fallback>
              </mc:AlternateContent>
            </w:r>
          </w:p>
        </w:tc>
        <w:tc>
          <w:tcPr>
            <w:tcW w:w="1021"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13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7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93"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5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600"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r>
              <w:rPr>
                <w:rFonts w:hint="eastAsia" w:ascii="仿宋" w:hAnsi="仿宋" w:eastAsia="仿宋" w:cs="宋体"/>
                <w:kern w:val="0"/>
                <w:sz w:val="21"/>
                <w:szCs w:val="21"/>
                <w:shd w:val="clear" w:color="auto" w:fill="FFFFFF"/>
                <w:lang w:bidi="ar"/>
              </w:rPr>
              <w:t>...</w:t>
            </w:r>
          </w:p>
        </w:tc>
        <w:tc>
          <w:tcPr>
            <w:tcW w:w="709"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745"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21"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13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7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93"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5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600"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610" w:type="dxa"/>
            <w:gridSpan w:val="5"/>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r>
              <w:rPr>
                <w:rFonts w:hint="eastAsia" w:ascii="仿宋" w:hAnsi="仿宋" w:eastAsia="仿宋" w:cs="宋体"/>
                <w:kern w:val="0"/>
                <w:sz w:val="21"/>
                <w:szCs w:val="21"/>
                <w:shd w:val="clear" w:color="auto" w:fill="FFFFFF"/>
                <w:lang w:bidi="ar"/>
              </w:rPr>
              <w:t>合计</w:t>
            </w:r>
          </w:p>
        </w:tc>
        <w:tc>
          <w:tcPr>
            <w:tcW w:w="817"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21"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134"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7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9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093"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952"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c>
          <w:tcPr>
            <w:tcW w:w="1600" w:type="dxa"/>
            <w:noWrap w:val="0"/>
            <w:vAlign w:val="center"/>
          </w:tcPr>
          <w:p>
            <w:pPr>
              <w:pageBreakBefore w:val="0"/>
              <w:widowControl/>
              <w:kinsoku/>
              <w:wordWrap/>
              <w:overflowPunct/>
              <w:topLinePunct w:val="0"/>
              <w:autoSpaceDE/>
              <w:autoSpaceDN/>
              <w:bidi w:val="0"/>
              <w:jc w:val="center"/>
              <w:outlineLvl w:val="9"/>
              <w:rPr>
                <w:rFonts w:hint="eastAsia" w:ascii="仿宋" w:hAnsi="仿宋" w:eastAsia="仿宋" w:cs="宋体"/>
                <w:kern w:val="0"/>
                <w:sz w:val="21"/>
                <w:szCs w:val="21"/>
                <w:shd w:val="clear" w:color="auto" w:fill="FFFFFF"/>
                <w:lang w:bidi="ar"/>
              </w:rPr>
            </w:pPr>
          </w:p>
        </w:tc>
      </w:tr>
    </w:tbl>
    <w:p>
      <w:pPr>
        <w:pageBreakBefore w:val="0"/>
        <w:kinsoku/>
        <w:wordWrap/>
        <w:overflowPunct/>
        <w:topLinePunct w:val="0"/>
        <w:autoSpaceDE/>
        <w:autoSpaceDN/>
        <w:bidi w:val="0"/>
        <w:spacing w:line="596" w:lineRule="exact"/>
        <w:jc w:val="both"/>
        <w:outlineLvl w:val="9"/>
        <w:rPr>
          <w:rFonts w:hint="eastAsia" w:ascii="仿宋_GB2312" w:eastAsia="仿宋_GB2312"/>
          <w:sz w:val="32"/>
          <w:szCs w:val="32"/>
          <w:lang w:eastAsia="zh-CN"/>
        </w:rPr>
        <w:sectPr>
          <w:pgSz w:w="16838" w:h="11906" w:orient="landscape"/>
          <w:pgMar w:top="1417" w:right="1417" w:bottom="1417" w:left="1417" w:header="851" w:footer="1020" w:gutter="0"/>
          <w:pgNumType w:fmt="decimal"/>
          <w:cols w:space="0" w:num="1"/>
          <w:rtlGutter w:val="0"/>
          <w:docGrid w:type="linesAndChars" w:linePitch="312" w:charSpace="0"/>
        </w:sectPr>
      </w:pPr>
    </w:p>
    <w:p>
      <w:pPr>
        <w:pageBreakBefore w:val="0"/>
        <w:kinsoku/>
        <w:wordWrap/>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附件2：</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137" w:name="_Toc32160_WPSOffice_Level1"/>
      <w:r>
        <w:rPr>
          <w:rFonts w:hint="eastAsia"/>
          <w:b/>
          <w:color w:val="000000"/>
          <w:sz w:val="36"/>
          <w:szCs w:val="36"/>
        </w:rPr>
        <w:t>往来款项损失核销流程</w:t>
      </w:r>
      <w:bookmarkEnd w:id="1137"/>
    </w:p>
    <w:p>
      <w:pPr>
        <w:pageBreakBefore w:val="0"/>
        <w:widowControl/>
        <w:kinsoku/>
        <w:wordWrap/>
        <w:overflowPunct/>
        <w:topLinePunct w:val="0"/>
        <w:autoSpaceDE/>
        <w:autoSpaceDN/>
        <w:bidi w:val="0"/>
        <w:spacing w:line="440" w:lineRule="exact"/>
        <w:jc w:val="left"/>
        <w:outlineLvl w:val="9"/>
        <w:rPr>
          <w:rFonts w:hint="eastAsia" w:ascii="仿宋" w:hAnsi="仿宋" w:eastAsia="仿宋"/>
          <w:b/>
          <w:color w:val="000000"/>
          <w:sz w:val="32"/>
          <w:szCs w:val="32"/>
        </w:rPr>
      </w:pPr>
    </w:p>
    <w:p>
      <w:pPr>
        <w:pageBreakBefore w:val="0"/>
        <w:kinsoku/>
        <w:wordWrap/>
        <w:overflowPunct/>
        <w:topLinePunct w:val="0"/>
        <w:autoSpaceDE/>
        <w:autoSpaceDN/>
        <w:bidi w:val="0"/>
        <w:spacing w:line="596" w:lineRule="exact"/>
        <w:ind w:firstLine="630" w:firstLineChars="196"/>
        <w:outlineLvl w:val="9"/>
        <w:rPr>
          <w:rFonts w:hint="eastAsia" w:ascii="仿宋_GB2312" w:eastAsia="仿宋_GB2312" w:cs="仿宋_GB2312"/>
          <w:b/>
          <w:color w:val="000000"/>
          <w:sz w:val="32"/>
          <w:szCs w:val="32"/>
        </w:rPr>
      </w:pPr>
      <w:bookmarkStart w:id="1138" w:name="_Toc8657_WPSOffice_Level1"/>
      <w:r>
        <w:rPr>
          <w:rFonts w:hint="eastAsia" w:ascii="仿宋_GB2312" w:eastAsia="仿宋_GB2312" w:cs="仿宋_GB2312"/>
          <w:b/>
          <w:color w:val="000000"/>
          <w:sz w:val="32"/>
          <w:szCs w:val="32"/>
        </w:rPr>
        <w:t>1.目的</w:t>
      </w:r>
      <w:bookmarkEnd w:id="1138"/>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为规范学校资金管理工作，加速资金周转，提高资金使用效率，保障学校资金的流动和安全，同时为全面执行年度财务预算工作，根据《政府会计制度》、《柳州市教育局局属单位国有资产处置管理办法》等有关规定，结合学校实际情况，制定本办法。</w:t>
      </w:r>
    </w:p>
    <w:p>
      <w:pPr>
        <w:pageBreakBefore w:val="0"/>
        <w:kinsoku/>
        <w:wordWrap/>
        <w:overflowPunct/>
        <w:topLinePunct w:val="0"/>
        <w:autoSpaceDE/>
        <w:autoSpaceDN/>
        <w:bidi w:val="0"/>
        <w:spacing w:line="596" w:lineRule="exact"/>
        <w:ind w:firstLine="630" w:firstLineChars="196"/>
        <w:outlineLvl w:val="9"/>
        <w:rPr>
          <w:rFonts w:hint="eastAsia" w:ascii="仿宋_GB2312" w:eastAsia="仿宋_GB2312" w:cs="仿宋_GB2312"/>
          <w:b/>
          <w:color w:val="000000"/>
          <w:sz w:val="32"/>
          <w:szCs w:val="32"/>
        </w:rPr>
      </w:pPr>
      <w:bookmarkStart w:id="1139" w:name="_Toc5228_WPSOffice_Level1"/>
      <w:r>
        <w:rPr>
          <w:rFonts w:hint="eastAsia" w:ascii="仿宋_GB2312" w:eastAsia="仿宋_GB2312" w:cs="仿宋_GB2312"/>
          <w:b/>
          <w:color w:val="000000"/>
          <w:sz w:val="32"/>
          <w:szCs w:val="32"/>
        </w:rPr>
        <w:t>2.适用范围</w:t>
      </w:r>
      <w:bookmarkEnd w:id="1139"/>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适用学校所有往来款项业务，往来款项包括应收账款、预付账款、其他应收款以及应付账款、预收账款、其他应付款。</w:t>
      </w:r>
    </w:p>
    <w:p>
      <w:pPr>
        <w:pageBreakBefore w:val="0"/>
        <w:kinsoku/>
        <w:wordWrap/>
        <w:overflowPunct/>
        <w:topLinePunct w:val="0"/>
        <w:autoSpaceDE/>
        <w:autoSpaceDN/>
        <w:bidi w:val="0"/>
        <w:spacing w:line="596" w:lineRule="exact"/>
        <w:ind w:firstLine="630" w:firstLineChars="196"/>
        <w:outlineLvl w:val="9"/>
        <w:rPr>
          <w:rFonts w:hint="eastAsia" w:ascii="仿宋_GB2312" w:eastAsia="仿宋_GB2312" w:cs="仿宋_GB2312"/>
          <w:b/>
          <w:color w:val="000000"/>
          <w:sz w:val="32"/>
          <w:szCs w:val="32"/>
        </w:rPr>
      </w:pPr>
      <w:bookmarkStart w:id="1140" w:name="_Toc7558_WPSOffice_Level1"/>
      <w:r>
        <w:rPr>
          <w:rFonts w:hint="eastAsia" w:ascii="仿宋_GB2312" w:eastAsia="仿宋_GB2312" w:cs="仿宋_GB2312"/>
          <w:b/>
          <w:color w:val="000000"/>
          <w:sz w:val="32"/>
          <w:szCs w:val="32"/>
        </w:rPr>
        <w:t>3.定义</w:t>
      </w:r>
      <w:bookmarkEnd w:id="1140"/>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往来款项是应收或应付的款项。是指单位发生供销产品、提供或接受劳务而形成的债权、债务关系的资金数额，是单位收款的权利或付款的义务。</w:t>
      </w:r>
    </w:p>
    <w:p>
      <w:pPr>
        <w:pageBreakBefore w:val="0"/>
        <w:kinsoku/>
        <w:wordWrap/>
        <w:overflowPunct/>
        <w:topLinePunct w:val="0"/>
        <w:autoSpaceDE/>
        <w:autoSpaceDN/>
        <w:bidi w:val="0"/>
        <w:spacing w:line="596" w:lineRule="exact"/>
        <w:ind w:firstLine="630" w:firstLineChars="196"/>
        <w:outlineLvl w:val="9"/>
        <w:rPr>
          <w:rFonts w:hint="eastAsia" w:ascii="仿宋_GB2312" w:eastAsia="仿宋_GB2312" w:cs="仿宋_GB2312"/>
          <w:b/>
          <w:color w:val="000000"/>
          <w:sz w:val="32"/>
          <w:szCs w:val="32"/>
        </w:rPr>
      </w:pPr>
      <w:bookmarkStart w:id="1141" w:name="_Toc9259_WPSOffice_Level1"/>
      <w:r>
        <w:rPr>
          <w:rFonts w:hint="eastAsia" w:ascii="仿宋_GB2312" w:eastAsia="仿宋_GB2312" w:cs="仿宋_GB2312"/>
          <w:b/>
          <w:color w:val="000000"/>
          <w:sz w:val="32"/>
          <w:szCs w:val="32"/>
        </w:rPr>
        <w:t>4.职责</w:t>
      </w:r>
      <w:bookmarkEnd w:id="1141"/>
    </w:p>
    <w:p>
      <w:pPr>
        <w:pageBreakBefore w:val="0"/>
        <w:kinsoku/>
        <w:wordWrap/>
        <w:overflowPunct/>
        <w:topLinePunct w:val="0"/>
        <w:autoSpaceDE/>
        <w:autoSpaceDN/>
        <w:bidi w:val="0"/>
        <w:spacing w:line="596" w:lineRule="exact"/>
        <w:ind w:firstLine="627" w:firstLineChars="196"/>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流程负责人：财务处处长</w:t>
      </w:r>
    </w:p>
    <w:p>
      <w:pPr>
        <w:pageBreakBefore w:val="0"/>
        <w:kinsoku/>
        <w:wordWrap/>
        <w:overflowPunct/>
        <w:topLinePunct w:val="0"/>
        <w:autoSpaceDE/>
        <w:autoSpaceDN/>
        <w:bidi w:val="0"/>
        <w:spacing w:line="596" w:lineRule="exact"/>
        <w:ind w:firstLine="630" w:firstLineChars="196"/>
        <w:outlineLvl w:val="9"/>
        <w:rPr>
          <w:rFonts w:ascii="仿宋_GB2312" w:eastAsia="仿宋_GB2312" w:cs="仿宋_GB2312"/>
          <w:b/>
          <w:color w:val="000000"/>
          <w:sz w:val="32"/>
          <w:szCs w:val="32"/>
        </w:rPr>
      </w:pPr>
      <w:bookmarkStart w:id="1142" w:name="_Toc7248_WPSOffice_Level1"/>
      <w:r>
        <w:rPr>
          <w:rFonts w:hint="eastAsia" w:ascii="仿宋_GB2312" w:eastAsia="仿宋_GB2312" w:cs="仿宋_GB2312"/>
          <w:b/>
          <w:color w:val="000000"/>
          <w:sz w:val="32"/>
          <w:szCs w:val="32"/>
        </w:rPr>
        <w:t>5.工作流程图</w:t>
      </w:r>
      <w:bookmarkEnd w:id="1142"/>
    </w:p>
    <w:p>
      <w:pPr>
        <w:pageBreakBefore w:val="0"/>
        <w:widowControl/>
        <w:kinsoku/>
        <w:wordWrap/>
        <w:overflowPunct/>
        <w:topLinePunct w:val="0"/>
        <w:autoSpaceDE/>
        <w:autoSpaceDN/>
        <w:bidi w:val="0"/>
        <w:spacing w:line="440" w:lineRule="exact"/>
        <w:jc w:val="left"/>
        <w:outlineLvl w:val="9"/>
        <w:rPr>
          <w:rFonts w:ascii="仿宋" w:hAnsi="仿宋" w:eastAsia="仿宋" w:cs="宋体"/>
          <w:b/>
          <w:color w:val="323232"/>
          <w:sz w:val="32"/>
          <w:szCs w:val="32"/>
        </w:rPr>
      </w:pPr>
    </w:p>
    <w:p>
      <w:pPr>
        <w:pageBreakBefore w:val="0"/>
        <w:widowControl/>
        <w:kinsoku/>
        <w:wordWrap/>
        <w:overflowPunct/>
        <w:topLinePunct w:val="0"/>
        <w:autoSpaceDE/>
        <w:autoSpaceDN/>
        <w:bidi w:val="0"/>
        <w:spacing w:line="440" w:lineRule="exact"/>
        <w:jc w:val="left"/>
        <w:outlineLvl w:val="9"/>
        <w:rPr>
          <w:rFonts w:ascii="仿宋" w:hAnsi="仿宋" w:eastAsia="仿宋" w:cs="宋体"/>
          <w:b/>
          <w:color w:val="323232"/>
          <w:sz w:val="32"/>
          <w:szCs w:val="32"/>
        </w:rPr>
      </w:pPr>
    </w:p>
    <w:p>
      <w:pPr>
        <w:pageBreakBefore w:val="0"/>
        <w:widowControl/>
        <w:kinsoku/>
        <w:wordWrap/>
        <w:overflowPunct/>
        <w:topLinePunct w:val="0"/>
        <w:autoSpaceDE/>
        <w:autoSpaceDN/>
        <w:bidi w:val="0"/>
        <w:spacing w:line="440" w:lineRule="exact"/>
        <w:jc w:val="left"/>
        <w:outlineLvl w:val="9"/>
        <w:rPr>
          <w:rFonts w:ascii="仿宋" w:hAnsi="仿宋" w:eastAsia="仿宋" w:cs="宋体"/>
          <w:b/>
          <w:color w:val="323232"/>
          <w:sz w:val="32"/>
          <w:szCs w:val="32"/>
        </w:rPr>
      </w:pPr>
    </w:p>
    <w:tbl>
      <w:tblPr>
        <w:tblStyle w:val="14"/>
        <w:tblW w:w="90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103"/>
        <w:gridCol w:w="1134"/>
        <w:gridCol w:w="2869"/>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1557" w:type="dxa"/>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eastAsia="仿宋_GB2312"/>
                <w:b/>
                <w:sz w:val="21"/>
                <w:szCs w:val="21"/>
              </w:rPr>
            </w:pPr>
            <w:r>
              <w:rPr>
                <w:rFonts w:hint="eastAsia" w:ascii="仿宋_GB2312" w:eastAsia="仿宋_GB2312"/>
                <w:b/>
                <w:sz w:val="21"/>
                <w:szCs w:val="21"/>
              </w:rPr>
              <w:t>流程图</w:t>
            </w:r>
          </w:p>
        </w:tc>
        <w:tc>
          <w:tcPr>
            <w:tcW w:w="1103" w:type="dxa"/>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eastAsia="仿宋_GB2312"/>
                <w:b/>
                <w:sz w:val="21"/>
                <w:szCs w:val="21"/>
              </w:rPr>
            </w:pPr>
            <w:r>
              <w:rPr>
                <w:rFonts w:hint="eastAsia" w:ascii="仿宋_GB2312" w:eastAsia="仿宋_GB2312"/>
                <w:b/>
                <w:sz w:val="21"/>
                <w:szCs w:val="21"/>
              </w:rPr>
              <w:t>负责人</w:t>
            </w:r>
          </w:p>
        </w:tc>
        <w:tc>
          <w:tcPr>
            <w:tcW w:w="1134" w:type="dxa"/>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eastAsia="仿宋_GB2312"/>
                <w:b/>
                <w:sz w:val="21"/>
                <w:szCs w:val="21"/>
              </w:rPr>
            </w:pPr>
            <w:r>
              <w:rPr>
                <w:rFonts w:hint="eastAsia" w:ascii="仿宋_GB2312" w:eastAsia="仿宋_GB2312"/>
                <w:b/>
                <w:sz w:val="21"/>
                <w:szCs w:val="21"/>
              </w:rPr>
              <w:t>实施部门</w:t>
            </w:r>
          </w:p>
        </w:tc>
        <w:tc>
          <w:tcPr>
            <w:tcW w:w="2869" w:type="dxa"/>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eastAsia="仿宋_GB2312"/>
                <w:b/>
                <w:sz w:val="21"/>
                <w:szCs w:val="21"/>
              </w:rPr>
            </w:pPr>
            <w:r>
              <w:rPr>
                <w:rFonts w:hint="eastAsia" w:ascii="仿宋_GB2312" w:eastAsia="仿宋_GB2312"/>
                <w:b/>
                <w:sz w:val="21"/>
                <w:szCs w:val="21"/>
              </w:rPr>
              <w:t>过程描述及注意事项</w:t>
            </w:r>
          </w:p>
        </w:tc>
        <w:tc>
          <w:tcPr>
            <w:tcW w:w="2410" w:type="dxa"/>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eastAsia="仿宋_GB2312"/>
                <w:b/>
                <w:sz w:val="21"/>
                <w:szCs w:val="21"/>
              </w:rPr>
            </w:pPr>
            <w:r>
              <w:rPr>
                <w:rFonts w:hint="eastAsia" w:ascii="仿宋_GB2312" w:eastAsia="仿宋_GB2312"/>
                <w:b/>
                <w:sz w:val="21"/>
                <w:szCs w:val="21"/>
              </w:rPr>
              <w:t>支持性文件及记录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jc w:val="center"/>
        </w:trPr>
        <w:tc>
          <w:tcPr>
            <w:tcW w:w="1557" w:type="dxa"/>
            <w:vMerge w:val="restart"/>
            <w:shd w:val="clear" w:color="auto" w:fill="auto"/>
            <w:noWrap w:val="0"/>
            <w:vAlign w:val="top"/>
          </w:tcPr>
          <w:p>
            <w:pPr>
              <w:pageBreakBefore w:val="0"/>
              <w:kinsoku/>
              <w:wordWrap/>
              <w:overflowPunct/>
              <w:topLinePunct w:val="0"/>
              <w:autoSpaceDE/>
              <w:autoSpaceDN/>
              <w:bidi w:val="0"/>
              <w:outlineLvl w:val="9"/>
              <w:rPr>
                <w:rFonts w:hint="eastAsia" w:ascii="仿宋_GB2312" w:hAnsi="仿宋" w:eastAsia="仿宋_GB2312"/>
                <w:sz w:val="21"/>
                <w:szCs w:val="21"/>
              </w:rPr>
            </w:pPr>
            <w:r>
              <w:rPr>
                <w:rFonts w:hint="eastAsia" w:ascii="仿宋_GB2312" w:hAnsi="仿宋" w:eastAsia="仿宋_GB2312"/>
                <w:sz w:val="21"/>
                <w:szCs w:val="21"/>
              </w:rPr>
              <mc:AlternateContent>
                <mc:Choice Requires="wps">
                  <w:drawing>
                    <wp:anchor distT="0" distB="0" distL="114300" distR="114300" simplePos="0" relativeHeight="251696128" behindDoc="0" locked="0" layoutInCell="1" allowOverlap="1">
                      <wp:simplePos x="0" y="0"/>
                      <wp:positionH relativeFrom="column">
                        <wp:posOffset>260350</wp:posOffset>
                      </wp:positionH>
                      <wp:positionV relativeFrom="paragraph">
                        <wp:posOffset>6515100</wp:posOffset>
                      </wp:positionV>
                      <wp:extent cx="394335" cy="0"/>
                      <wp:effectExtent l="38100" t="0" r="38100" b="5715"/>
                      <wp:wrapNone/>
                      <wp:docPr id="54" name="直接箭头连接符 31"/>
                      <wp:cNvGraphicFramePr/>
                      <a:graphic xmlns:a="http://schemas.openxmlformats.org/drawingml/2006/main">
                        <a:graphicData uri="http://schemas.microsoft.com/office/word/2010/wordprocessingShape">
                          <wps:wsp>
                            <wps:cNvCnPr/>
                            <wps:spPr>
                              <a:xfrm rot="5400000">
                                <a:off x="0" y="0"/>
                                <a:ext cx="39433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直接箭头连接符 31" o:spid="_x0000_s1026" o:spt="32" type="#_x0000_t32" style="position:absolute;left:0pt;margin-left:20.5pt;margin-top:513pt;height:0pt;width:31.05pt;rotation:5898240f;z-index:251696128;mso-width-relative:page;mso-height-relative:page;" filled="f" stroked="t" coordsize="21600,21600" o:gfxdata="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YBJxNUAAAAMAQAADwAAAAAAAAABACAAAAAiAAAAZHJzL2Rvd25yZXYueG1sUEsB&#10;AhQAFAAAAAgAh07iQJjE9Db4AQAAvwMAAA4AAAAAAAAAAQAgAAAAJAEAAGRycy9lMm9Eb2MueG1s&#10;UEsFBgAAAAAGAAYAWQEAAI4FAAAAAA==&#10;">
                      <v:fill on="f" focussize="0,0"/>
                      <v:stroke weight="0.5pt" color="#000000" joinstyle="round" endarrow="block"/>
                      <v:imagedata o:title=""/>
                      <o:lock v:ext="edit" aspectratio="f"/>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701248" behindDoc="0" locked="0" layoutInCell="1" allowOverlap="1">
                      <wp:simplePos x="0" y="0"/>
                      <wp:positionH relativeFrom="column">
                        <wp:posOffset>278130</wp:posOffset>
                      </wp:positionH>
                      <wp:positionV relativeFrom="paragraph">
                        <wp:posOffset>5891530</wp:posOffset>
                      </wp:positionV>
                      <wp:extent cx="358140" cy="635"/>
                      <wp:effectExtent l="38100" t="0" r="37465" b="3810"/>
                      <wp:wrapNone/>
                      <wp:docPr id="55" name="肘形连接符 32"/>
                      <wp:cNvGraphicFramePr/>
                      <a:graphic xmlns:a="http://schemas.openxmlformats.org/drawingml/2006/main">
                        <a:graphicData uri="http://schemas.microsoft.com/office/word/2010/wordprocessingShape">
                          <wps:wsp>
                            <wps:cNvCnPr/>
                            <wps:spPr>
                              <a:xfrm rot="5400000">
                                <a:off x="0" y="0"/>
                                <a:ext cx="358140" cy="635"/>
                              </a:xfrm>
                              <a:prstGeom prst="bentConnector3">
                                <a:avLst>
                                  <a:gd name="adj1" fmla="val 50000"/>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肘形连接符 32" o:spid="_x0000_s1026" o:spt="34" type="#_x0000_t34" style="position:absolute;left:0pt;margin-left:21.9pt;margin-top:463.9pt;height:0.05pt;width:28.2pt;rotation:5898240f;z-index:251701248;mso-width-relative:page;mso-height-relative:page;" filled="f" stroked="t" coordsize="21600,21600" o:gfxdata="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7fY/bWAAAACgEAAA8AAAAAAAAAAQAgAAAA&#10;IgAAAGRycy9kb3ducmV2LnhtbFBLAQIUABQAAAAIAIdO4kDGh1kIDQIAAO4DAAAOAAAAAAAAAAEA&#10;IAAAACUBAABkcnMvZTJvRG9jLnhtbFBLBQYAAAAABgAGAFkBAACkBQAAAAA=&#10;" adj="10800">
                      <v:fill on="f" focussize="0,0"/>
                      <v:stroke weight="0.5pt" color="#000000" joinstyle="miter" endarrow="block"/>
                      <v:imagedata o:title=""/>
                      <o:lock v:ext="edit" aspectratio="f"/>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700224" behindDoc="0" locked="0" layoutInCell="1" allowOverlap="1">
                      <wp:simplePos x="0" y="0"/>
                      <wp:positionH relativeFrom="column">
                        <wp:posOffset>169545</wp:posOffset>
                      </wp:positionH>
                      <wp:positionV relativeFrom="paragraph">
                        <wp:posOffset>5176520</wp:posOffset>
                      </wp:positionV>
                      <wp:extent cx="575945" cy="0"/>
                      <wp:effectExtent l="38100" t="0" r="38100" b="14605"/>
                      <wp:wrapNone/>
                      <wp:docPr id="56" name="直接箭头连接符 30"/>
                      <wp:cNvGraphicFramePr/>
                      <a:graphic xmlns:a="http://schemas.openxmlformats.org/drawingml/2006/main">
                        <a:graphicData uri="http://schemas.microsoft.com/office/word/2010/wordprocessingShape">
                          <wps:wsp>
                            <wps:cNvCnPr/>
                            <wps:spPr>
                              <a:xfrm rot="5400000">
                                <a:off x="0" y="0"/>
                                <a:ext cx="575945" cy="0"/>
                              </a:xfrm>
                              <a:prstGeom prst="straightConnector1">
                                <a:avLst/>
                              </a:prstGeom>
                              <a:ln w="6350" cap="flat" cmpd="sng">
                                <a:solidFill>
                                  <a:srgbClr val="000000"/>
                                </a:solidFill>
                                <a:prstDash val="solid"/>
                                <a:headEnd type="none" w="med" len="med"/>
                                <a:tailEnd type="triangle" w="med" len="med"/>
                              </a:ln>
                              <a:effectLst/>
                            </wps:spPr>
                            <wps:bodyPr/>
                          </wps:wsp>
                        </a:graphicData>
                      </a:graphic>
                    </wp:anchor>
                  </w:drawing>
                </mc:Choice>
                <mc:Fallback>
                  <w:pict>
                    <v:shape id="直接箭头连接符 30" o:spid="_x0000_s1026" o:spt="32" type="#_x0000_t32" style="position:absolute;left:0pt;margin-left:13.35pt;margin-top:407.6pt;height:0pt;width:45.35pt;rotation:5898240f;z-index:251700224;mso-width-relative:page;mso-height-relative:page;" filled="f" stroked="t" coordsize="21600,21600" o:gfxdata="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Xkt+dYAAAAKAQAADwAAAAAAAAABACAAAAAiAAAAZHJzL2Rvd25yZXYueG1sUEsB&#10;AhQAFAAAAAgAh07iQOBHgn/3AQAAvwMAAA4AAAAAAAAAAQAgAAAAJQEAAGRycy9lMm9Eb2MueG1s&#10;UEsFBgAAAAAGAAYAWQEAAI4FAAAAAA==&#10;">
                      <v:fill on="f" focussize="0,0"/>
                      <v:stroke weight="0.5pt" color="#000000" joinstyle="round" endarrow="block"/>
                      <v:imagedata o:title=""/>
                      <o:lock v:ext="edit" aspectratio="f"/>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705344" behindDoc="0" locked="0" layoutInCell="1" allowOverlap="1">
                      <wp:simplePos x="0" y="0"/>
                      <wp:positionH relativeFrom="column">
                        <wp:posOffset>66040</wp:posOffset>
                      </wp:positionH>
                      <wp:positionV relativeFrom="paragraph">
                        <wp:posOffset>4272915</wp:posOffset>
                      </wp:positionV>
                      <wp:extent cx="787400" cy="635"/>
                      <wp:effectExtent l="38100" t="0" r="37465" b="12700"/>
                      <wp:wrapNone/>
                      <wp:docPr id="57" name="肘形连接符 33"/>
                      <wp:cNvGraphicFramePr/>
                      <a:graphic xmlns:a="http://schemas.openxmlformats.org/drawingml/2006/main">
                        <a:graphicData uri="http://schemas.microsoft.com/office/word/2010/wordprocessingShape">
                          <wps:wsp>
                            <wps:cNvCnPr/>
                            <wps:spPr>
                              <a:xfrm rot="5400000">
                                <a:off x="0" y="0"/>
                                <a:ext cx="787400" cy="635"/>
                              </a:xfrm>
                              <a:prstGeom prst="bentConnector3">
                                <a:avLst>
                                  <a:gd name="adj1" fmla="val 50000"/>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肘形连接符 33" o:spid="_x0000_s1026" o:spt="34" type="#_x0000_t34" style="position:absolute;left:0pt;margin-left:5.2pt;margin-top:336.45pt;height:0.05pt;width:62pt;rotation:5898240f;z-index:251705344;mso-width-relative:page;mso-height-relative:page;" filled="f" stroked="t" coordsize="21600,21600" o:gfxdata="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w1lE1QAAAAoBAAAPAAAAAAAAAAEAIAAAACIA&#10;AABkcnMvZG93bnJldi54bWxQSwECFAAUAAAACACHTuJACgVFWwwCAADuAwAADgAAAAAAAAABACAA&#10;AAAkAQAAZHJzL2Uyb0RvYy54bWxQSwUGAAAAAAYABgBZAQAAogUAAAAA&#10;" adj="10800">
                      <v:fill on="f" focussize="0,0"/>
                      <v:stroke weight="0.5pt" color="#000000" joinstyle="miter" endarrow="block"/>
                      <v:imagedata o:title=""/>
                      <o:lock v:ext="edit" aspectratio="f"/>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702272" behindDoc="0" locked="0" layoutInCell="1" allowOverlap="1">
                      <wp:simplePos x="0" y="0"/>
                      <wp:positionH relativeFrom="column">
                        <wp:posOffset>70485</wp:posOffset>
                      </wp:positionH>
                      <wp:positionV relativeFrom="paragraph">
                        <wp:posOffset>4738370</wp:posOffset>
                      </wp:positionV>
                      <wp:extent cx="723900" cy="247650"/>
                      <wp:effectExtent l="6350" t="6350" r="12700" b="12700"/>
                      <wp:wrapNone/>
                      <wp:docPr id="58" name="流程图: 过程 29"/>
                      <wp:cNvGraphicFramePr/>
                      <a:graphic xmlns:a="http://schemas.openxmlformats.org/drawingml/2006/main">
                        <a:graphicData uri="http://schemas.microsoft.com/office/word/2010/wordprocessingShape">
                          <wps:wsp>
                            <wps:cNvSpPr>
                              <a:spLocks noChangeArrowheads="1"/>
                            </wps:cNvSpPr>
                            <wps:spPr bwMode="auto">
                              <a:xfrm>
                                <a:off x="0" y="0"/>
                                <a:ext cx="723900" cy="247650"/>
                              </a:xfrm>
                              <a:prstGeom prst="flowChartProcess">
                                <a:avLst/>
                              </a:prstGeom>
                              <a:solidFill>
                                <a:srgbClr val="FFFFFF"/>
                              </a:solidFill>
                              <a:ln w="12700">
                                <a:solidFill>
                                  <a:srgbClr val="000000"/>
                                </a:solidFill>
                                <a:miter lim="800000"/>
                              </a:ln>
                              <a:effectLst/>
                            </wps:spPr>
                            <wps:txbx>
                              <w:txbxContent>
                                <w:p>
                                  <w:pPr>
                                    <w:jc w:val="center"/>
                                    <w:rPr>
                                      <w:rFonts w:hint="eastAsia" w:ascii="仿宋_GB2312" w:eastAsia="仿宋_GB2312"/>
                                      <w:sz w:val="21"/>
                                      <w:szCs w:val="21"/>
                                    </w:rPr>
                                  </w:pPr>
                                  <w:r>
                                    <w:rPr>
                                      <w:rFonts w:hint="eastAsia" w:ascii="仿宋_GB2312" w:eastAsia="仿宋_GB2312"/>
                                      <w:sz w:val="21"/>
                                      <w:szCs w:val="21"/>
                                    </w:rPr>
                                    <w:t>审议</w:t>
                                  </w:r>
                                </w:p>
                              </w:txbxContent>
                            </wps:txbx>
                            <wps:bodyPr rot="0" vert="horz" wrap="square" lIns="0" tIns="0" rIns="0" bIns="0" anchor="ctr" anchorCtr="0" upright="1">
                              <a:noAutofit/>
                            </wps:bodyPr>
                          </wps:wsp>
                        </a:graphicData>
                      </a:graphic>
                    </wp:anchor>
                  </w:drawing>
                </mc:Choice>
                <mc:Fallback>
                  <w:pict>
                    <v:shape id="流程图: 过程 29" o:spid="_x0000_s1026" o:spt="109" type="#_x0000_t109" style="position:absolute;left:0pt;margin-left:5.55pt;margin-top:373.1pt;height:19.5pt;width:57pt;z-index:251702272;v-text-anchor:middle;mso-width-relative:page;mso-height-relative:page;" fillcolor="#FFFFFF" filled="t" stroked="t" coordsize="21600,21600" o:gfxdata="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Rma2AAAAAoBAAAPAAAAAAAAAAEAIAAAACIAAABkcnMvZG93bnJldi54bWxQSwEC&#10;FAAUAAAACACHTuJA8ju+Wy0CAABFBAAADgAAAAAAAAABACAAAAAnAQAAZHJzL2Uyb0RvYy54bWxQ&#10;SwUGAAAAAAYABgBZAQAAxgUAAAAA&#10;">
                      <v:fill on="t" focussize="0,0"/>
                      <v:stroke weight="1pt" color="#000000" miterlimit="8" joinstyle="miter"/>
                      <v:imagedata o:title=""/>
                      <o:lock v:ext="edit" aspectratio="f"/>
                      <v:textbox inset="0mm,0mm,0mm,0mm">
                        <w:txbxContent>
                          <w:p>
                            <w:pPr>
                              <w:jc w:val="center"/>
                              <w:rPr>
                                <w:rFonts w:hint="eastAsia" w:ascii="仿宋_GB2312" w:eastAsia="仿宋_GB2312"/>
                                <w:sz w:val="21"/>
                                <w:szCs w:val="21"/>
                              </w:rPr>
                            </w:pPr>
                            <w:r>
                              <w:rPr>
                                <w:rFonts w:hint="eastAsia" w:ascii="仿宋_GB2312" w:eastAsia="仿宋_GB2312"/>
                                <w:sz w:val="21"/>
                                <w:szCs w:val="21"/>
                              </w:rPr>
                              <w:t>审议</w:t>
                            </w:r>
                          </w:p>
                        </w:txbxContent>
                      </v:textbox>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699200" behindDoc="0" locked="0" layoutInCell="1" allowOverlap="1">
                      <wp:simplePos x="0" y="0"/>
                      <wp:positionH relativeFrom="column">
                        <wp:posOffset>104775</wp:posOffset>
                      </wp:positionH>
                      <wp:positionV relativeFrom="paragraph">
                        <wp:posOffset>5464810</wp:posOffset>
                      </wp:positionV>
                      <wp:extent cx="723900" cy="247650"/>
                      <wp:effectExtent l="6350" t="6350" r="12700" b="12700"/>
                      <wp:wrapNone/>
                      <wp:docPr id="59" name="流程图: 过程 27"/>
                      <wp:cNvGraphicFramePr/>
                      <a:graphic xmlns:a="http://schemas.openxmlformats.org/drawingml/2006/main">
                        <a:graphicData uri="http://schemas.microsoft.com/office/word/2010/wordprocessingShape">
                          <wps:wsp>
                            <wps:cNvSpPr>
                              <a:spLocks noChangeArrowheads="1"/>
                            </wps:cNvSpPr>
                            <wps:spPr bwMode="auto">
                              <a:xfrm>
                                <a:off x="0" y="0"/>
                                <a:ext cx="723900" cy="247650"/>
                              </a:xfrm>
                              <a:prstGeom prst="flowChartProcess">
                                <a:avLst/>
                              </a:prstGeom>
                              <a:solidFill>
                                <a:srgbClr val="FFFFFF"/>
                              </a:solidFill>
                              <a:ln w="12700">
                                <a:solidFill>
                                  <a:srgbClr val="000000"/>
                                </a:solidFill>
                                <a:miter lim="800000"/>
                              </a:ln>
                              <a:effectLst/>
                            </wps:spPr>
                            <wps:txbx>
                              <w:txbxContent>
                                <w:p>
                                  <w:pPr>
                                    <w:jc w:val="center"/>
                                    <w:rPr>
                                      <w:rFonts w:hint="eastAsia" w:ascii="仿宋_GB2312" w:eastAsia="仿宋_GB2312"/>
                                      <w:sz w:val="21"/>
                                      <w:szCs w:val="21"/>
                                    </w:rPr>
                                  </w:pPr>
                                  <w:r>
                                    <w:rPr>
                                      <w:rFonts w:hint="eastAsia" w:ascii="仿宋_GB2312" w:eastAsia="仿宋_GB2312"/>
                                      <w:sz w:val="21"/>
                                      <w:szCs w:val="21"/>
                                    </w:rPr>
                                    <w:t>上报审批</w:t>
                                  </w:r>
                                </w:p>
                                <w:p/>
                              </w:txbxContent>
                            </wps:txbx>
                            <wps:bodyPr rot="0" vert="horz" wrap="square" lIns="0" tIns="0" rIns="0" bIns="0" anchor="ctr" anchorCtr="0" upright="1">
                              <a:noAutofit/>
                            </wps:bodyPr>
                          </wps:wsp>
                        </a:graphicData>
                      </a:graphic>
                    </wp:anchor>
                  </w:drawing>
                </mc:Choice>
                <mc:Fallback>
                  <w:pict>
                    <v:shape id="流程图: 过程 27" o:spid="_x0000_s1026" o:spt="109" type="#_x0000_t109" style="position:absolute;left:0pt;margin-left:8.25pt;margin-top:430.3pt;height:19.5pt;width:57pt;z-index:251699200;v-text-anchor:middle;mso-width-relative:page;mso-height-relative:page;" fillcolor="#FFFFFF" filled="t" stroked="t" coordsize="21600,21600" o:gfxdata="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zTT+TYAAAACgEAAA8AAAAAAAAAAQAgAAAAIgAAAGRycy9kb3ducmV2LnhtbFBL&#10;AQIUABQAAAAIAIdO4kCboR3XLwIAAEUEAAAOAAAAAAAAAAEAIAAAACcBAABkcnMvZTJvRG9jLnht&#10;bFBLBQYAAAAABgAGAFkBAADIBQAAAAA=&#10;">
                      <v:fill on="t" focussize="0,0"/>
                      <v:stroke weight="1pt" color="#000000" miterlimit="8" joinstyle="miter"/>
                      <v:imagedata o:title=""/>
                      <o:lock v:ext="edit" aspectratio="f"/>
                      <v:textbox inset="0mm,0mm,0mm,0mm">
                        <w:txbxContent>
                          <w:p>
                            <w:pPr>
                              <w:jc w:val="center"/>
                              <w:rPr>
                                <w:rFonts w:hint="eastAsia" w:ascii="仿宋_GB2312" w:eastAsia="仿宋_GB2312"/>
                                <w:sz w:val="21"/>
                                <w:szCs w:val="21"/>
                              </w:rPr>
                            </w:pPr>
                            <w:r>
                              <w:rPr>
                                <w:rFonts w:hint="eastAsia" w:ascii="仿宋_GB2312" w:eastAsia="仿宋_GB2312"/>
                                <w:sz w:val="21"/>
                                <w:szCs w:val="21"/>
                              </w:rPr>
                              <w:t>上报审批</w:t>
                            </w:r>
                          </w:p>
                          <w:p/>
                        </w:txbxContent>
                      </v:textbox>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694080" behindDoc="0" locked="0" layoutInCell="1" allowOverlap="1">
                      <wp:simplePos x="0" y="0"/>
                      <wp:positionH relativeFrom="column">
                        <wp:posOffset>104775</wp:posOffset>
                      </wp:positionH>
                      <wp:positionV relativeFrom="paragraph">
                        <wp:posOffset>6070600</wp:posOffset>
                      </wp:positionV>
                      <wp:extent cx="723900" cy="247650"/>
                      <wp:effectExtent l="6350" t="6350" r="12700" b="12700"/>
                      <wp:wrapNone/>
                      <wp:docPr id="60" name="流程图: 过程 26"/>
                      <wp:cNvGraphicFramePr/>
                      <a:graphic xmlns:a="http://schemas.openxmlformats.org/drawingml/2006/main">
                        <a:graphicData uri="http://schemas.microsoft.com/office/word/2010/wordprocessingShape">
                          <wps:wsp>
                            <wps:cNvSpPr>
                              <a:spLocks noChangeArrowheads="1"/>
                            </wps:cNvSpPr>
                            <wps:spPr bwMode="auto">
                              <a:xfrm>
                                <a:off x="0" y="0"/>
                                <a:ext cx="723900" cy="247650"/>
                              </a:xfrm>
                              <a:prstGeom prst="flowChartProcess">
                                <a:avLst/>
                              </a:prstGeom>
                              <a:solidFill>
                                <a:srgbClr val="FFFFFF"/>
                              </a:solidFill>
                              <a:ln w="12700">
                                <a:solidFill>
                                  <a:srgbClr val="000000"/>
                                </a:solidFill>
                                <a:miter lim="800000"/>
                              </a:ln>
                              <a:effectLst/>
                            </wps:spPr>
                            <wps:txbx>
                              <w:txbxContent>
                                <w:p>
                                  <w:pPr>
                                    <w:jc w:val="center"/>
                                    <w:rPr>
                                      <w:rFonts w:hint="eastAsia" w:ascii="仿宋_GB2312" w:eastAsia="仿宋_GB2312"/>
                                      <w:sz w:val="21"/>
                                      <w:szCs w:val="21"/>
                                    </w:rPr>
                                  </w:pPr>
                                  <w:r>
                                    <w:rPr>
                                      <w:rFonts w:hint="eastAsia" w:ascii="仿宋_GB2312" w:eastAsia="仿宋_GB2312"/>
                                      <w:sz w:val="21"/>
                                      <w:szCs w:val="21"/>
                                    </w:rPr>
                                    <w:t>核销</w:t>
                                  </w:r>
                                </w:p>
                              </w:txbxContent>
                            </wps:txbx>
                            <wps:bodyPr rot="0" vert="horz" wrap="square" lIns="0" tIns="0" rIns="0" bIns="0" anchor="ctr" anchorCtr="0" upright="1">
                              <a:noAutofit/>
                            </wps:bodyPr>
                          </wps:wsp>
                        </a:graphicData>
                      </a:graphic>
                    </wp:anchor>
                  </w:drawing>
                </mc:Choice>
                <mc:Fallback>
                  <w:pict>
                    <v:shape id="流程图: 过程 26" o:spid="_x0000_s1026" o:spt="109" type="#_x0000_t109" style="position:absolute;left:0pt;margin-left:8.25pt;margin-top:478pt;height:19.5pt;width:57pt;z-index:251694080;v-text-anchor:middle;mso-width-relative:page;mso-height-relative:page;" fillcolor="#FFFFFF" filled="t" stroked="t" coordsize="21600,21600" o:gfxdata="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cUDu2AAAAAoBAAAPAAAAAAAAAAEAIAAAACIAAABkcnMvZG93bnJldi54bWxQSwEC&#10;FAAUAAAACACHTuJAEGnnwS0CAABFBAAADgAAAAAAAAABACAAAAAnAQAAZHJzL2Uyb0RvYy54bWxQ&#10;SwUGAAAAAAYABgBZAQAAxgUAAAAA&#10;">
                      <v:fill on="t" focussize="0,0"/>
                      <v:stroke weight="1pt" color="#000000" miterlimit="8" joinstyle="miter"/>
                      <v:imagedata o:title=""/>
                      <o:lock v:ext="edit" aspectratio="f"/>
                      <v:textbox inset="0mm,0mm,0mm,0mm">
                        <w:txbxContent>
                          <w:p>
                            <w:pPr>
                              <w:jc w:val="center"/>
                              <w:rPr>
                                <w:rFonts w:hint="eastAsia" w:ascii="仿宋_GB2312" w:eastAsia="仿宋_GB2312"/>
                                <w:sz w:val="21"/>
                                <w:szCs w:val="21"/>
                              </w:rPr>
                            </w:pPr>
                            <w:r>
                              <w:rPr>
                                <w:rFonts w:hint="eastAsia" w:ascii="仿宋_GB2312" w:eastAsia="仿宋_GB2312"/>
                                <w:sz w:val="21"/>
                                <w:szCs w:val="21"/>
                              </w:rPr>
                              <w:t>核销</w:t>
                            </w:r>
                          </w:p>
                        </w:txbxContent>
                      </v:textbox>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695104" behindDoc="0" locked="0" layoutInCell="1" allowOverlap="1">
                      <wp:simplePos x="0" y="0"/>
                      <wp:positionH relativeFrom="column">
                        <wp:posOffset>104775</wp:posOffset>
                      </wp:positionH>
                      <wp:positionV relativeFrom="paragraph">
                        <wp:posOffset>6712585</wp:posOffset>
                      </wp:positionV>
                      <wp:extent cx="723900" cy="295910"/>
                      <wp:effectExtent l="6350" t="6350" r="12700" b="21590"/>
                      <wp:wrapNone/>
                      <wp:docPr id="61" name="流程图: 过程 24"/>
                      <wp:cNvGraphicFramePr/>
                      <a:graphic xmlns:a="http://schemas.openxmlformats.org/drawingml/2006/main">
                        <a:graphicData uri="http://schemas.microsoft.com/office/word/2010/wordprocessingShape">
                          <wps:wsp>
                            <wps:cNvSpPr>
                              <a:spLocks noChangeArrowheads="1"/>
                            </wps:cNvSpPr>
                            <wps:spPr bwMode="auto">
                              <a:xfrm flipV="1">
                                <a:off x="0" y="0"/>
                                <a:ext cx="723900" cy="290195"/>
                              </a:xfrm>
                              <a:prstGeom prst="flowChartProcess">
                                <a:avLst/>
                              </a:prstGeom>
                              <a:solidFill>
                                <a:srgbClr val="FFFFFF"/>
                              </a:solidFill>
                              <a:ln w="12700">
                                <a:solidFill>
                                  <a:srgbClr val="000000"/>
                                </a:solidFill>
                                <a:miter lim="800000"/>
                              </a:ln>
                              <a:effectLst/>
                            </wps:spPr>
                            <wps:txbx>
                              <w:txbxContent>
                                <w:p>
                                  <w:pPr>
                                    <w:jc w:val="center"/>
                                    <w:rPr>
                                      <w:rFonts w:hint="eastAsia" w:ascii="仿宋_GB2312" w:eastAsia="仿宋_GB2312"/>
                                      <w:sz w:val="21"/>
                                      <w:szCs w:val="21"/>
                                    </w:rPr>
                                  </w:pPr>
                                  <w:r>
                                    <w:rPr>
                                      <w:rFonts w:hint="eastAsia" w:ascii="仿宋_GB2312" w:eastAsia="仿宋_GB2312"/>
                                      <w:sz w:val="21"/>
                                      <w:szCs w:val="21"/>
                                    </w:rPr>
                                    <w:t>归档</w:t>
                                  </w:r>
                                </w:p>
                              </w:txbxContent>
                            </wps:txbx>
                            <wps:bodyPr rot="0" vert="horz" wrap="square" lIns="0" tIns="0" rIns="0" bIns="0" anchor="ctr" anchorCtr="0" upright="1">
                              <a:noAutofit/>
                            </wps:bodyPr>
                          </wps:wsp>
                        </a:graphicData>
                      </a:graphic>
                    </wp:anchor>
                  </w:drawing>
                </mc:Choice>
                <mc:Fallback>
                  <w:pict>
                    <v:shape id="流程图: 过程 24" o:spid="_x0000_s1026" o:spt="109" type="#_x0000_t109" style="position:absolute;left:0pt;flip:y;margin-left:8.25pt;margin-top:528.55pt;height:23.3pt;width:57pt;z-index:251695104;v-text-anchor:middle;mso-width-relative:page;mso-height-relative:page;" fillcolor="#FFFFFF" filled="t" stroked="t" coordsize="21600,21600" o:gfxdata="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QEV82AAAAAwBAAAPAAAAAAAAAAEAIAAAACIAAABkcnMvZG93bnJldi54&#10;bWxQSwECFAAUAAAACACHTuJAhaQdpTMCAABPBAAADgAAAAAAAAABACAAAAAnAQAAZHJzL2Uyb0Rv&#10;Yy54bWxQSwUGAAAAAAYABgBZAQAAzAUAAAAA&#10;">
                      <v:fill on="t" focussize="0,0"/>
                      <v:stroke weight="1pt" color="#000000" miterlimit="8" joinstyle="miter"/>
                      <v:imagedata o:title=""/>
                      <o:lock v:ext="edit" aspectratio="f"/>
                      <v:textbox inset="0mm,0mm,0mm,0mm">
                        <w:txbxContent>
                          <w:p>
                            <w:pPr>
                              <w:jc w:val="center"/>
                              <w:rPr>
                                <w:rFonts w:hint="eastAsia" w:ascii="仿宋_GB2312" w:eastAsia="仿宋_GB2312"/>
                                <w:sz w:val="21"/>
                                <w:szCs w:val="21"/>
                              </w:rPr>
                            </w:pPr>
                            <w:r>
                              <w:rPr>
                                <w:rFonts w:hint="eastAsia" w:ascii="仿宋_GB2312" w:eastAsia="仿宋_GB2312"/>
                                <w:sz w:val="21"/>
                                <w:szCs w:val="21"/>
                              </w:rPr>
                              <w:t>归档</w:t>
                            </w:r>
                          </w:p>
                        </w:txbxContent>
                      </v:textbox>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703296" behindDoc="0" locked="0" layoutInCell="1" allowOverlap="1">
                      <wp:simplePos x="0" y="0"/>
                      <wp:positionH relativeFrom="column">
                        <wp:posOffset>-116840</wp:posOffset>
                      </wp:positionH>
                      <wp:positionV relativeFrom="paragraph">
                        <wp:posOffset>2816860</wp:posOffset>
                      </wp:positionV>
                      <wp:extent cx="1149350" cy="635"/>
                      <wp:effectExtent l="37465" t="0" r="38100" b="12700"/>
                      <wp:wrapNone/>
                      <wp:docPr id="62" name="肘形连接符 23"/>
                      <wp:cNvGraphicFramePr/>
                      <a:graphic xmlns:a="http://schemas.openxmlformats.org/drawingml/2006/main">
                        <a:graphicData uri="http://schemas.microsoft.com/office/word/2010/wordprocessingShape">
                          <wps:wsp>
                            <wps:cNvCnPr>
                              <a:cxnSpLocks noChangeShapeType="1"/>
                            </wps:cNvCnPr>
                            <wps:spPr bwMode="auto">
                              <a:xfrm rot="16200000" flipH="1">
                                <a:off x="0" y="0"/>
                                <a:ext cx="1149350" cy="635"/>
                              </a:xfrm>
                              <a:prstGeom prst="bentConnector3">
                                <a:avLst>
                                  <a:gd name="adj1" fmla="val 50000"/>
                                </a:avLst>
                              </a:prstGeom>
                              <a:noFill/>
                              <a:ln w="6350">
                                <a:solidFill>
                                  <a:srgbClr val="000000"/>
                                </a:solidFill>
                                <a:miter lim="800000"/>
                                <a:tailEnd type="triangle" w="med" len="med"/>
                              </a:ln>
                              <a:effectLst/>
                            </wps:spPr>
                            <wps:bodyPr/>
                          </wps:wsp>
                        </a:graphicData>
                      </a:graphic>
                    </wp:anchor>
                  </w:drawing>
                </mc:Choice>
                <mc:Fallback>
                  <w:pict>
                    <v:shape id="肘形连接符 23" o:spid="_x0000_s1026" o:spt="34" type="#_x0000_t34" style="position:absolute;left:0pt;flip:x;margin-left:-9.2pt;margin-top:221.8pt;height:0.05pt;width:90.5pt;rotation:5898240f;z-index:251703296;mso-width-relative:page;mso-height-relative:page;" filled="f" stroked="t" coordsize="21600,21600" o:gfxdata="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3uuy&#10;2AAAAAsBAAAPAAAAAAAAAAEAIAAAACIAAABkcnMvZG93bnJldi54bWxQSwECFAAUAAAACACHTuJA&#10;JqvnryECAAD5AwAADgAAAAAAAAABACAAAAAnAQAAZHJzL2Uyb0RvYy54bWxQSwUGAAAAAAYABgBZ&#10;AQAAugUAAAAA&#10;" adj="10800">
                      <v:fill on="f" focussize="0,0"/>
                      <v:stroke weight="0.5pt" color="#000000" miterlimit="8" joinstyle="miter" endarrow="block"/>
                      <v:imagedata o:title=""/>
                      <o:lock v:ext="edit" aspectratio="f"/>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697152" behindDoc="0" locked="0" layoutInCell="1" allowOverlap="1">
                      <wp:simplePos x="0" y="0"/>
                      <wp:positionH relativeFrom="column">
                        <wp:posOffset>104775</wp:posOffset>
                      </wp:positionH>
                      <wp:positionV relativeFrom="paragraph">
                        <wp:posOffset>330200</wp:posOffset>
                      </wp:positionV>
                      <wp:extent cx="584835" cy="222885"/>
                      <wp:effectExtent l="6350" t="6350" r="18415" b="18415"/>
                      <wp:wrapNone/>
                      <wp:docPr id="63" name="矩形 25"/>
                      <wp:cNvGraphicFramePr/>
                      <a:graphic xmlns:a="http://schemas.openxmlformats.org/drawingml/2006/main">
                        <a:graphicData uri="http://schemas.microsoft.com/office/word/2010/wordprocessingShape">
                          <wps:wsp>
                            <wps:cNvSpPr>
                              <a:spLocks noChangeArrowheads="1"/>
                            </wps:cNvSpPr>
                            <wps:spPr bwMode="auto">
                              <a:xfrm>
                                <a:off x="0" y="0"/>
                                <a:ext cx="584835" cy="222885"/>
                              </a:xfrm>
                              <a:prstGeom prst="rect">
                                <a:avLst/>
                              </a:prstGeom>
                              <a:solidFill>
                                <a:srgbClr val="FFFFFF"/>
                              </a:solidFill>
                              <a:ln w="12700">
                                <a:solidFill>
                                  <a:srgbClr val="000000"/>
                                </a:solidFill>
                                <a:miter lim="800000"/>
                              </a:ln>
                              <a:effectLst/>
                            </wps:spPr>
                            <wps:txbx>
                              <w:txbxContent>
                                <w:p>
                                  <w:pPr>
                                    <w:jc w:val="center"/>
                                    <w:rPr>
                                      <w:rFonts w:hint="eastAsia" w:ascii="仿宋_GB2312" w:eastAsia="仿宋_GB2312"/>
                                      <w:sz w:val="21"/>
                                      <w:szCs w:val="21"/>
                                    </w:rPr>
                                  </w:pPr>
                                  <w:r>
                                    <w:rPr>
                                      <w:rFonts w:hint="eastAsia" w:ascii="仿宋_GB2312" w:eastAsia="仿宋_GB2312"/>
                                      <w:sz w:val="21"/>
                                      <w:szCs w:val="21"/>
                                    </w:rPr>
                                    <w:t>清理</w:t>
                                  </w:r>
                                </w:p>
                              </w:txbxContent>
                            </wps:txbx>
                            <wps:bodyPr rot="0" vert="horz" wrap="square" lIns="0" tIns="0" rIns="0" bIns="0" anchor="ctr" anchorCtr="0" upright="1">
                              <a:noAutofit/>
                            </wps:bodyPr>
                          </wps:wsp>
                        </a:graphicData>
                      </a:graphic>
                    </wp:anchor>
                  </w:drawing>
                </mc:Choice>
                <mc:Fallback>
                  <w:pict>
                    <v:rect id="矩形 25" o:spid="_x0000_s1026" o:spt="1" style="position:absolute;left:0pt;margin-left:8.25pt;margin-top:26pt;height:17.55pt;width:46.05pt;z-index:251697152;v-text-anchor:middle;mso-width-relative:page;mso-height-relative:page;" fillcolor="#FFFFFF" filled="t" stroked="t" coordsize="21600,21600" o:gfxdata="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DWYp1gAAAAgBAAAP&#10;AAAAAAAAAAEAIAAAACIAAABkcnMvZG93bnJldi54bWxQSwECFAAUAAAACACHTuJAoWellhoCAAAu&#10;BAAADgAAAAAAAAABACAAAAAlAQAAZHJzL2Uyb0RvYy54bWxQSwUGAAAAAAYABgBZAQAAsQUAAAAA&#10;">
                      <v:fill on="t" focussize="0,0"/>
                      <v:stroke weight="1pt" color="#000000" miterlimit="8" joinstyle="miter"/>
                      <v:imagedata o:title=""/>
                      <o:lock v:ext="edit" aspectratio="f"/>
                      <v:textbox inset="0mm,0mm,0mm,0mm">
                        <w:txbxContent>
                          <w:p>
                            <w:pPr>
                              <w:jc w:val="center"/>
                              <w:rPr>
                                <w:rFonts w:hint="eastAsia" w:ascii="仿宋_GB2312" w:eastAsia="仿宋_GB2312"/>
                                <w:sz w:val="21"/>
                                <w:szCs w:val="21"/>
                              </w:rPr>
                            </w:pPr>
                            <w:r>
                              <w:rPr>
                                <w:rFonts w:hint="eastAsia" w:ascii="仿宋_GB2312" w:eastAsia="仿宋_GB2312"/>
                                <w:sz w:val="21"/>
                                <w:szCs w:val="21"/>
                              </w:rPr>
                              <w:t>清理</w:t>
                            </w:r>
                          </w:p>
                        </w:txbxContent>
                      </v:textbox>
                    </v:rect>
                  </w:pict>
                </mc:Fallback>
              </mc:AlternateContent>
            </w:r>
            <w:r>
              <w:rPr>
                <w:rFonts w:hint="eastAsia" w:ascii="仿宋_GB2312" w:hAnsi="仿宋" w:eastAsia="仿宋_GB2312"/>
                <w:sz w:val="21"/>
                <w:szCs w:val="21"/>
              </w:rPr>
              <mc:AlternateContent>
                <mc:Choice Requires="wps">
                  <w:drawing>
                    <wp:anchor distT="0" distB="0" distL="114300" distR="114300" simplePos="0" relativeHeight="251698176" behindDoc="0" locked="0" layoutInCell="1" allowOverlap="1">
                      <wp:simplePos x="0" y="0"/>
                      <wp:positionH relativeFrom="column">
                        <wp:posOffset>-199390</wp:posOffset>
                      </wp:positionH>
                      <wp:positionV relativeFrom="paragraph">
                        <wp:posOffset>1210310</wp:posOffset>
                      </wp:positionV>
                      <wp:extent cx="1314450" cy="635"/>
                      <wp:effectExtent l="37465" t="0" r="38100" b="0"/>
                      <wp:wrapNone/>
                      <wp:docPr id="64" name="肘形连接符 22"/>
                      <wp:cNvGraphicFramePr/>
                      <a:graphic xmlns:a="http://schemas.openxmlformats.org/drawingml/2006/main">
                        <a:graphicData uri="http://schemas.microsoft.com/office/word/2010/wordprocessingShape">
                          <wps:wsp>
                            <wps:cNvCnPr>
                              <a:cxnSpLocks noChangeShapeType="1"/>
                            </wps:cNvCnPr>
                            <wps:spPr bwMode="auto">
                              <a:xfrm rot="16200000" flipH="1">
                                <a:off x="0" y="0"/>
                                <a:ext cx="1314450" cy="635"/>
                              </a:xfrm>
                              <a:prstGeom prst="bentConnector3">
                                <a:avLst>
                                  <a:gd name="adj1" fmla="val 50000"/>
                                </a:avLst>
                              </a:prstGeom>
                              <a:noFill/>
                              <a:ln w="6350">
                                <a:solidFill>
                                  <a:srgbClr val="000000"/>
                                </a:solidFill>
                                <a:miter lim="800000"/>
                                <a:tailEnd type="triangle" w="med" len="med"/>
                              </a:ln>
                              <a:effectLst/>
                            </wps:spPr>
                            <wps:bodyPr/>
                          </wps:wsp>
                        </a:graphicData>
                      </a:graphic>
                    </wp:anchor>
                  </w:drawing>
                </mc:Choice>
                <mc:Fallback>
                  <w:pict>
                    <v:shape id="肘形连接符 22" o:spid="_x0000_s1026" o:spt="34" type="#_x0000_t34" style="position:absolute;left:0pt;flip:x;margin-left:-15.7pt;margin-top:95.3pt;height:0.05pt;width:103.5pt;rotation:5898240f;z-index:251698176;mso-width-relative:page;mso-height-relative:page;" filled="f" stroked="t" coordsize="21600,21600" o:gfxdata="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IgBlvY&#10;AAAACwEAAA8AAAAAAAAAAQAgAAAAIgAAAGRycy9kb3ducmV2LnhtbFBLAQIUABQAAAAIAIdO4kDj&#10;rrN5IAIAAPkDAAAOAAAAAAAAAAEAIAAAACcBAABkcnMvZTJvRG9jLnhtbFBLBQYAAAAABgAGAFkB&#10;AAC5BQAAAAA=&#10;" adj="10800">
                      <v:fill on="f" focussize="0,0"/>
                      <v:stroke weight="0.5pt" color="#000000" miterlimit="8" joinstyle="miter" endarrow="block"/>
                      <v:imagedata o:title=""/>
                      <o:lock v:ext="edit" aspectratio="f"/>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704320" behindDoc="0" locked="0" layoutInCell="1" allowOverlap="1">
                      <wp:simplePos x="0" y="0"/>
                      <wp:positionH relativeFrom="column">
                        <wp:posOffset>104775</wp:posOffset>
                      </wp:positionH>
                      <wp:positionV relativeFrom="paragraph">
                        <wp:posOffset>3524885</wp:posOffset>
                      </wp:positionV>
                      <wp:extent cx="723900" cy="247650"/>
                      <wp:effectExtent l="6350" t="6350" r="12700" b="12700"/>
                      <wp:wrapNone/>
                      <wp:docPr id="65" name="流程图: 过程 21"/>
                      <wp:cNvGraphicFramePr/>
                      <a:graphic xmlns:a="http://schemas.openxmlformats.org/drawingml/2006/main">
                        <a:graphicData uri="http://schemas.microsoft.com/office/word/2010/wordprocessingShape">
                          <wps:wsp>
                            <wps:cNvSpPr>
                              <a:spLocks noChangeArrowheads="1"/>
                            </wps:cNvSpPr>
                            <wps:spPr bwMode="auto">
                              <a:xfrm>
                                <a:off x="0" y="0"/>
                                <a:ext cx="723900" cy="247650"/>
                              </a:xfrm>
                              <a:prstGeom prst="flowChartProcess">
                                <a:avLst/>
                              </a:prstGeom>
                              <a:solidFill>
                                <a:srgbClr val="FFFFFF"/>
                              </a:solidFill>
                              <a:ln w="12700">
                                <a:solidFill>
                                  <a:srgbClr val="000000"/>
                                </a:solidFill>
                                <a:miter lim="800000"/>
                              </a:ln>
                              <a:effectLst/>
                            </wps:spPr>
                            <wps:txbx>
                              <w:txbxContent>
                                <w:p>
                                  <w:pPr>
                                    <w:ind w:firstLine="315" w:firstLineChars="150"/>
                                    <w:rPr>
                                      <w:rFonts w:hint="eastAsia" w:ascii="仿宋_GB2312" w:eastAsia="仿宋_GB2312"/>
                                      <w:sz w:val="21"/>
                                      <w:szCs w:val="21"/>
                                    </w:rPr>
                                  </w:pPr>
                                  <w:r>
                                    <w:rPr>
                                      <w:rFonts w:hint="eastAsia" w:ascii="仿宋_GB2312" w:eastAsia="仿宋_GB2312"/>
                                      <w:sz w:val="21"/>
                                      <w:szCs w:val="21"/>
                                    </w:rPr>
                                    <w:t>审查</w:t>
                                  </w:r>
                                </w:p>
                                <w:p/>
                              </w:txbxContent>
                            </wps:txbx>
                            <wps:bodyPr rot="0" vert="horz" wrap="square" lIns="0" tIns="0" rIns="0" bIns="0" anchor="ctr" anchorCtr="0" upright="1">
                              <a:noAutofit/>
                            </wps:bodyPr>
                          </wps:wsp>
                        </a:graphicData>
                      </a:graphic>
                    </wp:anchor>
                  </w:drawing>
                </mc:Choice>
                <mc:Fallback>
                  <w:pict>
                    <v:shape id="流程图: 过程 21" o:spid="_x0000_s1026" o:spt="109" type="#_x0000_t109" style="position:absolute;left:0pt;margin-left:8.25pt;margin-top:277.55pt;height:19.5pt;width:57pt;z-index:251704320;v-text-anchor:middle;mso-width-relative:page;mso-height-relative:page;" fillcolor="#FFFFFF" filled="t" stroked="t" coordsize="21600,21600" o:gfxdata="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Cqzd7YAAAACgEAAA8AAAAAAAAAAQAgAAAAIgAAAGRycy9kb3ducmV2LnhtbFBL&#10;AQIUABQAAAAIAIdO4kBG7RmLLwIAAEUEAAAOAAAAAAAAAAEAIAAAACcBAABkcnMvZTJvRG9jLnht&#10;bFBLBQYAAAAABgAGAFkBAADIBQAAAAA=&#10;">
                      <v:fill on="t" focussize="0,0"/>
                      <v:stroke weight="1pt" color="#000000" miterlimit="8" joinstyle="miter"/>
                      <v:imagedata o:title=""/>
                      <o:lock v:ext="edit" aspectratio="f"/>
                      <v:textbox inset="0mm,0mm,0mm,0mm">
                        <w:txbxContent>
                          <w:p>
                            <w:pPr>
                              <w:ind w:firstLine="315" w:firstLineChars="150"/>
                              <w:rPr>
                                <w:rFonts w:hint="eastAsia" w:ascii="仿宋_GB2312" w:eastAsia="仿宋_GB2312"/>
                                <w:sz w:val="21"/>
                                <w:szCs w:val="21"/>
                              </w:rPr>
                            </w:pPr>
                            <w:r>
                              <w:rPr>
                                <w:rFonts w:hint="eastAsia" w:ascii="仿宋_GB2312" w:eastAsia="仿宋_GB2312"/>
                                <w:sz w:val="21"/>
                                <w:szCs w:val="21"/>
                              </w:rPr>
                              <w:t>审查</w:t>
                            </w:r>
                          </w:p>
                          <w:p/>
                        </w:txbxContent>
                      </v:textbox>
                    </v:shape>
                  </w:pict>
                </mc:Fallback>
              </mc:AlternateContent>
            </w:r>
            <w:r>
              <w:rPr>
                <w:rFonts w:hint="eastAsia" w:ascii="仿宋_GB2312" w:hAnsi="仿宋" w:eastAsia="仿宋_GB2312"/>
                <w:sz w:val="21"/>
                <w:szCs w:val="21"/>
              </w:rPr>
              <mc:AlternateContent>
                <mc:Choice Requires="wps">
                  <w:drawing>
                    <wp:anchor distT="0" distB="0" distL="114300" distR="114300" simplePos="0" relativeHeight="251693056" behindDoc="0" locked="0" layoutInCell="1" allowOverlap="1">
                      <wp:simplePos x="0" y="0"/>
                      <wp:positionH relativeFrom="column">
                        <wp:posOffset>70485</wp:posOffset>
                      </wp:positionH>
                      <wp:positionV relativeFrom="paragraph">
                        <wp:posOffset>1964690</wp:posOffset>
                      </wp:positionV>
                      <wp:extent cx="723900" cy="247650"/>
                      <wp:effectExtent l="6350" t="6350" r="12700" b="12700"/>
                      <wp:wrapNone/>
                      <wp:docPr id="66" name="流程图: 过程 28"/>
                      <wp:cNvGraphicFramePr/>
                      <a:graphic xmlns:a="http://schemas.openxmlformats.org/drawingml/2006/main">
                        <a:graphicData uri="http://schemas.microsoft.com/office/word/2010/wordprocessingShape">
                          <wps:wsp>
                            <wps:cNvSpPr>
                              <a:spLocks noChangeArrowheads="1"/>
                            </wps:cNvSpPr>
                            <wps:spPr bwMode="auto">
                              <a:xfrm>
                                <a:off x="0" y="0"/>
                                <a:ext cx="723900" cy="247650"/>
                              </a:xfrm>
                              <a:prstGeom prst="flowChartProcess">
                                <a:avLst/>
                              </a:prstGeom>
                              <a:solidFill>
                                <a:srgbClr val="FFFFFF"/>
                              </a:solidFill>
                              <a:ln w="12700">
                                <a:solidFill>
                                  <a:srgbClr val="000000"/>
                                </a:solidFill>
                                <a:miter lim="800000"/>
                              </a:ln>
                              <a:effectLst/>
                            </wps:spPr>
                            <wps:txbx>
                              <w:txbxContent>
                                <w:p>
                                  <w:pPr>
                                    <w:ind w:firstLine="315" w:firstLineChars="150"/>
                                    <w:rPr>
                                      <w:rFonts w:hint="eastAsia" w:ascii="仿宋_GB2312" w:eastAsia="仿宋_GB2312"/>
                                      <w:sz w:val="21"/>
                                      <w:szCs w:val="21"/>
                                    </w:rPr>
                                  </w:pPr>
                                  <w:r>
                                    <w:rPr>
                                      <w:rFonts w:hint="eastAsia" w:ascii="仿宋_GB2312" w:eastAsia="仿宋_GB2312"/>
                                      <w:sz w:val="21"/>
                                      <w:szCs w:val="21"/>
                                    </w:rPr>
                                    <w:t>申请</w:t>
                                  </w:r>
                                </w:p>
                                <w:p/>
                              </w:txbxContent>
                            </wps:txbx>
                            <wps:bodyPr rot="0" vert="horz" wrap="square" lIns="0" tIns="0" rIns="0" bIns="0" anchor="ctr" anchorCtr="0" upright="1">
                              <a:noAutofit/>
                            </wps:bodyPr>
                          </wps:wsp>
                        </a:graphicData>
                      </a:graphic>
                    </wp:anchor>
                  </w:drawing>
                </mc:Choice>
                <mc:Fallback>
                  <w:pict>
                    <v:shape id="流程图: 过程 28" o:spid="_x0000_s1026" o:spt="109" type="#_x0000_t109" style="position:absolute;left:0pt;margin-left:5.55pt;margin-top:154.7pt;height:19.5pt;width:57pt;z-index:251693056;v-text-anchor:middle;mso-width-relative:page;mso-height-relative:page;" fillcolor="#FFFFFF" filled="t" stroked="t" coordsize="21600,21600" o:gfxdata="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OBH+2AAAAAoBAAAPAAAAAAAAAAEAIAAAACIAAABkcnMvZG93bnJldi54bWxQSwEC&#10;FAAUAAAACACHTuJAw7Zusi0CAABFBAAADgAAAAAAAAABACAAAAAnAQAAZHJzL2Uyb0RvYy54bWxQ&#10;SwUGAAAAAAYABgBZAQAAxgUAAAAA&#10;">
                      <v:fill on="t" focussize="0,0"/>
                      <v:stroke weight="1pt" color="#000000" miterlimit="8" joinstyle="miter"/>
                      <v:imagedata o:title=""/>
                      <o:lock v:ext="edit" aspectratio="f"/>
                      <v:textbox inset="0mm,0mm,0mm,0mm">
                        <w:txbxContent>
                          <w:p>
                            <w:pPr>
                              <w:ind w:firstLine="315" w:firstLineChars="150"/>
                              <w:rPr>
                                <w:rFonts w:hint="eastAsia" w:ascii="仿宋_GB2312" w:eastAsia="仿宋_GB2312"/>
                                <w:sz w:val="21"/>
                                <w:szCs w:val="21"/>
                              </w:rPr>
                            </w:pPr>
                            <w:r>
                              <w:rPr>
                                <w:rFonts w:hint="eastAsia" w:ascii="仿宋_GB2312" w:eastAsia="仿宋_GB2312"/>
                                <w:sz w:val="21"/>
                                <w:szCs w:val="21"/>
                              </w:rPr>
                              <w:t>申请</w:t>
                            </w:r>
                          </w:p>
                          <w:p/>
                        </w:txbxContent>
                      </v:textbox>
                    </v:shape>
                  </w:pict>
                </mc:Fallback>
              </mc:AlternateContent>
            </w:r>
          </w:p>
        </w:tc>
        <w:tc>
          <w:tcPr>
            <w:tcW w:w="1103"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会计</w:t>
            </w:r>
          </w:p>
        </w:tc>
        <w:tc>
          <w:tcPr>
            <w:tcW w:w="1134"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财务处</w:t>
            </w:r>
          </w:p>
        </w:tc>
        <w:tc>
          <w:tcPr>
            <w:tcW w:w="2869" w:type="dxa"/>
            <w:shd w:val="clear" w:color="auto" w:fill="auto"/>
            <w:noWrap w:val="0"/>
            <w:vAlign w:val="center"/>
          </w:tcPr>
          <w:p>
            <w:pPr>
              <w:pStyle w:val="10"/>
              <w:pageBreakBefore w:val="0"/>
              <w:kinsoku/>
              <w:wordWrap/>
              <w:overflowPunct/>
              <w:topLinePunct w:val="0"/>
              <w:autoSpaceDE/>
              <w:autoSpaceDN/>
              <w:bidi w:val="0"/>
              <w:spacing w:line="380" w:lineRule="exact"/>
              <w:ind w:firstLine="210" w:firstLineChars="100"/>
              <w:outlineLvl w:val="9"/>
              <w:rPr>
                <w:rFonts w:hint="eastAsia" w:ascii="仿宋_GB2312" w:eastAsia="仿宋_GB2312"/>
                <w:color w:val="FF0000"/>
                <w:sz w:val="21"/>
                <w:szCs w:val="21"/>
              </w:rPr>
            </w:pPr>
            <w:r>
              <w:rPr>
                <w:rFonts w:hint="eastAsia" w:ascii="仿宋_GB2312" w:eastAsia="仿宋_GB2312"/>
                <w:sz w:val="21"/>
                <w:szCs w:val="21"/>
              </w:rPr>
              <w:t>设专人每半年对往来款项进行一次清理，研判无法收回或收回的可能性极小的</w:t>
            </w:r>
            <w:r>
              <w:rPr>
                <w:rFonts w:hint="eastAsia" w:ascii="仿宋_GB2312" w:eastAsia="仿宋_GB2312"/>
                <w:sz w:val="21"/>
                <w:szCs w:val="21"/>
              </w:rPr>
              <w:fldChar w:fldCharType="begin"/>
            </w:r>
            <w:r>
              <w:rPr>
                <w:rFonts w:hint="eastAsia" w:ascii="仿宋_GB2312" w:eastAsia="仿宋_GB2312"/>
                <w:sz w:val="21"/>
                <w:szCs w:val="21"/>
              </w:rPr>
              <w:instrText xml:space="preserve"> HYPERLINK "https://baike.so.com/doc/6134472-6347633.html" \t "https://baike.so.com/doc/_blank" </w:instrText>
            </w:r>
            <w:r>
              <w:rPr>
                <w:rFonts w:hint="eastAsia" w:ascii="仿宋_GB2312" w:eastAsia="仿宋_GB2312"/>
                <w:sz w:val="21"/>
                <w:szCs w:val="21"/>
              </w:rPr>
              <w:fldChar w:fldCharType="separate"/>
            </w:r>
            <w:r>
              <w:rPr>
                <w:rFonts w:hint="eastAsia" w:ascii="仿宋_GB2312" w:eastAsia="仿宋_GB2312"/>
                <w:sz w:val="21"/>
                <w:szCs w:val="21"/>
              </w:rPr>
              <w:t>应收款项</w:t>
            </w:r>
            <w:r>
              <w:rPr>
                <w:rFonts w:hint="eastAsia" w:ascii="仿宋_GB2312" w:eastAsia="仿宋_GB2312"/>
                <w:sz w:val="21"/>
                <w:szCs w:val="21"/>
              </w:rPr>
              <w:fldChar w:fldCharType="end"/>
            </w:r>
            <w:r>
              <w:rPr>
                <w:rFonts w:hint="eastAsia" w:ascii="仿宋_GB2312" w:eastAsia="仿宋_GB2312"/>
                <w:sz w:val="21"/>
                <w:szCs w:val="21"/>
              </w:rPr>
              <w:t>。</w:t>
            </w:r>
          </w:p>
        </w:tc>
        <w:tc>
          <w:tcPr>
            <w:tcW w:w="2410" w:type="dxa"/>
            <w:shd w:val="clear" w:color="auto" w:fill="auto"/>
            <w:noWrap w:val="0"/>
            <w:vAlign w:val="center"/>
          </w:tcPr>
          <w:p>
            <w:pPr>
              <w:pageBreakBefore w:val="0"/>
              <w:widowControl/>
              <w:kinsoku/>
              <w:wordWrap/>
              <w:overflowPunct/>
              <w:topLinePunct w:val="0"/>
              <w:autoSpaceDE/>
              <w:autoSpaceDN/>
              <w:bidi w:val="0"/>
              <w:spacing w:line="380" w:lineRule="exact"/>
              <w:jc w:val="left"/>
              <w:outlineLvl w:val="9"/>
              <w:rPr>
                <w:rFonts w:hint="eastAsia" w:ascii="仿宋_GB2312" w:hAnsi="宋体" w:eastAsia="仿宋_GB2312"/>
                <w:kern w:val="0"/>
                <w:sz w:val="21"/>
                <w:szCs w:val="21"/>
              </w:rPr>
            </w:pPr>
            <w:r>
              <w:rPr>
                <w:rFonts w:hint="eastAsia" w:ascii="仿宋_GB2312" w:hAnsi="宋体" w:eastAsia="仿宋_GB2312"/>
                <w:kern w:val="0"/>
                <w:sz w:val="21"/>
                <w:szCs w:val="21"/>
              </w:rPr>
              <w:t>应收款项清理表</w:t>
            </w:r>
          </w:p>
          <w:p>
            <w:pPr>
              <w:pageBreakBefore w:val="0"/>
              <w:kinsoku/>
              <w:wordWrap/>
              <w:overflowPunct/>
              <w:topLinePunct w:val="0"/>
              <w:autoSpaceDE/>
              <w:autoSpaceDN/>
              <w:bidi w:val="0"/>
              <w:spacing w:line="380" w:lineRule="exact"/>
              <w:jc w:val="center"/>
              <w:outlineLvl w:val="9"/>
              <w:rPr>
                <w:rFonts w:hint="eastAsia" w:ascii="仿宋_GB2312" w:hAnsi="宋体" w:eastAsia="仿宋_GB2312"/>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557" w:type="dxa"/>
            <w:vMerge w:val="continue"/>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hAnsi="仿宋" w:eastAsia="仿宋_GB2312"/>
                <w:sz w:val="21"/>
                <w:szCs w:val="21"/>
              </w:rPr>
            </w:pPr>
          </w:p>
        </w:tc>
        <w:tc>
          <w:tcPr>
            <w:tcW w:w="1103"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经办人</w:t>
            </w:r>
          </w:p>
        </w:tc>
        <w:tc>
          <w:tcPr>
            <w:tcW w:w="1134"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各部门</w:t>
            </w:r>
          </w:p>
        </w:tc>
        <w:tc>
          <w:tcPr>
            <w:tcW w:w="2869" w:type="dxa"/>
            <w:shd w:val="clear" w:color="auto" w:fill="auto"/>
            <w:noWrap w:val="0"/>
            <w:vAlign w:val="center"/>
          </w:tcPr>
          <w:p>
            <w:pPr>
              <w:pStyle w:val="10"/>
              <w:pageBreakBefore w:val="0"/>
              <w:kinsoku/>
              <w:wordWrap/>
              <w:overflowPunct/>
              <w:topLinePunct w:val="0"/>
              <w:autoSpaceDE/>
              <w:autoSpaceDN/>
              <w:bidi w:val="0"/>
              <w:spacing w:before="226" w:beforeAutospacing="0" w:after="226" w:afterAutospacing="0" w:line="380" w:lineRule="exact"/>
              <w:ind w:firstLine="105" w:firstLineChars="50"/>
              <w:outlineLvl w:val="9"/>
              <w:rPr>
                <w:rFonts w:hint="eastAsia" w:ascii="仿宋_GB2312" w:eastAsia="仿宋_GB2312" w:cs="宋体"/>
                <w:sz w:val="21"/>
                <w:szCs w:val="21"/>
              </w:rPr>
            </w:pPr>
            <w:r>
              <w:rPr>
                <w:rFonts w:hint="eastAsia" w:ascii="仿宋_GB2312" w:eastAsia="仿宋_GB2312"/>
                <w:sz w:val="21"/>
                <w:szCs w:val="21"/>
              </w:rPr>
              <w:t>对无法收回或收回的可能性极小的</w:t>
            </w:r>
            <w:r>
              <w:rPr>
                <w:rFonts w:hint="eastAsia" w:ascii="仿宋_GB2312" w:eastAsia="仿宋_GB2312"/>
                <w:sz w:val="21"/>
                <w:szCs w:val="21"/>
              </w:rPr>
              <w:fldChar w:fldCharType="begin"/>
            </w:r>
            <w:r>
              <w:rPr>
                <w:rFonts w:hint="eastAsia" w:ascii="仿宋_GB2312" w:eastAsia="仿宋_GB2312"/>
                <w:sz w:val="21"/>
                <w:szCs w:val="21"/>
              </w:rPr>
              <w:instrText xml:space="preserve"> HYPERLINK "https://baike.so.com/doc/6134472-6347633.html" \t "https://baike.so.com/doc/_blank" </w:instrText>
            </w:r>
            <w:r>
              <w:rPr>
                <w:rFonts w:hint="eastAsia" w:ascii="仿宋_GB2312" w:eastAsia="仿宋_GB2312"/>
                <w:sz w:val="21"/>
                <w:szCs w:val="21"/>
              </w:rPr>
              <w:fldChar w:fldCharType="separate"/>
            </w:r>
            <w:r>
              <w:rPr>
                <w:rFonts w:hint="eastAsia" w:ascii="仿宋_GB2312" w:eastAsia="仿宋_GB2312"/>
                <w:sz w:val="21"/>
                <w:szCs w:val="21"/>
              </w:rPr>
              <w:t>应收款项</w:t>
            </w:r>
            <w:r>
              <w:rPr>
                <w:rFonts w:hint="eastAsia" w:ascii="仿宋_GB2312" w:eastAsia="仿宋_GB2312"/>
                <w:sz w:val="21"/>
                <w:szCs w:val="21"/>
              </w:rPr>
              <w:fldChar w:fldCharType="end"/>
            </w:r>
            <w:r>
              <w:rPr>
                <w:rFonts w:hint="eastAsia" w:ascii="仿宋_GB2312" w:eastAsia="仿宋_GB2312"/>
                <w:sz w:val="21"/>
                <w:szCs w:val="21"/>
              </w:rPr>
              <w:t>，即坏账损失由经办</w:t>
            </w:r>
            <w:r>
              <w:rPr>
                <w:rFonts w:hint="eastAsia" w:ascii="仿宋_GB2312" w:eastAsia="仿宋_GB2312" w:cs="宋体"/>
                <w:sz w:val="21"/>
                <w:szCs w:val="21"/>
              </w:rPr>
              <w:t>部门提出核销申请和提供相应的佐证材料。</w:t>
            </w:r>
          </w:p>
        </w:tc>
        <w:tc>
          <w:tcPr>
            <w:tcW w:w="2410" w:type="dxa"/>
            <w:shd w:val="clear" w:color="auto" w:fill="auto"/>
            <w:noWrap w:val="0"/>
            <w:vAlign w:val="center"/>
          </w:tcPr>
          <w:p>
            <w:pPr>
              <w:pStyle w:val="10"/>
              <w:pageBreakBefore w:val="0"/>
              <w:numPr>
                <w:ilvl w:val="0"/>
                <w:numId w:val="8"/>
              </w:numPr>
              <w:kinsoku/>
              <w:wordWrap/>
              <w:overflowPunct/>
              <w:topLinePunct w:val="0"/>
              <w:autoSpaceDE/>
              <w:autoSpaceDN/>
              <w:bidi w:val="0"/>
              <w:spacing w:before="0" w:beforeAutospacing="0" w:after="0" w:afterAutospacing="0" w:line="380" w:lineRule="exact"/>
              <w:outlineLvl w:val="9"/>
              <w:rPr>
                <w:rFonts w:hint="eastAsia" w:ascii="仿宋_GB2312" w:eastAsia="仿宋_GB2312"/>
                <w:sz w:val="21"/>
                <w:szCs w:val="21"/>
              </w:rPr>
            </w:pPr>
            <w:r>
              <w:rPr>
                <w:rFonts w:hint="eastAsia" w:ascii="仿宋_GB2312" w:eastAsia="仿宋_GB2312"/>
                <w:sz w:val="21"/>
                <w:szCs w:val="21"/>
              </w:rPr>
              <w:t>申请报告</w:t>
            </w:r>
          </w:p>
          <w:p>
            <w:pPr>
              <w:pStyle w:val="10"/>
              <w:pageBreakBefore w:val="0"/>
              <w:kinsoku/>
              <w:wordWrap/>
              <w:overflowPunct/>
              <w:topLinePunct w:val="0"/>
              <w:autoSpaceDE/>
              <w:autoSpaceDN/>
              <w:bidi w:val="0"/>
              <w:spacing w:before="0" w:beforeAutospacing="0" w:after="0" w:afterAutospacing="0" w:line="380" w:lineRule="exact"/>
              <w:ind w:firstLine="105" w:firstLineChars="50"/>
              <w:outlineLvl w:val="9"/>
              <w:rPr>
                <w:rFonts w:hint="eastAsia" w:ascii="仿宋_GB2312" w:eastAsia="仿宋_GB2312"/>
                <w:sz w:val="21"/>
                <w:szCs w:val="21"/>
              </w:rPr>
            </w:pPr>
            <w:r>
              <w:rPr>
                <w:rFonts w:hint="eastAsia" w:ascii="仿宋_GB2312" w:eastAsia="仿宋_GB2312"/>
                <w:sz w:val="21"/>
                <w:szCs w:val="21"/>
              </w:rPr>
              <w:t>2.债务人已被依法宣告破产等相关法律文书</w:t>
            </w:r>
          </w:p>
          <w:p>
            <w:pPr>
              <w:pStyle w:val="10"/>
              <w:pageBreakBefore w:val="0"/>
              <w:kinsoku/>
              <w:wordWrap/>
              <w:overflowPunct/>
              <w:topLinePunct w:val="0"/>
              <w:autoSpaceDE/>
              <w:autoSpaceDN/>
              <w:bidi w:val="0"/>
              <w:spacing w:before="0" w:beforeAutospacing="0" w:after="0" w:afterAutospacing="0" w:line="380" w:lineRule="exact"/>
              <w:outlineLvl w:val="9"/>
              <w:rPr>
                <w:rFonts w:hint="eastAsia" w:ascii="仿宋_GB2312" w:eastAsia="仿宋_GB2312"/>
                <w:sz w:val="21"/>
                <w:szCs w:val="21"/>
              </w:rPr>
            </w:pPr>
            <w:r>
              <w:rPr>
                <w:rFonts w:hint="eastAsia" w:ascii="仿宋_GB2312" w:eastAsia="仿宋_GB2312"/>
                <w:sz w:val="21"/>
                <w:szCs w:val="21"/>
              </w:rPr>
              <w:t xml:space="preserve">3.逾期三年以上，提供相关的催收记录、债务人无法清偿的相关证明文件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1557" w:type="dxa"/>
            <w:vMerge w:val="continue"/>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hAnsi="仿宋" w:eastAsia="仿宋_GB2312"/>
                <w:sz w:val="21"/>
                <w:szCs w:val="21"/>
              </w:rPr>
            </w:pPr>
          </w:p>
        </w:tc>
        <w:tc>
          <w:tcPr>
            <w:tcW w:w="1103" w:type="dxa"/>
            <w:shd w:val="clear" w:color="auto" w:fill="auto"/>
            <w:noWrap w:val="0"/>
            <w:vAlign w:val="center"/>
          </w:tcPr>
          <w:p>
            <w:pPr>
              <w:pageBreakBefore w:val="0"/>
              <w:kinsoku/>
              <w:wordWrap/>
              <w:overflowPunct/>
              <w:topLinePunct w:val="0"/>
              <w:autoSpaceDE/>
              <w:autoSpaceDN/>
              <w:bidi w:val="0"/>
              <w:spacing w:line="440" w:lineRule="exact"/>
              <w:outlineLvl w:val="9"/>
              <w:rPr>
                <w:rFonts w:hint="eastAsia" w:ascii="仿宋_GB2312" w:hAnsi="宋体" w:eastAsia="仿宋_GB2312"/>
                <w:sz w:val="21"/>
                <w:szCs w:val="21"/>
              </w:rPr>
            </w:pPr>
            <w:r>
              <w:rPr>
                <w:rFonts w:hint="eastAsia" w:ascii="仿宋_GB2312" w:hAnsi="宋体" w:eastAsia="仿宋_GB2312"/>
                <w:sz w:val="21"/>
                <w:szCs w:val="21"/>
              </w:rPr>
              <w:t>分管处长</w:t>
            </w:r>
          </w:p>
        </w:tc>
        <w:tc>
          <w:tcPr>
            <w:tcW w:w="1134"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财务处</w:t>
            </w:r>
          </w:p>
        </w:tc>
        <w:tc>
          <w:tcPr>
            <w:tcW w:w="2869" w:type="dxa"/>
            <w:shd w:val="clear" w:color="auto" w:fill="auto"/>
            <w:noWrap w:val="0"/>
            <w:vAlign w:val="center"/>
          </w:tcPr>
          <w:p>
            <w:pPr>
              <w:pageBreakBefore w:val="0"/>
              <w:kinsoku/>
              <w:wordWrap/>
              <w:overflowPunct/>
              <w:topLinePunct w:val="0"/>
              <w:autoSpaceDE/>
              <w:autoSpaceDN/>
              <w:bidi w:val="0"/>
              <w:spacing w:line="380" w:lineRule="exact"/>
              <w:outlineLvl w:val="9"/>
              <w:rPr>
                <w:rFonts w:hint="eastAsia" w:ascii="仿宋_GB2312" w:hAnsi="宋体" w:eastAsia="仿宋_GB2312"/>
                <w:sz w:val="21"/>
                <w:szCs w:val="21"/>
              </w:rPr>
            </w:pPr>
            <w:r>
              <w:rPr>
                <w:rFonts w:hint="eastAsia" w:ascii="仿宋_GB2312" w:hAnsi="宋体" w:eastAsia="仿宋_GB2312"/>
                <w:sz w:val="21"/>
                <w:szCs w:val="21"/>
              </w:rPr>
              <w:t>根据经办部门申请及提供的佐证材料，提出坏账损失核销初步的处理意见，报内审室进行审查</w:t>
            </w:r>
          </w:p>
        </w:tc>
        <w:tc>
          <w:tcPr>
            <w:tcW w:w="2410" w:type="dxa"/>
            <w:shd w:val="clear" w:color="auto" w:fill="auto"/>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宋体" w:eastAsia="仿宋_GB2312"/>
                <w:color w:val="FF0000"/>
                <w:sz w:val="21"/>
                <w:szCs w:val="21"/>
              </w:rPr>
            </w:pPr>
            <w:r>
              <w:rPr>
                <w:rFonts w:hint="eastAsia" w:ascii="仿宋_GB2312" w:hAnsi="宋体" w:eastAsia="仿宋_GB2312"/>
                <w:sz w:val="21"/>
                <w:szCs w:val="21"/>
              </w:rPr>
              <w:t>出具核销初步的处理意见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jc w:val="center"/>
        </w:trPr>
        <w:tc>
          <w:tcPr>
            <w:tcW w:w="1557" w:type="dxa"/>
            <w:vMerge w:val="continue"/>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hAnsi="仿宋" w:eastAsia="仿宋_GB2312"/>
                <w:sz w:val="21"/>
                <w:szCs w:val="21"/>
              </w:rPr>
            </w:pPr>
          </w:p>
        </w:tc>
        <w:tc>
          <w:tcPr>
            <w:tcW w:w="1103"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内审人员</w:t>
            </w:r>
          </w:p>
        </w:tc>
        <w:tc>
          <w:tcPr>
            <w:tcW w:w="1134"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内部审计与督导室</w:t>
            </w:r>
          </w:p>
        </w:tc>
        <w:tc>
          <w:tcPr>
            <w:tcW w:w="2869" w:type="dxa"/>
            <w:shd w:val="clear" w:color="auto" w:fill="auto"/>
            <w:noWrap w:val="0"/>
            <w:vAlign w:val="center"/>
          </w:tcPr>
          <w:p>
            <w:pPr>
              <w:pageBreakBefore w:val="0"/>
              <w:kinsoku/>
              <w:wordWrap/>
              <w:overflowPunct/>
              <w:topLinePunct w:val="0"/>
              <w:autoSpaceDE/>
              <w:autoSpaceDN/>
              <w:bidi w:val="0"/>
              <w:spacing w:line="380" w:lineRule="exact"/>
              <w:outlineLvl w:val="9"/>
              <w:rPr>
                <w:rFonts w:hint="eastAsia" w:ascii="仿宋_GB2312" w:hAnsi="宋体" w:eastAsia="仿宋_GB2312"/>
                <w:sz w:val="21"/>
                <w:szCs w:val="21"/>
              </w:rPr>
            </w:pPr>
            <w:r>
              <w:rPr>
                <w:rFonts w:hint="eastAsia" w:ascii="仿宋_GB2312" w:hAnsi="宋体" w:eastAsia="仿宋_GB2312"/>
                <w:sz w:val="21"/>
                <w:szCs w:val="21"/>
              </w:rPr>
              <w:t>对经办部门提出的申请及财务处提出坏账损失核销意见进行审查</w:t>
            </w:r>
          </w:p>
        </w:tc>
        <w:tc>
          <w:tcPr>
            <w:tcW w:w="2410" w:type="dxa"/>
            <w:shd w:val="clear" w:color="auto" w:fill="auto"/>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宋体" w:eastAsia="仿宋_GB2312"/>
                <w:color w:val="FF0000"/>
                <w:sz w:val="21"/>
                <w:szCs w:val="21"/>
              </w:rPr>
            </w:pPr>
            <w:r>
              <w:rPr>
                <w:rFonts w:hint="eastAsia" w:ascii="仿宋_GB2312" w:hAnsi="宋体" w:eastAsia="仿宋_GB2312"/>
                <w:sz w:val="21"/>
                <w:szCs w:val="21"/>
              </w:rPr>
              <w:t>出具核销的审查意见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1557" w:type="dxa"/>
            <w:vMerge w:val="continue"/>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hAnsi="仿宋" w:eastAsia="仿宋_GB2312"/>
                <w:sz w:val="21"/>
                <w:szCs w:val="21"/>
              </w:rPr>
            </w:pPr>
          </w:p>
        </w:tc>
        <w:tc>
          <w:tcPr>
            <w:tcW w:w="1103"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经办部门负责人</w:t>
            </w:r>
          </w:p>
        </w:tc>
        <w:tc>
          <w:tcPr>
            <w:tcW w:w="1134" w:type="dxa"/>
            <w:shd w:val="clear" w:color="auto" w:fill="auto"/>
            <w:noWrap w:val="0"/>
            <w:vAlign w:val="center"/>
          </w:tcPr>
          <w:p>
            <w:pPr>
              <w:pageBreakBefore w:val="0"/>
              <w:kinsoku/>
              <w:wordWrap/>
              <w:overflowPunct/>
              <w:topLinePunct w:val="0"/>
              <w:autoSpaceDE/>
              <w:autoSpaceDN/>
              <w:bidi w:val="0"/>
              <w:spacing w:line="440" w:lineRule="exact"/>
              <w:outlineLvl w:val="9"/>
              <w:rPr>
                <w:rFonts w:hint="eastAsia" w:ascii="仿宋_GB2312" w:hAnsi="宋体" w:eastAsia="仿宋_GB2312"/>
                <w:sz w:val="21"/>
                <w:szCs w:val="21"/>
              </w:rPr>
            </w:pPr>
            <w:r>
              <w:rPr>
                <w:rFonts w:hint="eastAsia" w:ascii="仿宋_GB2312" w:hAnsi="宋体" w:eastAsia="仿宋_GB2312"/>
                <w:sz w:val="21"/>
                <w:szCs w:val="21"/>
              </w:rPr>
              <w:t>校长办公会和党委会</w:t>
            </w:r>
          </w:p>
        </w:tc>
        <w:tc>
          <w:tcPr>
            <w:tcW w:w="2869" w:type="dxa"/>
            <w:shd w:val="clear" w:color="auto" w:fill="auto"/>
            <w:noWrap w:val="0"/>
            <w:vAlign w:val="center"/>
          </w:tcPr>
          <w:p>
            <w:pPr>
              <w:pageBreakBefore w:val="0"/>
              <w:kinsoku/>
              <w:wordWrap/>
              <w:overflowPunct/>
              <w:topLinePunct w:val="0"/>
              <w:autoSpaceDE/>
              <w:autoSpaceDN/>
              <w:bidi w:val="0"/>
              <w:spacing w:line="380" w:lineRule="exact"/>
              <w:outlineLvl w:val="9"/>
              <w:rPr>
                <w:rFonts w:hint="eastAsia" w:ascii="仿宋_GB2312" w:hAnsi="宋体" w:eastAsia="仿宋_GB2312"/>
                <w:sz w:val="21"/>
                <w:szCs w:val="21"/>
              </w:rPr>
            </w:pPr>
            <w:r>
              <w:rPr>
                <w:rFonts w:hint="eastAsia" w:ascii="仿宋_GB2312" w:hAnsi="宋体" w:eastAsia="仿宋_GB2312"/>
                <w:sz w:val="21"/>
                <w:szCs w:val="21"/>
              </w:rPr>
              <w:t>由经办部门提交坏账损失核销申请上校长办公会及党委会进行审议</w:t>
            </w:r>
          </w:p>
        </w:tc>
        <w:tc>
          <w:tcPr>
            <w:tcW w:w="2410" w:type="dxa"/>
            <w:shd w:val="clear" w:color="auto" w:fill="auto"/>
            <w:noWrap w:val="0"/>
            <w:vAlign w:val="top"/>
          </w:tcPr>
          <w:p>
            <w:pPr>
              <w:pageBreakBefore w:val="0"/>
              <w:kinsoku/>
              <w:wordWrap/>
              <w:overflowPunct/>
              <w:topLinePunct w:val="0"/>
              <w:autoSpaceDE/>
              <w:autoSpaceDN/>
              <w:bidi w:val="0"/>
              <w:spacing w:line="3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会议纪要</w:t>
            </w:r>
            <w:bookmarkStart w:id="1143" w:name="_Toc18751_WPSOffice_Level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2" w:hRule="atLeast"/>
          <w:jc w:val="center"/>
        </w:trPr>
        <w:tc>
          <w:tcPr>
            <w:tcW w:w="1557" w:type="dxa"/>
            <w:vMerge w:val="continue"/>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hAnsi="仿宋" w:eastAsia="仿宋_GB2312"/>
                <w:sz w:val="21"/>
                <w:szCs w:val="21"/>
              </w:rPr>
            </w:pPr>
          </w:p>
        </w:tc>
        <w:tc>
          <w:tcPr>
            <w:tcW w:w="1103"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会</w:t>
            </w:r>
            <w:bookmarkEnd w:id="1143"/>
            <w:r>
              <w:rPr>
                <w:rFonts w:hint="eastAsia" w:ascii="仿宋_GB2312" w:hAnsi="宋体" w:eastAsia="仿宋_GB2312"/>
                <w:sz w:val="21"/>
                <w:szCs w:val="21"/>
              </w:rPr>
              <w:t>计</w:t>
            </w:r>
          </w:p>
        </w:tc>
        <w:tc>
          <w:tcPr>
            <w:tcW w:w="1134"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财务处</w:t>
            </w:r>
          </w:p>
        </w:tc>
        <w:tc>
          <w:tcPr>
            <w:tcW w:w="2869" w:type="dxa"/>
            <w:shd w:val="clear" w:color="auto" w:fill="auto"/>
            <w:noWrap w:val="0"/>
            <w:vAlign w:val="center"/>
          </w:tcPr>
          <w:p>
            <w:pPr>
              <w:pageBreakBefore w:val="0"/>
              <w:kinsoku/>
              <w:wordWrap/>
              <w:overflowPunct/>
              <w:topLinePunct w:val="0"/>
              <w:autoSpaceDE/>
              <w:autoSpaceDN/>
              <w:bidi w:val="0"/>
              <w:spacing w:line="380" w:lineRule="exact"/>
              <w:outlineLvl w:val="9"/>
              <w:rPr>
                <w:rFonts w:hint="eastAsia" w:ascii="仿宋_GB2312" w:hAnsi="宋体" w:eastAsia="仿宋_GB2312"/>
                <w:sz w:val="21"/>
                <w:szCs w:val="21"/>
              </w:rPr>
            </w:pPr>
            <w:r>
              <w:rPr>
                <w:rFonts w:hint="eastAsia" w:ascii="仿宋_GB2312" w:hAnsi="宋体" w:eastAsia="仿宋_GB2312"/>
                <w:sz w:val="21"/>
                <w:szCs w:val="21"/>
              </w:rPr>
              <w:t>汇总核销资料，上报市教育局和财政局审批</w:t>
            </w:r>
          </w:p>
        </w:tc>
        <w:tc>
          <w:tcPr>
            <w:tcW w:w="2410" w:type="dxa"/>
            <w:shd w:val="clear" w:color="auto" w:fill="auto"/>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收集核销资料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jc w:val="center"/>
        </w:trPr>
        <w:tc>
          <w:tcPr>
            <w:tcW w:w="1557" w:type="dxa"/>
            <w:vMerge w:val="continue"/>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hAnsi="仿宋" w:eastAsia="仿宋_GB2312"/>
                <w:sz w:val="21"/>
                <w:szCs w:val="21"/>
              </w:rPr>
            </w:pPr>
          </w:p>
        </w:tc>
        <w:tc>
          <w:tcPr>
            <w:tcW w:w="1103"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会计</w:t>
            </w:r>
          </w:p>
        </w:tc>
        <w:tc>
          <w:tcPr>
            <w:tcW w:w="1134"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财务处</w:t>
            </w:r>
          </w:p>
        </w:tc>
        <w:tc>
          <w:tcPr>
            <w:tcW w:w="2869" w:type="dxa"/>
            <w:shd w:val="clear" w:color="auto" w:fill="auto"/>
            <w:noWrap w:val="0"/>
            <w:vAlign w:val="center"/>
          </w:tcPr>
          <w:p>
            <w:pPr>
              <w:pageBreakBefore w:val="0"/>
              <w:kinsoku/>
              <w:wordWrap/>
              <w:overflowPunct/>
              <w:topLinePunct w:val="0"/>
              <w:autoSpaceDE/>
              <w:autoSpaceDN/>
              <w:bidi w:val="0"/>
              <w:spacing w:line="380" w:lineRule="exact"/>
              <w:outlineLvl w:val="9"/>
              <w:rPr>
                <w:rFonts w:hint="eastAsia" w:ascii="仿宋_GB2312" w:hAnsi="宋体" w:eastAsia="仿宋_GB2312"/>
                <w:sz w:val="21"/>
                <w:szCs w:val="21"/>
              </w:rPr>
            </w:pPr>
            <w:r>
              <w:rPr>
                <w:rFonts w:hint="eastAsia" w:ascii="仿宋_GB2312" w:hAnsi="宋体" w:eastAsia="仿宋_GB2312"/>
                <w:sz w:val="21"/>
                <w:szCs w:val="21"/>
              </w:rPr>
              <w:t>根据上级部门同意核销的批复，做坏账损失核销账务处理</w:t>
            </w:r>
          </w:p>
        </w:tc>
        <w:tc>
          <w:tcPr>
            <w:tcW w:w="2410" w:type="dxa"/>
            <w:shd w:val="clear" w:color="auto" w:fill="auto"/>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上级部门批复文件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jc w:val="center"/>
        </w:trPr>
        <w:tc>
          <w:tcPr>
            <w:tcW w:w="1557" w:type="dxa"/>
            <w:vMerge w:val="continue"/>
            <w:shd w:val="clear" w:color="auto" w:fill="auto"/>
            <w:noWrap w:val="0"/>
            <w:vAlign w:val="center"/>
          </w:tcPr>
          <w:p>
            <w:pPr>
              <w:pageBreakBefore w:val="0"/>
              <w:kinsoku/>
              <w:wordWrap/>
              <w:overflowPunct/>
              <w:topLinePunct w:val="0"/>
              <w:autoSpaceDE/>
              <w:autoSpaceDN/>
              <w:bidi w:val="0"/>
              <w:jc w:val="center"/>
              <w:outlineLvl w:val="9"/>
              <w:rPr>
                <w:rFonts w:hint="eastAsia" w:ascii="仿宋_GB2312" w:hAnsi="仿宋" w:eastAsia="仿宋_GB2312"/>
                <w:sz w:val="21"/>
                <w:szCs w:val="21"/>
              </w:rPr>
            </w:pPr>
          </w:p>
        </w:tc>
        <w:tc>
          <w:tcPr>
            <w:tcW w:w="1103"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会计</w:t>
            </w:r>
          </w:p>
        </w:tc>
        <w:tc>
          <w:tcPr>
            <w:tcW w:w="1134" w:type="dxa"/>
            <w:shd w:val="clear" w:color="auto" w:fill="auto"/>
            <w:noWrap w:val="0"/>
            <w:vAlign w:val="center"/>
          </w:tcPr>
          <w:p>
            <w:pPr>
              <w:pageBreakBefore w:val="0"/>
              <w:kinsoku/>
              <w:wordWrap/>
              <w:overflowPunct/>
              <w:topLinePunct w:val="0"/>
              <w:autoSpaceDE/>
              <w:autoSpaceDN/>
              <w:bidi w:val="0"/>
              <w:spacing w:line="44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财务处</w:t>
            </w:r>
          </w:p>
        </w:tc>
        <w:tc>
          <w:tcPr>
            <w:tcW w:w="2869" w:type="dxa"/>
            <w:shd w:val="clear" w:color="auto" w:fill="auto"/>
            <w:noWrap w:val="0"/>
            <w:vAlign w:val="center"/>
          </w:tcPr>
          <w:p>
            <w:pPr>
              <w:pageBreakBefore w:val="0"/>
              <w:kinsoku/>
              <w:wordWrap/>
              <w:overflowPunct/>
              <w:topLinePunct w:val="0"/>
              <w:autoSpaceDE/>
              <w:autoSpaceDN/>
              <w:bidi w:val="0"/>
              <w:spacing w:line="380" w:lineRule="exact"/>
              <w:outlineLvl w:val="9"/>
              <w:rPr>
                <w:rFonts w:hint="eastAsia" w:ascii="仿宋_GB2312" w:hAnsi="宋体" w:eastAsia="仿宋_GB2312"/>
                <w:sz w:val="21"/>
                <w:szCs w:val="21"/>
              </w:rPr>
            </w:pPr>
            <w:r>
              <w:rPr>
                <w:rFonts w:hint="eastAsia" w:ascii="仿宋_GB2312" w:hAnsi="宋体" w:eastAsia="仿宋_GB2312"/>
                <w:sz w:val="21"/>
                <w:szCs w:val="21"/>
              </w:rPr>
              <w:t>将坏账损失核销的相关资料，归档管理</w:t>
            </w:r>
          </w:p>
        </w:tc>
        <w:tc>
          <w:tcPr>
            <w:tcW w:w="2410" w:type="dxa"/>
            <w:shd w:val="clear" w:color="auto" w:fill="auto"/>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宋体" w:eastAsia="仿宋_GB2312"/>
                <w:color w:val="FF0000"/>
                <w:sz w:val="21"/>
                <w:szCs w:val="21"/>
              </w:rPr>
            </w:pPr>
            <w:r>
              <w:rPr>
                <w:rFonts w:hint="eastAsia" w:ascii="仿宋_GB2312" w:hAnsi="宋体" w:eastAsia="仿宋_GB2312"/>
                <w:sz w:val="21"/>
                <w:szCs w:val="21"/>
              </w:rPr>
              <w:t>《柳州职业技术学院会计档案管理办法》柳职院字（2018）18号</w:t>
            </w:r>
          </w:p>
        </w:tc>
      </w:tr>
    </w:tbl>
    <w:p>
      <w:pPr>
        <w:pageBreakBefore w:val="0"/>
        <w:numPr>
          <w:ilvl w:val="0"/>
          <w:numId w:val="0"/>
        </w:numPr>
        <w:kinsoku/>
        <w:wordWrap/>
        <w:overflowPunct/>
        <w:topLinePunct w:val="0"/>
        <w:autoSpaceDE/>
        <w:autoSpaceDN/>
        <w:bidi w:val="0"/>
        <w:outlineLvl w:val="9"/>
        <w:rPr>
          <w:rFonts w:hint="default" w:ascii="仿宋_GB2312" w:hAnsi="仿宋_GB2312" w:eastAsia="仿宋_GB2312" w:cs="仿宋_GB2312"/>
          <w:color w:val="000000"/>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pageBreakBefore w:val="0"/>
        <w:kinsoku/>
        <w:wordWrap/>
        <w:overflowPunct/>
        <w:topLinePunct w:val="0"/>
        <w:autoSpaceDE/>
        <w:autoSpaceDN/>
        <w:bidi w:val="0"/>
        <w:outlineLvl w:val="9"/>
        <w:rPr>
          <w:rFonts w:hint="eastAsia"/>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144" w:name="_Toc31188_WPSOffice_Level1"/>
      <w:bookmarkStart w:id="1145" w:name="_Toc29881"/>
      <w:bookmarkStart w:id="1146" w:name="_Toc15451"/>
      <w:bookmarkStart w:id="1147" w:name="_Toc13490"/>
      <w:r>
        <w:rPr>
          <w:rFonts w:hint="eastAsia"/>
          <w:b/>
          <w:color w:val="000000"/>
          <w:sz w:val="36"/>
          <w:szCs w:val="36"/>
        </w:rPr>
        <w:t>柳州职业技术学院“双高”建设项目经费管理实施细则（试行）</w:t>
      </w:r>
      <w:bookmarkEnd w:id="1144"/>
      <w:bookmarkEnd w:id="1145"/>
      <w:bookmarkEnd w:id="1146"/>
      <w:bookmarkEnd w:id="1147"/>
    </w:p>
    <w:p>
      <w:pPr>
        <w:pageBreakBefore w:val="0"/>
        <w:widowControl/>
        <w:kinsoku/>
        <w:wordWrap/>
        <w:overflowPunct/>
        <w:topLinePunct w:val="0"/>
        <w:autoSpaceDE/>
        <w:autoSpaceDN/>
        <w:bidi w:val="0"/>
        <w:jc w:val="center"/>
        <w:outlineLvl w:val="9"/>
        <w:rPr>
          <w:rFonts w:hint="eastAsia" w:ascii="仿宋_GB2312" w:eastAsia="仿宋_GB2312"/>
          <w:sz w:val="32"/>
          <w:szCs w:val="32"/>
        </w:rPr>
      </w:pPr>
      <w:r>
        <w:rPr>
          <w:rFonts w:hint="eastAsia" w:ascii="仿宋_GB2312" w:eastAsia="仿宋_GB2312"/>
          <w:sz w:val="32"/>
          <w:szCs w:val="32"/>
        </w:rPr>
        <w:t xml:space="preserve"> (柳职院字〔2021〕26号)</w:t>
      </w:r>
    </w:p>
    <w:p>
      <w:pPr>
        <w:pageBreakBefore w:val="0"/>
        <w:kinsoku/>
        <w:wordWrap/>
        <w:overflowPunct/>
        <w:topLinePunct w:val="0"/>
        <w:autoSpaceDE/>
        <w:autoSpaceDN/>
        <w:bidi w:val="0"/>
        <w:spacing w:line="460" w:lineRule="exact"/>
        <w:ind w:firstLine="480"/>
        <w:outlineLvl w:val="9"/>
        <w:rPr>
          <w:rFonts w:hint="eastAsia" w:ascii="仿宋" w:hAnsi="仿宋" w:eastAsia="仿宋" w:cs="仿宋"/>
          <w:sz w:val="30"/>
          <w:szCs w:val="30"/>
        </w:rPr>
      </w:pPr>
    </w:p>
    <w:p>
      <w:pPr>
        <w:pageBreakBefore w:val="0"/>
        <w:kinsoku/>
        <w:wordWrap/>
        <w:overflowPunct/>
        <w:topLinePunct w:val="0"/>
        <w:autoSpaceDE/>
        <w:autoSpaceDN/>
        <w:bidi w:val="0"/>
        <w:spacing w:line="460" w:lineRule="exact"/>
        <w:jc w:val="center"/>
        <w:outlineLvl w:val="9"/>
        <w:rPr>
          <w:rFonts w:hint="eastAsia" w:ascii="黑体" w:hAnsi="黑体" w:eastAsia="黑体" w:cs="黑体"/>
          <w:sz w:val="30"/>
          <w:szCs w:val="30"/>
        </w:rPr>
      </w:pPr>
      <w:bookmarkStart w:id="1148" w:name="_Toc4321_WPSOffice_Level1"/>
      <w:r>
        <w:rPr>
          <w:rFonts w:hint="eastAsia" w:ascii="黑体" w:hAnsi="黑体" w:eastAsia="黑体"/>
          <w:b/>
          <w:sz w:val="32"/>
          <w:szCs w:val="32"/>
        </w:rPr>
        <w:t>第一章  总  则</w:t>
      </w:r>
      <w:bookmarkEnd w:id="1148"/>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第一条  </w:t>
      </w:r>
      <w:r>
        <w:rPr>
          <w:rFonts w:hint="eastAsia" w:ascii="仿宋_GB2312" w:eastAsia="仿宋_GB2312"/>
          <w:sz w:val="32"/>
          <w:szCs w:val="32"/>
        </w:rPr>
        <w:t>为加强学校高水平高职学校和高水平特色专业群项目（以下简称“双高”建设项目）专项资金的管理，明确资金使用程序，保证项目顺利实施，提高项目资金使用效益，根据《关于成立学校“双高”建设工作机构的通知》、《关于实施双高项目建设责任制的通知》《柳州职业技术学院“双高”建设项目管理办法（试行）》《柳州职业技术学院项目资金管理暂行办法》《柳州职业技术学院预决算管理办法》《柳州职业技术学院财务审批制度（修订）》，结合我校实际，制定本细则。</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第二条  </w:t>
      </w:r>
      <w:r>
        <w:rPr>
          <w:rFonts w:hint="eastAsia" w:ascii="仿宋_GB2312" w:eastAsia="仿宋_GB2312"/>
          <w:sz w:val="32"/>
          <w:szCs w:val="32"/>
        </w:rPr>
        <w:t>“双高”建设项目是指学校通过上级主管部门备案的高水平高职学校和高水平专业建设计划任务书涵盖的建设项目。具体建设内容包括：加强党的建设、打造技术技能人才培养高地、打造技术技能创新服务平台、打造高水平师资队伍建设、提升校企合作水平、提升服务发展水平、提升学校治理水平、提升信息化水平、提升国际化水平、学校文化建设、育人服务体系建设、机电设备维修与管理专业群建设、工程机械运用技术专业群建设。</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第三条  </w:t>
      </w:r>
      <w:r>
        <w:rPr>
          <w:rFonts w:hint="eastAsia" w:ascii="仿宋_GB2312" w:eastAsia="仿宋_GB2312"/>
          <w:sz w:val="32"/>
          <w:szCs w:val="32"/>
        </w:rPr>
        <w:t>本细则所指“双高”建设项目的资金，包括中央、自治区、市本级财政补助、行业企业及学校自筹专项资金。</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第四条 </w:t>
      </w:r>
      <w:r>
        <w:rPr>
          <w:rFonts w:hint="eastAsia" w:ascii="仿宋_GB2312" w:eastAsia="仿宋_GB2312"/>
          <w:sz w:val="32"/>
          <w:szCs w:val="32"/>
        </w:rPr>
        <w:t xml:space="preserve"> “双高”建设项目资金管理由“双高”建设工作领导小组负总责，“双高”建设办公室负责计划制定、任务及经费分配、统筹双高项目经费的调整、项目执行的监督；归口管理部门负责督促项目推动，对项目牵头实施部门提出经费调整申请进行审核；项目牵头实施部门负责项目预算编制、经费使用、提出项目经费调整申请，推动项目进展；财务部门负责落实项目经费纳入年度预算、经费下达及使用监督，提供项目预算执行情况；内部审计室负责审计资金投入和使用情况。</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第五条  </w:t>
      </w:r>
      <w:r>
        <w:rPr>
          <w:rFonts w:hint="eastAsia" w:ascii="仿宋_GB2312" w:eastAsia="仿宋_GB2312"/>
          <w:sz w:val="32"/>
          <w:szCs w:val="32"/>
        </w:rPr>
        <w:t>实行“双高”项目建设责任制。按照“校领导挂牌督战-归口管理部门统筹开展-项目牵头实施部门组织推进-项目负责人执行实施”的整体要求和职责分工，协同推进项目建设。</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460" w:lineRule="exact"/>
        <w:jc w:val="center"/>
        <w:outlineLvl w:val="9"/>
        <w:rPr>
          <w:rFonts w:hint="eastAsia" w:ascii="黑体" w:hAnsi="黑体" w:eastAsia="黑体"/>
          <w:b/>
          <w:sz w:val="32"/>
          <w:szCs w:val="32"/>
        </w:rPr>
      </w:pPr>
      <w:bookmarkStart w:id="1149" w:name="_Toc30874_WPSOffice_Level1"/>
      <w:r>
        <w:rPr>
          <w:rFonts w:hint="eastAsia" w:ascii="黑体" w:hAnsi="黑体" w:eastAsia="黑体"/>
          <w:b/>
          <w:sz w:val="32"/>
          <w:szCs w:val="32"/>
        </w:rPr>
        <w:t>第二章  资金编制及使用原则</w:t>
      </w:r>
      <w:bookmarkEnd w:id="1149"/>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第六条  </w:t>
      </w:r>
      <w:r>
        <w:rPr>
          <w:rFonts w:hint="eastAsia" w:ascii="仿宋_GB2312" w:eastAsia="仿宋_GB2312"/>
          <w:sz w:val="32"/>
          <w:szCs w:val="32"/>
        </w:rPr>
        <w:t>预算编制及下达。“双高”建设办公室会同财务处组织编制“双高”项目经费的年度预算分配方案，由“双高”建设办公室提交校务会审议。经校务会审议后的学校年度预算，由财务处将双预算下达到各项目实施部门。预算安排限制性条款如下：</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1.中央财政资金分配给高水平专业群的，主要用于本专业群建设，集中财力搞好专业建设，防止“撒胡椒面”；</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2.严禁用于平衡预算、严禁将专项资金用于偿还债务、支付利息、对外投资、弥补其他项目资金缺口等；</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3.不得从专项资金中提取工作经费或管理经费，不得用于接待费用、校内人员经费；</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4.不得挤占、挪用、虚列、套取；</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5.严禁豪华和超标准修缮维护与改扩建；</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6.不得用于在发改委立项的建设项目。</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第七条 </w:t>
      </w:r>
      <w:r>
        <w:rPr>
          <w:rFonts w:hint="eastAsia" w:ascii="仿宋_GB2312" w:eastAsia="仿宋_GB2312"/>
          <w:sz w:val="32"/>
          <w:szCs w:val="32"/>
        </w:rPr>
        <w:t xml:space="preserve"> 专款专用原则。“双高”建设项目资金须严格按照国家“双高”计划建设方案及任务书内容执行，项目负责部门不得截留、挤占和挪用项目资金。</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第八条  </w:t>
      </w:r>
      <w:r>
        <w:rPr>
          <w:rFonts w:hint="eastAsia" w:ascii="仿宋_GB2312" w:eastAsia="仿宋_GB2312"/>
          <w:sz w:val="32"/>
          <w:szCs w:val="32"/>
        </w:rPr>
        <w:t>项目资金分项管理原则。“双高”建设项目资金实行项目管理，须按项目分项列支各类经费。</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第九条  </w:t>
      </w:r>
      <w:r>
        <w:rPr>
          <w:rFonts w:hint="eastAsia" w:ascii="仿宋_GB2312" w:eastAsia="仿宋_GB2312"/>
          <w:sz w:val="32"/>
          <w:szCs w:val="32"/>
        </w:rPr>
        <w:t>按项目核算原则。财务部门根据国家和自治区“双高”计</w:t>
      </w:r>
      <w:bookmarkStart w:id="1150" w:name="_Toc30734_WPSOffice_Level1"/>
      <w:r>
        <w:rPr>
          <w:rFonts w:hint="eastAsia" w:ascii="仿宋_GB2312" w:eastAsia="仿宋_GB2312"/>
          <w:sz w:val="32"/>
          <w:szCs w:val="32"/>
        </w:rPr>
        <w:t>划建设方案及任务书”内容按项目进行核算，并依法</w:t>
      </w:r>
      <w:bookmarkEnd w:id="1150"/>
      <w:r>
        <w:rPr>
          <w:rFonts w:hint="eastAsia" w:ascii="仿宋_GB2312" w:eastAsia="仿宋_GB2312"/>
          <w:sz w:val="32"/>
          <w:szCs w:val="32"/>
        </w:rPr>
        <w:t>依规监督。</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460" w:lineRule="exact"/>
        <w:jc w:val="center"/>
        <w:outlineLvl w:val="9"/>
        <w:rPr>
          <w:rFonts w:hint="eastAsia" w:ascii="黑体" w:hAnsi="黑体" w:eastAsia="黑体"/>
          <w:b/>
          <w:sz w:val="32"/>
          <w:szCs w:val="32"/>
        </w:rPr>
      </w:pPr>
      <w:bookmarkStart w:id="1151" w:name="_Toc18370_WPSOffice_Level1"/>
      <w:r>
        <w:rPr>
          <w:rFonts w:hint="eastAsia" w:ascii="黑体" w:hAnsi="黑体" w:eastAsia="黑体"/>
          <w:b/>
          <w:sz w:val="32"/>
          <w:szCs w:val="32"/>
        </w:rPr>
        <w:t>第三章  资金执行</w:t>
      </w:r>
      <w:bookmarkEnd w:id="1151"/>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经费支出按照学校财务审批办法执行。</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第十一条 </w:t>
      </w:r>
      <w:r>
        <w:rPr>
          <w:rFonts w:hint="eastAsia" w:ascii="仿宋_GB2312" w:eastAsia="仿宋_GB2312"/>
          <w:sz w:val="32"/>
          <w:szCs w:val="32"/>
        </w:rPr>
        <w:t xml:space="preserve"> 项目资金的使用必须符合国家有关财政法规、财经政策和学校有关规定。凡纳入政府采购的支出项目，必须按照《中华人民共和国政府采购法》、学校《政府采购管理办法》的有关规定执行。</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项目资金预算一经批准下达，必须严格执行。年度收到上级“双高”专项补助资金，由财务处根据预算文件精神，凡是指定到明确项目的，由财务处直接书面下达预算给项目实施部门，没有指定项目的由学校二次分配的，由财务处书面通知给“双高”办公室，由其根据文件要求结合双高建设进度，从纳入年度预算的项目中遴选出具体实施项目提交给财务处，再由财务处下达预算，以确保专项资金年度预算按上级部门要求完成。</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第十三条  </w:t>
      </w:r>
      <w:r>
        <w:rPr>
          <w:rFonts w:hint="eastAsia" w:ascii="仿宋_GB2312" w:eastAsia="仿宋_GB2312"/>
          <w:sz w:val="32"/>
          <w:szCs w:val="32"/>
        </w:rPr>
        <w:t>预算调整。预算一经下达原则上不予调整，如特殊情况需调整项目经费的，必须按照“项目牵头实施部门提出申请→归口管理部门审核→分管校领导审核→“双高”建设办公室审核→财务处审核”程序进行。</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调整10万元以下的，由总会计师审批；调整10以上（含）-20万元以下的由校长审批；调整20万元以上的（含），由“双高”办公室提交校务会审议，会议纪要作为财务处项目预算调整的依据。需上报上级主管部门审批或备案的调整事项，由“双高”建设办按规定上报。</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 </w:t>
      </w:r>
    </w:p>
    <w:p>
      <w:pPr>
        <w:pageBreakBefore w:val="0"/>
        <w:kinsoku/>
        <w:wordWrap/>
        <w:overflowPunct/>
        <w:topLinePunct w:val="0"/>
        <w:autoSpaceDE/>
        <w:autoSpaceDN/>
        <w:bidi w:val="0"/>
        <w:spacing w:line="460" w:lineRule="exact"/>
        <w:jc w:val="center"/>
        <w:outlineLvl w:val="9"/>
        <w:rPr>
          <w:rFonts w:hint="eastAsia" w:ascii="黑体" w:hAnsi="黑体" w:eastAsia="黑体"/>
          <w:b/>
          <w:sz w:val="32"/>
          <w:szCs w:val="32"/>
        </w:rPr>
      </w:pPr>
      <w:bookmarkStart w:id="1152" w:name="_Toc24701_WPSOffice_Level1"/>
      <w:r>
        <w:rPr>
          <w:rFonts w:hint="eastAsia" w:ascii="黑体" w:hAnsi="黑体" w:eastAsia="黑体"/>
          <w:b/>
          <w:sz w:val="32"/>
          <w:szCs w:val="32"/>
        </w:rPr>
        <w:t>第四章  资金使用监督</w:t>
      </w:r>
      <w:bookmarkEnd w:id="1152"/>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“双高”建设工作领导小组根据有关规定对各项目建设部门的资金使用等情况进行监督检查，如发现有截留、挤占、挪用专项资金等行为，将追究有关部门和责任人的责任。</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各项目牵头实施部门要按批准的预算，审批安排项目支出，对所承担项目资金使用的完整性、有效性负责。</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第十六条  </w:t>
      </w:r>
      <w:r>
        <w:rPr>
          <w:rFonts w:hint="eastAsia" w:ascii="仿宋_GB2312" w:eastAsia="仿宋_GB2312"/>
          <w:sz w:val="32"/>
          <w:szCs w:val="32"/>
        </w:rPr>
        <w:t>各项目牵头实施部门、归口管理部门应保证专项资金的专款专用和合理使用，对所承担项目资金使用真实性、合法性负责。</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学校纪检、审计部门依照有关法规和政策，对专项资金的使用效益进行内部审计监督，同时，接受上级主管部门、财政、教育、审计等有关部门的监督和检查，发现问题，及时纠正。</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学校财务部门加强财务管理工作，根据“双高”建设项目资金执行进度，做好督促和信息反馈工作，及时、准确、全面披露会计信息。资产管理部门依照学校《政府采购管理办法》、《固定资产管理办法》对专项资金中资本性支出依法依规进行政府采购，对形成的固定资产、无形资产办理验收、登记等手续，纳入学校资产统一管理。</w:t>
      </w:r>
    </w:p>
    <w:p>
      <w:pPr>
        <w:pageBreakBefore w:val="0"/>
        <w:kinsoku/>
        <w:wordWrap/>
        <w:overflowPunct/>
        <w:topLinePunct w:val="0"/>
        <w:autoSpaceDE/>
        <w:autoSpaceDN/>
        <w:bidi w:val="0"/>
        <w:spacing w:line="580"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460" w:lineRule="exact"/>
        <w:jc w:val="center"/>
        <w:outlineLvl w:val="9"/>
        <w:rPr>
          <w:rFonts w:hint="eastAsia" w:ascii="黑体" w:hAnsi="黑体" w:eastAsia="黑体"/>
          <w:b/>
          <w:sz w:val="32"/>
          <w:szCs w:val="32"/>
        </w:rPr>
      </w:pPr>
      <w:bookmarkStart w:id="1153" w:name="_Toc28242_WPSOffice_Level1"/>
      <w:r>
        <w:rPr>
          <w:rFonts w:hint="eastAsia" w:ascii="黑体" w:hAnsi="黑体" w:eastAsia="黑体"/>
          <w:b/>
          <w:sz w:val="32"/>
          <w:szCs w:val="32"/>
        </w:rPr>
        <w:t>第五章  附则</w:t>
      </w:r>
      <w:bookmarkEnd w:id="1153"/>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第十九条</w:t>
      </w:r>
      <w:r>
        <w:rPr>
          <w:rFonts w:hint="eastAsia" w:ascii="仿宋_GB2312" w:eastAsia="仿宋_GB2312"/>
          <w:sz w:val="32"/>
          <w:szCs w:val="32"/>
        </w:rPr>
        <w:t xml:space="preserve">  本实施细则如有与上级相关文件相抵触的，以上级文件为准。</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第二十条 </w:t>
      </w:r>
      <w:r>
        <w:rPr>
          <w:rFonts w:hint="eastAsia" w:ascii="仿宋_GB2312" w:eastAsia="仿宋_GB2312"/>
          <w:sz w:val="32"/>
          <w:szCs w:val="32"/>
        </w:rPr>
        <w:t xml:space="preserve"> 本实施细则由财务处负责解释。</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本实施细则自颁布之日起施行。</w:t>
      </w:r>
    </w:p>
    <w:p>
      <w:pPr>
        <w:pageBreakBefore w:val="0"/>
        <w:widowControl/>
        <w:kinsoku/>
        <w:wordWrap/>
        <w:overflowPunct/>
        <w:topLinePunct w:val="0"/>
        <w:autoSpaceDE/>
        <w:autoSpaceDN/>
        <w:bidi w:val="0"/>
        <w:jc w:val="center"/>
        <w:outlineLvl w:val="9"/>
        <w:rPr>
          <w:rFonts w:hint="eastAsia" w:ascii="仿宋_GB2312" w:eastAsia="仿宋_GB2312"/>
          <w:sz w:val="32"/>
          <w:szCs w:val="32"/>
        </w:rPr>
      </w:pPr>
    </w:p>
    <w:p>
      <w:pPr>
        <w:pageBreakBefore w:val="0"/>
        <w:numPr>
          <w:ilvl w:val="0"/>
          <w:numId w:val="0"/>
        </w:numPr>
        <w:kinsoku/>
        <w:wordWrap/>
        <w:overflowPunct/>
        <w:topLinePunct w:val="0"/>
        <w:autoSpaceDE/>
        <w:autoSpaceDN/>
        <w:bidi w:val="0"/>
        <w:outlineLvl w:val="9"/>
        <w:rPr>
          <w:rFonts w:hint="default" w:ascii="仿宋_GB2312" w:hAnsi="仿宋_GB2312" w:eastAsia="仿宋_GB2312" w:cs="仿宋_GB2312"/>
          <w:color w:val="000000"/>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154" w:name="_Toc4964"/>
      <w:bookmarkStart w:id="1155" w:name="_Toc27724_WPSOffice_Level1"/>
      <w:r>
        <w:rPr>
          <w:rFonts w:hint="eastAsia"/>
          <w:b/>
          <w:color w:val="000000"/>
          <w:sz w:val="36"/>
          <w:szCs w:val="36"/>
        </w:rPr>
        <w:t>柳州职业技术学院社会服务项目劳务费管理办法（试行）</w:t>
      </w:r>
      <w:bookmarkEnd w:id="1154"/>
      <w:bookmarkEnd w:id="1155"/>
    </w:p>
    <w:p>
      <w:pPr>
        <w:pageBreakBefore w:val="0"/>
        <w:widowControl/>
        <w:kinsoku/>
        <w:wordWrap/>
        <w:overflowPunct/>
        <w:topLinePunct w:val="0"/>
        <w:autoSpaceDE/>
        <w:autoSpaceDN/>
        <w:bidi w:val="0"/>
        <w:jc w:val="center"/>
        <w:outlineLvl w:val="9"/>
        <w:rPr>
          <w:rFonts w:hint="eastAsia" w:ascii="仿宋_GB2312" w:eastAsia="仿宋_GB2312"/>
          <w:sz w:val="32"/>
          <w:szCs w:val="32"/>
        </w:rPr>
      </w:pPr>
      <w:r>
        <w:rPr>
          <w:rFonts w:hint="eastAsia" w:ascii="仿宋_GB2312" w:eastAsia="仿宋_GB2312"/>
          <w:sz w:val="32"/>
          <w:szCs w:val="32"/>
        </w:rPr>
        <w:t xml:space="preserve"> (柳职院字〔2021〕28号)</w:t>
      </w:r>
    </w:p>
    <w:p>
      <w:pPr>
        <w:pageBreakBefore w:val="0"/>
        <w:kinsoku/>
        <w:wordWrap/>
        <w:overflowPunct/>
        <w:topLinePunct w:val="0"/>
        <w:autoSpaceDE/>
        <w:autoSpaceDN/>
        <w:bidi w:val="0"/>
        <w:jc w:val="center"/>
        <w:outlineLvl w:val="9"/>
        <w:rPr>
          <w:sz w:val="32"/>
          <w:szCs w:val="32"/>
        </w:rPr>
      </w:pP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规范培训、考试、非全日制学历教育等社会服务项目劳务费支出管理，维护教师、工作人员劳动权益，根据柳州市、自治区有关人事、教育考试、培训劳务费管理办法等有关文件规定，并结合学校实际，特制定如下管理办法。</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本办法所指社会服务项目包括非学历教育培训、考试以及非全日制学历教育。非学历教育培训是指承担学校面向行业、企业、社会在校学生等开展有偿性的非学历教育短期培训服务，包括但不限于技术技能或职业能力培训、就业创业培训、继续教育培训、普通话培训等各类培训服务；考试是指利用学校资源承担社会、政府部门、行业企业等人员和在校学生开展有偿性的各类水平性、选拔性考试服务，包括但不限于职业技能或职业能力考试考评、创业能力考试、人事选拔考试、学历或学业考试、教师资格考试、技能竞赛考评、普通话水平测试；非全日制学历教育是指成人教育和专本衔接学历教育。</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本办法适用于学校职能教辅部门及二级学院承担上述有偿性培训业务和有偿性考试业务期间，根据工作需要，参加培训或、考试业务、非全日制学历教育的组织策划、组织管理、计划或方案制订、教学实施、教学管理、考务、巡视等的各类工作人员，使用学校纳入社会服务短期培训经费收入、考试项目专项经费非全日制学历教育经费收入向上述工作人员支付的劳动报酬。</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劳务费报酬的支付坚持依法合规、从严控制、按项目支付的原则，并严格按照学校财务制度的有关规定执行。</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劳务费的支出标准按照“分类核定、按劳取酬”的原则，综合考虑技术含量、任务要求、岗位责任、工作时间等因素合理核定。各类项目劳务费发放标准如下：</w:t>
      </w:r>
    </w:p>
    <w:tbl>
      <w:tblPr>
        <w:tblStyle w:val="14"/>
        <w:tblW w:w="9626" w:type="dxa"/>
        <w:tblInd w:w="-224" w:type="dxa"/>
        <w:tblLayout w:type="fixed"/>
        <w:tblCellMar>
          <w:top w:w="0" w:type="dxa"/>
          <w:left w:w="108" w:type="dxa"/>
          <w:bottom w:w="0" w:type="dxa"/>
          <w:right w:w="108" w:type="dxa"/>
        </w:tblCellMar>
      </w:tblPr>
      <w:tblGrid>
        <w:gridCol w:w="465"/>
        <w:gridCol w:w="1211"/>
        <w:gridCol w:w="3690"/>
        <w:gridCol w:w="1635"/>
        <w:gridCol w:w="2625"/>
      </w:tblGrid>
      <w:tr>
        <w:tblPrEx>
          <w:tblLayout w:type="fixed"/>
          <w:tblCellMar>
            <w:top w:w="0" w:type="dxa"/>
            <w:left w:w="108" w:type="dxa"/>
            <w:bottom w:w="0" w:type="dxa"/>
            <w:right w:w="108" w:type="dxa"/>
          </w:tblCellMar>
        </w:tblPrEx>
        <w:trPr>
          <w:trHeight w:val="375" w:hRule="atLeast"/>
        </w:trPr>
        <w:tc>
          <w:tcPr>
            <w:tcW w:w="9626" w:type="dxa"/>
            <w:gridSpan w:val="5"/>
            <w:tcBorders>
              <w:top w:val="nil"/>
              <w:left w:val="nil"/>
              <w:bottom w:val="nil"/>
              <w:right w:val="nil"/>
            </w:tcBorders>
            <w:noWrap/>
            <w:vAlign w:val="center"/>
          </w:tcPr>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（一）培训项目劳务费标准（校外人员按税后执行，校内人员按税前执行）</w:t>
            </w:r>
          </w:p>
          <w:p>
            <w:pPr>
              <w:pageBreakBefore w:val="0"/>
              <w:widowControl/>
              <w:kinsoku/>
              <w:wordWrap/>
              <w:overflowPunct/>
              <w:topLinePunct w:val="0"/>
              <w:autoSpaceDE/>
              <w:autoSpaceDN/>
              <w:bidi w:val="0"/>
              <w:spacing w:line="420" w:lineRule="exact"/>
              <w:ind w:left="-659" w:leftChars="-314" w:firstLine="480" w:firstLineChars="150"/>
              <w:outlineLvl w:val="9"/>
              <w:rPr>
                <w:rFonts w:ascii="仿宋" w:hAnsi="仿宋" w:eastAsia="仿宋" w:cs="宋体"/>
                <w:kern w:val="0"/>
                <w:sz w:val="32"/>
                <w:szCs w:val="32"/>
              </w:rPr>
            </w:pPr>
          </w:p>
        </w:tc>
      </w:tr>
      <w:tr>
        <w:tblPrEx>
          <w:tblLayout w:type="fixed"/>
          <w:tblCellMar>
            <w:top w:w="0" w:type="dxa"/>
            <w:left w:w="108" w:type="dxa"/>
            <w:bottom w:w="0" w:type="dxa"/>
            <w:right w:w="108" w:type="dxa"/>
          </w:tblCellMar>
        </w:tblPrEx>
        <w:trPr>
          <w:trHeight w:val="90" w:hRule="atLeast"/>
        </w:trPr>
        <w:tc>
          <w:tcPr>
            <w:tcW w:w="465"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序号</w:t>
            </w:r>
          </w:p>
        </w:tc>
        <w:tc>
          <w:tcPr>
            <w:tcW w:w="121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项目名称</w:t>
            </w:r>
          </w:p>
        </w:tc>
        <w:tc>
          <w:tcPr>
            <w:tcW w:w="3690"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发放标准</w:t>
            </w:r>
          </w:p>
        </w:tc>
        <w:tc>
          <w:tcPr>
            <w:tcW w:w="1635"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发放依据</w:t>
            </w:r>
          </w:p>
        </w:tc>
        <w:tc>
          <w:tcPr>
            <w:tcW w:w="2625"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备注</w:t>
            </w:r>
          </w:p>
        </w:tc>
      </w:tr>
      <w:tr>
        <w:tblPrEx>
          <w:tblLayout w:type="fixed"/>
          <w:tblCellMar>
            <w:top w:w="0" w:type="dxa"/>
            <w:left w:w="108" w:type="dxa"/>
            <w:bottom w:w="0" w:type="dxa"/>
            <w:right w:w="108" w:type="dxa"/>
          </w:tblCellMar>
        </w:tblPrEx>
        <w:trPr>
          <w:trHeight w:val="495" w:hRule="atLeast"/>
        </w:trPr>
        <w:tc>
          <w:tcPr>
            <w:tcW w:w="465"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1211"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任课教师（校内、校外）讲课费</w:t>
            </w:r>
          </w:p>
        </w:tc>
        <w:tc>
          <w:tcPr>
            <w:tcW w:w="3690"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（一）校外专家讲座费标准</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（1）科级干部或相当于科级职务：不高于300元/学时；</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（2）副高级技术职称专业人员及处级领导干部：不高于500元/学时；</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（3）正高级技术职称专业人员及局级领导干部：不高于1000元/学时；</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（4）院士、全国知名专家、部级领导干部：不高于1500元/学时。</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（5）企业专家等其它人员讲讲座费参照上述标准执行。</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（二）校内教师授课费</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（1）校内教师承担的讲座教学，按校外专家讲座费标准的50%以内发放；</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（2）课程教学的授课费标准不超过校内课酬标准的2倍发放。</w:t>
            </w:r>
          </w:p>
        </w:tc>
        <w:tc>
          <w:tcPr>
            <w:tcW w:w="1635"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1.《关于印发柳州市本级机关培训费管理办法的通知》（柳财行【2018】7号）；</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2.《学校教师工作量发放管理办法》</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2625"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（1）特殊项目可根据项目收入总额、成本及市场因素等，按市场价格协商议价或按合同、协议确定，议价必须有三人以上参与；</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（2）每半天按4个课时计算；</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（3）讲座教学是指除专题报告、专题讲座外的教学。</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（4）课程教学是指各种技术技能培训、非全日制学历教育的教学。</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（5）非全日制学历教育毕业论文指导费参照全日制学历教育标准。</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1800" w:hRule="atLeast"/>
        </w:trPr>
        <w:tc>
          <w:tcPr>
            <w:tcW w:w="465"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1211"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项目人员非工作日劳务费</w:t>
            </w:r>
          </w:p>
        </w:tc>
        <w:tc>
          <w:tcPr>
            <w:tcW w:w="3690"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不得超过统计部门公布的全区城镇非营利单位上年度在岗职工日平均工资标准的2倍。</w:t>
            </w:r>
          </w:p>
        </w:tc>
        <w:tc>
          <w:tcPr>
            <w:tcW w:w="1635"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2625"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项目人员涉及行政人员非工作日加班的优先安排补休，不能补休的方可计发劳务费。</w:t>
            </w:r>
          </w:p>
        </w:tc>
      </w:tr>
      <w:tr>
        <w:tblPrEx>
          <w:tblLayout w:type="fixed"/>
          <w:tblCellMar>
            <w:top w:w="0" w:type="dxa"/>
            <w:left w:w="108" w:type="dxa"/>
            <w:bottom w:w="0" w:type="dxa"/>
            <w:right w:w="108" w:type="dxa"/>
          </w:tblCellMar>
        </w:tblPrEx>
        <w:trPr>
          <w:trHeight w:val="1600" w:hRule="atLeast"/>
        </w:trPr>
        <w:tc>
          <w:tcPr>
            <w:tcW w:w="465"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121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班主任工作量</w:t>
            </w:r>
          </w:p>
        </w:tc>
        <w:tc>
          <w:tcPr>
            <w:tcW w:w="3690"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500元/班/周</w:t>
            </w:r>
          </w:p>
        </w:tc>
        <w:tc>
          <w:tcPr>
            <w:tcW w:w="1635"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2625"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以40人为一个标准班，不足40人按40人标准执行。超出40人的按超出部分的人数按5元/人/周计；培训每周按5个工作日计，不足5日的按一周，超过5日不足10日的按两周计，依次类推。</w:t>
            </w:r>
          </w:p>
        </w:tc>
      </w:tr>
      <w:tr>
        <w:tblPrEx>
          <w:tblLayout w:type="fixed"/>
          <w:tblCellMar>
            <w:top w:w="0" w:type="dxa"/>
            <w:left w:w="108" w:type="dxa"/>
            <w:bottom w:w="0" w:type="dxa"/>
            <w:right w:w="108" w:type="dxa"/>
          </w:tblCellMar>
        </w:tblPrEx>
        <w:trPr>
          <w:trHeight w:val="1600" w:hRule="atLeast"/>
        </w:trPr>
        <w:tc>
          <w:tcPr>
            <w:tcW w:w="465"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1211"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项目开发工作量（含标书撰写、方案设计、课程设计与开发、需求调研、专家论证等）</w:t>
            </w:r>
          </w:p>
        </w:tc>
        <w:tc>
          <w:tcPr>
            <w:tcW w:w="3690"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1.项目总收入小于300万元的，该项支出不高于项目总收入的4%；</w:t>
            </w:r>
          </w:p>
          <w:p>
            <w:pPr>
              <w:pageBreakBefore w:val="0"/>
              <w:widowControl/>
              <w:kinsoku/>
              <w:wordWrap/>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2.项目总收入大于300万元（含300万）的，该项支出不高于项目总收入的5%，且最高不超过30万元。</w:t>
            </w:r>
          </w:p>
        </w:tc>
        <w:tc>
          <w:tcPr>
            <w:tcW w:w="1635"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2625"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同一项目原则上只发放一次，不能重复累计发放，并按学校财务制度使用经费。</w:t>
            </w:r>
          </w:p>
        </w:tc>
      </w:tr>
    </w:tbl>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（二）考试服务劳务费标准（校外人员按税后执行，校内人员按税前执行）</w:t>
      </w:r>
    </w:p>
    <w:tbl>
      <w:tblPr>
        <w:tblStyle w:val="14"/>
        <w:tblW w:w="9765" w:type="dxa"/>
        <w:tblInd w:w="-194" w:type="dxa"/>
        <w:tblLayout w:type="fixed"/>
        <w:tblCellMar>
          <w:top w:w="0" w:type="dxa"/>
          <w:left w:w="108" w:type="dxa"/>
          <w:bottom w:w="0" w:type="dxa"/>
          <w:right w:w="108" w:type="dxa"/>
        </w:tblCellMar>
      </w:tblPr>
      <w:tblGrid>
        <w:gridCol w:w="570"/>
        <w:gridCol w:w="1892"/>
        <w:gridCol w:w="1768"/>
        <w:gridCol w:w="2610"/>
        <w:gridCol w:w="2925"/>
      </w:tblGrid>
      <w:tr>
        <w:tblPrEx>
          <w:tblLayout w:type="fixed"/>
          <w:tblCellMar>
            <w:top w:w="0" w:type="dxa"/>
            <w:left w:w="108" w:type="dxa"/>
            <w:bottom w:w="0" w:type="dxa"/>
            <w:right w:w="108" w:type="dxa"/>
          </w:tblCellMar>
        </w:tblPrEx>
        <w:trPr>
          <w:trHeight w:val="270" w:hRule="atLeast"/>
        </w:trPr>
        <w:tc>
          <w:tcPr>
            <w:tcW w:w="570"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序号</w:t>
            </w:r>
          </w:p>
        </w:tc>
        <w:tc>
          <w:tcPr>
            <w:tcW w:w="1892"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项目名称</w:t>
            </w:r>
          </w:p>
        </w:tc>
        <w:tc>
          <w:tcPr>
            <w:tcW w:w="1768"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发放标准</w:t>
            </w:r>
          </w:p>
        </w:tc>
        <w:tc>
          <w:tcPr>
            <w:tcW w:w="2610"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发放依据</w:t>
            </w:r>
          </w:p>
        </w:tc>
        <w:tc>
          <w:tcPr>
            <w:tcW w:w="2925"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备注</w:t>
            </w:r>
          </w:p>
        </w:tc>
      </w:tr>
      <w:tr>
        <w:tblPrEx>
          <w:tblLayout w:type="fixed"/>
          <w:tblCellMar>
            <w:top w:w="0" w:type="dxa"/>
            <w:left w:w="108" w:type="dxa"/>
            <w:bottom w:w="0" w:type="dxa"/>
            <w:right w:w="108" w:type="dxa"/>
          </w:tblCellMar>
        </w:tblPrEx>
        <w:trPr>
          <w:trHeight w:val="270" w:hRule="atLeast"/>
        </w:trPr>
        <w:tc>
          <w:tcPr>
            <w:tcW w:w="570"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1892"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监考员及考务工作人员</w:t>
            </w:r>
          </w:p>
        </w:tc>
        <w:tc>
          <w:tcPr>
            <w:tcW w:w="1768"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不高于150元/场</w:t>
            </w:r>
          </w:p>
        </w:tc>
        <w:tc>
          <w:tcPr>
            <w:tcW w:w="2610" w:type="dxa"/>
            <w:vMerge w:val="restart"/>
            <w:tcBorders>
              <w:top w:val="nil"/>
              <w:left w:val="nil"/>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参照《广西壮族自治区教育考试劳务费管理办法（试行）》（桂教考试[2017]2号）及《广西壮族自治区人事考试劳务费管理办法》（桂人社[2018]16号）</w:t>
            </w:r>
          </w:p>
        </w:tc>
        <w:tc>
          <w:tcPr>
            <w:tcW w:w="2925" w:type="dxa"/>
            <w:vMerge w:val="restart"/>
            <w:tcBorders>
              <w:top w:val="nil"/>
              <w:left w:val="nil"/>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1.2小时内为1场，超过2小时类推，但每日评审及监考劳务费不得超过统计部门公布的全区城镇非营利单位上年度在岗职工日平均工资标准的3倍。</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2.行政工作人员利用非工作日或业余时间的可发放劳务费，工作日原则上不得享受劳务费。</w:t>
            </w:r>
          </w:p>
        </w:tc>
      </w:tr>
      <w:tr>
        <w:tblPrEx>
          <w:tblLayout w:type="fixed"/>
          <w:tblCellMar>
            <w:top w:w="0" w:type="dxa"/>
            <w:left w:w="108" w:type="dxa"/>
            <w:bottom w:w="0" w:type="dxa"/>
            <w:right w:w="108" w:type="dxa"/>
          </w:tblCellMar>
        </w:tblPrEx>
        <w:trPr>
          <w:trHeight w:val="270" w:hRule="atLeast"/>
        </w:trPr>
        <w:tc>
          <w:tcPr>
            <w:tcW w:w="570"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1892"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试卷保管（含运送、分发）、</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、数据处理、报名、考务组织、审核等工作人员</w:t>
            </w:r>
          </w:p>
        </w:tc>
        <w:tc>
          <w:tcPr>
            <w:tcW w:w="1768"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统计部门公布的全区城镇非营利单位上年度在岗职工日平均工资标准的2倍</w:t>
            </w:r>
          </w:p>
        </w:tc>
        <w:tc>
          <w:tcPr>
            <w:tcW w:w="2610" w:type="dxa"/>
            <w:vMerge w:val="continue"/>
            <w:tcBorders>
              <w:left w:val="nil"/>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2925" w:type="dxa"/>
            <w:vMerge w:val="continue"/>
            <w:tcBorders>
              <w:left w:val="nil"/>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70" w:hRule="atLeast"/>
        </w:trPr>
        <w:tc>
          <w:tcPr>
            <w:tcW w:w="570"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1892"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考评人员（含考官、竞赛裁判员）</w:t>
            </w:r>
          </w:p>
        </w:tc>
        <w:tc>
          <w:tcPr>
            <w:tcW w:w="1768"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不高于300元/场</w:t>
            </w:r>
          </w:p>
        </w:tc>
        <w:tc>
          <w:tcPr>
            <w:tcW w:w="2610" w:type="dxa"/>
            <w:vMerge w:val="continue"/>
            <w:tcBorders>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2925" w:type="dxa"/>
            <w:vMerge w:val="continue"/>
            <w:tcBorders>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bl>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支付劳务费时须按规定缴纳个人所得税，由支付单位代缴。</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有下列情形之一的，可视情节扣减或停发有关工作人员的劳务费。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（一）迟到、早退或脱岗的；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（二）违反培训及考试纪律规定的；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（三）未按照规定操作，造成工作失误的；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（四）其它因工作人员本人原因给培训、考试工作造成损失的。</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专职履行继续教育职责的人员，培训项目、考试项目和非全日制学历教育实施期间因工作需要加班的，加班后须优先安排补休，休假天数原则每月不能少于4天；不能安排补休的，可参照本办法计发，不纳入本单位绩效工资总量管理，按规定建立台账。</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本办法由学校继续教育学院负责解释。</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本办法自印发之日起施行，此前发布的有关规定与本办法不一致的，依本办法执行。</w:t>
      </w:r>
    </w:p>
    <w:p>
      <w:pPr>
        <w:pageBreakBefore w:val="0"/>
        <w:widowControl/>
        <w:kinsoku/>
        <w:wordWrap/>
        <w:overflowPunct/>
        <w:topLinePunct w:val="0"/>
        <w:autoSpaceDE/>
        <w:autoSpaceDN/>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156" w:name="_Toc6445"/>
      <w:bookmarkStart w:id="1157" w:name="_Toc14647"/>
      <w:bookmarkStart w:id="1158" w:name="_Toc18700_WPSOffice_Level1"/>
      <w:bookmarkStart w:id="1159" w:name="_Toc7440"/>
      <w:r>
        <w:rPr>
          <w:rFonts w:hint="eastAsia"/>
          <w:b/>
          <w:color w:val="000000"/>
          <w:sz w:val="36"/>
          <w:szCs w:val="36"/>
        </w:rPr>
        <w:t>柳州职业技术学院“三公”经费管理办法</w:t>
      </w:r>
      <w:bookmarkEnd w:id="1156"/>
      <w:bookmarkEnd w:id="1157"/>
      <w:bookmarkEnd w:id="1158"/>
      <w:bookmarkEnd w:id="1159"/>
    </w:p>
    <w:p>
      <w:pPr>
        <w:pageBreakBefore w:val="0"/>
        <w:widowControl/>
        <w:kinsoku/>
        <w:wordWrap/>
        <w:overflowPunct/>
        <w:topLinePunct w:val="0"/>
        <w:autoSpaceDE/>
        <w:autoSpaceDN/>
        <w:bidi w:val="0"/>
        <w:jc w:val="center"/>
        <w:outlineLvl w:val="9"/>
        <w:rPr>
          <w:rFonts w:hint="eastAsia" w:ascii="仿宋_GB2312" w:eastAsia="仿宋_GB2312"/>
          <w:sz w:val="32"/>
          <w:szCs w:val="32"/>
        </w:rPr>
      </w:pPr>
      <w:r>
        <w:rPr>
          <w:rFonts w:hint="eastAsia" w:ascii="仿宋_GB2312" w:eastAsia="仿宋_GB2312"/>
          <w:sz w:val="32"/>
          <w:szCs w:val="32"/>
        </w:rPr>
        <w:t xml:space="preserve"> (柳职院字〔2021〕42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rPr>
      </w:pPr>
      <w:bookmarkStart w:id="1160" w:name="_Toc1582_WPSOffice_Level1"/>
      <w:r>
        <w:rPr>
          <w:rFonts w:hint="eastAsia" w:ascii="黑体" w:hAnsi="黑体" w:eastAsia="黑体"/>
          <w:b/>
          <w:sz w:val="32"/>
          <w:szCs w:val="32"/>
        </w:rPr>
        <w:t>第一章  总则</w:t>
      </w:r>
      <w:bookmarkEnd w:id="1160"/>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进一步规范学校因公出国（境）经费、公务用车购置及运行费、公务接待费(以下简称“三公”经费)管理，强化公务活动降本增效，确保年度“三公”经费依上级审核额度只减不增，推进“三公”经费严格管理长期化、规范化及制度化，根据中央和自治区关于厉行节约、“三公”经费控制等有关规定，结合实际，制定本办法。</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本办法所指“三公经费”包括：因公出国（境）经费、公务接待费、车辆购置及运行费。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因公出国（境）经费是指教职工公务出国（境）(含考察、学术交流、友好访问、培训及会议)的住宿费、差旅费、伙食补助费、杂费、培训费等支出；公务用车购置及运行费是指学校公务用车购置费及租用费、燃料费、维修费、过路过桥费、保险费等支出；公务接待费是指为执行公务和开展业务需要合理开支的各类接待支出（含在接待中发生的交通费、用餐费及住宿费等)。</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“三公”经费统计部门包括学校各行政职能部门及各二级学院。校内各部门、各类资金用于“三公经费”开支，均适用本办法。</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三公经费”管理坚持总量控制，实行严格的预算管理。坚持从紧从严，严格按标准支出；坚持公开透明，接受各方监督。学校各部门应当强化领导责任制，严格按照法律法规和有关制度要求，对“三公”经费预决算的真实性负责。  </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本着厉行节约的原则，学校在每年编制部门预算后，单独编制“三公”经费预算。“三公”经费预算执行控制数下达后，不予调整。</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“三公”经费按控制数报销，超支不补不报。遇到特殊情况，执行上级有关规定。</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3" w:firstLineChars="200"/>
        <w:jc w:val="center"/>
        <w:outlineLvl w:val="9"/>
        <w:rPr>
          <w:rFonts w:hint="eastAsia" w:ascii="仿宋_GB2312" w:eastAsia="仿宋_GB2312"/>
          <w:sz w:val="32"/>
          <w:szCs w:val="32"/>
        </w:rPr>
      </w:pPr>
      <w:bookmarkStart w:id="1161" w:name="_Toc3665_WPSOffice_Level1"/>
      <w:r>
        <w:rPr>
          <w:rFonts w:hint="eastAsia" w:ascii="黑体" w:hAnsi="黑体" w:eastAsia="黑体"/>
          <w:b/>
          <w:sz w:val="32"/>
          <w:szCs w:val="32"/>
        </w:rPr>
        <w:t>第二章  出国（境）经费管理</w:t>
      </w:r>
      <w:bookmarkEnd w:id="1161"/>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严格履行出国（境）审批备案制。明确出访任务与目标，严格出访任务考核，执行国家有关出国（境）经费管理办法。学校工作人员确需出国（境）的，严格执行自治区财政厅、外事办等有关文件，出国（境）人员要认真履行手续，对不符合规定条件的，坚决不子批准，禁止无实质性内容的一般性出访活动。</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严格出国（境）经费预算。经审批备案的学校工作人员因公出国（境）发生的费用，在相应的审批经费中列支。因公出国（境）费用包括：国际旅费、国外城市间交通费、住宿费、伙食费、公杂费和其他费用。</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加强因公出国（境）经费的核算和管理。严格执行因公出国（境）经费报销规定，报销的费用必须附出国（境）任务批件、正式发票及费用清单，按财务规定办理。不得核报与公务无关的开支和超标准、计划外发生的费用。</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未按要求备案的因公出国（境）费用和因私出国（境）产生的费用一律不予报销；一律不准借出国（境）活动名义用公款组织旅游，已按要求备案的因公出国（境）擅自安排旅游的，发生的费用及其产生后果由个人承担。</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公务出国经费由国际交流处严格控制审批，按年初预算额度控制报销，超支不补不报。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3" w:firstLineChars="200"/>
        <w:jc w:val="center"/>
        <w:outlineLvl w:val="9"/>
        <w:rPr>
          <w:rFonts w:hint="eastAsia" w:ascii="仿宋_GB2312" w:eastAsia="仿宋_GB2312"/>
          <w:sz w:val="32"/>
          <w:szCs w:val="32"/>
        </w:rPr>
      </w:pPr>
      <w:bookmarkStart w:id="1162" w:name="_Toc19010_WPSOffice_Level1"/>
      <w:r>
        <w:rPr>
          <w:rFonts w:hint="eastAsia" w:ascii="黑体" w:hAnsi="黑体" w:eastAsia="黑体"/>
          <w:b/>
          <w:sz w:val="32"/>
          <w:szCs w:val="32"/>
        </w:rPr>
        <w:t>第三章  公务车辆管理</w:t>
      </w:r>
      <w:bookmarkEnd w:id="1162"/>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严格按照公车编制进行车辆的更新和购置。学校公务用车的配备使用、编制计划及更新处置等执行上</w:t>
      </w:r>
      <w:bookmarkStart w:id="1163" w:name="_Toc637_WPSOffice_Level1"/>
      <w:r>
        <w:rPr>
          <w:rFonts w:hint="eastAsia" w:ascii="仿宋_GB2312" w:eastAsia="仿宋_GB2312"/>
          <w:sz w:val="32"/>
          <w:szCs w:val="32"/>
        </w:rPr>
        <w:t>级有关规定，公务购车经费不得超出预算安排。  </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w:t>
      </w:r>
      <w:bookmarkEnd w:id="1163"/>
      <w:r>
        <w:rPr>
          <w:rFonts w:hint="eastAsia" w:ascii="仿宋_GB2312" w:eastAsia="仿宋_GB2312"/>
          <w:b/>
          <w:bCs/>
          <w:sz w:val="32"/>
          <w:szCs w:val="32"/>
        </w:rPr>
        <w:t>十</w:t>
      </w:r>
      <w:bookmarkStart w:id="1164" w:name="_Toc27847_WPSOffice_Level1"/>
      <w:r>
        <w:rPr>
          <w:rFonts w:hint="eastAsia" w:ascii="仿宋_GB2312" w:eastAsia="仿宋_GB2312"/>
          <w:b/>
          <w:bCs/>
          <w:sz w:val="32"/>
          <w:szCs w:val="32"/>
        </w:rPr>
        <w:t>二条</w:t>
      </w:r>
      <w:r>
        <w:rPr>
          <w:rFonts w:hint="eastAsia" w:ascii="仿宋_GB2312" w:eastAsia="仿宋_GB2312"/>
          <w:sz w:val="32"/>
          <w:szCs w:val="32"/>
        </w:rPr>
        <w:t xml:space="preserve">  公务用车配备使用遵循经济适用、节能环保</w:t>
      </w:r>
      <w:bookmarkEnd w:id="1164"/>
      <w:r>
        <w:rPr>
          <w:rFonts w:hint="eastAsia" w:ascii="仿宋_GB2312" w:eastAsia="仿宋_GB2312"/>
          <w:sz w:val="32"/>
          <w:szCs w:val="32"/>
        </w:rPr>
        <w:t>、</w:t>
      </w:r>
      <w:bookmarkStart w:id="1165" w:name="_Toc26261_WPSOffice_Level1"/>
      <w:r>
        <w:rPr>
          <w:rFonts w:hint="eastAsia" w:ascii="仿宋_GB2312" w:eastAsia="仿宋_GB2312"/>
          <w:sz w:val="32"/>
          <w:szCs w:val="32"/>
        </w:rPr>
        <w:t>保障公务、节约使用的原则，更新和购置车辆严格按规</w:t>
      </w:r>
      <w:bookmarkEnd w:id="1165"/>
      <w:r>
        <w:rPr>
          <w:rFonts w:hint="eastAsia" w:ascii="仿宋_GB2312" w:eastAsia="仿宋_GB2312"/>
          <w:sz w:val="32"/>
          <w:szCs w:val="32"/>
        </w:rPr>
        <w:t>定程序</w:t>
      </w:r>
      <w:bookmarkStart w:id="1166" w:name="_Toc3798_WPSOffice_Level1"/>
      <w:r>
        <w:rPr>
          <w:rFonts w:hint="eastAsia" w:ascii="仿宋_GB2312" w:eastAsia="仿宋_GB2312"/>
          <w:sz w:val="32"/>
          <w:szCs w:val="32"/>
        </w:rPr>
        <w:t>进行审批</w:t>
      </w:r>
      <w:bookmarkEnd w:id="1166"/>
      <w:r>
        <w:rPr>
          <w:rFonts w:hint="eastAsia" w:ascii="仿宋_GB2312" w:eastAsia="仿宋_GB2312"/>
          <w:sz w:val="32"/>
          <w:szCs w:val="32"/>
        </w:rPr>
        <w:t>和</w:t>
      </w:r>
      <w:bookmarkStart w:id="1167" w:name="_Toc22017_WPSOffice_Level1"/>
      <w:r>
        <w:rPr>
          <w:rFonts w:hint="eastAsia" w:ascii="仿宋_GB2312" w:eastAsia="仿宋_GB2312"/>
          <w:sz w:val="32"/>
          <w:szCs w:val="32"/>
        </w:rPr>
        <w:t>采购。</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公务用车达到更新年限</w:t>
      </w:r>
      <w:bookmarkEnd w:id="1167"/>
      <w:r>
        <w:rPr>
          <w:rFonts w:hint="eastAsia" w:ascii="仿宋_GB2312" w:eastAsia="仿宋_GB2312"/>
          <w:sz w:val="32"/>
          <w:szCs w:val="32"/>
        </w:rPr>
        <w:t>在确保车况和行车安全及修理费不大幅增长的前提下仍能继续使用的，应当继续使用。</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公务用车运行维护严格执行“定点保险、定点维修、定点加油”等制度，坚决杜绝不必要的浪费，尽量降低车辆维修费用，实行集中支付管理。</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公务用车实行集中管理、统一调度，建立健全公务用车使用登记制度，严格控制公务用车的油耗和维修保养费用。</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不得公车私用。一律不准将公车用于婚丧喜庆、探亲访友、度假休闲等非公务活动。节假日期间无明确保障任务时，必须按规定定点停车。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3" w:firstLineChars="200"/>
        <w:jc w:val="center"/>
        <w:outlineLvl w:val="9"/>
        <w:rPr>
          <w:rFonts w:hint="eastAsia" w:ascii="仿宋_GB2312" w:eastAsia="仿宋_GB2312"/>
          <w:sz w:val="32"/>
          <w:szCs w:val="32"/>
        </w:rPr>
      </w:pPr>
      <w:bookmarkStart w:id="1168" w:name="_Toc8342_WPSOffice_Level1"/>
      <w:r>
        <w:rPr>
          <w:rFonts w:hint="eastAsia" w:ascii="黑体" w:hAnsi="黑体" w:eastAsia="黑体"/>
          <w:b/>
          <w:sz w:val="32"/>
          <w:szCs w:val="32"/>
        </w:rPr>
        <w:t>第四章  公务接待管理</w:t>
      </w:r>
      <w:bookmarkEnd w:id="1168"/>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公务接待坚持有利公务、节约简朴、严格标准、简化礼仪的原则，严禁奢侈浪费</w:t>
      </w:r>
      <w:bookmarkStart w:id="1169" w:name="_Toc32234_WPSOffice_Level1"/>
      <w:r>
        <w:rPr>
          <w:rFonts w:hint="eastAsia" w:ascii="仿宋_GB2312" w:eastAsia="仿宋_GB2312"/>
          <w:sz w:val="32"/>
          <w:szCs w:val="32"/>
        </w:rPr>
        <w:t>。</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w:t>
      </w:r>
      <w:bookmarkEnd w:id="1169"/>
      <w:r>
        <w:rPr>
          <w:rFonts w:hint="eastAsia" w:ascii="仿宋_GB2312" w:eastAsia="仿宋_GB2312"/>
          <w:b/>
          <w:bCs/>
          <w:sz w:val="32"/>
          <w:szCs w:val="32"/>
        </w:rPr>
        <w:t>八</w:t>
      </w:r>
      <w:bookmarkStart w:id="1170" w:name="_Toc5736_WPSOffice_Level1"/>
      <w:r>
        <w:rPr>
          <w:rFonts w:hint="eastAsia" w:ascii="仿宋_GB2312" w:eastAsia="仿宋_GB2312"/>
          <w:b/>
          <w:bCs/>
          <w:sz w:val="32"/>
          <w:szCs w:val="32"/>
        </w:rPr>
        <w:t>条</w:t>
      </w:r>
      <w:r>
        <w:rPr>
          <w:rFonts w:hint="eastAsia" w:ascii="仿宋_GB2312" w:eastAsia="仿宋_GB2312"/>
          <w:sz w:val="32"/>
          <w:szCs w:val="32"/>
        </w:rPr>
        <w:t xml:space="preserve">  严格申报审批程序。接待单位应当依据公</w:t>
      </w:r>
      <w:bookmarkEnd w:id="1170"/>
      <w:r>
        <w:rPr>
          <w:rFonts w:hint="eastAsia" w:ascii="仿宋_GB2312" w:eastAsia="仿宋_GB2312"/>
          <w:sz w:val="32"/>
          <w:szCs w:val="32"/>
        </w:rPr>
        <w:t>务活动和来访人员单位公函安排接待任务（特殊情况下可依据电话记录或邀请函安排），接待部门依据上级规定的接待范围、标准等，不得超标准接待。</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第十九条</w:t>
      </w:r>
      <w:r>
        <w:rPr>
          <w:rFonts w:hint="eastAsia" w:ascii="仿宋_GB2312" w:eastAsia="仿宋_GB2312"/>
          <w:sz w:val="32"/>
          <w:szCs w:val="32"/>
        </w:rPr>
        <w:t xml:space="preserve">  接待对象应当按照规定标准用餐，并酌情控制尽可能减少陪餐人数。接待对象在10人以内的，陪餐人数不得超过3人；超过10人的，不得超过接待对象人数的三分之一。工作餐应按有关标准执行。</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公务接待中，不得提供鱼翅、燕窝等高档菜肴和用野生保护动物制作的菜肴，不得提供香烟、酒水以及用公款购买礼品，禁止饮酒。</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各部门的公务接待费报销凭证应当包括财务票据(含消费小票)、派出单位公函及接待清单等材料，由接待部门经办人如实填写，由部门“一把手”审核后报学校办公室审批。公务接待消费实行“一事一结”，不得转移经费开支渠道。</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公务接待费用须执行预算控制，财务部门依据公务接待、财务管理等有关规定的标准、范围及额度，分级从严把关审批。公务接待费用不得超过年度预算控制数。</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第二十三条</w:t>
      </w:r>
      <w:r>
        <w:rPr>
          <w:rFonts w:hint="eastAsia" w:ascii="仿宋_GB2312" w:eastAsia="仿宋_GB2312"/>
          <w:sz w:val="32"/>
          <w:szCs w:val="32"/>
        </w:rPr>
        <w:t xml:space="preserve">  接待住宿应当严格执行差旅、会议管理等有关规定，在定点酒店或者学校内部接待场所安排，执行协议价格。出差人员住宿费应当回校凭据报销，与会人员住宿费按会议费管理有关规定执行。住宿用房标准，依据上级文件和学校有关制度规定执行。</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第二十四条</w:t>
      </w:r>
      <w:r>
        <w:rPr>
          <w:rFonts w:hint="eastAsia" w:ascii="仿宋_GB2312" w:eastAsia="仿宋_GB2312"/>
          <w:sz w:val="32"/>
          <w:szCs w:val="32"/>
        </w:rPr>
        <w:t xml:space="preserve">  公务外出人员应当严格执行公务活动、财务管理等有关规定。禁止异地间没有特别需要的一般性学习交流、考察调研及重复性考察等公务活动，禁止以各种名义和方式变相旅游。</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3" w:firstLineChars="200"/>
        <w:jc w:val="center"/>
        <w:outlineLvl w:val="9"/>
        <w:rPr>
          <w:rFonts w:hint="eastAsia" w:ascii="仿宋_GB2312" w:eastAsia="仿宋_GB2312"/>
          <w:sz w:val="32"/>
          <w:szCs w:val="32"/>
        </w:rPr>
      </w:pPr>
      <w:bookmarkStart w:id="1171" w:name="_Toc10643_WPSOffice_Level1"/>
      <w:r>
        <w:rPr>
          <w:rFonts w:hint="eastAsia" w:ascii="黑体" w:hAnsi="黑体" w:eastAsia="黑体"/>
          <w:b/>
          <w:sz w:val="32"/>
          <w:szCs w:val="32"/>
        </w:rPr>
        <w:t>第五章  管理与监督</w:t>
      </w:r>
      <w:bookmarkEnd w:id="1171"/>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第二十五条</w:t>
      </w:r>
      <w:r>
        <w:rPr>
          <w:rFonts w:hint="eastAsia" w:ascii="仿宋_GB2312" w:eastAsia="仿宋_GB2312"/>
          <w:sz w:val="32"/>
          <w:szCs w:val="32"/>
        </w:rPr>
        <w:t xml:space="preserve">  财务处对学校的 “三公”经费进行财务审查稽核。负责“三公”经费预决算编</w:t>
      </w:r>
      <w:bookmarkStart w:id="1172" w:name="_Toc17134_WPSOffice_Level1"/>
      <w:r>
        <w:rPr>
          <w:rFonts w:hint="eastAsia" w:ascii="仿宋_GB2312" w:eastAsia="仿宋_GB2312"/>
          <w:sz w:val="32"/>
          <w:szCs w:val="32"/>
        </w:rPr>
        <w:t>制，严格</w:t>
      </w:r>
      <w:bookmarkEnd w:id="1172"/>
      <w:r>
        <w:rPr>
          <w:rFonts w:hint="eastAsia" w:ascii="仿宋_GB2312" w:eastAsia="仿宋_GB2312"/>
          <w:sz w:val="32"/>
          <w:szCs w:val="32"/>
        </w:rPr>
        <w:t>执</w:t>
      </w:r>
      <w:bookmarkStart w:id="1173" w:name="_Toc10054_WPSOffice_Level1"/>
      <w:r>
        <w:rPr>
          <w:rFonts w:hint="eastAsia" w:ascii="仿宋_GB2312" w:eastAsia="仿宋_GB2312"/>
          <w:sz w:val="32"/>
          <w:szCs w:val="32"/>
        </w:rPr>
        <w:t>行预决算，推进公务支出履行公务卡结算。</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w:t>
      </w:r>
      <w:bookmarkEnd w:id="1173"/>
      <w:r>
        <w:rPr>
          <w:rFonts w:hint="eastAsia" w:ascii="仿宋_GB2312" w:eastAsia="仿宋_GB2312"/>
          <w:b/>
          <w:bCs/>
          <w:sz w:val="32"/>
          <w:szCs w:val="32"/>
        </w:rPr>
        <w:t>十六条</w:t>
      </w:r>
      <w:r>
        <w:rPr>
          <w:rFonts w:hint="eastAsia" w:ascii="仿宋_GB2312" w:eastAsia="仿宋_GB2312"/>
          <w:sz w:val="32"/>
          <w:szCs w:val="32"/>
        </w:rPr>
        <w:t xml:space="preserve">  审计处（督导室）对学校的“三公”经费管理使用等情况，认真履行审计监督职责。</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第二十七条 </w:t>
      </w:r>
      <w:r>
        <w:rPr>
          <w:rFonts w:hint="eastAsia" w:ascii="仿宋_GB2312" w:eastAsia="仿宋_GB2312"/>
          <w:sz w:val="32"/>
          <w:szCs w:val="32"/>
        </w:rPr>
        <w:t xml:space="preserve"> 纪委办公室（监察室）对学校的“三公”经费管理使用等情况，认真履行督查及责任追究职责。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3" w:firstLineChars="200"/>
        <w:jc w:val="center"/>
        <w:outlineLvl w:val="9"/>
        <w:rPr>
          <w:rFonts w:hint="eastAsia" w:ascii="黑体" w:hAnsi="黑体" w:eastAsia="黑体"/>
          <w:b/>
          <w:sz w:val="32"/>
          <w:szCs w:val="32"/>
        </w:rPr>
      </w:pPr>
      <w:bookmarkStart w:id="1174" w:name="_Toc11107_WPSOffice_Level1"/>
      <w:r>
        <w:rPr>
          <w:rFonts w:hint="eastAsia" w:ascii="黑体" w:hAnsi="黑体" w:eastAsia="黑体"/>
          <w:b/>
          <w:sz w:val="32"/>
          <w:szCs w:val="32"/>
        </w:rPr>
        <w:t>第六章  附则</w:t>
      </w:r>
      <w:bookmarkEnd w:id="1174"/>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第二十八条</w:t>
      </w:r>
      <w:r>
        <w:rPr>
          <w:rFonts w:hint="eastAsia" w:ascii="仿宋_GB2312" w:eastAsia="仿宋_GB2312"/>
          <w:sz w:val="32"/>
          <w:szCs w:val="32"/>
        </w:rPr>
        <w:t xml:space="preserve">  本办法由学校办公室、财务处、国际交流处负责解释。</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第二十九条</w:t>
      </w:r>
      <w:r>
        <w:rPr>
          <w:rFonts w:hint="eastAsia" w:ascii="仿宋_GB2312" w:eastAsia="仿宋_GB2312"/>
          <w:sz w:val="32"/>
          <w:szCs w:val="32"/>
        </w:rPr>
        <w:t xml:space="preserve">  本办法自公布之日起实施。</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lang w:val="en-US" w:eastAsia="zh-CN"/>
        </w:rPr>
      </w:pPr>
      <w:r>
        <w:rPr>
          <w:rFonts w:ascii="仿宋_GB2312" w:eastAsia="仿宋_GB2312"/>
          <w:sz w:val="32"/>
          <w:szCs w:val="32"/>
        </w:rPr>
        <w:br w:type="page"/>
      </w:r>
      <w:bookmarkStart w:id="1175" w:name="_Toc534379495"/>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lang w:val="en-US" w:eastAsia="zh-CN"/>
        </w:rPr>
      </w:pPr>
      <w:bookmarkStart w:id="1176" w:name="_Toc19853_WPSOffice_Level1"/>
      <w:bookmarkStart w:id="1177" w:name="_Toc24679"/>
      <w:bookmarkStart w:id="1178" w:name="_Toc26514"/>
      <w:r>
        <w:rPr>
          <w:rFonts w:hint="eastAsia"/>
          <w:b/>
          <w:color w:val="000000"/>
          <w:sz w:val="36"/>
          <w:szCs w:val="36"/>
          <w:lang w:val="en-US" w:eastAsia="zh-CN"/>
        </w:rPr>
        <w:t>柳州职业技术学院收费票据管理办法</w:t>
      </w:r>
      <w:bookmarkEnd w:id="1175"/>
      <w:bookmarkEnd w:id="1176"/>
      <w:bookmarkEnd w:id="1177"/>
      <w:bookmarkEnd w:id="1178"/>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（柳职院字〔2018〕47号）</w:t>
      </w:r>
    </w:p>
    <w:p>
      <w:pPr>
        <w:pageBreakBefore w:val="0"/>
        <w:kinsoku/>
        <w:wordWrap/>
        <w:overflowPunct/>
        <w:topLinePunct w:val="0"/>
        <w:autoSpaceDE/>
        <w:autoSpaceDN/>
        <w:bidi w:val="0"/>
        <w:jc w:val="center"/>
        <w:outlineLvl w:val="9"/>
        <w:rPr>
          <w:b/>
          <w:szCs w:val="28"/>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79" w:name="_Toc13933_WPSOffice_Level1"/>
      <w:r>
        <w:rPr>
          <w:rFonts w:hint="eastAsia" w:ascii="黑体" w:hAnsi="仿宋_GB2312" w:eastAsia="黑体" w:cs="仿宋_GB2312"/>
          <w:b/>
          <w:kern w:val="0"/>
          <w:sz w:val="32"/>
          <w:szCs w:val="32"/>
          <w:lang w:bidi="ar"/>
        </w:rPr>
        <w:t>第一章  总  则</w:t>
      </w:r>
      <w:bookmarkEnd w:id="1179"/>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第一条 </w:t>
      </w:r>
      <w:r>
        <w:rPr>
          <w:rFonts w:hint="eastAsia" w:ascii="仿宋_GB2312" w:hAnsi="仿宋_GB2312" w:eastAsia="仿宋_GB2312" w:cs="仿宋_GB2312"/>
          <w:kern w:val="0"/>
          <w:sz w:val="32"/>
          <w:szCs w:val="32"/>
          <w:lang w:bidi="ar"/>
        </w:rPr>
        <w:t xml:space="preserve"> 为加强学校收费管理，规范收费票据的购领、使用、保管及核销工作，根据《中华人民共和国会计法》、《中华人民共和国发票管理办法》、财政部《行政事业性收费和政府基金票据管理规》等国家、地方有关规定，结合学校实际情况，制定本办法。</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第二条 </w:t>
      </w:r>
      <w:r>
        <w:rPr>
          <w:rFonts w:hint="eastAsia" w:ascii="仿宋_GB2312" w:hAnsi="仿宋_GB2312" w:eastAsia="仿宋_GB2312" w:cs="仿宋_GB2312"/>
          <w:kern w:val="0"/>
          <w:sz w:val="32"/>
          <w:szCs w:val="32"/>
          <w:lang w:bidi="ar"/>
        </w:rPr>
        <w:t xml:space="preserve"> 本办法所称的票据，是指学校根据法律、法规在收取事业性收费时，向被收取单位或个人开具的收款凭证。主要有财政票据（广西非税收入专用收据、广西非税收入一般缴款书、广西区行政事业单位资金往来结算票据）、税务发票等。各类收费票据之间不得相互串用，也不得转让、转借及代开。</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学校对各类收费票据实行统一管理，学校财务管理部门是学校各类收费票据的主管部门，负责票据的购领、使用、保管、检查、核销等管理工作。校内各用票单位或个人严禁私自印制或自购收费票据。</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80" w:name="_Toc31527_WPSOffice_Level1"/>
      <w:r>
        <w:rPr>
          <w:rFonts w:hint="eastAsia" w:ascii="黑体" w:hAnsi="仿宋_GB2312" w:eastAsia="黑体" w:cs="仿宋_GB2312"/>
          <w:b/>
          <w:kern w:val="0"/>
          <w:sz w:val="32"/>
          <w:szCs w:val="32"/>
          <w:lang w:bidi="ar"/>
        </w:rPr>
        <w:t>第二章  票据的申购和领用</w:t>
      </w:r>
      <w:bookmarkEnd w:id="1180"/>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学校财务管理部门对票据管理遵循“计划购领、定额管理” 原则。财务处根据每学期末应根据经常性业务实际用票情况，编制下一学期票据使用计划。</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学校财务管理部门应指定专人作为票据专管员，负责本单位收费票据的申购、登记保管、使用指导、对外核销工作。</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hint="eastAsia" w:ascii="仿宋_GB2312" w:hAnsi="仿宋_GB2312" w:eastAsia="仿宋_GB2312" w:cs="仿宋_GB2312"/>
          <w:kern w:val="0"/>
          <w:sz w:val="32"/>
          <w:szCs w:val="32"/>
          <w:lang w:bidi="ar"/>
        </w:rPr>
        <w:t xml:space="preserve">  票据专管员应对所购票据进行造册登记。各用票单位或个人在票据专管员处办理领用手续时应按收费票据种类、领用时间、票据起止号码、票据张数等内容进行签领。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81" w:name="_Toc9881_WPSOffice_Level1"/>
      <w:r>
        <w:rPr>
          <w:rFonts w:hint="eastAsia" w:ascii="黑体" w:hAnsi="仿宋_GB2312" w:eastAsia="黑体" w:cs="仿宋_GB2312"/>
          <w:b/>
          <w:kern w:val="0"/>
          <w:sz w:val="32"/>
          <w:szCs w:val="32"/>
          <w:lang w:bidi="ar"/>
        </w:rPr>
        <w:t>第三章  票据的使用和保管</w:t>
      </w:r>
      <w:bookmarkEnd w:id="1181"/>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各类收费票据必须严格按照规定用途使用，不得相互混用。收费业务必须真实，并与票据的使用范围和开票内容一致，严禁虚构收费业务内容，虚开收费票据，扩大收费票据开具范围。</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第八条 </w:t>
      </w:r>
      <w:r>
        <w:rPr>
          <w:rFonts w:hint="eastAsia" w:ascii="仿宋_GB2312" w:hAnsi="仿宋_GB2312" w:eastAsia="仿宋_GB2312" w:cs="仿宋_GB2312"/>
          <w:kern w:val="0"/>
          <w:sz w:val="32"/>
          <w:szCs w:val="32"/>
          <w:lang w:bidi="ar"/>
        </w:rPr>
        <w:t xml:space="preserve"> 票据专管员对购领的收费票据负有业务指导、妥善保管、按期核销责任。票据专管员应妥善保管收费票据，并按要求对收费票据的购领、使用和保管进行详细记录。</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用票单位或个人按票据的号码顺序填写；开票日期、缴款部门（人）、收费项目、金额、开票人、收款人等栏目内容完整，大小写金额数目要符合规范，字迹工整，全套一次性打印（复写），保证全部联内容一致，并与收费网上信息一致；票据须加盖柳州职业技术学院财务专用章方为有效。</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对于填写错误的票据不得随意涂改、挖补或撕毁。对作废票据应保留全部联次，并加盖作废戳记后进行妥善保管，以备核查。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第十一条 </w:t>
      </w:r>
      <w:r>
        <w:rPr>
          <w:rFonts w:hint="eastAsia" w:ascii="仿宋_GB2312" w:hAnsi="仿宋_GB2312" w:eastAsia="仿宋_GB2312" w:cs="仿宋_GB2312"/>
          <w:kern w:val="0"/>
          <w:sz w:val="32"/>
          <w:szCs w:val="32"/>
          <w:lang w:bidi="ar"/>
        </w:rPr>
        <w:t xml:space="preserve"> 各用票单位或个人对自己所领、开具的票据承担直接责任，妥善保管，严禁代开、出借票据，不得以红字填写财政收费票据和拆本使用票据。</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各用票单位或个人在收到款项并开具收费票据后，应凭票据入账联及所收款项及时办理入账手续，以保证学校收入及时到位。确认票款相符后，由负责办理入账业务的财务人员签名盖章。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第十三条</w:t>
      </w:r>
      <w:r>
        <w:rPr>
          <w:rFonts w:hint="eastAsia" w:ascii="仿宋_GB2312" w:hAnsi="仿宋_GB2312" w:eastAsia="仿宋_GB2312" w:cs="仿宋_GB2312"/>
          <w:kern w:val="0"/>
          <w:sz w:val="32"/>
          <w:szCs w:val="32"/>
          <w:lang w:bidi="ar"/>
        </w:rPr>
        <w:t xml:space="preserve">  收费票据若发生丢失，应查清号码及时上报学校财务管理部门，并尽快查明原因，写出书面报告，报财税及收费管理部门；事情处理完毕后，将相关资料复印件交学校财务管理部门备案。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因工作需要更换票据专管员时，双方的交接工作必须在财务管理部门负责人的监督下进行。</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第十五条 </w:t>
      </w:r>
      <w:r>
        <w:rPr>
          <w:rFonts w:hint="eastAsia" w:ascii="仿宋_GB2312" w:hAnsi="仿宋_GB2312" w:eastAsia="仿宋_GB2312" w:cs="仿宋_GB2312"/>
          <w:kern w:val="0"/>
          <w:sz w:val="32"/>
          <w:szCs w:val="32"/>
          <w:lang w:bidi="ar"/>
        </w:rPr>
        <w:t xml:space="preserve"> 收费票据工作的移交必须有详细的书面记录，包括移交时间、票据的种类、数量、起止号码，并由移交人、接管人和财务管理部门负责人三方签字，加盖公章。移交清单一式叁份，交接双方各执一份，学校财务管理部门留存一份。                                                                                  </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hint="eastAsia" w:ascii="仿宋_GB2312" w:hAnsi="仿宋_GB2312" w:eastAsia="仿宋_GB2312" w:cs="仿宋_GB2312"/>
          <w:kern w:val="0"/>
          <w:sz w:val="32"/>
          <w:szCs w:val="32"/>
          <w:lang w:bidi="ar"/>
        </w:rPr>
        <w:t xml:space="preserve">  凡收费票据移交工作手续不清楚且属移交人责任的，用票单位不得为移交人办理工作调动或离职手续。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82" w:name="_Toc4176_WPSOffice_Level1"/>
      <w:r>
        <w:rPr>
          <w:rFonts w:hint="eastAsia" w:ascii="黑体" w:hAnsi="仿宋_GB2312" w:eastAsia="黑体" w:cs="仿宋_GB2312"/>
          <w:b/>
          <w:kern w:val="0"/>
          <w:sz w:val="32"/>
          <w:szCs w:val="32"/>
          <w:lang w:bidi="ar"/>
        </w:rPr>
        <w:t>第四章  票据的核销与检査</w:t>
      </w:r>
      <w:bookmarkEnd w:id="1182"/>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hint="eastAsia" w:ascii="仿宋_GB2312" w:hAnsi="仿宋_GB2312" w:eastAsia="仿宋_GB2312" w:cs="仿宋_GB2312"/>
          <w:kern w:val="0"/>
          <w:sz w:val="32"/>
          <w:szCs w:val="32"/>
          <w:lang w:bidi="ar"/>
        </w:rPr>
        <w:t xml:space="preserve">  遇财政、税务机关票据换版，票据专管员必须在规定期限内办结旧版发票的收入入账及核销手续。</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第十八条</w:t>
      </w:r>
      <w:r>
        <w:rPr>
          <w:rFonts w:hint="eastAsia" w:ascii="仿宋_GB2312" w:hAnsi="仿宋_GB2312" w:eastAsia="仿宋_GB2312" w:cs="仿宋_GB2312"/>
          <w:kern w:val="0"/>
          <w:sz w:val="32"/>
          <w:szCs w:val="32"/>
          <w:lang w:bidi="ar"/>
        </w:rPr>
        <w:t xml:space="preserve">  收费业务结束或整本票据使用完毕后，用票单位或个人必须仔细检查该票据的收款联及收费收入，是否已经按核算要求全部及时、足额入帐。核对无误后，按规定填列票据封面和封底，并尽快到票据专管员处办理核销手续。</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第十九条</w:t>
      </w:r>
      <w:r>
        <w:rPr>
          <w:rFonts w:hint="eastAsia" w:ascii="仿宋_GB2312" w:hAnsi="仿宋_GB2312" w:eastAsia="仿宋_GB2312" w:cs="仿宋_GB2312"/>
          <w:kern w:val="0"/>
          <w:sz w:val="32"/>
          <w:szCs w:val="32"/>
          <w:lang w:bidi="ar"/>
        </w:rPr>
        <w:t xml:space="preserve">  票据专管员负责及时缴销并妥善保管已开具的收费票据存根。财政票据存根的保存期限一般为五年。保存期满需要销毁的，报经原核发票据的财政部门查验后销毁。保存期未满、但有特殊情况需要提前销毁的，应当报原核发票据的财政部门批准。</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第二十条 </w:t>
      </w:r>
      <w:r>
        <w:rPr>
          <w:rFonts w:hint="eastAsia" w:ascii="仿宋_GB2312" w:hAnsi="仿宋_GB2312" w:eastAsia="仿宋_GB2312" w:cs="仿宋_GB2312"/>
          <w:kern w:val="0"/>
          <w:sz w:val="32"/>
          <w:szCs w:val="32"/>
          <w:lang w:bidi="ar"/>
        </w:rPr>
        <w:t xml:space="preserve"> 学校财务管理部门负责对收费票据的使用、保管、 缴销等工作进行定期或不定期的检查，用票单位或个人必须做好检查配合工作，如实反映情况，提供资料，接受监督和检查，不得接受、隐瞒或弄虚作假。</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第二十一条 </w:t>
      </w:r>
      <w:r>
        <w:rPr>
          <w:rFonts w:hint="eastAsia" w:ascii="仿宋_GB2312" w:hAnsi="仿宋_GB2312" w:eastAsia="仿宋_GB2312" w:cs="仿宋_GB2312"/>
          <w:kern w:val="0"/>
          <w:sz w:val="32"/>
          <w:szCs w:val="32"/>
          <w:lang w:bidi="ar"/>
        </w:rPr>
        <w:t xml:space="preserve"> 下列行为属于违反票据管理规定的行为：</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（一）未经批准，擅自印刷和使用票据的；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（二）私自刻制、使用和伪造票据印制章的；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（三）未按规定使用票据；</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（四）转借、转让、代开、买卖、销毁、涂改票据；</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（五）不按规定接受票据管理机构监督管理或不按规定提供有关相关材料的；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（六）其他违反本规定的行为。</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第二十二条  </w:t>
      </w:r>
      <w:r>
        <w:rPr>
          <w:rFonts w:hint="eastAsia" w:ascii="仿宋_GB2312" w:hAnsi="仿宋_GB2312" w:eastAsia="仿宋_GB2312" w:cs="仿宋_GB2312"/>
          <w:kern w:val="0"/>
          <w:sz w:val="32"/>
          <w:szCs w:val="32"/>
          <w:lang w:bidi="ar"/>
        </w:rPr>
        <w:t>违反本办法有关规定的，按国家法律、法规及学校有关规定处理。</w:t>
      </w: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83" w:name="_Toc17465_WPSOffice_Level1"/>
      <w:r>
        <w:rPr>
          <w:rFonts w:hint="eastAsia" w:ascii="黑体" w:hAnsi="仿宋_GB2312" w:eastAsia="黑体" w:cs="仿宋_GB2312"/>
          <w:b/>
          <w:kern w:val="0"/>
          <w:sz w:val="32"/>
          <w:szCs w:val="32"/>
          <w:lang w:bidi="ar"/>
        </w:rPr>
        <w:t>第五章   附   则</w:t>
      </w:r>
      <w:bookmarkEnd w:id="1183"/>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第二十三条</w:t>
      </w:r>
      <w:r>
        <w:rPr>
          <w:rFonts w:hint="eastAsia" w:ascii="仿宋_GB2312" w:hAnsi="仿宋_GB2312" w:eastAsia="仿宋_GB2312" w:cs="仿宋_GB2312"/>
          <w:kern w:val="0"/>
          <w:sz w:val="32"/>
          <w:szCs w:val="32"/>
          <w:lang w:bidi="ar"/>
        </w:rPr>
        <w:t xml:space="preserve">  本办法由学校财务处负责解释。</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第二十四条</w:t>
      </w:r>
      <w:r>
        <w:rPr>
          <w:rFonts w:hint="eastAsia" w:ascii="仿宋_GB2312" w:hAnsi="仿宋_GB2312" w:eastAsia="仿宋_GB2312" w:cs="仿宋_GB2312"/>
          <w:kern w:val="0"/>
          <w:sz w:val="32"/>
          <w:szCs w:val="32"/>
          <w:lang w:bidi="ar"/>
        </w:rPr>
        <w:t xml:space="preserve">  本办法自二〇一八年十月一日起执行。</w:t>
      </w: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hint="eastAsia" w:ascii="宋体" w:hAnsi="宋体"/>
          <w:b/>
          <w:bCs/>
          <w:color w:val="000000"/>
          <w:sz w:val="36"/>
          <w:szCs w:val="36"/>
          <w:lang w:val="en-US" w:eastAsia="zh-CN"/>
        </w:rPr>
      </w:pPr>
      <w:r>
        <w:rPr>
          <w:rFonts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br w:type="page"/>
      </w:r>
      <w:bookmarkStart w:id="1184" w:name="_Toc534379496"/>
      <w:bookmarkStart w:id="1185" w:name="_Toc534379497"/>
      <w:bookmarkStart w:id="1186" w:name="_Toc30150_WPSOffice_Level1"/>
      <w:r>
        <w:rPr>
          <w:rFonts w:hint="eastAsia"/>
          <w:b/>
          <w:color w:val="000000"/>
          <w:sz w:val="36"/>
          <w:szCs w:val="36"/>
          <w:lang w:val="en-US" w:eastAsia="zh-CN"/>
        </w:rPr>
        <w:t>柳州职业技术学院差旅费管理办法</w:t>
      </w:r>
      <w:bookmarkEnd w:id="1184"/>
      <w:bookmarkEnd w:id="1185"/>
      <w:bookmarkEnd w:id="1186"/>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（柳职院字〔2018〕48号）</w:t>
      </w:r>
    </w:p>
    <w:p>
      <w:pPr>
        <w:pageBreakBefore w:val="0"/>
        <w:kinsoku/>
        <w:wordWrap/>
        <w:overflowPunct/>
        <w:topLinePunct w:val="0"/>
        <w:autoSpaceDE/>
        <w:autoSpaceDN/>
        <w:bidi w:val="0"/>
        <w:spacing w:line="590" w:lineRule="exact"/>
        <w:jc w:val="center"/>
        <w:outlineLvl w:val="9"/>
        <w:rPr>
          <w:b/>
          <w:color w:val="000000"/>
          <w:sz w:val="36"/>
          <w:szCs w:val="36"/>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87" w:name="_Toc22519_WPSOffice_Level1"/>
      <w:r>
        <w:rPr>
          <w:rFonts w:hint="eastAsia" w:ascii="黑体" w:hAnsi="仿宋_GB2312" w:eastAsia="黑体" w:cs="仿宋_GB2312"/>
          <w:b/>
          <w:kern w:val="0"/>
          <w:sz w:val="32"/>
          <w:szCs w:val="32"/>
          <w:lang w:bidi="ar"/>
        </w:rPr>
        <w:t>第一章  总则</w:t>
      </w:r>
      <w:bookmarkEnd w:id="1187"/>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xml:space="preserve">  为了加强和规范我校国内差旅费管理，推进厉行节约反对浪费，根据《党政机关厉行节约反对浪费条例》、《关于印发柳州市本级党政机关差旅费管理办法的通知》（柳财行〔</w:t>
      </w:r>
      <w:r>
        <w:rPr>
          <w:rFonts w:ascii="仿宋_GB2312" w:hAnsi="仿宋_GB2312" w:eastAsia="仿宋_GB2312" w:cs="仿宋_GB2312"/>
          <w:kern w:val="0"/>
          <w:sz w:val="32"/>
          <w:szCs w:val="32"/>
          <w:lang w:bidi="ar"/>
        </w:rPr>
        <w:t>2014</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7</w:t>
      </w:r>
      <w:r>
        <w:rPr>
          <w:rFonts w:hint="eastAsia" w:ascii="仿宋_GB2312" w:hAnsi="仿宋_GB2312" w:eastAsia="仿宋_GB2312" w:cs="仿宋_GB2312"/>
          <w:kern w:val="0"/>
          <w:sz w:val="32"/>
          <w:szCs w:val="32"/>
          <w:lang w:bidi="ar"/>
        </w:rPr>
        <w:t>号）、《关于印发柳州市本级党政机关差旅费管理办法补充规定的通知》（柳财行〔</w:t>
      </w:r>
      <w:r>
        <w:rPr>
          <w:rFonts w:ascii="仿宋_GB2312" w:hAnsi="仿宋_GB2312" w:eastAsia="仿宋_GB2312" w:cs="仿宋_GB2312"/>
          <w:kern w:val="0"/>
          <w:sz w:val="32"/>
          <w:szCs w:val="32"/>
          <w:lang w:bidi="ar"/>
        </w:rPr>
        <w:t>2014</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11</w:t>
      </w:r>
      <w:r>
        <w:rPr>
          <w:rFonts w:hint="eastAsia" w:ascii="仿宋_GB2312" w:hAnsi="仿宋_GB2312" w:eastAsia="仿宋_GB2312" w:cs="仿宋_GB2312"/>
          <w:kern w:val="0"/>
          <w:sz w:val="32"/>
          <w:szCs w:val="32"/>
          <w:lang w:bidi="ar"/>
        </w:rPr>
        <w:t>号）和《关于印发柳州市本级党政机关差旅费管理办法补充规定的通知》(柳财行〔2018〕5号)等文件精神，结合我校实际，制定本办法。</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第二条</w:t>
      </w:r>
      <w:r>
        <w:rPr>
          <w:rFonts w:hint="eastAsia" w:ascii="仿宋_GB2312" w:hAnsi="仿宋_GB2312" w:eastAsia="仿宋_GB2312" w:cs="仿宋_GB2312"/>
          <w:kern w:val="0"/>
          <w:sz w:val="32"/>
          <w:szCs w:val="32"/>
          <w:lang w:bidi="ar"/>
        </w:rPr>
        <w:t xml:space="preserve">  本办法适用于学校各党政部门、各教辅部门、各系部（以下简称各部门）工作人员使用学校管理的各类经费（含部门预算经费、专项经费、科研课题经费等）发生的公务差旅费。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差旅费是指工作人员临时到常驻地以外地区公务出差所发生的城市间交通费、住宿费、伙食补助费和市内交通费。在柳州市城区及其乡镇的公务活动(市财政局规定情况除外)原则上不得界定为出差，不得报销差旅费。</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学校实行公务差旅审批制度。出差必须按规定报经部门有关领导批准，从严控制出差人数和天数；严格差旅费预算管理，落实经费渠道，各部门差旅费总体按部门预算安排数执行，不得突破部门预算数，严格控制差旅费支出规模；严禁无实际内容、无明确公务目的的差旅活动，严禁以任何名义和方式变相旅游，严禁异地单位间无实质内容的学习交流和考察调研。</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88" w:name="_Toc28875_WPSOffice_Level1"/>
      <w:r>
        <w:rPr>
          <w:rFonts w:hint="eastAsia" w:ascii="黑体" w:hAnsi="仿宋_GB2312" w:eastAsia="黑体" w:cs="仿宋_GB2312"/>
          <w:b/>
          <w:kern w:val="0"/>
          <w:sz w:val="32"/>
          <w:szCs w:val="32"/>
          <w:lang w:bidi="ar"/>
        </w:rPr>
        <w:t>第二章  城市间交通费</w:t>
      </w:r>
      <w:bookmarkEnd w:id="1188"/>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城市间交通费是指工作人员因公到常驻地以外地区出差乘坐汽车、火车、轮船、飞机等交通工具所发生的费用。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第六条 </w:t>
      </w:r>
      <w:r>
        <w:rPr>
          <w:rFonts w:hint="eastAsia" w:ascii="仿宋_GB2312" w:hAnsi="仿宋_GB2312" w:eastAsia="仿宋_GB2312" w:cs="仿宋_GB2312"/>
          <w:kern w:val="0"/>
          <w:sz w:val="32"/>
          <w:szCs w:val="32"/>
          <w:lang w:bidi="ar"/>
        </w:rPr>
        <w:t xml:space="preserve"> 到出差目的地有多种交通工具可选择时，出差人员在不影响公务、确保安全的前提下，应当选乘相对经济便捷的交通工具。</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出差人员应当按规定等级乘坐交通工具，凭据报销城市间交通费，未按规定等级乘坐交通工具的，超支部分由个人自理。出差人员乘坐交通工具的等级见下表：</w:t>
      </w:r>
    </w:p>
    <w:tbl>
      <w:tblPr>
        <w:tblStyle w:val="14"/>
        <w:tblW w:w="8828"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7"/>
        <w:gridCol w:w="2520"/>
        <w:gridCol w:w="1365"/>
        <w:gridCol w:w="155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32" w:hRule="atLeast"/>
          <w:tblCellSpacing w:w="0" w:type="dxa"/>
        </w:trPr>
        <w:tc>
          <w:tcPr>
            <w:tcW w:w="1967" w:type="dxa"/>
            <w:tcBorders>
              <w:tl2br w:val="single" w:color="auto" w:sz="4" w:space="0"/>
            </w:tcBorders>
            <w:noWrap w:val="0"/>
            <w:vAlign w:val="top"/>
          </w:tcPr>
          <w:p>
            <w:pPr>
              <w:pageBreakBefore w:val="0"/>
              <w:widowControl/>
              <w:kinsoku/>
              <w:wordWrap/>
              <w:overflowPunct/>
              <w:topLinePunct w:val="0"/>
              <w:autoSpaceDE/>
              <w:autoSpaceDN/>
              <w:bidi w:val="0"/>
              <w:spacing w:line="400" w:lineRule="exact"/>
              <w:ind w:firstLine="588" w:firstLineChars="244"/>
              <w:jc w:val="left"/>
              <w:outlineLvl w:val="9"/>
              <w:rPr>
                <w:rFonts w:hint="eastAsia" w:ascii="仿宋_GB2312" w:eastAsia="仿宋_GB2312" w:cs="宋体"/>
                <w:b/>
                <w:bCs/>
                <w:kern w:val="0"/>
                <w:sz w:val="24"/>
              </w:rPr>
            </w:pPr>
          </w:p>
          <w:p>
            <w:pPr>
              <w:pageBreakBefore w:val="0"/>
              <w:widowControl/>
              <w:kinsoku/>
              <w:wordWrap/>
              <w:overflowPunct/>
              <w:topLinePunct w:val="0"/>
              <w:autoSpaceDE/>
              <w:autoSpaceDN/>
              <w:bidi w:val="0"/>
              <w:spacing w:line="400" w:lineRule="exact"/>
              <w:ind w:firstLine="964" w:firstLineChars="400"/>
              <w:jc w:val="left"/>
              <w:outlineLvl w:val="9"/>
              <w:rPr>
                <w:rFonts w:hint="eastAsia" w:ascii="仿宋_GB2312" w:eastAsia="仿宋_GB2312" w:cs="宋体"/>
                <w:kern w:val="0"/>
                <w:sz w:val="24"/>
              </w:rPr>
            </w:pPr>
            <w:r>
              <w:rPr>
                <w:rFonts w:hint="eastAsia" w:ascii="仿宋_GB2312" w:hAnsi="宋体" w:eastAsia="仿宋_GB2312" w:cs="宋体"/>
                <w:b/>
                <w:bCs/>
                <w:kern w:val="0"/>
                <w:sz w:val="24"/>
              </w:rPr>
              <w:t>交通工具</w:t>
            </w:r>
          </w:p>
          <w:p>
            <w:pPr>
              <w:pageBreakBefore w:val="0"/>
              <w:widowControl/>
              <w:kinsoku/>
              <w:wordWrap/>
              <w:overflowPunct/>
              <w:topLinePunct w:val="0"/>
              <w:autoSpaceDE/>
              <w:autoSpaceDN/>
              <w:bidi w:val="0"/>
              <w:spacing w:line="400" w:lineRule="exact"/>
              <w:jc w:val="left"/>
              <w:outlineLvl w:val="9"/>
              <w:rPr>
                <w:rFonts w:hint="eastAsia" w:ascii="仿宋_GB2312" w:eastAsia="仿宋_GB2312" w:cs="宋体"/>
                <w:b/>
                <w:bCs/>
                <w:kern w:val="0"/>
                <w:sz w:val="24"/>
              </w:rPr>
            </w:pPr>
          </w:p>
          <w:p>
            <w:pPr>
              <w:pageBreakBefore w:val="0"/>
              <w:widowControl/>
              <w:kinsoku/>
              <w:wordWrap/>
              <w:overflowPunct/>
              <w:topLinePunct w:val="0"/>
              <w:autoSpaceDE/>
              <w:autoSpaceDN/>
              <w:bidi w:val="0"/>
              <w:spacing w:line="400" w:lineRule="exact"/>
              <w:ind w:firstLine="236" w:firstLineChars="98"/>
              <w:jc w:val="left"/>
              <w:outlineLvl w:val="9"/>
              <w:rPr>
                <w:rFonts w:hint="eastAsia" w:ascii="仿宋_GB2312" w:eastAsia="仿宋_GB2312" w:cs="宋体"/>
                <w:kern w:val="0"/>
                <w:sz w:val="24"/>
              </w:rPr>
            </w:pPr>
            <w:r>
              <w:rPr>
                <w:rFonts w:hint="eastAsia" w:ascii="仿宋_GB2312" w:hAnsi="宋体" w:eastAsia="仿宋_GB2312" w:cs="宋体"/>
                <w:b/>
                <w:bCs/>
                <w:kern w:val="0"/>
                <w:sz w:val="24"/>
              </w:rPr>
              <w:t>级别</w:t>
            </w:r>
          </w:p>
        </w:tc>
        <w:tc>
          <w:tcPr>
            <w:tcW w:w="2520"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b/>
                <w:bCs/>
                <w:kern w:val="0"/>
                <w:sz w:val="24"/>
              </w:rPr>
              <w:t>火车（含高铁、动车、全列软席列车）</w:t>
            </w:r>
          </w:p>
        </w:tc>
        <w:tc>
          <w:tcPr>
            <w:tcW w:w="1365"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b/>
                <w:bCs/>
                <w:kern w:val="0"/>
                <w:sz w:val="24"/>
              </w:rPr>
              <w:t>轮船（不包括旅游船）</w:t>
            </w:r>
          </w:p>
        </w:tc>
        <w:tc>
          <w:tcPr>
            <w:tcW w:w="1558"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b/>
                <w:bCs/>
                <w:kern w:val="0"/>
                <w:sz w:val="24"/>
              </w:rPr>
              <w:t>飞机</w:t>
            </w:r>
          </w:p>
        </w:tc>
        <w:tc>
          <w:tcPr>
            <w:tcW w:w="1418"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b/>
                <w:bCs/>
                <w:kern w:val="0"/>
                <w:sz w:val="24"/>
              </w:rPr>
              <w:t>其他交通工具（不包括出租小汽车）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64" w:hRule="atLeast"/>
          <w:tblCellSpacing w:w="0" w:type="dxa"/>
        </w:trPr>
        <w:tc>
          <w:tcPr>
            <w:tcW w:w="1967"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kern w:val="0"/>
                <w:sz w:val="24"/>
              </w:rPr>
              <w:t>厅局级及相当职务人员</w:t>
            </w:r>
          </w:p>
        </w:tc>
        <w:tc>
          <w:tcPr>
            <w:tcW w:w="2520" w:type="dxa"/>
            <w:noWrap w:val="0"/>
            <w:vAlign w:val="center"/>
          </w:tcPr>
          <w:p>
            <w:pPr>
              <w:pageBreakBefore w:val="0"/>
              <w:widowControl/>
              <w:kinsoku/>
              <w:wordWrap/>
              <w:overflowPunct/>
              <w:topLinePunct w:val="0"/>
              <w:autoSpaceDE/>
              <w:autoSpaceDN/>
              <w:bidi w:val="0"/>
              <w:spacing w:line="400" w:lineRule="exact"/>
              <w:jc w:val="left"/>
              <w:outlineLvl w:val="9"/>
              <w:rPr>
                <w:rFonts w:hint="eastAsia" w:ascii="仿宋_GB2312" w:eastAsia="仿宋_GB2312" w:cs="宋体"/>
                <w:kern w:val="0"/>
                <w:sz w:val="24"/>
              </w:rPr>
            </w:pPr>
            <w:r>
              <w:rPr>
                <w:rFonts w:hint="eastAsia" w:ascii="仿宋_GB2312" w:hAnsi="宋体" w:eastAsia="仿宋_GB2312" w:cs="宋体"/>
                <w:kern w:val="0"/>
                <w:sz w:val="24"/>
              </w:rPr>
              <w:t>火车软席（软座、软卧），高铁/动车一等座，全列软席列车一等软座</w:t>
            </w:r>
          </w:p>
        </w:tc>
        <w:tc>
          <w:tcPr>
            <w:tcW w:w="1365"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kern w:val="0"/>
                <w:sz w:val="24"/>
              </w:rPr>
              <w:t>二等舱</w:t>
            </w:r>
          </w:p>
        </w:tc>
        <w:tc>
          <w:tcPr>
            <w:tcW w:w="1558"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kern w:val="0"/>
                <w:sz w:val="24"/>
              </w:rPr>
              <w:t>经济舱</w:t>
            </w:r>
          </w:p>
        </w:tc>
        <w:tc>
          <w:tcPr>
            <w:tcW w:w="1418"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kern w:val="0"/>
                <w:sz w:val="24"/>
              </w:rPr>
              <w:t>凭据报销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69" w:hRule="atLeast"/>
          <w:tblCellSpacing w:w="0" w:type="dxa"/>
        </w:trPr>
        <w:tc>
          <w:tcPr>
            <w:tcW w:w="1967"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kern w:val="0"/>
                <w:sz w:val="24"/>
              </w:rPr>
              <w:t>其他人员</w:t>
            </w:r>
          </w:p>
        </w:tc>
        <w:tc>
          <w:tcPr>
            <w:tcW w:w="2520" w:type="dxa"/>
            <w:noWrap w:val="0"/>
            <w:vAlign w:val="center"/>
          </w:tcPr>
          <w:p>
            <w:pPr>
              <w:pageBreakBefore w:val="0"/>
              <w:widowControl/>
              <w:kinsoku/>
              <w:wordWrap/>
              <w:overflowPunct/>
              <w:topLinePunct w:val="0"/>
              <w:autoSpaceDE/>
              <w:autoSpaceDN/>
              <w:bidi w:val="0"/>
              <w:spacing w:line="400" w:lineRule="exact"/>
              <w:jc w:val="left"/>
              <w:outlineLvl w:val="9"/>
              <w:rPr>
                <w:rFonts w:hint="eastAsia" w:ascii="仿宋_GB2312" w:eastAsia="仿宋_GB2312" w:cs="宋体"/>
                <w:kern w:val="0"/>
                <w:sz w:val="24"/>
              </w:rPr>
            </w:pPr>
            <w:r>
              <w:rPr>
                <w:rFonts w:hint="eastAsia" w:ascii="仿宋_GB2312" w:hAnsi="宋体" w:eastAsia="仿宋_GB2312" w:cs="宋体"/>
                <w:kern w:val="0"/>
                <w:sz w:val="24"/>
              </w:rPr>
              <w:t>火车硬席（硬座、硬卧），高铁/动车二等座、全列软席列车二等软座</w:t>
            </w:r>
          </w:p>
        </w:tc>
        <w:tc>
          <w:tcPr>
            <w:tcW w:w="1365"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kern w:val="0"/>
                <w:sz w:val="24"/>
              </w:rPr>
              <w:t>三等舱</w:t>
            </w:r>
          </w:p>
        </w:tc>
        <w:tc>
          <w:tcPr>
            <w:tcW w:w="1558"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kern w:val="0"/>
                <w:sz w:val="24"/>
              </w:rPr>
              <w:t>经济舱</w:t>
            </w:r>
          </w:p>
        </w:tc>
        <w:tc>
          <w:tcPr>
            <w:tcW w:w="1418" w:type="dxa"/>
            <w:noWrap w:val="0"/>
            <w:vAlign w:val="center"/>
          </w:tcPr>
          <w:p>
            <w:pPr>
              <w:pageBreakBefore w:val="0"/>
              <w:widowControl/>
              <w:kinsoku/>
              <w:wordWrap/>
              <w:overflowPunct/>
              <w:topLinePunct w:val="0"/>
              <w:autoSpaceDE/>
              <w:autoSpaceDN/>
              <w:bidi w:val="0"/>
              <w:spacing w:line="400" w:lineRule="exact"/>
              <w:jc w:val="center"/>
              <w:outlineLvl w:val="9"/>
              <w:rPr>
                <w:rFonts w:hint="eastAsia" w:ascii="仿宋_GB2312" w:eastAsia="仿宋_GB2312" w:cs="宋体"/>
                <w:kern w:val="0"/>
                <w:sz w:val="24"/>
              </w:rPr>
            </w:pPr>
            <w:r>
              <w:rPr>
                <w:rFonts w:hint="eastAsia" w:ascii="仿宋_GB2312" w:hAnsi="宋体" w:eastAsia="仿宋_GB2312" w:cs="宋体"/>
                <w:kern w:val="0"/>
                <w:sz w:val="24"/>
              </w:rPr>
              <w:t>凭据报销</w:t>
            </w:r>
          </w:p>
        </w:tc>
      </w:tr>
    </w:tbl>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出差人员因特殊情况（因私绕道等个人原因除外），如乘坐火车出差等，当天不能到达出差目的地，且在交通工具上连续乘坐超过</w:t>
      </w:r>
      <w:r>
        <w:rPr>
          <w:rFonts w:ascii="仿宋_GB2312" w:hAnsi="仿宋_GB2312" w:eastAsia="仿宋_GB2312" w:cs="仿宋_GB2312"/>
          <w:kern w:val="0"/>
          <w:sz w:val="32"/>
          <w:szCs w:val="32"/>
          <w:lang w:bidi="ar"/>
        </w:rPr>
        <w:t>12</w:t>
      </w:r>
      <w:r>
        <w:rPr>
          <w:rFonts w:hint="eastAsia" w:ascii="仿宋_GB2312" w:hAnsi="仿宋_GB2312" w:eastAsia="仿宋_GB2312" w:cs="仿宋_GB2312"/>
          <w:kern w:val="0"/>
          <w:sz w:val="32"/>
          <w:szCs w:val="32"/>
          <w:lang w:bidi="ar"/>
        </w:rPr>
        <w:t>个小时（含）的，可凭车票按出差目的地标准报销伙食补助费，不予报销城市内交通费。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出差人员乘坐全列软席列车出差时，原则上乘坐全列软席列车软座，但在晚</w:t>
      </w:r>
      <w:r>
        <w:rPr>
          <w:rFonts w:ascii="仿宋_GB2312" w:hAnsi="仿宋_GB2312" w:eastAsia="仿宋_GB2312" w:cs="仿宋_GB2312"/>
          <w:kern w:val="0"/>
          <w:sz w:val="32"/>
          <w:szCs w:val="32"/>
          <w:lang w:bidi="ar"/>
        </w:rPr>
        <w:t>8</w:t>
      </w:r>
      <w:r>
        <w:rPr>
          <w:rFonts w:hint="eastAsia" w:ascii="仿宋_GB2312" w:hAnsi="仿宋_GB2312" w:eastAsia="仿宋_GB2312" w:cs="仿宋_GB2312"/>
          <w:kern w:val="0"/>
          <w:sz w:val="32"/>
          <w:szCs w:val="32"/>
          <w:lang w:bidi="ar"/>
        </w:rPr>
        <w:t>时至次日晨</w:t>
      </w:r>
      <w:r>
        <w:rPr>
          <w:rFonts w:ascii="仿宋_GB2312" w:hAnsi="仿宋_GB2312" w:eastAsia="仿宋_GB2312" w:cs="仿宋_GB2312"/>
          <w:kern w:val="0"/>
          <w:sz w:val="32"/>
          <w:szCs w:val="32"/>
          <w:lang w:bidi="ar"/>
        </w:rPr>
        <w:t>7</w:t>
      </w:r>
      <w:r>
        <w:rPr>
          <w:rFonts w:hint="eastAsia" w:ascii="仿宋_GB2312" w:hAnsi="仿宋_GB2312" w:eastAsia="仿宋_GB2312" w:cs="仿宋_GB2312"/>
          <w:kern w:val="0"/>
          <w:sz w:val="32"/>
          <w:szCs w:val="32"/>
          <w:lang w:bidi="ar"/>
        </w:rPr>
        <w:t>时期间乘车时间</w:t>
      </w:r>
      <w:r>
        <w:rPr>
          <w:rFonts w:ascii="仿宋_GB2312" w:hAnsi="仿宋_GB2312" w:eastAsia="仿宋_GB2312" w:cs="仿宋_GB2312"/>
          <w:kern w:val="0"/>
          <w:sz w:val="32"/>
          <w:szCs w:val="32"/>
          <w:lang w:bidi="ar"/>
        </w:rPr>
        <w:t>6</w:t>
      </w:r>
      <w:r>
        <w:rPr>
          <w:rFonts w:hint="eastAsia" w:ascii="仿宋_GB2312" w:hAnsi="仿宋_GB2312" w:eastAsia="仿宋_GB2312" w:cs="仿宋_GB2312"/>
          <w:kern w:val="0"/>
          <w:sz w:val="32"/>
          <w:szCs w:val="32"/>
          <w:lang w:bidi="ar"/>
        </w:rPr>
        <w:t>小时以上的，或连续乘车超过</w:t>
      </w:r>
      <w:r>
        <w:rPr>
          <w:rFonts w:ascii="仿宋_GB2312" w:hAnsi="仿宋_GB2312" w:eastAsia="仿宋_GB2312" w:cs="仿宋_GB2312"/>
          <w:kern w:val="0"/>
          <w:sz w:val="32"/>
          <w:szCs w:val="32"/>
          <w:lang w:bidi="ar"/>
        </w:rPr>
        <w:t>12</w:t>
      </w:r>
      <w:r>
        <w:rPr>
          <w:rFonts w:hint="eastAsia" w:ascii="仿宋_GB2312" w:hAnsi="仿宋_GB2312" w:eastAsia="仿宋_GB2312" w:cs="仿宋_GB2312"/>
          <w:kern w:val="0"/>
          <w:sz w:val="32"/>
          <w:szCs w:val="32"/>
          <w:lang w:bidi="ar"/>
        </w:rPr>
        <w:t>小时的，经总会计师批准可以乘坐软卧，按照软卧车票报销。</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因公出差人员原则不允许使用私家车出差，使用私家车出差的不得在差旅费中报销过路过桥费、燃油费。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城市间交通费按乘坐交通工具的等级凭据报销，订票费、经总会计师批准发生的签转或退票费凭据报销。</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第十一条</w:t>
      </w:r>
      <w:r>
        <w:rPr>
          <w:rFonts w:hint="eastAsia" w:ascii="仿宋_GB2312" w:hAnsi="仿宋_GB2312" w:eastAsia="仿宋_GB2312" w:cs="仿宋_GB2312"/>
          <w:kern w:val="0"/>
          <w:sz w:val="32"/>
          <w:szCs w:val="32"/>
          <w:lang w:bidi="ar"/>
        </w:rPr>
        <w:t xml:space="preserve">  出差人员应当做好公务出行计划安排，出差人员乘坐飞机的，应按公务出差审批权限规定报批，并尽可能选择低价机票，原则上不得购买全价机票。</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国内出差购买机票，应使用公务卡优先购买通过政府采购方式确定的国内航空公司航班优惠机票。</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对于各航空公司提供的低于政府采购优惠标价的团队价格或促销价格机票，购票人可使用公务卡选择购买，但不再享受政府采购优惠。</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乘坐飞机的，民航发展基金、燃油附加费，以及出差人员往返机场、火车站等发生的大巴、地铁等公共交通费用，可以凭据报销，出租车费用原则上不予报销。紧急特殊情况确需乘坐出租车的，经总会计师批准，可办理报销手续，如已凭据报销市内交通费，不再另行补助当日市内交通费。</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第十三条  </w:t>
      </w:r>
      <w:r>
        <w:rPr>
          <w:rFonts w:hint="eastAsia" w:ascii="仿宋_GB2312" w:hAnsi="仿宋_GB2312" w:eastAsia="仿宋_GB2312" w:cs="仿宋_GB2312"/>
          <w:kern w:val="0"/>
          <w:sz w:val="32"/>
          <w:szCs w:val="32"/>
          <w:lang w:bidi="ar"/>
        </w:rPr>
        <w:t>乘坐飞机、火车、轮船、汽车等交通工具的，可按规定购买交通意外保险费一份，凭据报销。交通意外险原则只能报销一次，出差往返在交通意外保险期限内的或学校已统一购买的，不能重复购买。</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89" w:name="_Toc15434_WPSOffice_Level1"/>
      <w:r>
        <w:rPr>
          <w:rFonts w:hint="eastAsia" w:ascii="黑体" w:hAnsi="仿宋_GB2312" w:eastAsia="黑体" w:cs="仿宋_GB2312"/>
          <w:b/>
          <w:kern w:val="0"/>
          <w:sz w:val="32"/>
          <w:szCs w:val="32"/>
          <w:lang w:bidi="ar"/>
        </w:rPr>
        <w:t>第三章  住宿费</w:t>
      </w:r>
      <w:bookmarkEnd w:id="1189"/>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住宿费是指工作人员因公出差期间入住宾馆（包括饭店、招待所，下同）发生的房租费用。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第十五条  </w:t>
      </w:r>
      <w:r>
        <w:rPr>
          <w:rFonts w:hint="eastAsia" w:ascii="仿宋_GB2312" w:hAnsi="仿宋_GB2312" w:eastAsia="仿宋_GB2312" w:cs="仿宋_GB2312"/>
          <w:kern w:val="0"/>
          <w:sz w:val="32"/>
          <w:szCs w:val="32"/>
          <w:lang w:bidi="ar"/>
        </w:rPr>
        <w:t>住宿费按出差自然（日历）天数计算，出差人员应当在职务级别对应的出差目的地住宿费限额标准内选择安全、经济、便捷的宾馆住宿，并在规定限额标准内（不含物品消费）凭据报销，具体限额标准规定按柳州市最新公布的住宿费标准执行，未按规定等级住宿的，超支部分个人自理。</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hint="eastAsia" w:ascii="仿宋_GB2312" w:hAnsi="仿宋_GB2312" w:eastAsia="仿宋_GB2312" w:cs="仿宋_GB2312"/>
          <w:kern w:val="0"/>
          <w:sz w:val="32"/>
          <w:szCs w:val="32"/>
          <w:lang w:bidi="ar"/>
        </w:rPr>
        <w:t xml:space="preserve">  工作人员出差住宿应当本着厉行节俭反对浪费的原则，在住宿费限额标准以内（详见附件2、附件3），厅局级以下人员住单间或标准间。</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对于住宿价格季节性变化明显的城市，住宿费限额标准在旺季可适当上浮一定比例，具体规定按柳州市财政局通知的标准执行。</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hint="eastAsia" w:ascii="仿宋_GB2312" w:hAnsi="仿宋_GB2312" w:eastAsia="仿宋_GB2312" w:cs="仿宋_GB2312"/>
          <w:kern w:val="0"/>
          <w:sz w:val="32"/>
          <w:szCs w:val="32"/>
          <w:lang w:bidi="ar"/>
        </w:rPr>
        <w:t xml:space="preserve">  住宿费在标准限额之内凭发票据实报销。实际发生住宿而无住宿费发票的，不得报销住宿费、城市间交通费、市内交通费、伙食补助费。对因挂职及异地任职干部回家庭常住地（指配偶及未满</w:t>
      </w:r>
      <w:r>
        <w:rPr>
          <w:rFonts w:ascii="仿宋_GB2312" w:hAnsi="仿宋_GB2312" w:eastAsia="仿宋_GB2312" w:cs="仿宋_GB2312"/>
          <w:kern w:val="0"/>
          <w:sz w:val="32"/>
          <w:szCs w:val="32"/>
          <w:lang w:bidi="ar"/>
        </w:rPr>
        <w:t>18</w:t>
      </w:r>
      <w:r>
        <w:rPr>
          <w:rFonts w:hint="eastAsia" w:ascii="仿宋_GB2312" w:hAnsi="仿宋_GB2312" w:eastAsia="仿宋_GB2312" w:cs="仿宋_GB2312"/>
          <w:kern w:val="0"/>
          <w:sz w:val="32"/>
          <w:szCs w:val="32"/>
          <w:lang w:bidi="ar"/>
        </w:rPr>
        <w:t>周岁子女所在地）出差回家居住等原因无法提供住宿费发票的，由单位根据实际情况经总会计师批准后，按规定标准报销差旅费。</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第十八条</w:t>
      </w:r>
      <w:r>
        <w:rPr>
          <w:rFonts w:hint="eastAsia" w:ascii="仿宋_GB2312" w:hAnsi="仿宋_GB2312" w:eastAsia="仿宋_GB2312" w:cs="仿宋_GB2312"/>
          <w:kern w:val="0"/>
          <w:sz w:val="32"/>
          <w:szCs w:val="32"/>
          <w:lang w:bidi="ar"/>
        </w:rPr>
        <w:t xml:space="preserve">  当天往返的，原则上不报销住宿费。因公务活动超过半天的，可安排午休房。</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90" w:name="_Toc23374_WPSOffice_Level1"/>
      <w:r>
        <w:rPr>
          <w:rFonts w:hint="eastAsia" w:ascii="黑体" w:hAnsi="仿宋_GB2312" w:eastAsia="黑体" w:cs="仿宋_GB2312"/>
          <w:b/>
          <w:kern w:val="0"/>
          <w:sz w:val="32"/>
          <w:szCs w:val="32"/>
          <w:lang w:bidi="ar"/>
        </w:rPr>
        <w:t>第四章  伙食补助费</w:t>
      </w:r>
      <w:bookmarkEnd w:id="1190"/>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第十九条</w:t>
      </w:r>
      <w:r>
        <w:rPr>
          <w:rFonts w:hint="eastAsia" w:ascii="仿宋_GB2312" w:hAnsi="仿宋_GB2312" w:eastAsia="仿宋_GB2312" w:cs="仿宋_GB2312"/>
          <w:kern w:val="0"/>
          <w:sz w:val="32"/>
          <w:szCs w:val="32"/>
          <w:lang w:bidi="ar"/>
        </w:rPr>
        <w:t xml:space="preserve">  伙食补助费是指对工作人员因公出差期间给予的伙食补助费用。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第二十条</w:t>
      </w:r>
      <w:r>
        <w:rPr>
          <w:rFonts w:hint="eastAsia" w:ascii="仿宋_GB2312" w:hAnsi="仿宋_GB2312" w:eastAsia="仿宋_GB2312" w:cs="仿宋_GB2312"/>
          <w:kern w:val="0"/>
          <w:sz w:val="32"/>
          <w:szCs w:val="32"/>
          <w:lang w:bidi="ar"/>
        </w:rPr>
        <w:t xml:space="preserve">  伙食补助费按出差自然（日历）天数计算，按规定标准包干使用。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第二十一条  </w:t>
      </w:r>
      <w:r>
        <w:rPr>
          <w:rFonts w:hint="eastAsia" w:ascii="仿宋_GB2312" w:hAnsi="仿宋_GB2312" w:eastAsia="仿宋_GB2312" w:cs="仿宋_GB2312"/>
          <w:kern w:val="0"/>
          <w:sz w:val="32"/>
          <w:szCs w:val="32"/>
          <w:lang w:bidi="ar"/>
        </w:rPr>
        <w:t>学校工作人员到广西区外出差依照自治区财政厅的分地区伙食补助费标准执行（即：除西藏、青海、新疆为</w:t>
      </w:r>
      <w:r>
        <w:rPr>
          <w:rFonts w:ascii="仿宋_GB2312" w:hAnsi="仿宋_GB2312" w:eastAsia="仿宋_GB2312" w:cs="仿宋_GB2312"/>
          <w:kern w:val="0"/>
          <w:sz w:val="32"/>
          <w:szCs w:val="32"/>
          <w:lang w:bidi="ar"/>
        </w:rPr>
        <w:t>120</w:t>
      </w:r>
      <w:r>
        <w:rPr>
          <w:rFonts w:hint="eastAsia" w:ascii="仿宋_GB2312" w:hAnsi="仿宋_GB2312" w:eastAsia="仿宋_GB2312" w:cs="仿宋_GB2312"/>
          <w:kern w:val="0"/>
          <w:sz w:val="32"/>
          <w:szCs w:val="32"/>
          <w:lang w:bidi="ar"/>
        </w:rPr>
        <w:t>元</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天外，其它地区为</w:t>
      </w:r>
      <w:r>
        <w:rPr>
          <w:rFonts w:ascii="仿宋_GB2312" w:hAnsi="仿宋_GB2312" w:eastAsia="仿宋_GB2312" w:cs="仿宋_GB2312"/>
          <w:kern w:val="0"/>
          <w:sz w:val="32"/>
          <w:szCs w:val="32"/>
          <w:lang w:bidi="ar"/>
        </w:rPr>
        <w:t>100</w:t>
      </w:r>
      <w:r>
        <w:rPr>
          <w:rFonts w:hint="eastAsia" w:ascii="仿宋_GB2312" w:hAnsi="仿宋_GB2312" w:eastAsia="仿宋_GB2312" w:cs="仿宋_GB2312"/>
          <w:kern w:val="0"/>
          <w:sz w:val="32"/>
          <w:szCs w:val="32"/>
          <w:lang w:bidi="ar"/>
        </w:rPr>
        <w:t>元</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天）。广西区内出差伙食补助费执行统一标准，按每人每天</w:t>
      </w:r>
      <w:r>
        <w:rPr>
          <w:rFonts w:ascii="仿宋_GB2312" w:hAnsi="仿宋_GB2312" w:eastAsia="仿宋_GB2312" w:cs="仿宋_GB2312"/>
          <w:kern w:val="0"/>
          <w:sz w:val="32"/>
          <w:szCs w:val="32"/>
          <w:lang w:bidi="ar"/>
        </w:rPr>
        <w:t>100</w:t>
      </w:r>
      <w:r>
        <w:rPr>
          <w:rFonts w:hint="eastAsia" w:ascii="仿宋_GB2312" w:hAnsi="仿宋_GB2312" w:eastAsia="仿宋_GB2312" w:cs="仿宋_GB2312"/>
          <w:kern w:val="0"/>
          <w:sz w:val="32"/>
          <w:szCs w:val="32"/>
          <w:lang w:bidi="ar"/>
        </w:rPr>
        <w:t>元包干使用。</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第二十二条</w:t>
      </w:r>
      <w:r>
        <w:rPr>
          <w:rFonts w:hint="eastAsia" w:ascii="仿宋_GB2312" w:hAnsi="仿宋_GB2312" w:eastAsia="仿宋_GB2312" w:cs="仿宋_GB2312"/>
          <w:kern w:val="0"/>
          <w:sz w:val="32"/>
          <w:szCs w:val="32"/>
          <w:lang w:bidi="ar"/>
        </w:rPr>
        <w:t xml:space="preserve">  出差人员（含下基层工作人员）应当自行用餐，凡由接待单位统一安排用餐的，应当向接待单位交纳伙食费。接待单位应当按照有关财务会计制度的规定代收费用、出具相关证明给出差人员并将款项支付给伙食提供方进行结算。</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91" w:name="_Toc28525_WPSOffice_Level1"/>
      <w:r>
        <w:rPr>
          <w:rFonts w:hint="eastAsia" w:ascii="黑体" w:hAnsi="仿宋_GB2312" w:eastAsia="黑体" w:cs="仿宋_GB2312"/>
          <w:b/>
          <w:kern w:val="0"/>
          <w:sz w:val="32"/>
          <w:szCs w:val="32"/>
          <w:lang w:bidi="ar"/>
        </w:rPr>
        <w:t>第五章  市内交通费</w:t>
      </w:r>
      <w:bookmarkEnd w:id="1191"/>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第二十三条</w:t>
      </w:r>
      <w:r>
        <w:rPr>
          <w:rFonts w:hint="eastAsia" w:ascii="仿宋_GB2312" w:hAnsi="仿宋_GB2312" w:eastAsia="仿宋_GB2312" w:cs="仿宋_GB2312"/>
          <w:kern w:val="0"/>
          <w:sz w:val="32"/>
          <w:szCs w:val="32"/>
          <w:lang w:bidi="ar"/>
        </w:rPr>
        <w:t xml:space="preserve">  市内交通费是指工作人员因公出差期间发生的市内交通费用。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第二十四条 </w:t>
      </w:r>
      <w:r>
        <w:rPr>
          <w:rFonts w:hint="eastAsia" w:ascii="仿宋_GB2312" w:hAnsi="仿宋_GB2312" w:eastAsia="仿宋_GB2312" w:cs="仿宋_GB2312"/>
          <w:kern w:val="0"/>
          <w:sz w:val="32"/>
          <w:szCs w:val="32"/>
          <w:lang w:bidi="ar"/>
        </w:rPr>
        <w:t xml:space="preserve"> 市内交通费按出差自然</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日历</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天数计算，按规定包干使用。学校工作人员到广西区外、区内（除柳州市辖县外）出差，市内交通补助费每人每天</w:t>
      </w:r>
      <w:r>
        <w:rPr>
          <w:rFonts w:ascii="仿宋_GB2312" w:hAnsi="仿宋_GB2312" w:eastAsia="仿宋_GB2312" w:cs="仿宋_GB2312"/>
          <w:kern w:val="0"/>
          <w:sz w:val="32"/>
          <w:szCs w:val="32"/>
          <w:lang w:bidi="ar"/>
        </w:rPr>
        <w:t>80</w:t>
      </w:r>
      <w:r>
        <w:rPr>
          <w:rFonts w:hint="eastAsia" w:ascii="仿宋_GB2312" w:hAnsi="仿宋_GB2312" w:eastAsia="仿宋_GB2312" w:cs="仿宋_GB2312"/>
          <w:kern w:val="0"/>
          <w:sz w:val="32"/>
          <w:szCs w:val="32"/>
          <w:lang w:bidi="ar"/>
        </w:rPr>
        <w:t>元，到柳州市辖县出差交通补助费每人每天</w:t>
      </w:r>
      <w:r>
        <w:rPr>
          <w:rFonts w:ascii="仿宋_GB2312" w:hAnsi="仿宋_GB2312" w:eastAsia="仿宋_GB2312" w:cs="仿宋_GB2312"/>
          <w:kern w:val="0"/>
          <w:sz w:val="32"/>
          <w:szCs w:val="32"/>
          <w:lang w:bidi="ar"/>
        </w:rPr>
        <w:t>50</w:t>
      </w:r>
      <w:r>
        <w:rPr>
          <w:rFonts w:hint="eastAsia" w:ascii="仿宋_GB2312" w:hAnsi="仿宋_GB2312" w:eastAsia="仿宋_GB2312" w:cs="仿宋_GB2312"/>
          <w:kern w:val="0"/>
          <w:sz w:val="32"/>
          <w:szCs w:val="32"/>
          <w:lang w:bidi="ar"/>
        </w:rPr>
        <w:t>元。</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第二十五条</w:t>
      </w:r>
      <w:r>
        <w:rPr>
          <w:rFonts w:hint="eastAsia" w:ascii="仿宋_GB2312" w:hAnsi="仿宋_GB2312" w:eastAsia="仿宋_GB2312" w:cs="仿宋_GB2312"/>
          <w:kern w:val="0"/>
          <w:sz w:val="32"/>
          <w:szCs w:val="32"/>
          <w:lang w:bidi="ar"/>
        </w:rPr>
        <w:t xml:space="preserve">  出差人员由接待单位或其他单位提供交通工具的，应向接待单位或其他单位交纳相关费用，交纳的费用不超过市内交通费补助标准。可向接待单位索取交费凭据以证明自己已经缴纳相关费用，但不作为报销的凭据，出差人员的市内交通费仍按自然天数包干发放。</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第二十六条</w:t>
      </w:r>
      <w:r>
        <w:rPr>
          <w:rFonts w:hint="eastAsia" w:ascii="仿宋_GB2312" w:hAnsi="仿宋_GB2312" w:eastAsia="仿宋_GB2312" w:cs="仿宋_GB2312"/>
          <w:kern w:val="0"/>
          <w:sz w:val="32"/>
          <w:szCs w:val="32"/>
          <w:lang w:bidi="ar"/>
        </w:rPr>
        <w:t xml:space="preserve">  出差人员因公临时出差由单位派车的，不再另行补助市内交通费。单位派车出差仅用于城市间交通的，应予以报销市内交通费。</w:t>
      </w:r>
    </w:p>
    <w:p>
      <w:pPr>
        <w:pageBreakBefore w:val="0"/>
        <w:kinsoku/>
        <w:wordWrap/>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第二十七条 </w:t>
      </w:r>
      <w:r>
        <w:rPr>
          <w:rFonts w:hint="eastAsia" w:ascii="仿宋_GB2312" w:hAnsi="仿宋_GB2312" w:eastAsia="仿宋_GB2312" w:cs="仿宋_GB2312"/>
          <w:kern w:val="0"/>
          <w:sz w:val="32"/>
          <w:szCs w:val="32"/>
          <w:lang w:bidi="ar"/>
        </w:rPr>
        <w:t xml:space="preserve"> 单位派车应有派车记录，以便财务人员审核。单位临时性租用车辆进行差旅活动的，租车经费纳入差旅费管理。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92" w:name="_Toc15999_WPSOffice_Level1"/>
      <w:r>
        <w:rPr>
          <w:rFonts w:hint="eastAsia" w:ascii="黑体" w:hAnsi="仿宋_GB2312" w:eastAsia="黑体" w:cs="仿宋_GB2312"/>
          <w:b/>
          <w:kern w:val="0"/>
          <w:sz w:val="32"/>
          <w:szCs w:val="32"/>
          <w:lang w:bidi="ar"/>
        </w:rPr>
        <w:t>第六章  报销管理</w:t>
      </w:r>
      <w:bookmarkEnd w:id="1192"/>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第二十八条 </w:t>
      </w:r>
      <w:r>
        <w:rPr>
          <w:rFonts w:hint="eastAsia" w:ascii="仿宋_GB2312" w:hAnsi="仿宋_GB2312" w:eastAsia="仿宋_GB2312" w:cs="仿宋_GB2312"/>
          <w:kern w:val="0"/>
          <w:sz w:val="32"/>
          <w:szCs w:val="32"/>
          <w:lang w:bidi="ar"/>
        </w:rPr>
        <w:t xml:space="preserve"> 各部门应严格遵循国家财经法律法规及学校有关规定，加强对本部门出差活动和经费报销的管理。出差人员必须履行事前出差审批制度，从严控制出差人数和天数，控制差旅费支出规模，严禁无实质内容、无明确公务目的的差旅活动。所取得的原始票据必须符合国家会计制度的规定，对各项支出内容和报销凭证的合法性、合理性、真实性负责。严禁虚构出差内容或假公济私、多列出差天数等。</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第二十九条</w:t>
      </w:r>
      <w:r>
        <w:rPr>
          <w:rFonts w:hint="eastAsia" w:ascii="仿宋_GB2312" w:hAnsi="仿宋_GB2312" w:eastAsia="仿宋_GB2312" w:cs="仿宋_GB2312"/>
          <w:kern w:val="0"/>
          <w:sz w:val="32"/>
          <w:szCs w:val="32"/>
          <w:lang w:bidi="ar"/>
        </w:rPr>
        <w:t xml:space="preserve">  各部门工作人员出差，通过学校网上（</w:t>
      </w:r>
      <w:r>
        <w:rPr>
          <w:rFonts w:ascii="仿宋_GB2312" w:hAnsi="仿宋_GB2312" w:eastAsia="仿宋_GB2312" w:cs="仿宋_GB2312"/>
          <w:kern w:val="0"/>
          <w:sz w:val="32"/>
          <w:szCs w:val="32"/>
          <w:lang w:bidi="ar"/>
        </w:rPr>
        <w:t>CRP</w:t>
      </w:r>
      <w:r>
        <w:rPr>
          <w:rFonts w:hint="eastAsia" w:ascii="仿宋_GB2312" w:hAnsi="仿宋_GB2312" w:eastAsia="仿宋_GB2312" w:cs="仿宋_GB2312"/>
          <w:kern w:val="0"/>
          <w:sz w:val="32"/>
          <w:szCs w:val="32"/>
          <w:lang w:bidi="ar"/>
        </w:rPr>
        <w:t>）填写《柳州职业技术学院公务出差申请表》（见附件1）或者提交的综合请示有公务出差事项（含出差人员、时间、地点及交通工具等内容），应按公务出差审批权限规定报批后方可出差，未经事前审批同意外出的，所发生的一切费用自理。</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第三十条</w:t>
      </w:r>
      <w:r>
        <w:rPr>
          <w:rFonts w:hint="eastAsia" w:ascii="仿宋_GB2312" w:hAnsi="仿宋_GB2312" w:eastAsia="仿宋_GB2312" w:cs="仿宋_GB2312"/>
          <w:kern w:val="0"/>
          <w:sz w:val="32"/>
          <w:szCs w:val="32"/>
          <w:lang w:bidi="ar"/>
        </w:rPr>
        <w:t xml:space="preserve">  学校按国家规定实行国库集中支付制度和公务卡结算制度</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工作人员出差原则上不预借差旅费用。住宿费、会务费、培训费及机票款支出等，按规定使用公务卡结算。</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第三十一条  </w:t>
      </w:r>
      <w:r>
        <w:rPr>
          <w:rFonts w:hint="eastAsia" w:ascii="仿宋_GB2312" w:hAnsi="仿宋_GB2312" w:eastAsia="仿宋_GB2312" w:cs="仿宋_GB2312"/>
          <w:kern w:val="0"/>
          <w:sz w:val="32"/>
          <w:szCs w:val="32"/>
          <w:lang w:bidi="ar"/>
        </w:rPr>
        <w:t>工作人员应在出差结束返校后</w:t>
      </w:r>
      <w:r>
        <w:rPr>
          <w:rFonts w:ascii="仿宋_GB2312" w:hAnsi="仿宋_GB2312" w:eastAsia="仿宋_GB2312" w:cs="仿宋_GB2312"/>
          <w:kern w:val="0"/>
          <w:sz w:val="32"/>
          <w:szCs w:val="32"/>
          <w:lang w:bidi="ar"/>
        </w:rPr>
        <w:t>10</w:t>
      </w:r>
      <w:r>
        <w:rPr>
          <w:rFonts w:hint="eastAsia" w:ascii="仿宋_GB2312" w:hAnsi="仿宋_GB2312" w:eastAsia="仿宋_GB2312" w:cs="仿宋_GB2312"/>
          <w:kern w:val="0"/>
          <w:sz w:val="32"/>
          <w:szCs w:val="32"/>
          <w:lang w:bidi="ar"/>
        </w:rPr>
        <w:t>个工作日之内及时办理报销手续。差旅费报销时应当提交出差审批表、</w:t>
      </w:r>
      <w:r>
        <w:rPr>
          <w:rFonts w:ascii="仿宋_GB2312" w:hAnsi="仿宋_GB2312" w:eastAsia="仿宋_GB2312" w:cs="仿宋_GB2312"/>
          <w:kern w:val="0"/>
          <w:sz w:val="32"/>
          <w:szCs w:val="32"/>
          <w:lang w:bidi="ar"/>
        </w:rPr>
        <w:t>城市间交通费票据</w:t>
      </w:r>
      <w:r>
        <w:rPr>
          <w:rFonts w:hint="eastAsia" w:ascii="仿宋_GB2312" w:hAnsi="仿宋_GB2312" w:eastAsia="仿宋_GB2312" w:cs="仿宋_GB2312"/>
          <w:kern w:val="0"/>
          <w:sz w:val="32"/>
          <w:szCs w:val="32"/>
          <w:lang w:bidi="ar"/>
        </w:rPr>
        <w:t>、住宿费发票及刷卡小票（或公务卡使用凭据）等凭证。参加会议、培训的，还应提供经批准的会议、培训通知函等其他必需的资料。差旅费报销时伙食补助费和市内交通费原则上应直接发放给相关出差人员。</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第三十二条</w:t>
      </w:r>
      <w:r>
        <w:rPr>
          <w:rFonts w:hint="eastAsia" w:ascii="仿宋_GB2312" w:hAnsi="仿宋_GB2312" w:eastAsia="仿宋_GB2312" w:cs="仿宋_GB2312"/>
          <w:kern w:val="0"/>
          <w:sz w:val="32"/>
          <w:szCs w:val="32"/>
          <w:lang w:bidi="ar"/>
        </w:rPr>
        <w:t xml:space="preserve">  出差人员出差因私绕道的，如省亲办事等，绕道和探亲期间不报销住宿费、伙食补助费和市内交通费。绕道交通费以出差直线单程交通费为核定依据，绕道交通费少于直线交通费的，按实报销，超过部分自理。</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第三十三条</w:t>
      </w:r>
      <w:r>
        <w:rPr>
          <w:rFonts w:hint="eastAsia" w:ascii="仿宋_GB2312" w:hAnsi="仿宋_GB2312" w:eastAsia="仿宋_GB2312" w:cs="仿宋_GB2312"/>
          <w:kern w:val="0"/>
          <w:sz w:val="32"/>
          <w:szCs w:val="32"/>
          <w:lang w:bidi="ar"/>
        </w:rPr>
        <w:t xml:space="preserve">  遗失城市间交通费票据的，必须提供购票付款记录、登机记录或乘车依据等证明材料，经财务处负责人审批，可以据实报销。不能提供相关证明材料的，遗失的城市间交通费不予报销。</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第三十四条</w:t>
      </w:r>
      <w:r>
        <w:rPr>
          <w:rFonts w:hint="eastAsia" w:ascii="仿宋_GB2312" w:hAnsi="仿宋_GB2312" w:eastAsia="仿宋_GB2312" w:cs="仿宋_GB2312"/>
          <w:kern w:val="0"/>
          <w:sz w:val="32"/>
          <w:szCs w:val="32"/>
          <w:lang w:bidi="ar"/>
        </w:rPr>
        <w:t xml:space="preserve">  学校工作人员下基层（到乡镇、村屯级）开展公务活动的，伙食费的交纳应按柳州市本级党政机关下基层开展公务活动伙食费交纳管理规定执行。</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学校工作人员到柳江区区属里雍镇、白沙镇、土博镇、流山镇、洛满镇、里高镇六个乡镇开展公务活动的，按到柳州市所属县出差的伙食补助费、交通补助费标准执行，如有变化的，按照柳州市财政局文件通知的规定执行。</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第三十五条 </w:t>
      </w:r>
      <w:r>
        <w:rPr>
          <w:rFonts w:hint="eastAsia" w:ascii="仿宋_GB2312" w:hAnsi="仿宋_GB2312" w:eastAsia="仿宋_GB2312" w:cs="仿宋_GB2312"/>
          <w:kern w:val="0"/>
          <w:sz w:val="32"/>
          <w:szCs w:val="32"/>
          <w:lang w:bidi="ar"/>
        </w:rPr>
        <w:t xml:space="preserve"> 因公出差无城市间交通凭据的，除单位派车出差外，因乘坐顺风车、使用私家车及其他方式出差等无城市间交通费凭据的，凭出差审批单、住宿票报销伙食补助费和市内交通费补助，出差当天往返无住宿费发票的，可凭出差审批单报销伙食补助费和市内交通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第三十六条</w:t>
      </w:r>
      <w:r>
        <w:rPr>
          <w:rFonts w:hint="eastAsia" w:ascii="仿宋_GB2312" w:hAnsi="仿宋_GB2312" w:eastAsia="仿宋_GB2312" w:cs="仿宋_GB2312"/>
          <w:kern w:val="0"/>
          <w:sz w:val="32"/>
          <w:szCs w:val="32"/>
          <w:lang w:bidi="ar"/>
        </w:rPr>
        <w:t xml:space="preserve">  参加市党代会、人代会、政协会、群众团体代表大会等会议以及统一开展履职活动的人员，由召开会议或统一组织活动的单位发放补助。人大代表、政协委员在闭会期间参加各单位组织的座谈、调研、咨询等会议和活动，所需差旅费由组织单位按规定报销。</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第三十七条  </w:t>
      </w:r>
      <w:r>
        <w:rPr>
          <w:rFonts w:hint="eastAsia" w:ascii="仿宋_GB2312" w:hAnsi="仿宋_GB2312" w:eastAsia="仿宋_GB2312" w:cs="仿宋_GB2312"/>
          <w:kern w:val="0"/>
          <w:sz w:val="32"/>
          <w:szCs w:val="32"/>
          <w:lang w:bidi="ar"/>
        </w:rPr>
        <w:t>学校工作人员因工作需要到常驻地以外地区实</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见</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习、工作锻炼、支援工作、各种工作队以及选送学习等，按照市党委组织部与财政局制定的相关补助费用范围及标准报销差旅费。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第三十八条</w:t>
      </w:r>
      <w:r>
        <w:rPr>
          <w:rFonts w:hint="eastAsia" w:ascii="仿宋_GB2312" w:hAnsi="仿宋_GB2312" w:eastAsia="仿宋_GB2312" w:cs="仿宋_GB2312"/>
          <w:kern w:val="0"/>
          <w:sz w:val="32"/>
          <w:szCs w:val="32"/>
          <w:lang w:bidi="ar"/>
        </w:rPr>
        <w:t xml:space="preserve">  工作人员外出参加会议、培训，往返会议、培训地点的差旅费按本办法有关规定报销，会议、培训期间的差旅费按如下执行：</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如举办单位统一安排食宿的，会议、培训期间不报销食宿费和市内交通费；如举办单位统一安排食宿但费用自理的，会议、培训期间可报销食宿费，但不发放市内交通费；如参加会议、培训的会议费、培训费或住宿费含有伙食费的，不发放伙食补助费。</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第三十九条 </w:t>
      </w:r>
      <w:r>
        <w:rPr>
          <w:rFonts w:hint="eastAsia" w:ascii="仿宋_GB2312" w:hAnsi="仿宋_GB2312" w:eastAsia="仿宋_GB2312" w:cs="仿宋_GB2312"/>
          <w:kern w:val="0"/>
          <w:sz w:val="32"/>
          <w:szCs w:val="32"/>
          <w:lang w:bidi="ar"/>
        </w:rPr>
        <w:t xml:space="preserve"> 出差人员因工作需要，提前报到或推迟离开出差目的地的，应在《柳州职业技术学院公务出差申请表》的其他需要申请的事项中（或另提交）详细说明，并按公务出差审批权限规定报批后，从严审核报销。</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第四十条  </w:t>
      </w:r>
      <w:r>
        <w:rPr>
          <w:rFonts w:hint="eastAsia" w:ascii="仿宋_GB2312" w:hAnsi="仿宋_GB2312" w:eastAsia="仿宋_GB2312" w:cs="仿宋_GB2312"/>
          <w:kern w:val="0"/>
          <w:sz w:val="32"/>
          <w:szCs w:val="32"/>
          <w:lang w:bidi="ar"/>
        </w:rPr>
        <w:t>到实习基地（跟班实习指导）、函授站、培训点等工作的教师和管理人员，应从简居住在接受单位安排的住处，一般不得居住在宾馆和饭店。在途期间的城市间交通费、住宿费、伙食补助费和市内交通费按本办法执行。工作期间，不发放市内交通费，区内每人每天发放伙食补助</w:t>
      </w:r>
      <w:r>
        <w:rPr>
          <w:rFonts w:ascii="仿宋_GB2312" w:hAnsi="仿宋_GB2312" w:eastAsia="仿宋_GB2312" w:cs="仿宋_GB2312"/>
          <w:kern w:val="0"/>
          <w:sz w:val="32"/>
          <w:szCs w:val="32"/>
          <w:lang w:bidi="ar"/>
        </w:rPr>
        <w:t>40</w:t>
      </w:r>
      <w:r>
        <w:rPr>
          <w:rFonts w:hint="eastAsia" w:ascii="仿宋_GB2312" w:hAnsi="仿宋_GB2312" w:eastAsia="仿宋_GB2312" w:cs="仿宋_GB2312"/>
          <w:kern w:val="0"/>
          <w:sz w:val="32"/>
          <w:szCs w:val="32"/>
          <w:lang w:bidi="ar"/>
        </w:rPr>
        <w:t>元，区外每人每天发放伙食补助</w:t>
      </w:r>
      <w:r>
        <w:rPr>
          <w:rFonts w:ascii="仿宋_GB2312" w:hAnsi="仿宋_GB2312" w:eastAsia="仿宋_GB2312" w:cs="仿宋_GB2312"/>
          <w:kern w:val="0"/>
          <w:sz w:val="32"/>
          <w:szCs w:val="32"/>
          <w:lang w:bidi="ar"/>
        </w:rPr>
        <w:t>50</w:t>
      </w:r>
      <w:r>
        <w:rPr>
          <w:rFonts w:hint="eastAsia" w:ascii="仿宋_GB2312" w:hAnsi="仿宋_GB2312" w:eastAsia="仿宋_GB2312" w:cs="仿宋_GB2312"/>
          <w:kern w:val="0"/>
          <w:sz w:val="32"/>
          <w:szCs w:val="32"/>
          <w:lang w:bidi="ar"/>
        </w:rPr>
        <w:t>元。</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w:t>
      </w:r>
      <w:bookmarkStart w:id="1193" w:name="_Toc6324_WPSOffice_Level1"/>
      <w:r>
        <w:rPr>
          <w:rFonts w:hint="eastAsia" w:ascii="仿宋_GB2312" w:hAnsi="仿宋_GB2312" w:eastAsia="仿宋_GB2312" w:cs="仿宋_GB2312"/>
          <w:b/>
          <w:kern w:val="0"/>
          <w:sz w:val="32"/>
          <w:szCs w:val="32"/>
          <w:lang w:bidi="ar"/>
        </w:rPr>
        <w:t xml:space="preserve">十一条  </w:t>
      </w:r>
      <w:r>
        <w:rPr>
          <w:rFonts w:hint="eastAsia" w:ascii="仿宋_GB2312" w:hAnsi="仿宋_GB2312" w:eastAsia="仿宋_GB2312" w:cs="仿宋_GB2312"/>
          <w:kern w:val="0"/>
          <w:sz w:val="32"/>
          <w:szCs w:val="32"/>
          <w:lang w:bidi="ar"/>
        </w:rPr>
        <w:t>未按规定开支差旅费的，超支部分由个</w:t>
      </w:r>
      <w:bookmarkEnd w:id="1193"/>
      <w:r>
        <w:rPr>
          <w:rFonts w:hint="eastAsia" w:ascii="仿宋_GB2312" w:hAnsi="仿宋_GB2312" w:eastAsia="仿宋_GB2312" w:cs="仿宋_GB2312"/>
          <w:kern w:val="0"/>
          <w:sz w:val="32"/>
          <w:szCs w:val="32"/>
          <w:lang w:bidi="ar"/>
        </w:rPr>
        <w:t>人自理。工作人员出差期间因游览或非工作需要参观而开支的费用，均由个人自理。</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第四十二条  </w:t>
      </w:r>
      <w:r>
        <w:rPr>
          <w:rFonts w:hint="eastAsia" w:ascii="仿宋_GB2312" w:hAnsi="仿宋_GB2312" w:eastAsia="仿宋_GB2312" w:cs="仿宋_GB2312"/>
          <w:kern w:val="0"/>
          <w:sz w:val="32"/>
          <w:szCs w:val="32"/>
          <w:lang w:bidi="ar"/>
        </w:rPr>
        <w:t>工作人员因调动工作发生的城市间交通费、住宿费、伙食补助费和市内交通费，由调入单位按差旅费管理办法规定予以一次性报销。随迁家属和搬迁家具发生的费用由调动人员自理。</w:t>
      </w:r>
      <w:r>
        <w:rPr>
          <w:rFonts w:ascii="仿宋_GB2312" w:hAnsi="仿宋_GB2312" w:eastAsia="仿宋_GB2312" w:cs="仿宋_GB2312"/>
          <w:kern w:val="0"/>
          <w:sz w:val="32"/>
          <w:szCs w:val="32"/>
          <w:lang w:bidi="ar"/>
        </w:rPr>
        <w:t>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94" w:name="_Toc21036_WPSOffice_Level1"/>
      <w:r>
        <w:rPr>
          <w:rFonts w:hint="eastAsia" w:ascii="黑体" w:hAnsi="仿宋_GB2312" w:eastAsia="黑体" w:cs="仿宋_GB2312"/>
          <w:b/>
          <w:kern w:val="0"/>
          <w:sz w:val="32"/>
          <w:szCs w:val="32"/>
          <w:lang w:bidi="ar"/>
        </w:rPr>
        <w:t>第七章</w:t>
      </w:r>
      <w:r>
        <w:rPr>
          <w:rFonts w:ascii="黑体" w:hAnsi="仿宋_GB2312" w:eastAsia="黑体" w:cs="仿宋_GB2312"/>
          <w:b/>
          <w:kern w:val="0"/>
          <w:sz w:val="32"/>
          <w:szCs w:val="32"/>
          <w:lang w:bidi="ar"/>
        </w:rPr>
        <w:t> </w:t>
      </w:r>
      <w:r>
        <w:rPr>
          <w:rFonts w:hint="eastAsia" w:ascii="黑体" w:hAnsi="仿宋_GB2312" w:eastAsia="黑体" w:cs="仿宋_GB2312"/>
          <w:b/>
          <w:kern w:val="0"/>
          <w:sz w:val="32"/>
          <w:szCs w:val="32"/>
          <w:lang w:bidi="ar"/>
        </w:rPr>
        <w:t>监督问责</w:t>
      </w:r>
      <w:bookmarkEnd w:id="1194"/>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第四十三条</w:t>
      </w:r>
      <w:r>
        <w:rPr>
          <w:rFonts w:hint="eastAsia" w:ascii="仿宋_GB2312" w:hAnsi="仿宋_GB2312" w:eastAsia="仿宋_GB2312" w:cs="仿宋_GB2312"/>
          <w:kern w:val="0"/>
          <w:sz w:val="32"/>
          <w:szCs w:val="32"/>
          <w:lang w:bidi="ar"/>
        </w:rPr>
        <w:t xml:space="preserve">  各部门应加强对本部门工作人员出差活动和经费报销的内控管理，对本部门出差审批、差旅费预算及规模控制负责，相关领导、财务人员等要对差旅费报销进行审核把关，出差人要确保票据来源合法，内容真实完整、合规。对未经批准擅自出差、不按规定开支和报销差旅费的人员要进行严肃处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各部门应当自觉接受纪检监察审计部门对出差活动及相关经费支出的审计监督。</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第四十四条 </w:t>
      </w:r>
      <w:r>
        <w:rPr>
          <w:rFonts w:hint="eastAsia" w:ascii="仿宋_GB2312" w:hAnsi="仿宋_GB2312" w:eastAsia="仿宋_GB2312" w:cs="仿宋_GB2312"/>
          <w:kern w:val="0"/>
          <w:sz w:val="32"/>
          <w:szCs w:val="32"/>
          <w:lang w:bidi="ar"/>
        </w:rPr>
        <w:t xml:space="preserve"> 学校财务部门会同学校纪检监察、审计等有关部门对学校差旅费管理和使用情况进行监督检查。主要内容包括：</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（一）单位差旅审批制度是否健全，出差活动是否按规定履行审批手续；</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（二）差旅费开支范围和开支标准是否符合规定；</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（三）差旅费报销是否符合规定；</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（四）是否向下级单位、企业或其他单位转嫁差旅费；</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（五）差旅费管理和使用的其他情况。</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第四十五条 </w:t>
      </w:r>
      <w:r>
        <w:rPr>
          <w:rFonts w:hint="eastAsia" w:ascii="仿宋_GB2312" w:hAnsi="仿宋_GB2312" w:eastAsia="仿宋_GB2312" w:cs="仿宋_GB2312"/>
          <w:kern w:val="0"/>
          <w:sz w:val="32"/>
          <w:szCs w:val="32"/>
          <w:lang w:bidi="ar"/>
        </w:rPr>
        <w:t xml:space="preserve"> 出差人员不得向接待单位提出正常公务活动以外的要求，不得在出差期间接受违反规定用公款支付的宴请、游览和非工作需要的参观，不得接受礼品、礼金和土特产品等。</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第四十六条</w:t>
      </w:r>
      <w:r>
        <w:rPr>
          <w:rFonts w:hint="eastAsia" w:ascii="仿宋_GB2312" w:hAnsi="仿宋_GB2312" w:eastAsia="仿宋_GB2312" w:cs="仿宋_GB2312"/>
          <w:kern w:val="0"/>
          <w:sz w:val="32"/>
          <w:szCs w:val="32"/>
          <w:lang w:bidi="ar"/>
        </w:rPr>
        <w:t xml:space="preserve">  违反本办法规定，有下列行为之一的，依法依规追究相关部门和人员的责任</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（一）无出差审批或出差审批控制不严的；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（二）虚报冒领差旅费的；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（三）擅自扩大差旅费开支范围的；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（四）不按规定报销差旅费的；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（五）转嫁差旅费的；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（六）其他违反本办法行为的。</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有前款所列行为之一的，由学校财务部门会同纪检监察审计等有关部门责令改正，违规资金应予追回，并视情况予以通报。对直接责任人和相关负责人，按干部管理权限依法给予行政处分。涉嫌违法的，移送司法机关处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bookmarkStart w:id="1195" w:name="_Toc27371_WPSOffice_Level1"/>
      <w:r>
        <w:rPr>
          <w:rFonts w:hint="eastAsia" w:ascii="黑体" w:hAnsi="仿宋_GB2312" w:eastAsia="黑体" w:cs="仿宋_GB2312"/>
          <w:b/>
          <w:kern w:val="0"/>
          <w:sz w:val="32"/>
          <w:szCs w:val="32"/>
          <w:lang w:bidi="ar"/>
        </w:rPr>
        <w:t>第八章  附则</w:t>
      </w:r>
      <w:bookmarkEnd w:id="1195"/>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第四十七条  </w:t>
      </w:r>
      <w:r>
        <w:rPr>
          <w:rFonts w:hint="eastAsia" w:ascii="仿宋_GB2312" w:hAnsi="仿宋_GB2312" w:eastAsia="仿宋_GB2312" w:cs="仿宋_GB2312"/>
          <w:kern w:val="0"/>
          <w:sz w:val="32"/>
          <w:szCs w:val="32"/>
          <w:lang w:bidi="ar"/>
        </w:rPr>
        <w:t>各部门工作人员因公出国（境）境内城市间交通费、住宿费、伙食补助费、市内交通费等按本办法规定报销。因公出国（境）境外的食宿交通费，按因公出国（境）经费有关管理办法规定执行。</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第四十八条 </w:t>
      </w:r>
      <w:r>
        <w:rPr>
          <w:rFonts w:hint="eastAsia" w:ascii="仿宋_GB2312" w:hAnsi="仿宋_GB2312" w:eastAsia="仿宋_GB2312" w:cs="仿宋_GB2312"/>
          <w:kern w:val="0"/>
          <w:sz w:val="32"/>
          <w:szCs w:val="32"/>
          <w:lang w:bidi="ar"/>
        </w:rPr>
        <w:t xml:space="preserve"> 本办法自印发之日起实行。《柳州职业技术学院差旅费管理办法》（柳职院字</w:t>
      </w:r>
      <w:r>
        <w:rPr>
          <w:rFonts w:hint="eastAsia" w:ascii="仿宋_GB2312" w:eastAsia="仿宋_GB2312"/>
          <w:sz w:val="32"/>
          <w:szCs w:val="32"/>
        </w:rPr>
        <w:t>〔2015〕</w:t>
      </w:r>
      <w:r>
        <w:rPr>
          <w:rFonts w:hint="eastAsia" w:ascii="仿宋_GB2312" w:hAnsi="仿宋_GB2312" w:eastAsia="仿宋_GB2312" w:cs="仿宋_GB2312"/>
          <w:kern w:val="0"/>
          <w:sz w:val="32"/>
          <w:szCs w:val="32"/>
          <w:lang w:bidi="ar"/>
        </w:rPr>
        <w:t>22号）、《关于调整柳州职业技术学院差旅住宿费标准的通知》（柳职院字</w:t>
      </w:r>
      <w:r>
        <w:rPr>
          <w:rFonts w:hint="eastAsia" w:ascii="仿宋_GB2312" w:eastAsia="仿宋_GB2312"/>
          <w:sz w:val="32"/>
          <w:szCs w:val="32"/>
        </w:rPr>
        <w:t>〔2016〕</w:t>
      </w:r>
      <w:r>
        <w:rPr>
          <w:rFonts w:hint="eastAsia" w:ascii="仿宋_GB2312" w:hAnsi="仿宋_GB2312" w:eastAsia="仿宋_GB2312" w:cs="仿宋_GB2312"/>
          <w:kern w:val="0"/>
          <w:sz w:val="32"/>
          <w:szCs w:val="32"/>
          <w:lang w:bidi="ar"/>
        </w:rPr>
        <w:t>1号）同时废止，此前相关规定如有与本办法规定不一致的，以本办法规定为准。</w:t>
      </w:r>
      <w:r>
        <w:rPr>
          <w:rFonts w:ascii="仿宋_GB2312" w:hAnsi="仿宋_GB2312" w:eastAsia="仿宋_GB2312" w:cs="仿宋_GB2312"/>
          <w:kern w:val="0"/>
          <w:sz w:val="32"/>
          <w:szCs w:val="32"/>
          <w:lang w:bidi="ar"/>
        </w:rPr>
        <w:t>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bookmarkStart w:id="1196" w:name="_Toc25097_WPSOffice_Level1"/>
      <w:r>
        <w:rPr>
          <w:rFonts w:hint="eastAsia" w:ascii="仿宋_GB2312" w:hAnsi="仿宋_GB2312" w:eastAsia="仿宋_GB2312" w:cs="仿宋_GB2312"/>
          <w:b/>
          <w:kern w:val="0"/>
          <w:sz w:val="32"/>
          <w:szCs w:val="32"/>
          <w:lang w:bidi="ar"/>
        </w:rPr>
        <w:t xml:space="preserve">第四十九条  </w:t>
      </w:r>
      <w:r>
        <w:rPr>
          <w:rFonts w:hint="eastAsia" w:ascii="仿宋_GB2312" w:hAnsi="仿宋_GB2312" w:eastAsia="仿宋_GB2312" w:cs="仿宋_GB2312"/>
          <w:kern w:val="0"/>
          <w:sz w:val="32"/>
          <w:szCs w:val="32"/>
          <w:lang w:bidi="ar"/>
        </w:rPr>
        <w:t>本办法未涉及到的条款，按柳州市有关文件规定执行。</w:t>
      </w:r>
      <w:bookmarkEnd w:id="1196"/>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bookmarkStart w:id="1197" w:name="_Toc17042_WPSOffice_Level1"/>
      <w:r>
        <w:rPr>
          <w:rFonts w:hint="eastAsia" w:ascii="仿宋_GB2312" w:hAnsi="仿宋_GB2312" w:eastAsia="仿宋_GB2312" w:cs="仿宋_GB2312"/>
          <w:b/>
          <w:kern w:val="0"/>
          <w:sz w:val="32"/>
          <w:szCs w:val="32"/>
          <w:lang w:bidi="ar"/>
        </w:rPr>
        <w:t xml:space="preserve">第五十条 </w:t>
      </w:r>
      <w:r>
        <w:rPr>
          <w:rFonts w:hint="eastAsia" w:ascii="仿宋_GB2312" w:hAnsi="仿宋_GB2312" w:eastAsia="仿宋_GB2312" w:cs="仿宋_GB2312"/>
          <w:kern w:val="0"/>
          <w:sz w:val="32"/>
          <w:szCs w:val="32"/>
          <w:lang w:bidi="ar"/>
        </w:rPr>
        <w:t xml:space="preserve"> 本办法的具体应用问题由学校财务处负责解释。</w:t>
      </w:r>
      <w:bookmarkEnd w:id="1197"/>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附件：1.柳州职业技术学院公务出差申请表</w:t>
      </w:r>
    </w:p>
    <w:p>
      <w:pPr>
        <w:pageBreakBefore w:val="0"/>
        <w:kinsoku/>
        <w:wordWrap/>
        <w:overflowPunct/>
        <w:topLinePunct w:val="0"/>
        <w:autoSpaceDE/>
        <w:autoSpaceDN/>
        <w:bidi w:val="0"/>
        <w:spacing w:line="560" w:lineRule="exact"/>
        <w:ind w:firstLine="1600" w:firstLineChars="5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 国内省会城市（直辖市、计划单列市）差旅住宿</w:t>
      </w:r>
    </w:p>
    <w:p>
      <w:pPr>
        <w:pageBreakBefore w:val="0"/>
        <w:kinsoku/>
        <w:wordWrap/>
        <w:overflowPunct/>
        <w:topLinePunct w:val="0"/>
        <w:autoSpaceDE/>
        <w:autoSpaceDN/>
        <w:bidi w:val="0"/>
        <w:spacing w:line="560" w:lineRule="exact"/>
        <w:ind w:firstLine="2124" w:firstLineChars="664"/>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费标准调整表</w:t>
      </w:r>
    </w:p>
    <w:p>
      <w:pPr>
        <w:pageBreakBefore w:val="0"/>
        <w:kinsoku/>
        <w:wordWrap/>
        <w:overflowPunct/>
        <w:topLinePunct w:val="0"/>
        <w:autoSpaceDE/>
        <w:autoSpaceDN/>
        <w:bidi w:val="0"/>
        <w:spacing w:line="560" w:lineRule="exact"/>
        <w:ind w:firstLine="1600" w:firstLineChars="5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 区内差旅住宿费标准细化表</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ind w:firstLine="600" w:firstLineChars="200"/>
        <w:outlineLvl w:val="9"/>
        <w:rPr>
          <w:rFonts w:hint="eastAsia" w:ascii="仿宋_GB2312" w:hAnsi="仿宋_GB2312" w:eastAsia="仿宋_GB2312" w:cs="仿宋_GB2312"/>
          <w:kern w:val="0"/>
          <w:sz w:val="30"/>
          <w:szCs w:val="30"/>
          <w:lang w:bidi="ar"/>
        </w:rPr>
      </w:pPr>
    </w:p>
    <w:p>
      <w:pPr>
        <w:pageBreakBefore w:val="0"/>
        <w:kinsoku/>
        <w:wordWrap/>
        <w:overflowPunct/>
        <w:topLinePunct w:val="0"/>
        <w:autoSpaceDE/>
        <w:autoSpaceDN/>
        <w:bidi w:val="0"/>
        <w:spacing w:line="180" w:lineRule="exact"/>
        <w:ind w:firstLine="600" w:firstLineChars="200"/>
        <w:outlineLvl w:val="9"/>
        <w:rPr>
          <w:rFonts w:hint="eastAsia" w:ascii="仿宋_GB2312" w:hAnsi="仿宋_GB2312" w:eastAsia="仿宋_GB2312" w:cs="仿宋_GB2312"/>
          <w:kern w:val="0"/>
          <w:sz w:val="30"/>
          <w:szCs w:val="30"/>
          <w:lang w:bidi="ar"/>
        </w:rPr>
      </w:pPr>
    </w:p>
    <w:p>
      <w:pPr>
        <w:pageBreakBefore w:val="0"/>
        <w:kinsoku/>
        <w:wordWrap/>
        <w:overflowPunct/>
        <w:topLinePunct w:val="0"/>
        <w:autoSpaceDE/>
        <w:autoSpaceDN/>
        <w:bidi w:val="0"/>
        <w:spacing w:line="380" w:lineRule="exact"/>
        <w:jc w:val="left"/>
        <w:outlineLvl w:val="9"/>
        <w:rPr>
          <w:rFonts w:ascii="黑体" w:eastAsia="黑体"/>
          <w:sz w:val="30"/>
          <w:szCs w:val="30"/>
        </w:rPr>
      </w:pPr>
      <w:r>
        <w:rPr>
          <w:rFonts w:ascii="黑体" w:eastAsia="黑体"/>
          <w:sz w:val="30"/>
          <w:szCs w:val="30"/>
        </w:rPr>
        <w:br w:type="page"/>
      </w:r>
      <w:bookmarkStart w:id="1198" w:name="_Toc29052_WPSOffice_Level1"/>
      <w:r>
        <w:rPr>
          <w:rFonts w:hint="eastAsia" w:ascii="黑体" w:eastAsia="黑体"/>
          <w:sz w:val="30"/>
          <w:szCs w:val="30"/>
        </w:rPr>
        <w:t>附件1：</w:t>
      </w:r>
      <w:bookmarkEnd w:id="1198"/>
    </w:p>
    <w:p>
      <w:pPr>
        <w:pageBreakBefore w:val="0"/>
        <w:kinsoku/>
        <w:wordWrap/>
        <w:overflowPunct/>
        <w:topLinePunct w:val="0"/>
        <w:autoSpaceDE/>
        <w:autoSpaceDN/>
        <w:bidi w:val="0"/>
        <w:spacing w:line="590" w:lineRule="exact"/>
        <w:jc w:val="center"/>
        <w:outlineLvl w:val="9"/>
        <w:rPr>
          <w:b/>
          <w:color w:val="000000"/>
          <w:sz w:val="32"/>
          <w:szCs w:val="32"/>
        </w:rPr>
      </w:pPr>
      <w:r>
        <w:rPr>
          <w:rFonts w:hint="eastAsia"/>
          <w:b/>
          <w:color w:val="000000"/>
          <w:sz w:val="32"/>
          <w:szCs w:val="32"/>
        </w:rPr>
        <w:t>柳州职业技术学院公务出差申请表</w:t>
      </w:r>
    </w:p>
    <w:tbl>
      <w:tblPr>
        <w:tblStyle w:val="14"/>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68"/>
        <w:gridCol w:w="1701"/>
        <w:gridCol w:w="1134"/>
        <w:gridCol w:w="141"/>
        <w:gridCol w:w="1276"/>
        <w:gridCol w:w="1276"/>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r>
              <w:rPr>
                <w:rFonts w:hint="eastAsia" w:ascii="仿宋_GB2312" w:hAnsi="宋体" w:eastAsia="仿宋_GB2312" w:cs="宋体"/>
                <w:sz w:val="24"/>
              </w:rPr>
              <w:t>申请人</w:t>
            </w:r>
          </w:p>
        </w:tc>
        <w:tc>
          <w:tcPr>
            <w:tcW w:w="1701"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c>
          <w:tcPr>
            <w:tcW w:w="1275" w:type="dxa"/>
            <w:gridSpan w:val="2"/>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r>
              <w:rPr>
                <w:rFonts w:hint="eastAsia" w:ascii="仿宋_GB2312" w:hAnsi="宋体" w:eastAsia="仿宋_GB2312" w:cs="宋体"/>
                <w:sz w:val="24"/>
              </w:rPr>
              <w:t>填表时间</w:t>
            </w:r>
          </w:p>
        </w:tc>
        <w:tc>
          <w:tcPr>
            <w:tcW w:w="1276"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c>
          <w:tcPr>
            <w:tcW w:w="1276"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r>
              <w:rPr>
                <w:rFonts w:hint="eastAsia" w:ascii="仿宋_GB2312" w:hAnsi="宋体" w:eastAsia="仿宋_GB2312" w:cs="宋体"/>
                <w:sz w:val="24"/>
              </w:rPr>
              <w:t>所在部门</w:t>
            </w:r>
          </w:p>
        </w:tc>
        <w:tc>
          <w:tcPr>
            <w:tcW w:w="1573"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r>
              <w:rPr>
                <w:rFonts w:hint="eastAsia" w:ascii="仿宋_GB2312" w:hAnsi="宋体" w:eastAsia="仿宋_GB2312" w:cs="宋体"/>
                <w:sz w:val="24"/>
              </w:rPr>
              <w:t>出差时间</w:t>
            </w:r>
          </w:p>
        </w:tc>
        <w:tc>
          <w:tcPr>
            <w:tcW w:w="2976" w:type="dxa"/>
            <w:gridSpan w:val="3"/>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c>
          <w:tcPr>
            <w:tcW w:w="1276"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r>
              <w:rPr>
                <w:rFonts w:hint="eastAsia" w:ascii="仿宋_GB2312" w:hAnsi="宋体" w:eastAsia="仿宋_GB2312" w:cs="宋体"/>
                <w:sz w:val="24"/>
              </w:rPr>
              <w:t>出差地点</w:t>
            </w:r>
          </w:p>
        </w:tc>
        <w:tc>
          <w:tcPr>
            <w:tcW w:w="2849" w:type="dxa"/>
            <w:gridSpan w:val="2"/>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出差事项及其他需申请事项</w:t>
            </w:r>
          </w:p>
        </w:tc>
        <w:tc>
          <w:tcPr>
            <w:tcW w:w="7101" w:type="dxa"/>
            <w:gridSpan w:val="6"/>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r>
              <w:rPr>
                <w:rFonts w:hint="eastAsia" w:ascii="仿宋_GB2312" w:hAnsi="宋体" w:eastAsia="仿宋_GB2312" w:cs="宋体"/>
                <w:sz w:val="24"/>
              </w:rPr>
              <w:t>出差人员名单</w:t>
            </w:r>
          </w:p>
        </w:tc>
        <w:tc>
          <w:tcPr>
            <w:tcW w:w="7101" w:type="dxa"/>
            <w:gridSpan w:val="6"/>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费用预算</w:t>
            </w:r>
          </w:p>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及支出方向</w:t>
            </w:r>
          </w:p>
        </w:tc>
        <w:tc>
          <w:tcPr>
            <w:tcW w:w="7101" w:type="dxa"/>
            <w:gridSpan w:val="6"/>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r>
              <w:rPr>
                <w:rFonts w:hint="eastAsia" w:ascii="仿宋_GB2312" w:hAnsi="宋体" w:eastAsia="仿宋_GB2312" w:cs="宋体"/>
                <w:sz w:val="24"/>
              </w:rPr>
              <w:t>部门领导审批</w:t>
            </w:r>
          </w:p>
        </w:tc>
        <w:tc>
          <w:tcPr>
            <w:tcW w:w="7101" w:type="dxa"/>
            <w:gridSpan w:val="6"/>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教务与实训</w:t>
            </w:r>
          </w:p>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管理处审批</w:t>
            </w:r>
          </w:p>
        </w:tc>
        <w:tc>
          <w:tcPr>
            <w:tcW w:w="1701" w:type="dxa"/>
            <w:noWrap w:val="0"/>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p>
        </w:tc>
        <w:tc>
          <w:tcPr>
            <w:tcW w:w="1275" w:type="dxa"/>
            <w:gridSpan w:val="2"/>
            <w:noWrap w:val="0"/>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人事处</w:t>
            </w:r>
          </w:p>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审批</w:t>
            </w:r>
          </w:p>
        </w:tc>
        <w:tc>
          <w:tcPr>
            <w:tcW w:w="1276" w:type="dxa"/>
            <w:noWrap w:val="0"/>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p>
        </w:tc>
        <w:tc>
          <w:tcPr>
            <w:tcW w:w="1276" w:type="dxa"/>
            <w:noWrap w:val="0"/>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科技开发处审批</w:t>
            </w:r>
          </w:p>
        </w:tc>
        <w:tc>
          <w:tcPr>
            <w:tcW w:w="1573"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分管校领导</w:t>
            </w:r>
          </w:p>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审批</w:t>
            </w:r>
          </w:p>
        </w:tc>
        <w:tc>
          <w:tcPr>
            <w:tcW w:w="7101" w:type="dxa"/>
            <w:gridSpan w:val="6"/>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r>
              <w:rPr>
                <w:rFonts w:hint="eastAsia" w:ascii="仿宋_GB2312" w:hAnsi="宋体" w:eastAsia="仿宋_GB2312" w:cs="宋体"/>
                <w:sz w:val="24"/>
              </w:rPr>
              <w:t>校长审批</w:t>
            </w:r>
          </w:p>
        </w:tc>
        <w:tc>
          <w:tcPr>
            <w:tcW w:w="7101" w:type="dxa"/>
            <w:gridSpan w:val="6"/>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67" w:hRule="atLeast"/>
        </w:trPr>
        <w:tc>
          <w:tcPr>
            <w:tcW w:w="1668" w:type="dxa"/>
            <w:noWrap w:val="0"/>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知会</w:t>
            </w:r>
          </w:p>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sz w:val="24"/>
              </w:rPr>
            </w:pPr>
            <w:r>
              <w:rPr>
                <w:rFonts w:hint="eastAsia" w:ascii="仿宋_GB2312" w:hAnsi="宋体" w:eastAsia="仿宋_GB2312" w:cs="宋体"/>
                <w:sz w:val="24"/>
              </w:rPr>
              <w:t>财务处处长</w:t>
            </w:r>
          </w:p>
        </w:tc>
        <w:tc>
          <w:tcPr>
            <w:tcW w:w="2835" w:type="dxa"/>
            <w:gridSpan w:val="2"/>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c>
          <w:tcPr>
            <w:tcW w:w="1417" w:type="dxa"/>
            <w:gridSpan w:val="2"/>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r>
              <w:rPr>
                <w:rFonts w:hint="eastAsia" w:ascii="仿宋_GB2312" w:hAnsi="宋体" w:eastAsia="仿宋_GB2312" w:cs="宋体"/>
                <w:sz w:val="24"/>
              </w:rPr>
              <w:t>知会申请人</w:t>
            </w:r>
          </w:p>
        </w:tc>
        <w:tc>
          <w:tcPr>
            <w:tcW w:w="2849" w:type="dxa"/>
            <w:gridSpan w:val="2"/>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24"/>
              </w:rPr>
            </w:pPr>
          </w:p>
        </w:tc>
      </w:tr>
    </w:tbl>
    <w:p>
      <w:pPr>
        <w:pageBreakBefore w:val="0"/>
        <w:kinsoku/>
        <w:wordWrap/>
        <w:overflowPunct/>
        <w:topLinePunct w:val="0"/>
        <w:autoSpaceDE/>
        <w:autoSpaceDN/>
        <w:bidi w:val="0"/>
        <w:spacing w:line="500" w:lineRule="exact"/>
        <w:jc w:val="left"/>
        <w:outlineLvl w:val="9"/>
        <w:rPr>
          <w:rFonts w:hint="eastAsia" w:ascii="仿宋_GB2312" w:hAnsi="宋体" w:eastAsia="仿宋_GB2312" w:cs="宋体"/>
          <w:b/>
          <w:szCs w:val="28"/>
        </w:rPr>
      </w:pPr>
      <w:r>
        <w:rPr>
          <w:rFonts w:hint="eastAsia" w:ascii="仿宋_GB2312" w:hAnsi="宋体" w:eastAsia="仿宋_GB2312" w:cs="宋体"/>
          <w:b/>
          <w:szCs w:val="28"/>
        </w:rPr>
        <w:t>特别说明：</w:t>
      </w:r>
    </w:p>
    <w:p>
      <w:pPr>
        <w:pageBreakBefore w:val="0"/>
        <w:kinsoku/>
        <w:wordWrap/>
        <w:overflowPunct/>
        <w:topLinePunct w:val="0"/>
        <w:autoSpaceDE/>
        <w:autoSpaceDN/>
        <w:bidi w:val="0"/>
        <w:spacing w:line="500" w:lineRule="exact"/>
        <w:ind w:firstLine="411" w:firstLineChars="196"/>
        <w:jc w:val="left"/>
        <w:outlineLvl w:val="9"/>
        <w:rPr>
          <w:rFonts w:hint="eastAsia" w:ascii="仿宋_GB2312" w:hAnsi="宋体" w:eastAsia="仿宋_GB2312" w:cs="宋体"/>
          <w:szCs w:val="28"/>
        </w:rPr>
      </w:pPr>
      <w:r>
        <w:rPr>
          <w:rFonts w:hint="eastAsia" w:ascii="仿宋_GB2312" w:hAnsi="宋体" w:eastAsia="仿宋_GB2312" w:cs="宋体"/>
          <w:szCs w:val="28"/>
        </w:rPr>
        <w:fldChar w:fldCharType="begin"/>
      </w:r>
      <w:r>
        <w:rPr>
          <w:rFonts w:hint="eastAsia" w:ascii="仿宋_GB2312" w:hAnsi="宋体" w:eastAsia="仿宋_GB2312" w:cs="宋体"/>
          <w:szCs w:val="28"/>
        </w:rPr>
        <w:instrText xml:space="preserve"> = 1 \* GB3 </w:instrText>
      </w:r>
      <w:r>
        <w:rPr>
          <w:rFonts w:hint="eastAsia" w:ascii="仿宋_GB2312" w:hAnsi="宋体" w:eastAsia="仿宋_GB2312" w:cs="宋体"/>
          <w:szCs w:val="28"/>
        </w:rPr>
        <w:fldChar w:fldCharType="separate"/>
      </w:r>
      <w:r>
        <w:rPr>
          <w:rFonts w:hint="eastAsia" w:ascii="仿宋_GB2312" w:hAnsi="宋体" w:eastAsia="仿宋_GB2312" w:cs="宋体"/>
          <w:szCs w:val="28"/>
        </w:rPr>
        <w:t>①</w:t>
      </w:r>
      <w:r>
        <w:rPr>
          <w:rFonts w:hint="eastAsia" w:ascii="仿宋_GB2312" w:hAnsi="宋体" w:eastAsia="仿宋_GB2312" w:cs="宋体"/>
          <w:szCs w:val="28"/>
        </w:rPr>
        <w:fldChar w:fldCharType="end"/>
      </w:r>
      <w:r>
        <w:rPr>
          <w:rFonts w:hint="eastAsia" w:ascii="仿宋_GB2312" w:hAnsi="宋体" w:eastAsia="仿宋_GB2312" w:cs="宋体"/>
          <w:szCs w:val="28"/>
        </w:rPr>
        <w:t>工作人员应在出差前提前2-3天按要求填写出差申请表，并按审批权限逐级核准后方可出差。</w:t>
      </w:r>
    </w:p>
    <w:p>
      <w:pPr>
        <w:pageBreakBefore w:val="0"/>
        <w:kinsoku/>
        <w:wordWrap/>
        <w:overflowPunct/>
        <w:topLinePunct w:val="0"/>
        <w:autoSpaceDE/>
        <w:autoSpaceDN/>
        <w:bidi w:val="0"/>
        <w:spacing w:line="500" w:lineRule="exact"/>
        <w:ind w:firstLine="420" w:firstLineChars="200"/>
        <w:outlineLvl w:val="9"/>
        <w:rPr>
          <w:rFonts w:hint="eastAsia" w:ascii="仿宋_GB2312" w:hAnsi="宋体" w:eastAsia="仿宋_GB2312" w:cs="宋体"/>
          <w:szCs w:val="28"/>
        </w:rPr>
      </w:pPr>
      <w:r>
        <w:rPr>
          <w:rFonts w:hint="eastAsia" w:ascii="仿宋_GB2312" w:hAnsi="宋体" w:eastAsia="仿宋_GB2312" w:cs="宋体"/>
          <w:szCs w:val="28"/>
        </w:rPr>
        <w:fldChar w:fldCharType="begin"/>
      </w:r>
      <w:r>
        <w:rPr>
          <w:rFonts w:hint="eastAsia" w:ascii="仿宋_GB2312" w:hAnsi="宋体" w:eastAsia="仿宋_GB2312" w:cs="宋体"/>
          <w:szCs w:val="28"/>
        </w:rPr>
        <w:instrText xml:space="preserve"> = 2 \* GB3 </w:instrText>
      </w:r>
      <w:r>
        <w:rPr>
          <w:rFonts w:hint="eastAsia" w:ascii="仿宋_GB2312" w:hAnsi="宋体" w:eastAsia="仿宋_GB2312" w:cs="宋体"/>
          <w:szCs w:val="28"/>
        </w:rPr>
        <w:fldChar w:fldCharType="separate"/>
      </w:r>
      <w:r>
        <w:rPr>
          <w:rFonts w:hint="eastAsia" w:ascii="仿宋_GB2312" w:hAnsi="宋体" w:eastAsia="仿宋_GB2312" w:cs="宋体"/>
          <w:szCs w:val="28"/>
        </w:rPr>
        <w:t>②</w:t>
      </w:r>
      <w:r>
        <w:rPr>
          <w:rFonts w:hint="eastAsia" w:ascii="仿宋_GB2312" w:hAnsi="宋体" w:eastAsia="仿宋_GB2312" w:cs="宋体"/>
          <w:szCs w:val="28"/>
        </w:rPr>
        <w:fldChar w:fldCharType="end"/>
      </w:r>
      <w:r>
        <w:rPr>
          <w:rFonts w:hint="eastAsia" w:ascii="仿宋_GB2312" w:hAnsi="宋体" w:eastAsia="仿宋_GB2312" w:cs="宋体"/>
          <w:szCs w:val="28"/>
        </w:rPr>
        <w:t>陪同校级领导出差的，由公务出差牵头部门统一填写出差申请单，并按照出差审批权限办理出差审批手续。</w:t>
      </w:r>
    </w:p>
    <w:p>
      <w:pPr>
        <w:pageBreakBefore w:val="0"/>
        <w:kinsoku/>
        <w:wordWrap/>
        <w:overflowPunct/>
        <w:topLinePunct w:val="0"/>
        <w:autoSpaceDE/>
        <w:autoSpaceDN/>
        <w:bidi w:val="0"/>
        <w:spacing w:line="500" w:lineRule="exact"/>
        <w:ind w:firstLine="411" w:firstLineChars="196"/>
        <w:jc w:val="left"/>
        <w:outlineLvl w:val="9"/>
        <w:rPr>
          <w:rFonts w:hint="eastAsia" w:ascii="仿宋_GB2312" w:hAnsi="宋体" w:eastAsia="仿宋_GB2312" w:cs="宋体"/>
          <w:szCs w:val="28"/>
        </w:rPr>
      </w:pPr>
      <w:r>
        <w:rPr>
          <w:rFonts w:hint="eastAsia" w:ascii="仿宋_GB2312" w:hAnsi="宋体" w:eastAsia="仿宋_GB2312" w:cs="宋体"/>
          <w:szCs w:val="28"/>
        </w:rPr>
        <w:sym w:font="Wingdings" w:char="F083"/>
      </w:r>
      <w:r>
        <w:rPr>
          <w:rFonts w:hint="eastAsia" w:ascii="仿宋_GB2312" w:hAnsi="宋体" w:eastAsia="仿宋_GB2312" w:cs="宋体"/>
          <w:szCs w:val="28"/>
        </w:rPr>
        <w:t>工作人员应在出差结束返校后10个工作日之内及时办理报销手续。</w:t>
      </w:r>
    </w:p>
    <w:p>
      <w:pPr>
        <w:pageBreakBefore w:val="0"/>
        <w:kinsoku/>
        <w:wordWrap/>
        <w:overflowPunct/>
        <w:topLinePunct w:val="0"/>
        <w:autoSpaceDE/>
        <w:autoSpaceDN/>
        <w:bidi w:val="0"/>
        <w:spacing w:line="380" w:lineRule="exact"/>
        <w:jc w:val="left"/>
        <w:outlineLvl w:val="9"/>
        <w:rPr>
          <w:rFonts w:hint="eastAsia" w:ascii="黑体" w:eastAsia="黑体"/>
          <w:sz w:val="30"/>
          <w:szCs w:val="30"/>
        </w:rPr>
      </w:pPr>
      <w:r>
        <w:rPr>
          <w:rFonts w:ascii="仿宋_GB2312" w:hAnsi="仿宋_GB2312" w:eastAsia="仿宋_GB2312" w:cs="仿宋_GB2312"/>
          <w:kern w:val="0"/>
          <w:sz w:val="32"/>
          <w:szCs w:val="32"/>
          <w:lang w:bidi="ar"/>
        </w:rPr>
        <w:br w:type="page"/>
      </w:r>
      <w:bookmarkStart w:id="1199" w:name="_Toc19608_WPSOffice_Level1"/>
      <w:r>
        <w:rPr>
          <w:rFonts w:hint="eastAsia" w:ascii="黑体" w:eastAsia="黑体"/>
          <w:sz w:val="30"/>
          <w:szCs w:val="30"/>
        </w:rPr>
        <w:t>附件2：</w:t>
      </w:r>
      <w:bookmarkEnd w:id="1199"/>
    </w:p>
    <w:p>
      <w:pPr>
        <w:pageBreakBefore w:val="0"/>
        <w:kinsoku/>
        <w:wordWrap/>
        <w:overflowPunct/>
        <w:topLinePunct w:val="0"/>
        <w:autoSpaceDE/>
        <w:autoSpaceDN/>
        <w:bidi w:val="0"/>
        <w:spacing w:line="590" w:lineRule="exact"/>
        <w:jc w:val="center"/>
        <w:outlineLvl w:val="9"/>
        <w:rPr>
          <w:rFonts w:hint="eastAsia"/>
          <w:b/>
          <w:color w:val="000000"/>
          <w:sz w:val="32"/>
          <w:szCs w:val="32"/>
        </w:rPr>
      </w:pPr>
      <w:r>
        <w:rPr>
          <w:rFonts w:hint="eastAsia"/>
          <w:b/>
          <w:color w:val="000000"/>
          <w:sz w:val="32"/>
          <w:szCs w:val="32"/>
        </w:rPr>
        <w:t>国内省会城市（直辖市、计划单列市）差旅住宿费标准调整表</w:t>
      </w:r>
    </w:p>
    <w:p>
      <w:pPr>
        <w:pageBreakBefore w:val="0"/>
        <w:kinsoku/>
        <w:wordWrap/>
        <w:overflowPunct/>
        <w:topLinePunct w:val="0"/>
        <w:autoSpaceDE/>
        <w:autoSpaceDN/>
        <w:bidi w:val="0"/>
        <w:spacing w:line="380" w:lineRule="exact"/>
        <w:jc w:val="right"/>
        <w:outlineLvl w:val="9"/>
        <w:rPr>
          <w:rFonts w:hint="eastAsia" w:ascii="仿宋_GB2312" w:eastAsia="仿宋_GB2312"/>
          <w:sz w:val="21"/>
          <w:szCs w:val="21"/>
        </w:rPr>
      </w:pPr>
      <w:r>
        <w:rPr>
          <w:rFonts w:hint="eastAsia" w:ascii="仿宋_GB2312" w:hAnsi="宋体" w:eastAsia="仿宋_GB2312" w:cs="宋体"/>
          <w:kern w:val="0"/>
          <w:sz w:val="21"/>
          <w:szCs w:val="21"/>
        </w:rPr>
        <w:t>单位：元/人·天</w:t>
      </w:r>
    </w:p>
    <w:tbl>
      <w:tblPr>
        <w:tblStyle w:val="14"/>
        <w:tblW w:w="8698" w:type="dxa"/>
        <w:jc w:val="center"/>
        <w:tblInd w:w="0" w:type="dxa"/>
        <w:tblLayout w:type="fixed"/>
        <w:tblCellMar>
          <w:top w:w="0" w:type="dxa"/>
          <w:left w:w="108" w:type="dxa"/>
          <w:bottom w:w="0" w:type="dxa"/>
          <w:right w:w="108" w:type="dxa"/>
        </w:tblCellMar>
      </w:tblPr>
      <w:tblGrid>
        <w:gridCol w:w="557"/>
        <w:gridCol w:w="2440"/>
        <w:gridCol w:w="962"/>
        <w:gridCol w:w="876"/>
        <w:gridCol w:w="1080"/>
        <w:gridCol w:w="879"/>
        <w:gridCol w:w="912"/>
        <w:gridCol w:w="992"/>
      </w:tblGrid>
      <w:tr>
        <w:tblPrEx>
          <w:tblLayout w:type="fixed"/>
          <w:tblCellMar>
            <w:top w:w="0" w:type="dxa"/>
            <w:left w:w="108" w:type="dxa"/>
            <w:bottom w:w="0" w:type="dxa"/>
            <w:right w:w="108" w:type="dxa"/>
          </w:tblCellMar>
        </w:tblPrEx>
        <w:trPr>
          <w:trHeight w:val="567" w:hRule="atLeast"/>
          <w:jc w:val="center"/>
        </w:trPr>
        <w:tc>
          <w:tcPr>
            <w:tcW w:w="557" w:type="dxa"/>
            <w:vMerge w:val="restart"/>
            <w:tcBorders>
              <w:top w:val="single" w:color="auto" w:sz="8" w:space="0"/>
              <w:left w:val="single" w:color="auto" w:sz="8" w:space="0"/>
              <w:bottom w:val="single" w:color="000000" w:sz="8"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序号</w:t>
            </w:r>
          </w:p>
        </w:tc>
        <w:tc>
          <w:tcPr>
            <w:tcW w:w="2440" w:type="dxa"/>
            <w:vMerge w:val="restart"/>
            <w:tcBorders>
              <w:top w:val="single" w:color="auto" w:sz="8" w:space="0"/>
              <w:left w:val="single" w:color="auto" w:sz="4" w:space="0"/>
              <w:bottom w:val="single" w:color="000000" w:sz="8" w:space="0"/>
              <w:right w:val="nil"/>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4"/>
              </w:rPr>
            </w:pPr>
            <w:r>
              <w:rPr>
                <w:rFonts w:hint="eastAsia" w:ascii="仿宋_GB2312" w:hAnsi="宋体" w:eastAsia="仿宋_GB2312" w:cs="宋体"/>
                <w:kern w:val="0"/>
                <w:sz w:val="24"/>
              </w:rPr>
              <w:t>地区（城市）</w:t>
            </w:r>
          </w:p>
        </w:tc>
        <w:tc>
          <w:tcPr>
            <w:tcW w:w="1838" w:type="dxa"/>
            <w:gridSpan w:val="2"/>
            <w:tcBorders>
              <w:top w:val="single" w:color="auto" w:sz="8" w:space="0"/>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住宿费限额标准元/人·天</w:t>
            </w:r>
          </w:p>
        </w:tc>
        <w:tc>
          <w:tcPr>
            <w:tcW w:w="3863" w:type="dxa"/>
            <w:gridSpan w:val="4"/>
            <w:tcBorders>
              <w:top w:val="single" w:color="auto" w:sz="8" w:space="0"/>
              <w:left w:val="single" w:color="auto" w:sz="8" w:space="0"/>
              <w:bottom w:val="single" w:color="auto" w:sz="4" w:space="0"/>
              <w:right w:val="single" w:color="000000" w:sz="8" w:space="0"/>
            </w:tcBorders>
            <w:shd w:val="clear" w:color="auto" w:fill="auto"/>
            <w:noWrap/>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淡旺季期间及标准</w:t>
            </w:r>
          </w:p>
        </w:tc>
      </w:tr>
      <w:tr>
        <w:tblPrEx>
          <w:tblLayout w:type="fixed"/>
          <w:tblCellMar>
            <w:top w:w="0" w:type="dxa"/>
            <w:left w:w="108" w:type="dxa"/>
            <w:bottom w:w="0" w:type="dxa"/>
            <w:right w:w="108" w:type="dxa"/>
          </w:tblCellMar>
        </w:tblPrEx>
        <w:trPr>
          <w:trHeight w:val="567" w:hRule="atLeast"/>
          <w:jc w:val="center"/>
        </w:trPr>
        <w:tc>
          <w:tcPr>
            <w:tcW w:w="557" w:type="dxa"/>
            <w:vMerge w:val="continue"/>
            <w:tcBorders>
              <w:top w:val="single" w:color="auto" w:sz="8" w:space="0"/>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jc w:val="left"/>
              <w:outlineLvl w:val="9"/>
              <w:rPr>
                <w:rFonts w:hint="eastAsia" w:ascii="仿宋_GB2312" w:hAnsi="宋体" w:eastAsia="仿宋_GB2312" w:cs="宋体"/>
                <w:kern w:val="0"/>
                <w:sz w:val="22"/>
                <w:szCs w:val="22"/>
              </w:rPr>
            </w:pPr>
          </w:p>
        </w:tc>
        <w:tc>
          <w:tcPr>
            <w:tcW w:w="2440" w:type="dxa"/>
            <w:vMerge w:val="continue"/>
            <w:tcBorders>
              <w:top w:val="single" w:color="auto" w:sz="8" w:space="0"/>
              <w:left w:val="single" w:color="auto" w:sz="4" w:space="0"/>
              <w:bottom w:val="single" w:color="000000" w:sz="8" w:space="0"/>
              <w:right w:val="nil"/>
            </w:tcBorders>
            <w:shd w:val="clear" w:color="auto" w:fill="auto"/>
            <w:noWrap w:val="0"/>
            <w:vAlign w:val="center"/>
          </w:tcPr>
          <w:p>
            <w:pPr>
              <w:pageBreakBefore w:val="0"/>
              <w:widowControl/>
              <w:kinsoku/>
              <w:wordWrap/>
              <w:overflowPunct/>
              <w:topLinePunct w:val="0"/>
              <w:autoSpaceDE/>
              <w:autoSpaceDN/>
              <w:bidi w:val="0"/>
              <w:jc w:val="left"/>
              <w:outlineLvl w:val="9"/>
              <w:rPr>
                <w:rFonts w:hint="eastAsia" w:ascii="仿宋_GB2312" w:hAnsi="宋体" w:eastAsia="仿宋_GB2312" w:cs="宋体"/>
                <w:kern w:val="0"/>
                <w:sz w:val="24"/>
              </w:rPr>
            </w:pPr>
          </w:p>
        </w:tc>
        <w:tc>
          <w:tcPr>
            <w:tcW w:w="962" w:type="dxa"/>
            <w:vMerge w:val="restart"/>
            <w:tcBorders>
              <w:top w:val="nil"/>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厅级</w:t>
            </w:r>
          </w:p>
        </w:tc>
        <w:tc>
          <w:tcPr>
            <w:tcW w:w="876" w:type="dxa"/>
            <w:vMerge w:val="restart"/>
            <w:tcBorders>
              <w:top w:val="nil"/>
              <w:left w:val="single" w:color="auto" w:sz="4" w:space="0"/>
              <w:bottom w:val="single" w:color="000000" w:sz="8" w:space="0"/>
              <w:right w:val="nil"/>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其他</w:t>
            </w:r>
          </w:p>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人员</w:t>
            </w:r>
          </w:p>
        </w:tc>
        <w:tc>
          <w:tcPr>
            <w:tcW w:w="1080" w:type="dxa"/>
            <w:vMerge w:val="restart"/>
            <w:tcBorders>
              <w:top w:val="nil"/>
              <w:left w:val="single" w:color="auto" w:sz="8" w:space="0"/>
              <w:bottom w:val="single" w:color="000000" w:sz="8"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旺季</w:t>
            </w:r>
          </w:p>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期间</w:t>
            </w:r>
          </w:p>
        </w:tc>
        <w:tc>
          <w:tcPr>
            <w:tcW w:w="1791" w:type="dxa"/>
            <w:gridSpan w:val="2"/>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上浮价</w:t>
            </w:r>
          </w:p>
        </w:tc>
        <w:tc>
          <w:tcPr>
            <w:tcW w:w="992" w:type="dxa"/>
            <w:vMerge w:val="restart"/>
            <w:tcBorders>
              <w:top w:val="nil"/>
              <w:left w:val="single" w:color="auto" w:sz="4" w:space="0"/>
              <w:bottom w:val="single" w:color="000000" w:sz="8" w:space="0"/>
              <w:right w:val="single" w:color="auto" w:sz="8" w:space="0"/>
            </w:tcBorders>
            <w:shd w:val="clear" w:color="auto" w:fill="auto"/>
            <w:noWrap/>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上浮</w:t>
            </w:r>
          </w:p>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比例</w:t>
            </w:r>
          </w:p>
        </w:tc>
      </w:tr>
      <w:tr>
        <w:tblPrEx>
          <w:tblLayout w:type="fixed"/>
          <w:tblCellMar>
            <w:top w:w="0" w:type="dxa"/>
            <w:left w:w="108" w:type="dxa"/>
            <w:bottom w:w="0" w:type="dxa"/>
            <w:right w:w="108" w:type="dxa"/>
          </w:tblCellMar>
        </w:tblPrEx>
        <w:trPr>
          <w:trHeight w:val="567" w:hRule="atLeast"/>
          <w:jc w:val="center"/>
        </w:trPr>
        <w:tc>
          <w:tcPr>
            <w:tcW w:w="557" w:type="dxa"/>
            <w:vMerge w:val="continue"/>
            <w:tcBorders>
              <w:top w:val="single" w:color="auto" w:sz="8" w:space="0"/>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jc w:val="left"/>
              <w:outlineLvl w:val="9"/>
              <w:rPr>
                <w:rFonts w:hint="eastAsia" w:ascii="仿宋_GB2312" w:hAnsi="宋体" w:eastAsia="仿宋_GB2312" w:cs="宋体"/>
                <w:kern w:val="0"/>
                <w:sz w:val="22"/>
                <w:szCs w:val="22"/>
              </w:rPr>
            </w:pPr>
          </w:p>
        </w:tc>
        <w:tc>
          <w:tcPr>
            <w:tcW w:w="2440" w:type="dxa"/>
            <w:vMerge w:val="continue"/>
            <w:tcBorders>
              <w:top w:val="single" w:color="auto" w:sz="8" w:space="0"/>
              <w:left w:val="single" w:color="auto" w:sz="4" w:space="0"/>
              <w:bottom w:val="single" w:color="000000" w:sz="8" w:space="0"/>
              <w:right w:val="nil"/>
            </w:tcBorders>
            <w:shd w:val="clear" w:color="auto" w:fill="auto"/>
            <w:noWrap w:val="0"/>
            <w:vAlign w:val="center"/>
          </w:tcPr>
          <w:p>
            <w:pPr>
              <w:pageBreakBefore w:val="0"/>
              <w:widowControl/>
              <w:kinsoku/>
              <w:wordWrap/>
              <w:overflowPunct/>
              <w:topLinePunct w:val="0"/>
              <w:autoSpaceDE/>
              <w:autoSpaceDN/>
              <w:bidi w:val="0"/>
              <w:jc w:val="left"/>
              <w:outlineLvl w:val="9"/>
              <w:rPr>
                <w:rFonts w:hint="eastAsia" w:ascii="仿宋_GB2312" w:hAnsi="宋体" w:eastAsia="仿宋_GB2312" w:cs="宋体"/>
                <w:kern w:val="0"/>
                <w:sz w:val="24"/>
              </w:rPr>
            </w:pPr>
          </w:p>
        </w:tc>
        <w:tc>
          <w:tcPr>
            <w:tcW w:w="962" w:type="dxa"/>
            <w:vMerge w:val="continue"/>
            <w:tcBorders>
              <w:top w:val="nil"/>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jc w:val="left"/>
              <w:outlineLvl w:val="9"/>
              <w:rPr>
                <w:rFonts w:hint="eastAsia" w:ascii="仿宋_GB2312" w:hAnsi="宋体" w:eastAsia="仿宋_GB2312" w:cs="宋体"/>
                <w:kern w:val="0"/>
                <w:sz w:val="22"/>
                <w:szCs w:val="22"/>
              </w:rPr>
            </w:pPr>
          </w:p>
        </w:tc>
        <w:tc>
          <w:tcPr>
            <w:tcW w:w="876" w:type="dxa"/>
            <w:vMerge w:val="continue"/>
            <w:tcBorders>
              <w:top w:val="nil"/>
              <w:left w:val="single" w:color="auto" w:sz="4" w:space="0"/>
              <w:bottom w:val="single" w:color="000000" w:sz="8" w:space="0"/>
              <w:right w:val="nil"/>
            </w:tcBorders>
            <w:shd w:val="clear" w:color="auto" w:fill="auto"/>
            <w:noWrap w:val="0"/>
            <w:vAlign w:val="center"/>
          </w:tcPr>
          <w:p>
            <w:pPr>
              <w:pageBreakBefore w:val="0"/>
              <w:widowControl/>
              <w:kinsoku/>
              <w:wordWrap/>
              <w:overflowPunct/>
              <w:topLinePunct w:val="0"/>
              <w:autoSpaceDE/>
              <w:autoSpaceDN/>
              <w:bidi w:val="0"/>
              <w:jc w:val="left"/>
              <w:outlineLvl w:val="9"/>
              <w:rPr>
                <w:rFonts w:hint="eastAsia" w:ascii="仿宋_GB2312" w:hAnsi="宋体" w:eastAsia="仿宋_GB2312" w:cs="宋体"/>
                <w:kern w:val="0"/>
                <w:sz w:val="22"/>
                <w:szCs w:val="22"/>
              </w:rPr>
            </w:pPr>
          </w:p>
        </w:tc>
        <w:tc>
          <w:tcPr>
            <w:tcW w:w="1080" w:type="dxa"/>
            <w:vMerge w:val="continue"/>
            <w:tcBorders>
              <w:top w:val="nil"/>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jc w:val="left"/>
              <w:outlineLvl w:val="9"/>
              <w:rPr>
                <w:rFonts w:hint="eastAsia" w:ascii="仿宋_GB2312" w:hAnsi="宋体" w:eastAsia="仿宋_GB2312" w:cs="宋体"/>
                <w:kern w:val="0"/>
                <w:sz w:val="22"/>
                <w:szCs w:val="22"/>
              </w:rPr>
            </w:pPr>
          </w:p>
        </w:tc>
        <w:tc>
          <w:tcPr>
            <w:tcW w:w="879" w:type="dxa"/>
            <w:tcBorders>
              <w:top w:val="nil"/>
              <w:left w:val="nil"/>
              <w:bottom w:val="single" w:color="auto" w:sz="8"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厅级</w:t>
            </w:r>
          </w:p>
        </w:tc>
        <w:tc>
          <w:tcPr>
            <w:tcW w:w="912" w:type="dxa"/>
            <w:tcBorders>
              <w:top w:val="nil"/>
              <w:left w:val="nil"/>
              <w:bottom w:val="single" w:color="auto" w:sz="8"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20" w:lineRule="exact"/>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其他人员</w:t>
            </w:r>
          </w:p>
        </w:tc>
        <w:tc>
          <w:tcPr>
            <w:tcW w:w="992" w:type="dxa"/>
            <w:vMerge w:val="continue"/>
            <w:tcBorders>
              <w:top w:val="nil"/>
              <w:left w:val="single" w:color="auto" w:sz="4" w:space="0"/>
              <w:bottom w:val="single" w:color="000000" w:sz="8" w:space="0"/>
              <w:right w:val="single" w:color="auto" w:sz="8" w:space="0"/>
            </w:tcBorders>
            <w:noWrap w:val="0"/>
            <w:vAlign w:val="center"/>
          </w:tcPr>
          <w:p>
            <w:pPr>
              <w:pageBreakBefore w:val="0"/>
              <w:widowControl/>
              <w:kinsoku/>
              <w:wordWrap/>
              <w:overflowPunct/>
              <w:topLinePunct w:val="0"/>
              <w:autoSpaceDE/>
              <w:autoSpaceDN/>
              <w:bidi w:val="0"/>
              <w:jc w:val="left"/>
              <w:outlineLvl w:val="9"/>
              <w:rPr>
                <w:rFonts w:hint="eastAsia" w:ascii="仿宋_GB2312" w:hAnsi="宋体" w:eastAsia="仿宋_GB2312" w:cs="宋体"/>
                <w:kern w:val="0"/>
                <w:sz w:val="22"/>
                <w:szCs w:val="22"/>
              </w:rPr>
            </w:pP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北京市</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650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天津市</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380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河北省（石家庄）</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山西省（太原）</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内蒙古（呼和浩特）</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460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辽宁省（沈阳）</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大连市</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490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7-9月</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590</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420</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20%</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8</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吉林省（长春）</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9</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黑龙江省（哈尔滨）</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7-9月</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540</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420</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20%</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10</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上海市</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600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11</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江苏省（南京）</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490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380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12</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浙江省（杭州）</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400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13</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宁波市</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14</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安徽省（合肥）</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460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15</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福建省（福州）</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380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16</w:t>
            </w:r>
          </w:p>
        </w:tc>
        <w:tc>
          <w:tcPr>
            <w:tcW w:w="2440"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厦门市</w:t>
            </w:r>
          </w:p>
        </w:tc>
        <w:tc>
          <w:tcPr>
            <w:tcW w:w="962"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500</w:t>
            </w:r>
          </w:p>
        </w:tc>
        <w:tc>
          <w:tcPr>
            <w:tcW w:w="876"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400</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17</w:t>
            </w:r>
          </w:p>
        </w:tc>
        <w:tc>
          <w:tcPr>
            <w:tcW w:w="2440"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江西省（南昌）</w:t>
            </w:r>
          </w:p>
        </w:tc>
        <w:tc>
          <w:tcPr>
            <w:tcW w:w="962"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470</w:t>
            </w:r>
          </w:p>
        </w:tc>
        <w:tc>
          <w:tcPr>
            <w:tcW w:w="876"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18</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山东省（济南）</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380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19</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青岛市</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490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380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7-9月</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590</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450</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20%</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20</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河南省（郑州）</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380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21</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湖北省（武汉）</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22</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湖南省（长沙）</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23</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广东省（广州）</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550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24</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深圳市</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550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25</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广  西（南宁）</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470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26</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海南省（海口）</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11-2月</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650</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450</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30%</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27</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重庆市</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370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28</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四川省（成都）</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470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370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29</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贵州省（贵阳）</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470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370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30</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云南省（昆明）</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380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31</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西  藏（拉萨）</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6-9月</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750</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530</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32</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陕西省（西安）</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460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33</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甘肃省（兰州）</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470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34</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青海省（西宁）</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6-9月</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750</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530</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w:t>
            </w:r>
          </w:p>
        </w:tc>
        <w:tc>
          <w:tcPr>
            <w:tcW w:w="2440"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宁  夏（银川）</w:t>
            </w:r>
          </w:p>
        </w:tc>
        <w:tc>
          <w:tcPr>
            <w:tcW w:w="962"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470</w:t>
            </w:r>
          </w:p>
        </w:tc>
        <w:tc>
          <w:tcPr>
            <w:tcW w:w="876" w:type="dxa"/>
            <w:tcBorders>
              <w:top w:val="nil"/>
              <w:left w:val="nil"/>
              <w:bottom w:val="single" w:color="auto" w:sz="4"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4"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r>
        <w:tblPrEx>
          <w:tblLayout w:type="fixed"/>
          <w:tblCellMar>
            <w:top w:w="0" w:type="dxa"/>
            <w:left w:w="108" w:type="dxa"/>
            <w:bottom w:w="0" w:type="dxa"/>
            <w:right w:w="108" w:type="dxa"/>
          </w:tblCellMar>
        </w:tblPrEx>
        <w:trPr>
          <w:trHeight w:val="567" w:hRule="atLeast"/>
          <w:jc w:val="center"/>
        </w:trPr>
        <w:tc>
          <w:tcPr>
            <w:tcW w:w="557" w:type="dxa"/>
            <w:tcBorders>
              <w:top w:val="nil"/>
              <w:left w:val="single" w:color="auto" w:sz="8" w:space="0"/>
              <w:bottom w:val="single" w:color="auto" w:sz="8"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36</w:t>
            </w:r>
          </w:p>
        </w:tc>
        <w:tc>
          <w:tcPr>
            <w:tcW w:w="2440" w:type="dxa"/>
            <w:tcBorders>
              <w:top w:val="nil"/>
              <w:left w:val="nil"/>
              <w:bottom w:val="single" w:color="auto" w:sz="8"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新 疆（乌鲁木齐）</w:t>
            </w:r>
          </w:p>
        </w:tc>
        <w:tc>
          <w:tcPr>
            <w:tcW w:w="962" w:type="dxa"/>
            <w:tcBorders>
              <w:top w:val="nil"/>
              <w:left w:val="single" w:color="auto" w:sz="8" w:space="0"/>
              <w:bottom w:val="single" w:color="auto" w:sz="8"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480</w:t>
            </w:r>
          </w:p>
        </w:tc>
        <w:tc>
          <w:tcPr>
            <w:tcW w:w="876" w:type="dxa"/>
            <w:tcBorders>
              <w:top w:val="nil"/>
              <w:left w:val="nil"/>
              <w:bottom w:val="single" w:color="auto" w:sz="8" w:space="0"/>
              <w:right w:val="nil"/>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350</w:t>
            </w:r>
          </w:p>
        </w:tc>
        <w:tc>
          <w:tcPr>
            <w:tcW w:w="1080" w:type="dxa"/>
            <w:tcBorders>
              <w:top w:val="nil"/>
              <w:left w:val="single" w:color="auto" w:sz="8" w:space="0"/>
              <w:bottom w:val="single" w:color="auto" w:sz="8"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879" w:type="dxa"/>
            <w:tcBorders>
              <w:top w:val="nil"/>
              <w:left w:val="nil"/>
              <w:bottom w:val="single" w:color="auto" w:sz="8"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12" w:type="dxa"/>
            <w:tcBorders>
              <w:top w:val="nil"/>
              <w:left w:val="nil"/>
              <w:bottom w:val="single" w:color="auto" w:sz="8" w:space="0"/>
              <w:right w:val="single" w:color="auto" w:sz="4"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c>
          <w:tcPr>
            <w:tcW w:w="992" w:type="dxa"/>
            <w:tcBorders>
              <w:top w:val="nil"/>
              <w:left w:val="nil"/>
              <w:bottom w:val="single" w:color="auto" w:sz="8" w:space="0"/>
              <w:right w:val="single" w:color="auto" w:sz="8" w:space="0"/>
            </w:tcBorders>
            <w:shd w:val="clear" w:color="auto" w:fill="auto"/>
            <w:noWrap/>
            <w:vAlign w:val="center"/>
          </w:tcPr>
          <w:p>
            <w:pPr>
              <w:pageBreakBefore w:val="0"/>
              <w:widowControl/>
              <w:kinsoku/>
              <w:wordWrap/>
              <w:overflowPunct/>
              <w:topLinePunct w:val="0"/>
              <w:autoSpaceDE/>
              <w:autoSpaceDN/>
              <w:bidi w:val="0"/>
              <w:jc w:val="center"/>
              <w:outlineLvl w:val="9"/>
              <w:rPr>
                <w:rFonts w:hint="eastAsia" w:ascii="仿宋_GB2312" w:hAnsi="宋体" w:eastAsia="仿宋_GB2312" w:cs="宋体"/>
                <w:kern w:val="0"/>
                <w:sz w:val="22"/>
                <w:szCs w:val="22"/>
              </w:rPr>
            </w:pPr>
            <w:r>
              <w:rPr>
                <w:rFonts w:hint="eastAsia" w:ascii="仿宋_GB2312" w:hAnsi="宋体" w:eastAsia="仿宋_GB2312" w:cs="宋体"/>
                <w:kern w:val="0"/>
                <w:sz w:val="22"/>
                <w:szCs w:val="22"/>
              </w:rPr>
              <w:t>　</w:t>
            </w:r>
          </w:p>
        </w:tc>
      </w:tr>
    </w:tbl>
    <w:p>
      <w:pPr>
        <w:pageBreakBefore w:val="0"/>
        <w:kinsoku/>
        <w:wordWrap/>
        <w:overflowPunct/>
        <w:topLinePunct w:val="0"/>
        <w:autoSpaceDE/>
        <w:autoSpaceDN/>
        <w:bidi w:val="0"/>
        <w:spacing w:line="380" w:lineRule="exact"/>
        <w:jc w:val="left"/>
        <w:outlineLvl w:val="9"/>
        <w:rPr>
          <w:rFonts w:ascii="黑体" w:eastAsia="黑体"/>
          <w:sz w:val="30"/>
          <w:szCs w:val="30"/>
        </w:rPr>
      </w:pPr>
    </w:p>
    <w:p>
      <w:pPr>
        <w:pageBreakBefore w:val="0"/>
        <w:kinsoku/>
        <w:wordWrap/>
        <w:overflowPunct/>
        <w:topLinePunct w:val="0"/>
        <w:autoSpaceDE/>
        <w:autoSpaceDN/>
        <w:bidi w:val="0"/>
        <w:spacing w:line="380" w:lineRule="exact"/>
        <w:jc w:val="left"/>
        <w:outlineLvl w:val="9"/>
        <w:rPr>
          <w:rFonts w:hint="eastAsia" w:ascii="黑体" w:eastAsia="黑体"/>
          <w:sz w:val="30"/>
          <w:szCs w:val="30"/>
        </w:rPr>
      </w:pPr>
      <w:r>
        <w:rPr>
          <w:rFonts w:ascii="黑体" w:eastAsia="黑体"/>
          <w:sz w:val="30"/>
          <w:szCs w:val="30"/>
        </w:rPr>
        <w:br w:type="page"/>
      </w:r>
      <w:bookmarkStart w:id="1200" w:name="_Toc10102_WPSOffice_Level1"/>
      <w:r>
        <w:rPr>
          <w:rFonts w:hint="eastAsia" w:ascii="黑体" w:eastAsia="黑体"/>
          <w:sz w:val="30"/>
          <w:szCs w:val="30"/>
        </w:rPr>
        <w:t>附件3：</w:t>
      </w:r>
      <w:bookmarkEnd w:id="1200"/>
    </w:p>
    <w:p>
      <w:pPr>
        <w:pageBreakBefore w:val="0"/>
        <w:kinsoku/>
        <w:wordWrap/>
        <w:overflowPunct/>
        <w:topLinePunct w:val="0"/>
        <w:autoSpaceDE/>
        <w:autoSpaceDN/>
        <w:bidi w:val="0"/>
        <w:spacing w:line="590" w:lineRule="exact"/>
        <w:jc w:val="center"/>
        <w:outlineLvl w:val="9"/>
        <w:rPr>
          <w:rFonts w:hint="eastAsia"/>
          <w:b/>
          <w:color w:val="000000"/>
          <w:sz w:val="32"/>
          <w:szCs w:val="32"/>
        </w:rPr>
      </w:pPr>
      <w:r>
        <w:rPr>
          <w:rFonts w:hint="eastAsia"/>
          <w:b/>
          <w:color w:val="000000"/>
          <w:sz w:val="32"/>
          <w:szCs w:val="32"/>
        </w:rPr>
        <w:t>广西区内差旅住宿费标准调整表</w:t>
      </w:r>
    </w:p>
    <w:p>
      <w:pPr>
        <w:pageBreakBefore w:val="0"/>
        <w:kinsoku/>
        <w:wordWrap/>
        <w:overflowPunct/>
        <w:topLinePunct w:val="0"/>
        <w:autoSpaceDE/>
        <w:autoSpaceDN/>
        <w:bidi w:val="0"/>
        <w:spacing w:line="380" w:lineRule="exact"/>
        <w:jc w:val="righ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单位：元/人·天</w:t>
      </w:r>
    </w:p>
    <w:tbl>
      <w:tblPr>
        <w:tblStyle w:val="14"/>
        <w:tblW w:w="8986" w:type="dxa"/>
        <w:tblInd w:w="91" w:type="dxa"/>
        <w:tblLayout w:type="fixed"/>
        <w:tblCellMar>
          <w:top w:w="0" w:type="dxa"/>
          <w:left w:w="108" w:type="dxa"/>
          <w:bottom w:w="0" w:type="dxa"/>
          <w:right w:w="108" w:type="dxa"/>
        </w:tblCellMar>
      </w:tblPr>
      <w:tblGrid>
        <w:gridCol w:w="876"/>
        <w:gridCol w:w="2997"/>
        <w:gridCol w:w="710"/>
        <w:gridCol w:w="748"/>
        <w:gridCol w:w="1593"/>
        <w:gridCol w:w="720"/>
        <w:gridCol w:w="689"/>
        <w:gridCol w:w="653"/>
      </w:tblGrid>
      <w:tr>
        <w:tblPrEx>
          <w:tblLayout w:type="fixed"/>
          <w:tblCellMar>
            <w:top w:w="0" w:type="dxa"/>
            <w:left w:w="108" w:type="dxa"/>
            <w:bottom w:w="0" w:type="dxa"/>
            <w:right w:w="108" w:type="dxa"/>
          </w:tblCellMar>
        </w:tblPrEx>
        <w:trPr>
          <w:trHeight w:val="931" w:hRule="exact"/>
        </w:trPr>
        <w:tc>
          <w:tcPr>
            <w:tcW w:w="876" w:type="dxa"/>
            <w:vMerge w:val="restart"/>
            <w:tcBorders>
              <w:top w:val="single" w:color="auto" w:sz="8" w:space="0"/>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序号</w:t>
            </w:r>
          </w:p>
        </w:tc>
        <w:tc>
          <w:tcPr>
            <w:tcW w:w="2997" w:type="dxa"/>
            <w:vMerge w:val="restart"/>
            <w:tcBorders>
              <w:top w:val="single" w:color="auto" w:sz="8" w:space="0"/>
              <w:left w:val="single" w:color="auto" w:sz="4" w:space="0"/>
              <w:bottom w:val="single" w:color="000000" w:sz="8"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地区（城市）</w:t>
            </w:r>
          </w:p>
        </w:tc>
        <w:tc>
          <w:tcPr>
            <w:tcW w:w="1458" w:type="dxa"/>
            <w:gridSpan w:val="2"/>
            <w:tcBorders>
              <w:top w:val="single" w:color="auto" w:sz="8"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spacing w:val="-6"/>
                <w:kern w:val="0"/>
                <w:sz w:val="21"/>
                <w:szCs w:val="21"/>
              </w:rPr>
            </w:pPr>
            <w:r>
              <w:rPr>
                <w:rFonts w:hint="eastAsia" w:ascii="仿宋_GB2312" w:hAnsi="宋体" w:eastAsia="仿宋_GB2312" w:cs="宋体"/>
                <w:spacing w:val="-6"/>
                <w:kern w:val="0"/>
                <w:sz w:val="21"/>
                <w:szCs w:val="21"/>
              </w:rPr>
              <w:t>住宿费限额标准元/人·天</w:t>
            </w:r>
          </w:p>
        </w:tc>
        <w:tc>
          <w:tcPr>
            <w:tcW w:w="3655" w:type="dxa"/>
            <w:gridSpan w:val="4"/>
            <w:tcBorders>
              <w:top w:val="single" w:color="auto" w:sz="8" w:space="0"/>
              <w:left w:val="single" w:color="auto" w:sz="8" w:space="0"/>
              <w:bottom w:val="single" w:color="auto" w:sz="4" w:space="0"/>
              <w:right w:val="single" w:color="000000"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淡旺季期间及标准</w:t>
            </w:r>
          </w:p>
        </w:tc>
      </w:tr>
      <w:tr>
        <w:tblPrEx>
          <w:tblLayout w:type="fixed"/>
          <w:tblCellMar>
            <w:top w:w="0" w:type="dxa"/>
            <w:left w:w="108" w:type="dxa"/>
            <w:bottom w:w="0" w:type="dxa"/>
            <w:right w:w="108" w:type="dxa"/>
          </w:tblCellMar>
        </w:tblPrEx>
        <w:trPr>
          <w:trHeight w:val="510" w:hRule="exact"/>
        </w:trPr>
        <w:tc>
          <w:tcPr>
            <w:tcW w:w="876" w:type="dxa"/>
            <w:vMerge w:val="continue"/>
            <w:tcBorders>
              <w:top w:val="single" w:color="auto" w:sz="8" w:space="0"/>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p>
        </w:tc>
        <w:tc>
          <w:tcPr>
            <w:tcW w:w="2997" w:type="dxa"/>
            <w:vMerge w:val="continue"/>
            <w:tcBorders>
              <w:top w:val="single" w:color="auto" w:sz="8" w:space="0"/>
              <w:left w:val="single" w:color="auto" w:sz="4" w:space="0"/>
              <w:bottom w:val="single" w:color="000000" w:sz="8"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p>
        </w:tc>
        <w:tc>
          <w:tcPr>
            <w:tcW w:w="710" w:type="dxa"/>
            <w:vMerge w:val="restart"/>
            <w:tcBorders>
              <w:top w:val="nil"/>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厅级</w:t>
            </w:r>
          </w:p>
        </w:tc>
        <w:tc>
          <w:tcPr>
            <w:tcW w:w="748" w:type="dxa"/>
            <w:vMerge w:val="restart"/>
            <w:tcBorders>
              <w:top w:val="nil"/>
              <w:left w:val="single" w:color="auto" w:sz="4" w:space="0"/>
              <w:bottom w:val="single" w:color="000000" w:sz="8"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其他人员</w:t>
            </w:r>
          </w:p>
        </w:tc>
        <w:tc>
          <w:tcPr>
            <w:tcW w:w="1593" w:type="dxa"/>
            <w:vMerge w:val="restart"/>
            <w:tcBorders>
              <w:top w:val="nil"/>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旺季期间</w:t>
            </w:r>
          </w:p>
        </w:tc>
        <w:tc>
          <w:tcPr>
            <w:tcW w:w="1409" w:type="dxa"/>
            <w:gridSpan w:val="2"/>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上浮价</w:t>
            </w:r>
          </w:p>
        </w:tc>
        <w:tc>
          <w:tcPr>
            <w:tcW w:w="653" w:type="dxa"/>
            <w:vMerge w:val="restart"/>
            <w:tcBorders>
              <w:top w:val="nil"/>
              <w:left w:val="single" w:color="auto" w:sz="4" w:space="0"/>
              <w:bottom w:val="single" w:color="000000" w:sz="8"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上浮比例</w:t>
            </w:r>
          </w:p>
        </w:tc>
      </w:tr>
      <w:tr>
        <w:tblPrEx>
          <w:tblLayout w:type="fixed"/>
          <w:tblCellMar>
            <w:top w:w="0" w:type="dxa"/>
            <w:left w:w="108" w:type="dxa"/>
            <w:bottom w:w="0" w:type="dxa"/>
            <w:right w:w="108" w:type="dxa"/>
          </w:tblCellMar>
        </w:tblPrEx>
        <w:trPr>
          <w:trHeight w:val="767" w:hRule="exact"/>
        </w:trPr>
        <w:tc>
          <w:tcPr>
            <w:tcW w:w="876" w:type="dxa"/>
            <w:vMerge w:val="continue"/>
            <w:tcBorders>
              <w:top w:val="single" w:color="auto" w:sz="8" w:space="0"/>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p>
        </w:tc>
        <w:tc>
          <w:tcPr>
            <w:tcW w:w="2997" w:type="dxa"/>
            <w:vMerge w:val="continue"/>
            <w:tcBorders>
              <w:top w:val="single" w:color="auto" w:sz="8" w:space="0"/>
              <w:left w:val="single" w:color="auto" w:sz="4" w:space="0"/>
              <w:bottom w:val="single" w:color="000000" w:sz="8"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p>
        </w:tc>
        <w:tc>
          <w:tcPr>
            <w:tcW w:w="710" w:type="dxa"/>
            <w:vMerge w:val="continue"/>
            <w:tcBorders>
              <w:top w:val="nil"/>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p>
        </w:tc>
        <w:tc>
          <w:tcPr>
            <w:tcW w:w="748" w:type="dxa"/>
            <w:vMerge w:val="continue"/>
            <w:tcBorders>
              <w:top w:val="nil"/>
              <w:left w:val="single" w:color="auto" w:sz="4" w:space="0"/>
              <w:bottom w:val="single" w:color="000000" w:sz="8"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p>
        </w:tc>
        <w:tc>
          <w:tcPr>
            <w:tcW w:w="1593" w:type="dxa"/>
            <w:vMerge w:val="continue"/>
            <w:tcBorders>
              <w:top w:val="nil"/>
              <w:left w:val="single" w:color="auto" w:sz="8" w:space="0"/>
              <w:bottom w:val="single" w:color="000000"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p>
        </w:tc>
        <w:tc>
          <w:tcPr>
            <w:tcW w:w="720" w:type="dxa"/>
            <w:tcBorders>
              <w:top w:val="nil"/>
              <w:left w:val="nil"/>
              <w:bottom w:val="single" w:color="auto"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厅级</w:t>
            </w:r>
          </w:p>
        </w:tc>
        <w:tc>
          <w:tcPr>
            <w:tcW w:w="689" w:type="dxa"/>
            <w:tcBorders>
              <w:top w:val="nil"/>
              <w:left w:val="nil"/>
              <w:bottom w:val="single" w:color="auto"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其他人员</w:t>
            </w:r>
          </w:p>
        </w:tc>
        <w:tc>
          <w:tcPr>
            <w:tcW w:w="653" w:type="dxa"/>
            <w:vMerge w:val="continue"/>
            <w:tcBorders>
              <w:top w:val="nil"/>
              <w:left w:val="single" w:color="auto" w:sz="4" w:space="0"/>
              <w:bottom w:val="single" w:color="000000" w:sz="8" w:space="0"/>
              <w:right w:val="single" w:color="auto" w:sz="8" w:space="0"/>
            </w:tcBorders>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p>
        </w:tc>
      </w:tr>
      <w:tr>
        <w:tblPrEx>
          <w:tblLayout w:type="fixed"/>
          <w:tblCellMar>
            <w:top w:w="0" w:type="dxa"/>
            <w:left w:w="108" w:type="dxa"/>
            <w:bottom w:w="0" w:type="dxa"/>
            <w:right w:w="108" w:type="dxa"/>
          </w:tblCellMar>
        </w:tblPrEx>
        <w:trPr>
          <w:trHeight w:val="510" w:hRule="exact"/>
        </w:trPr>
        <w:tc>
          <w:tcPr>
            <w:tcW w:w="3873" w:type="dxa"/>
            <w:gridSpan w:val="2"/>
            <w:tcBorders>
              <w:top w:val="nil"/>
              <w:left w:val="single" w:color="auto" w:sz="8" w:space="0"/>
              <w:bottom w:val="single" w:color="auto" w:sz="4" w:space="0"/>
              <w:right w:val="single" w:color="000000"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b/>
                <w:bCs/>
                <w:kern w:val="0"/>
                <w:sz w:val="21"/>
                <w:szCs w:val="21"/>
              </w:rPr>
            </w:pPr>
            <w:r>
              <w:rPr>
                <w:rFonts w:hint="eastAsia" w:ascii="仿宋_GB2312" w:hAnsi="宋体" w:eastAsia="仿宋_GB2312" w:cs="宋体"/>
                <w:b/>
                <w:bCs/>
                <w:kern w:val="0"/>
                <w:sz w:val="21"/>
                <w:szCs w:val="21"/>
              </w:rPr>
              <w:t>市本级</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南宁</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350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桂林</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610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430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梧州</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北海</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610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430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防城港</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6</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钦州</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7</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贵港</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8</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玉林</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9</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贺州</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10</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百色</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11</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河池</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来宾</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13</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崇左</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3873" w:type="dxa"/>
            <w:gridSpan w:val="2"/>
            <w:tcBorders>
              <w:top w:val="single" w:color="auto" w:sz="4" w:space="0"/>
              <w:left w:val="single" w:color="auto" w:sz="8" w:space="0"/>
              <w:bottom w:val="single" w:color="auto" w:sz="4" w:space="0"/>
              <w:right w:val="single" w:color="000000"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b/>
                <w:bCs/>
                <w:kern w:val="0"/>
                <w:sz w:val="21"/>
                <w:szCs w:val="21"/>
              </w:rPr>
            </w:pPr>
            <w:r>
              <w:rPr>
                <w:rFonts w:hint="eastAsia" w:ascii="仿宋_GB2312" w:hAnsi="宋体" w:eastAsia="仿宋_GB2312" w:cs="宋体"/>
                <w:b/>
                <w:bCs/>
                <w:kern w:val="0"/>
                <w:sz w:val="21"/>
                <w:szCs w:val="21"/>
              </w:rPr>
              <w:t>县级</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广西特色旅游名县（市、区）</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阳朔县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470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330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610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430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涠洲管委会</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w:t>
            </w:r>
          </w:p>
        </w:tc>
        <w:tc>
          <w:tcPr>
            <w:tcW w:w="29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钦南区</w:t>
            </w:r>
          </w:p>
        </w:tc>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上林县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三江侗族自治县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（6）</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融水苗族自治县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（7）</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兴安县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（8）</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龙胜各族自治县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（9）</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蒙山县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（10）</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东兴市</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（11）</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桂平市</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容县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（13）</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靖西县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（14）</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乐业县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（15）</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昭平县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（16）</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巴马瑶族自治区县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（17）</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宜州市</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（18）</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金秀瑶族自治区县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（19）</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大新县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（20）</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凭祥市</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（21）</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龙州县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（22）</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资源县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（23）</w:t>
            </w:r>
          </w:p>
        </w:tc>
        <w:tc>
          <w:tcPr>
            <w:tcW w:w="2997"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荔浦县</w:t>
            </w:r>
          </w:p>
        </w:tc>
        <w:tc>
          <w:tcPr>
            <w:tcW w:w="71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4"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1-2月，7-9月</w:t>
            </w:r>
          </w:p>
        </w:tc>
        <w:tc>
          <w:tcPr>
            <w:tcW w:w="720"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520</w:t>
            </w:r>
          </w:p>
        </w:tc>
        <w:tc>
          <w:tcPr>
            <w:tcW w:w="689" w:type="dxa"/>
            <w:tcBorders>
              <w:top w:val="nil"/>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360</w:t>
            </w:r>
          </w:p>
        </w:tc>
        <w:tc>
          <w:tcPr>
            <w:tcW w:w="653" w:type="dxa"/>
            <w:tcBorders>
              <w:top w:val="nil"/>
              <w:left w:val="nil"/>
              <w:bottom w:val="single" w:color="auto" w:sz="4"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30%</w:t>
            </w:r>
          </w:p>
        </w:tc>
      </w:tr>
      <w:tr>
        <w:tblPrEx>
          <w:tblLayout w:type="fixed"/>
          <w:tblCellMar>
            <w:top w:w="0" w:type="dxa"/>
            <w:left w:w="108" w:type="dxa"/>
            <w:bottom w:w="0" w:type="dxa"/>
            <w:right w:w="108" w:type="dxa"/>
          </w:tblCellMar>
        </w:tblPrEx>
        <w:trPr>
          <w:trHeight w:val="510" w:hRule="exact"/>
        </w:trPr>
        <w:tc>
          <w:tcPr>
            <w:tcW w:w="876" w:type="dxa"/>
            <w:tcBorders>
              <w:top w:val="nil"/>
              <w:left w:val="single" w:color="auto" w:sz="8" w:space="0"/>
              <w:bottom w:val="single" w:color="auto"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w:t>
            </w:r>
          </w:p>
        </w:tc>
        <w:tc>
          <w:tcPr>
            <w:tcW w:w="2997" w:type="dxa"/>
            <w:tcBorders>
              <w:top w:val="nil"/>
              <w:left w:val="nil"/>
              <w:bottom w:val="single" w:color="auto" w:sz="8"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其他县级</w:t>
            </w:r>
          </w:p>
        </w:tc>
        <w:tc>
          <w:tcPr>
            <w:tcW w:w="710" w:type="dxa"/>
            <w:tcBorders>
              <w:top w:val="nil"/>
              <w:left w:val="nil"/>
              <w:bottom w:val="single" w:color="auto"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400</w:t>
            </w:r>
          </w:p>
        </w:tc>
        <w:tc>
          <w:tcPr>
            <w:tcW w:w="748" w:type="dxa"/>
            <w:tcBorders>
              <w:top w:val="nil"/>
              <w:left w:val="nil"/>
              <w:bottom w:val="single" w:color="auto" w:sz="8" w:space="0"/>
              <w:right w:val="nil"/>
            </w:tcBorders>
            <w:shd w:val="clear" w:color="auto" w:fill="auto"/>
            <w:noWrap w:val="0"/>
            <w:vAlign w:val="center"/>
          </w:tcPr>
          <w:p>
            <w:pPr>
              <w:pageBreakBefore w:val="0"/>
              <w:widowControl/>
              <w:kinsoku/>
              <w:wordWrap/>
              <w:overflowPunct/>
              <w:topLinePunct w:val="0"/>
              <w:autoSpaceDE/>
              <w:autoSpaceDN/>
              <w:bidi w:val="0"/>
              <w:spacing w:line="360" w:lineRule="exact"/>
              <w:jc w:val="center"/>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280</w:t>
            </w:r>
          </w:p>
        </w:tc>
        <w:tc>
          <w:tcPr>
            <w:tcW w:w="1593" w:type="dxa"/>
            <w:tcBorders>
              <w:top w:val="nil"/>
              <w:left w:val="single" w:color="auto" w:sz="8" w:space="0"/>
              <w:bottom w:val="single" w:color="auto"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720" w:type="dxa"/>
            <w:tcBorders>
              <w:top w:val="nil"/>
              <w:left w:val="nil"/>
              <w:bottom w:val="single" w:color="auto"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89" w:type="dxa"/>
            <w:tcBorders>
              <w:top w:val="nil"/>
              <w:left w:val="nil"/>
              <w:bottom w:val="single" w:color="auto" w:sz="8"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c>
          <w:tcPr>
            <w:tcW w:w="653" w:type="dxa"/>
            <w:tcBorders>
              <w:top w:val="nil"/>
              <w:left w:val="nil"/>
              <w:bottom w:val="single" w:color="auto" w:sz="8" w:space="0"/>
              <w:right w:val="single" w:color="auto" w:sz="8" w:space="0"/>
            </w:tcBorders>
            <w:shd w:val="clear" w:color="auto" w:fill="auto"/>
            <w:noWrap w:val="0"/>
            <w:vAlign w:val="center"/>
          </w:tcPr>
          <w:p>
            <w:pPr>
              <w:pageBreakBefore w:val="0"/>
              <w:widowControl/>
              <w:kinsoku/>
              <w:wordWrap/>
              <w:overflowPunct/>
              <w:topLinePunct w:val="0"/>
              <w:autoSpaceDE/>
              <w:autoSpaceDN/>
              <w:bidi w:val="0"/>
              <w:spacing w:line="360" w:lineRule="exact"/>
              <w:jc w:val="left"/>
              <w:outlineLvl w:val="9"/>
              <w:rPr>
                <w:rFonts w:hint="eastAsia" w:ascii="仿宋_GB2312" w:hAnsi="宋体" w:eastAsia="仿宋_GB2312" w:cs="宋体"/>
                <w:kern w:val="0"/>
                <w:sz w:val="21"/>
                <w:szCs w:val="21"/>
              </w:rPr>
            </w:pPr>
            <w:r>
              <w:rPr>
                <w:rFonts w:hint="eastAsia" w:ascii="仿宋_GB2312" w:hAnsi="宋体" w:eastAsia="仿宋_GB2312" w:cs="宋体"/>
                <w:kern w:val="0"/>
                <w:sz w:val="21"/>
                <w:szCs w:val="21"/>
              </w:rPr>
              <w:t>　</w:t>
            </w:r>
          </w:p>
        </w:tc>
      </w:tr>
    </w:tbl>
    <w:p>
      <w:pPr>
        <w:pageBreakBefore w:val="0"/>
        <w:kinsoku/>
        <w:wordWrap/>
        <w:overflowPunct/>
        <w:topLinePunct w:val="0"/>
        <w:autoSpaceDE/>
        <w:autoSpaceDN/>
        <w:bidi w:val="0"/>
        <w:spacing w:line="500" w:lineRule="exact"/>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outlineLvl w:val="9"/>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pageBreakBefore w:val="0"/>
        <w:kinsoku/>
        <w:wordWrap/>
        <w:overflowPunct/>
        <w:topLinePunct w:val="0"/>
        <w:autoSpaceDE/>
        <w:autoSpaceDN/>
        <w:bidi w:val="0"/>
        <w:spacing w:line="590" w:lineRule="exact"/>
        <w:jc w:val="center"/>
        <w:outlineLvl w:val="9"/>
        <w:rPr>
          <w:rFonts w:hint="eastAsia"/>
          <w:b/>
          <w:sz w:val="36"/>
          <w:szCs w:val="36"/>
        </w:rPr>
      </w:pPr>
      <w:bookmarkStart w:id="1201" w:name="_Toc8816"/>
      <w:bookmarkStart w:id="1202" w:name="_Toc5883_WPSOffice_Level1"/>
      <w:r>
        <w:rPr>
          <w:rFonts w:hint="eastAsia"/>
          <w:b/>
          <w:color w:val="000000"/>
          <w:sz w:val="36"/>
          <w:szCs w:val="36"/>
        </w:rPr>
        <w:t>柳州职业技术学院因公临时出国（境）经费管理办法</w:t>
      </w:r>
      <w:bookmarkEnd w:id="1201"/>
      <w:bookmarkEnd w:id="1202"/>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（柳职院字〔2021〕82 号）</w:t>
      </w:r>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宋体" w:eastAsia="黑体"/>
          <w:b/>
          <w:bCs/>
          <w:sz w:val="32"/>
          <w:szCs w:val="32"/>
        </w:rPr>
      </w:pPr>
      <w:bookmarkStart w:id="1203" w:name="_Toc21986_WPSOffice_Level1"/>
      <w:r>
        <w:rPr>
          <w:rFonts w:hint="eastAsia" w:ascii="黑体" w:hAnsi="宋体" w:eastAsia="黑体"/>
          <w:b/>
          <w:bCs/>
          <w:sz w:val="32"/>
          <w:szCs w:val="32"/>
        </w:rPr>
        <w:t>第一章  总  则</w:t>
      </w:r>
      <w:bookmarkEnd w:id="1203"/>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第一条</w:t>
      </w:r>
      <w:r>
        <w:rPr>
          <w:rFonts w:hint="eastAsia" w:ascii="仿宋_GB2312" w:hAnsi="宋体" w:eastAsia="仿宋_GB2312"/>
          <w:bCs/>
          <w:sz w:val="32"/>
          <w:szCs w:val="32"/>
        </w:rPr>
        <w:t xml:space="preserve"> 为有效和有序地开展对外合作与交流，规范因公临时出国（境）管理，明确因公出访人员经费管理规定，根据《党政机关厉行节约反对浪费条例》、《财政部外交部关于印发&lt;因公临时出国（境）经费管理办法&gt;》（财行〔2013〕516号）、《</w:t>
      </w:r>
      <w:bookmarkStart w:id="1204" w:name="_Toc5246_WPSOffice_Level1"/>
      <w:r>
        <w:rPr>
          <w:rFonts w:hint="eastAsia" w:ascii="仿宋_GB2312" w:hAnsi="宋体" w:eastAsia="仿宋_GB2312"/>
          <w:bCs/>
          <w:sz w:val="32"/>
          <w:szCs w:val="32"/>
        </w:rPr>
        <w:t>关于加强和改进教学科研人员因公临时出</w:t>
      </w:r>
      <w:bookmarkEnd w:id="1204"/>
      <w:r>
        <w:rPr>
          <w:rFonts w:hint="eastAsia" w:ascii="仿宋_GB2312" w:hAnsi="宋体" w:eastAsia="仿宋_GB2312"/>
          <w:bCs/>
          <w:sz w:val="32"/>
          <w:szCs w:val="32"/>
        </w:rPr>
        <w:t>国管理工作的指导意见》（中办发〔2016〕17号）等通知，特制定本办法。</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第二条</w:t>
      </w:r>
      <w:r>
        <w:rPr>
          <w:rFonts w:hint="eastAsia" w:ascii="仿宋_GB2312" w:hAnsi="宋体" w:eastAsia="仿宋_GB2312"/>
          <w:bCs/>
          <w:sz w:val="32"/>
          <w:szCs w:val="32"/>
        </w:rPr>
        <w:t xml:space="preserve"> 本规定中因公临时出国（境）是指学校教职工因公临时（时间在90天及以下）出国或赴港澳台地区执行公务或开展学术交流合作（简称因公出访，下同）。</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第三条</w:t>
      </w:r>
      <w:r>
        <w:rPr>
          <w:rFonts w:hint="eastAsia" w:ascii="仿宋_GB2312" w:hAnsi="宋体" w:eastAsia="仿宋_GB2312"/>
          <w:bCs/>
          <w:sz w:val="32"/>
          <w:szCs w:val="32"/>
        </w:rPr>
        <w:t xml:space="preserve"> 本办法所指因公临时出国（境）经费是指教职工公务出国（境）的住宿费、差旅费、伙食补助费、杂费、培训费等支出。</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第四条</w:t>
      </w:r>
      <w:r>
        <w:rPr>
          <w:rFonts w:hint="eastAsia" w:ascii="仿宋_GB2312" w:hAnsi="宋体" w:eastAsia="仿宋_GB2312"/>
          <w:bCs/>
          <w:sz w:val="32"/>
          <w:szCs w:val="32"/>
        </w:rPr>
        <w:t xml:space="preserve"> 因公临时出国（境）经费统计部门包括学校各行政职能部门及各二级学院。校内各部门、各类资金用于出国（境）开支，均适用本办法。</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第五条</w:t>
      </w:r>
      <w:r>
        <w:rPr>
          <w:rFonts w:hint="eastAsia" w:ascii="仿宋_GB2312" w:hAnsi="宋体" w:eastAsia="仿宋_GB2312"/>
          <w:bCs/>
          <w:sz w:val="32"/>
          <w:szCs w:val="32"/>
        </w:rPr>
        <w:t xml:space="preserve"> 各部门应当坚持强化预算约束、优化经费结构、厉行勤俭节约、讲求务实高效的原则，严格控制因公临时出国（境）规模，规范因公临时出国（境）经费管理。</w:t>
      </w:r>
    </w:p>
    <w:p>
      <w:pPr>
        <w:pageBreakBefore w:val="0"/>
        <w:kinsoku/>
        <w:wordWrap/>
        <w:overflowPunct/>
        <w:topLinePunct w:val="0"/>
        <w:autoSpaceDE/>
        <w:autoSpaceDN/>
        <w:bidi w:val="0"/>
        <w:spacing w:line="580" w:lineRule="exact"/>
        <w:jc w:val="center"/>
        <w:outlineLvl w:val="9"/>
        <w:rPr>
          <w:rFonts w:ascii="黑体" w:hAnsi="宋体" w:eastAsia="黑体"/>
          <w:b/>
          <w:bCs/>
          <w:sz w:val="32"/>
          <w:szCs w:val="32"/>
        </w:rPr>
      </w:pPr>
      <w:bookmarkStart w:id="1205" w:name="_Toc19320_WPSOffice_Level1"/>
      <w:r>
        <w:rPr>
          <w:rFonts w:hint="eastAsia" w:ascii="黑体" w:hAnsi="宋体" w:eastAsia="黑体"/>
          <w:b/>
          <w:bCs/>
          <w:sz w:val="32"/>
          <w:szCs w:val="32"/>
        </w:rPr>
        <w:t>第二章 预算管理与计划管理</w:t>
      </w:r>
      <w:bookmarkEnd w:id="1205"/>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第六条</w:t>
      </w:r>
      <w:r>
        <w:rPr>
          <w:rFonts w:hint="eastAsia" w:ascii="仿宋_GB2312" w:hAnsi="宋体" w:eastAsia="仿宋_GB2312"/>
          <w:bCs/>
          <w:sz w:val="32"/>
          <w:szCs w:val="32"/>
        </w:rPr>
        <w:t xml:space="preserve"> 因公临时出国（境）经费应当全部纳入预算管理，并按照下列规定执行：</w:t>
      </w:r>
      <w:r>
        <w:rPr>
          <w:rFonts w:hint="eastAsia" w:ascii="仿宋_GB2312" w:hAnsi="宋体" w:eastAsia="仿宋_GB2312"/>
          <w:bCs/>
          <w:sz w:val="32"/>
          <w:szCs w:val="32"/>
        </w:rPr>
        <w:br w:type="textWrapping"/>
      </w:r>
      <w:r>
        <w:rPr>
          <w:rFonts w:hint="eastAsia" w:ascii="仿宋_GB2312" w:hAnsi="宋体" w:eastAsia="仿宋_GB2312"/>
          <w:bCs/>
          <w:sz w:val="32"/>
          <w:szCs w:val="32"/>
        </w:rPr>
        <w:t>　　（一）财务处负责因公临时出国（境）团组的经费预算、开支核销等财务管理工作。国际交流合作处（以下简称国交处）负责出国团组人员、路线、天数、境外宴请、赠送礼品等经费开支项目审核工作。</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（二）出访计划的申报及审批管理严格按照学校因公临时出国（境）管理规定执行。各部门必须在预算范围内制定因公出访计划，不得超预算或无预算安排出访团组。确有特殊需要的，按规定程序批报。</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第七条</w:t>
      </w:r>
      <w:r>
        <w:rPr>
          <w:rFonts w:hint="eastAsia" w:ascii="仿宋_GB2312" w:hAnsi="宋体" w:eastAsia="仿宋_GB2312"/>
          <w:bCs/>
          <w:sz w:val="32"/>
          <w:szCs w:val="32"/>
        </w:rPr>
        <w:t xml:space="preserve"> 使用财政资金执行出访任务的，纳入学校预算管理，按照“经费先行审核”的要求从严把关；使用国家各级主管部门批准的科研项目和双边或多边合作项目经费的，严格按照项目预算及经费使用安排履行审核审批手续；使用邀请方资助项目经费的，按照双方达成的协议予以审核审批。</w:t>
      </w:r>
    </w:p>
    <w:p>
      <w:pPr>
        <w:pageBreakBefore w:val="0"/>
        <w:kinsoku/>
        <w:wordWrap/>
        <w:overflowPunct/>
        <w:topLinePunct w:val="0"/>
        <w:autoSpaceDE/>
        <w:autoSpaceDN/>
        <w:bidi w:val="0"/>
        <w:spacing w:line="580" w:lineRule="exact"/>
        <w:ind w:firstLine="643" w:firstLineChars="200"/>
        <w:outlineLvl w:val="9"/>
        <w:rPr>
          <w:rFonts w:ascii="仿宋_GB2312" w:hAnsi="宋体" w:eastAsia="仿宋_GB2312"/>
          <w:bCs/>
          <w:sz w:val="32"/>
          <w:szCs w:val="32"/>
        </w:rPr>
      </w:pPr>
      <w:r>
        <w:rPr>
          <w:rFonts w:hint="eastAsia" w:ascii="仿宋_GB2312" w:hAnsi="宋体" w:eastAsia="仿宋_GB2312"/>
          <w:b/>
          <w:sz w:val="32"/>
          <w:szCs w:val="32"/>
        </w:rPr>
        <w:t>第八条</w:t>
      </w:r>
      <w:r>
        <w:rPr>
          <w:rFonts w:hint="eastAsia" w:ascii="仿宋_GB2312" w:hAnsi="宋体" w:eastAsia="仿宋_GB2312"/>
          <w:bCs/>
          <w:sz w:val="32"/>
          <w:szCs w:val="32"/>
        </w:rPr>
        <w:t xml:space="preserve"> 因公出国经费的支付，严格按照国家和学校相关经费管理制度执行，严格执行各项经费开支标准，不得擅自突破。</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第九条</w:t>
      </w:r>
      <w:r>
        <w:rPr>
          <w:rFonts w:hint="eastAsia" w:ascii="仿宋_GB2312" w:hAnsi="宋体" w:eastAsia="仿宋_GB2312"/>
          <w:bCs/>
          <w:sz w:val="32"/>
          <w:szCs w:val="32"/>
        </w:rPr>
        <w:t xml:space="preserve"> 学校遵循务实高效和总量控制的原则，结合工作需要制订因公出访年度计划。</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（一）校领导因公出访年度计划，由国际交流合作处提出，经学校党委审议后报上级主管部门审批。</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（二）其他人员因公出访年度计划，由各所在部门根据实际工作需要制定，汇总后报国交处审核汇总，经学校党委审议后报上级主管部门审批。</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（三）参加双跨团组（跨地区、跨部门）应列入因公出访年度计划。</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四）年度出访计划一经批准，必须认真执行，严禁不履行因公出国（境）任务报批手续而擅自出国（境）执行公务活动。对计划外确因工作需要出访的，应在所在单位计划总量中调剂，并在按规定程序报批时说明调剂原因。</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五）各部门应当认真贯彻中央有关外事管理规定，科学制订年度因公临时出国（境）计划，认真履行因公临时出国（境）计划报批制度，严格控制因公临时出国（境）团组人数、国家数和在外停留天数，正确执行限量管理规定。组团单位和派出单位要明确责任，谁派出、谁负责。</w:t>
      </w:r>
      <w:r>
        <w:rPr>
          <w:rFonts w:hint="eastAsia" w:ascii="仿宋_GB2312" w:hAnsi="宋体" w:eastAsia="仿宋_GB2312"/>
          <w:bCs/>
          <w:sz w:val="32"/>
          <w:szCs w:val="32"/>
        </w:rPr>
        <w:br w:type="textWrapping"/>
      </w:r>
      <w:r>
        <w:rPr>
          <w:rFonts w:hint="eastAsia" w:ascii="仿宋_GB2312" w:hAnsi="宋体" w:eastAsia="仿宋_GB2312"/>
          <w:bCs/>
          <w:sz w:val="32"/>
          <w:szCs w:val="32"/>
        </w:rPr>
        <w:t>　　（六）因公临时出国（境）应当坚持因事定人的原则，不得因人找事，不得安排照顾性和无实质内容的一般性出访。</w:t>
      </w:r>
      <w:r>
        <w:rPr>
          <w:rFonts w:hint="eastAsia" w:ascii="仿宋_GB2312" w:hAnsi="宋体" w:eastAsia="仿宋_GB2312"/>
          <w:bCs/>
          <w:sz w:val="32"/>
          <w:szCs w:val="32"/>
        </w:rPr>
        <w:br w:type="textWrapping"/>
      </w:r>
      <w:r>
        <w:rPr>
          <w:rFonts w:hint="eastAsia" w:ascii="仿宋_GB2312" w:hAnsi="宋体" w:eastAsia="仿宋_GB2312"/>
          <w:bCs/>
          <w:sz w:val="32"/>
          <w:szCs w:val="32"/>
        </w:rPr>
        <w:t>　　（七）国际交流处应当加强因公临时出国（境）计划的审核审批管理，严格把关，对违反规定、不适合成行的团组予以调整或者取消。</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第十条</w:t>
      </w:r>
      <w:r>
        <w:rPr>
          <w:rFonts w:hint="eastAsia" w:ascii="仿宋_GB2312" w:hAnsi="宋体" w:eastAsia="仿宋_GB2312"/>
          <w:bCs/>
          <w:sz w:val="32"/>
          <w:szCs w:val="32"/>
        </w:rPr>
        <w:t xml:space="preserve"> 出访团组应当事先提请审批流程，由学校国际交流处和财务处分别出具审签意见，明确审核责任。出国任务、出国经费预算未通过审核的，不得安排出访团组。</w:t>
      </w:r>
    </w:p>
    <w:p>
      <w:pPr>
        <w:pageBreakBefore w:val="0"/>
        <w:kinsoku/>
        <w:wordWrap/>
        <w:overflowPunct/>
        <w:topLinePunct w:val="0"/>
        <w:autoSpaceDE/>
        <w:autoSpaceDN/>
        <w:bidi w:val="0"/>
        <w:spacing w:line="580" w:lineRule="exact"/>
        <w:jc w:val="center"/>
        <w:outlineLvl w:val="9"/>
        <w:rPr>
          <w:rFonts w:ascii="黑体" w:hAnsi="宋体" w:eastAsia="黑体"/>
          <w:b/>
          <w:bCs/>
          <w:sz w:val="32"/>
          <w:szCs w:val="32"/>
        </w:rPr>
      </w:pPr>
      <w:bookmarkStart w:id="1206" w:name="_Toc966_WPSOffice_Level1"/>
      <w:r>
        <w:rPr>
          <w:rFonts w:hint="eastAsia" w:ascii="黑体" w:hAnsi="宋体" w:eastAsia="黑体"/>
          <w:b/>
          <w:bCs/>
          <w:sz w:val="32"/>
          <w:szCs w:val="32"/>
        </w:rPr>
        <w:t>第三章</w:t>
      </w:r>
      <w:r>
        <w:rPr>
          <w:rFonts w:hint="eastAsia" w:ascii="黑体" w:eastAsia="黑体"/>
          <w:b/>
          <w:bCs/>
          <w:sz w:val="32"/>
          <w:szCs w:val="32"/>
        </w:rPr>
        <w:t xml:space="preserve">  </w:t>
      </w:r>
      <w:r>
        <w:rPr>
          <w:rFonts w:hint="eastAsia" w:ascii="黑体" w:hAnsi="宋体" w:eastAsia="黑体"/>
          <w:b/>
          <w:bCs/>
          <w:sz w:val="32"/>
          <w:szCs w:val="32"/>
        </w:rPr>
        <w:t>经费管理</w:t>
      </w:r>
      <w:bookmarkEnd w:id="1206"/>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第十一条</w:t>
      </w:r>
      <w:r>
        <w:rPr>
          <w:rFonts w:hint="eastAsia" w:ascii="仿宋_GB2312" w:hAnsi="宋体" w:eastAsia="仿宋_GB2312"/>
          <w:bCs/>
          <w:sz w:val="32"/>
          <w:szCs w:val="32"/>
        </w:rPr>
        <w:t xml:space="preserve"> 因公临时出国（境）经费包括：国际旅费、国外城市间交通费、住宿费、伙食费、公杂费和其他费用。</w:t>
      </w:r>
      <w:r>
        <w:rPr>
          <w:rFonts w:hint="eastAsia" w:ascii="仿宋_GB2312" w:hAnsi="宋体" w:eastAsia="仿宋_GB2312"/>
          <w:bCs/>
          <w:sz w:val="32"/>
          <w:szCs w:val="32"/>
        </w:rPr>
        <w:br w:type="textWrapping"/>
      </w:r>
      <w:r>
        <w:rPr>
          <w:rFonts w:hint="eastAsia" w:ascii="仿宋_GB2312" w:hAnsi="宋体" w:eastAsia="仿宋_GB2312"/>
          <w:bCs/>
          <w:sz w:val="32"/>
          <w:szCs w:val="32"/>
        </w:rPr>
        <w:t>　　国际旅费是指出境口岸至入境口岸旅费。</w:t>
      </w:r>
      <w:r>
        <w:rPr>
          <w:rFonts w:hint="eastAsia" w:ascii="仿宋_GB2312" w:hAnsi="宋体" w:eastAsia="仿宋_GB2312"/>
          <w:bCs/>
          <w:sz w:val="32"/>
          <w:szCs w:val="32"/>
        </w:rPr>
        <w:br w:type="textWrapping"/>
      </w:r>
      <w:r>
        <w:rPr>
          <w:rFonts w:hint="eastAsia" w:ascii="仿宋_GB2312" w:hAnsi="宋体" w:eastAsia="仿宋_GB2312"/>
          <w:bCs/>
          <w:sz w:val="32"/>
          <w:szCs w:val="32"/>
        </w:rPr>
        <w:t>　　国外城市间交通费是指为完成工作任务所必须发生的，在出访国家的城市与城市之间的交通费用。</w:t>
      </w:r>
      <w:r>
        <w:rPr>
          <w:rFonts w:hint="eastAsia" w:ascii="仿宋_GB2312" w:hAnsi="宋体" w:eastAsia="仿宋_GB2312"/>
          <w:bCs/>
          <w:sz w:val="32"/>
          <w:szCs w:val="32"/>
        </w:rPr>
        <w:br w:type="textWrapping"/>
      </w:r>
      <w:r>
        <w:rPr>
          <w:rFonts w:hint="eastAsia" w:ascii="仿宋_GB2312" w:hAnsi="宋体" w:eastAsia="仿宋_GB2312"/>
          <w:bCs/>
          <w:sz w:val="32"/>
          <w:szCs w:val="32"/>
        </w:rPr>
        <w:t>　　住宿费是指出国人员在国外发生的住宿费用。</w:t>
      </w:r>
      <w:r>
        <w:rPr>
          <w:rFonts w:hint="eastAsia" w:ascii="仿宋_GB2312" w:hAnsi="宋体" w:eastAsia="仿宋_GB2312"/>
          <w:bCs/>
          <w:sz w:val="32"/>
          <w:szCs w:val="32"/>
        </w:rPr>
        <w:br w:type="textWrapping"/>
      </w:r>
      <w:r>
        <w:rPr>
          <w:rFonts w:hint="eastAsia" w:ascii="仿宋_GB2312" w:hAnsi="宋体" w:eastAsia="仿宋_GB2312"/>
          <w:bCs/>
          <w:sz w:val="32"/>
          <w:szCs w:val="32"/>
        </w:rPr>
        <w:t>　　伙食费是指出国人员在国外期间的日常伙食费用。</w:t>
      </w:r>
      <w:r>
        <w:rPr>
          <w:rFonts w:hint="eastAsia" w:ascii="仿宋_GB2312" w:hAnsi="宋体" w:eastAsia="仿宋_GB2312"/>
          <w:bCs/>
          <w:sz w:val="32"/>
          <w:szCs w:val="32"/>
        </w:rPr>
        <w:br w:type="textWrapping"/>
      </w:r>
      <w:r>
        <w:rPr>
          <w:rFonts w:hint="eastAsia" w:ascii="仿宋_GB2312" w:hAnsi="宋体" w:eastAsia="仿宋_GB2312"/>
          <w:bCs/>
          <w:sz w:val="32"/>
          <w:szCs w:val="32"/>
        </w:rPr>
        <w:t>　　公杂费是指出国人员在国外期间的市内交通、邮电、办公用品、必要的小费等费用。</w:t>
      </w:r>
      <w:r>
        <w:rPr>
          <w:rFonts w:hint="eastAsia" w:ascii="仿宋_GB2312" w:hAnsi="宋体" w:eastAsia="仿宋_GB2312"/>
          <w:bCs/>
          <w:sz w:val="32"/>
          <w:szCs w:val="32"/>
        </w:rPr>
        <w:br w:type="textWrapping"/>
      </w:r>
      <w:r>
        <w:rPr>
          <w:rFonts w:hint="eastAsia" w:ascii="仿宋_GB2312" w:hAnsi="宋体" w:eastAsia="仿宋_GB2312"/>
          <w:bCs/>
          <w:sz w:val="32"/>
          <w:szCs w:val="32"/>
        </w:rPr>
        <w:t>　　其他费用主要是指出国签证费用、必需的保险费用、防疫费用、国际会议注册费用等。</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第十二条</w:t>
      </w:r>
      <w:r>
        <w:rPr>
          <w:rFonts w:hint="eastAsia" w:ascii="仿宋_GB2312" w:hAnsi="宋体" w:eastAsia="仿宋_GB2312"/>
          <w:bCs/>
          <w:sz w:val="32"/>
          <w:szCs w:val="32"/>
        </w:rPr>
        <w:t xml:space="preserve"> 国际旅费按照下列规定执行：</w:t>
      </w:r>
      <w:r>
        <w:rPr>
          <w:rFonts w:hint="eastAsia" w:ascii="仿宋_GB2312" w:hAnsi="宋体" w:eastAsia="仿宋_GB2312"/>
          <w:bCs/>
          <w:sz w:val="32"/>
          <w:szCs w:val="32"/>
        </w:rPr>
        <w:br w:type="textWrapping"/>
      </w:r>
      <w:r>
        <w:rPr>
          <w:rFonts w:hint="eastAsia" w:ascii="仿宋_GB2312" w:hAnsi="宋体" w:eastAsia="仿宋_GB2312"/>
          <w:bCs/>
          <w:sz w:val="32"/>
          <w:szCs w:val="32"/>
        </w:rPr>
        <w:t>　　（一）选择经济合理的路线。出国人员应当优先选择由我国航空公司运营的国际航线，选择直达目的地国家（地区）的国内航空公司航班出入境，没有直达航班的，应当选择国内航空公司航班到达的最临近目的地国家（地区）进行中转。由于航班衔接等原因需选择外国航空公司航线的，应当申请并附相关证明材料，不得以任何理由绕道旅行，或以过境名义变相增加出访国家和时间。机票款由财务处通过支票、汇款方式或公务卡支付，不得以现金支付。</w:t>
      </w:r>
      <w:r>
        <w:rPr>
          <w:rFonts w:hint="eastAsia" w:ascii="仿宋_GB2312" w:hAnsi="宋体" w:eastAsia="仿宋_GB2312"/>
          <w:bCs/>
          <w:sz w:val="32"/>
          <w:szCs w:val="32"/>
        </w:rPr>
        <w:br w:type="textWrapping"/>
      </w:r>
      <w:r>
        <w:rPr>
          <w:rFonts w:hint="eastAsia" w:ascii="仿宋_GB2312" w:hAnsi="宋体" w:eastAsia="仿宋_GB2312"/>
          <w:bCs/>
          <w:sz w:val="32"/>
          <w:szCs w:val="32"/>
        </w:rPr>
        <w:t>　　（二）按照经济适用的原则，通过政府采购等方式，选择优惠票价，并尽可能购买往返机票。机票款由本单位通过公务卡、银行转账方式支付，不得以现金支付。财务处应当根据《航空运输电子客票行程单》等有效票据注明的金额予以报销。</w:t>
      </w:r>
      <w:r>
        <w:rPr>
          <w:rFonts w:hint="eastAsia" w:ascii="仿宋_GB2312" w:hAnsi="宋体" w:eastAsia="仿宋_GB2312"/>
          <w:bCs/>
          <w:sz w:val="32"/>
          <w:szCs w:val="32"/>
        </w:rPr>
        <w:br w:type="textWrapping"/>
      </w:r>
      <w:r>
        <w:rPr>
          <w:rFonts w:hint="eastAsia" w:ascii="仿宋_GB2312" w:hAnsi="宋体" w:eastAsia="仿宋_GB2312"/>
          <w:bCs/>
          <w:sz w:val="32"/>
          <w:szCs w:val="32"/>
        </w:rPr>
        <w:t>　　（三）出国人员应当严格按照规定安排交通工具，不得乘坐民航包机或私人、企业和外国航空公司包机。</w:t>
      </w:r>
      <w:r>
        <w:rPr>
          <w:rFonts w:hint="eastAsia" w:ascii="仿宋_GB2312" w:hAnsi="宋体" w:eastAsia="仿宋_GB2312"/>
          <w:bCs/>
          <w:sz w:val="32"/>
          <w:szCs w:val="32"/>
        </w:rPr>
        <w:br w:type="textWrapping"/>
      </w:r>
      <w:r>
        <w:rPr>
          <w:rFonts w:hint="eastAsia" w:ascii="仿宋_GB2312" w:hAnsi="宋体" w:eastAsia="仿宋_GB2312"/>
          <w:bCs/>
          <w:sz w:val="32"/>
          <w:szCs w:val="32"/>
        </w:rPr>
        <w:t>　　（四）出国人员乘坐国际交通工具按照以下标准执行：</w:t>
      </w:r>
    </w:p>
    <w:tbl>
      <w:tblPr>
        <w:tblStyle w:val="15"/>
        <w:tblW w:w="93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863"/>
        <w:gridCol w:w="409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4" w:type="dxa"/>
          </w:tcPr>
          <w:p>
            <w:pPr>
              <w:pageBreakBefore w:val="0"/>
              <w:kinsoku/>
              <w:wordWrap/>
              <w:overflowPunct/>
              <w:topLinePunct w:val="0"/>
              <w:autoSpaceDE/>
              <w:autoSpaceDN/>
              <w:bidi w:val="0"/>
              <w:spacing w:line="580" w:lineRule="exact"/>
              <w:ind w:left="560" w:firstLine="211" w:firstLineChars="100"/>
              <w:outlineLvl w:val="9"/>
              <w:rPr>
                <w:rFonts w:ascii="仿宋_GB2312" w:hAnsi="宋体" w:eastAsia="仿宋_GB2312"/>
                <w:b/>
                <w:szCs w:val="28"/>
              </w:rPr>
            </w:pPr>
            <w:r>
              <w:rPr>
                <w:rFonts w:hint="eastAsia" w:ascii="仿宋_GB2312" w:hAnsi="宋体" w:eastAsia="仿宋_GB2312"/>
                <w:b/>
                <w:szCs w:val="28"/>
              </w:rPr>
              <w:t>人员</w:t>
            </w:r>
          </w:p>
        </w:tc>
        <w:tc>
          <w:tcPr>
            <w:tcW w:w="1863" w:type="dxa"/>
          </w:tcPr>
          <w:p>
            <w:pPr>
              <w:pageBreakBefore w:val="0"/>
              <w:kinsoku/>
              <w:wordWrap/>
              <w:overflowPunct/>
              <w:topLinePunct w:val="0"/>
              <w:autoSpaceDE/>
              <w:autoSpaceDN/>
              <w:bidi w:val="0"/>
              <w:spacing w:line="580" w:lineRule="exact"/>
              <w:ind w:left="560" w:firstLine="211" w:firstLineChars="100"/>
              <w:outlineLvl w:val="9"/>
              <w:rPr>
                <w:rFonts w:ascii="仿宋_GB2312" w:hAnsi="宋体" w:eastAsia="仿宋_GB2312"/>
                <w:b/>
                <w:szCs w:val="28"/>
              </w:rPr>
            </w:pPr>
            <w:r>
              <w:rPr>
                <w:rFonts w:hint="eastAsia" w:ascii="仿宋_GB2312" w:hAnsi="宋体" w:eastAsia="仿宋_GB2312"/>
                <w:b/>
                <w:szCs w:val="28"/>
              </w:rPr>
              <w:t>飞机</w:t>
            </w:r>
          </w:p>
        </w:tc>
        <w:tc>
          <w:tcPr>
            <w:tcW w:w="4090"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
                <w:szCs w:val="28"/>
              </w:rPr>
            </w:pPr>
            <w:r>
              <w:rPr>
                <w:rFonts w:hint="eastAsia" w:ascii="仿宋_GB2312" w:hAnsi="宋体" w:eastAsia="仿宋_GB2312"/>
                <w:b/>
                <w:szCs w:val="28"/>
              </w:rPr>
              <w:t>火车</w:t>
            </w:r>
          </w:p>
        </w:tc>
        <w:tc>
          <w:tcPr>
            <w:tcW w:w="1740" w:type="dxa"/>
          </w:tcPr>
          <w:p>
            <w:pPr>
              <w:pageBreakBefore w:val="0"/>
              <w:kinsoku/>
              <w:wordWrap/>
              <w:overflowPunct/>
              <w:topLinePunct w:val="0"/>
              <w:autoSpaceDE/>
              <w:autoSpaceDN/>
              <w:bidi w:val="0"/>
              <w:spacing w:line="580" w:lineRule="exact"/>
              <w:ind w:left="560" w:firstLine="211" w:firstLineChars="100"/>
              <w:outlineLvl w:val="9"/>
              <w:rPr>
                <w:rFonts w:ascii="仿宋_GB2312" w:hAnsi="宋体" w:eastAsia="仿宋_GB2312"/>
                <w:b/>
                <w:szCs w:val="28"/>
              </w:rPr>
            </w:pPr>
            <w:r>
              <w:rPr>
                <w:rFonts w:hint="eastAsia" w:ascii="仿宋_GB2312" w:hAnsi="宋体" w:eastAsia="仿宋_GB2312"/>
                <w:b/>
                <w:szCs w:val="28"/>
              </w:rPr>
              <w:t>轮船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4"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Cs/>
                <w:szCs w:val="28"/>
              </w:rPr>
            </w:pPr>
            <w:r>
              <w:rPr>
                <w:rFonts w:hint="eastAsia" w:ascii="仿宋_GB2312" w:hAnsi="宋体" w:eastAsia="仿宋_GB2312"/>
                <w:bCs/>
                <w:szCs w:val="28"/>
              </w:rPr>
              <w:t>省部级</w:t>
            </w:r>
          </w:p>
        </w:tc>
        <w:tc>
          <w:tcPr>
            <w:tcW w:w="1863"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Cs/>
                <w:szCs w:val="28"/>
              </w:rPr>
            </w:pPr>
            <w:r>
              <w:rPr>
                <w:rFonts w:hint="eastAsia" w:ascii="仿宋_GB2312" w:hAnsi="宋体" w:eastAsia="仿宋_GB2312"/>
                <w:bCs/>
                <w:szCs w:val="28"/>
              </w:rPr>
              <w:t>头等舱</w:t>
            </w:r>
          </w:p>
        </w:tc>
        <w:tc>
          <w:tcPr>
            <w:tcW w:w="4090" w:type="dxa"/>
          </w:tcPr>
          <w:p>
            <w:pPr>
              <w:pageBreakBefore w:val="0"/>
              <w:kinsoku/>
              <w:wordWrap/>
              <w:overflowPunct/>
              <w:topLinePunct w:val="0"/>
              <w:autoSpaceDE/>
              <w:autoSpaceDN/>
              <w:bidi w:val="0"/>
              <w:spacing w:line="580" w:lineRule="exact"/>
              <w:ind w:left="560"/>
              <w:jc w:val="center"/>
              <w:outlineLvl w:val="9"/>
              <w:rPr>
                <w:rFonts w:hint="eastAsia" w:ascii="仿宋_GB2312" w:hAnsi="宋体" w:eastAsia="仿宋_GB2312"/>
                <w:bCs/>
                <w:szCs w:val="28"/>
              </w:rPr>
            </w:pPr>
            <w:r>
              <w:rPr>
                <w:rFonts w:hint="eastAsia" w:ascii="仿宋_GB2312" w:hAnsi="宋体" w:eastAsia="仿宋_GB2312"/>
                <w:bCs/>
                <w:szCs w:val="28"/>
              </w:rPr>
              <w:t>高级软卧或全列软席列车的商务座</w:t>
            </w:r>
          </w:p>
        </w:tc>
        <w:tc>
          <w:tcPr>
            <w:tcW w:w="1740"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Cs/>
                <w:szCs w:val="28"/>
              </w:rPr>
            </w:pPr>
            <w:r>
              <w:rPr>
                <w:rFonts w:hint="eastAsia" w:ascii="仿宋_GB2312" w:hAnsi="宋体" w:eastAsia="仿宋_GB2312"/>
                <w:bCs/>
                <w:szCs w:val="28"/>
              </w:rPr>
              <w:t>一等舱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4"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Cs/>
                <w:szCs w:val="28"/>
              </w:rPr>
            </w:pPr>
            <w:r>
              <w:rPr>
                <w:rFonts w:hint="eastAsia" w:ascii="仿宋_GB2312" w:hAnsi="宋体" w:eastAsia="仿宋_GB2312"/>
                <w:bCs/>
                <w:szCs w:val="28"/>
              </w:rPr>
              <w:t>司局级</w:t>
            </w:r>
          </w:p>
        </w:tc>
        <w:tc>
          <w:tcPr>
            <w:tcW w:w="1863"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Cs/>
                <w:szCs w:val="28"/>
              </w:rPr>
            </w:pPr>
            <w:r>
              <w:rPr>
                <w:rFonts w:hint="eastAsia" w:ascii="仿宋_GB2312" w:hAnsi="宋体" w:eastAsia="仿宋_GB2312"/>
                <w:bCs/>
                <w:szCs w:val="28"/>
              </w:rPr>
              <w:t>公务舱</w:t>
            </w:r>
          </w:p>
        </w:tc>
        <w:tc>
          <w:tcPr>
            <w:tcW w:w="4090" w:type="dxa"/>
          </w:tcPr>
          <w:p>
            <w:pPr>
              <w:pageBreakBefore w:val="0"/>
              <w:kinsoku/>
              <w:wordWrap/>
              <w:overflowPunct/>
              <w:topLinePunct w:val="0"/>
              <w:autoSpaceDE/>
              <w:autoSpaceDN/>
              <w:bidi w:val="0"/>
              <w:spacing w:line="580" w:lineRule="exact"/>
              <w:ind w:left="560" w:firstLine="420" w:firstLineChars="200"/>
              <w:jc w:val="center"/>
              <w:outlineLvl w:val="9"/>
              <w:rPr>
                <w:rFonts w:hint="eastAsia" w:ascii="仿宋_GB2312" w:hAnsi="宋体" w:eastAsia="仿宋_GB2312"/>
                <w:bCs/>
                <w:szCs w:val="28"/>
              </w:rPr>
            </w:pPr>
            <w:r>
              <w:rPr>
                <w:rFonts w:hint="eastAsia" w:ascii="仿宋_GB2312" w:hAnsi="宋体" w:eastAsia="仿宋_GB2312"/>
                <w:bCs/>
                <w:szCs w:val="28"/>
              </w:rPr>
              <w:t>软卧或全列软席列车的</w:t>
            </w:r>
            <w:bookmarkStart w:id="1207" w:name="_Toc28307_WPSOffice_Level1"/>
            <w:r>
              <w:rPr>
                <w:rFonts w:hint="eastAsia" w:ascii="仿宋_GB2312" w:hAnsi="宋体" w:eastAsia="仿宋_GB2312"/>
                <w:bCs/>
                <w:szCs w:val="28"/>
              </w:rPr>
              <w:t>一等座</w:t>
            </w:r>
          </w:p>
          <w:bookmarkEnd w:id="1207"/>
        </w:tc>
        <w:tc>
          <w:tcPr>
            <w:tcW w:w="1740"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Cs/>
                <w:szCs w:val="28"/>
              </w:rPr>
            </w:pPr>
            <w:r>
              <w:rPr>
                <w:rFonts w:hint="eastAsia" w:ascii="仿宋_GB2312" w:hAnsi="宋体" w:eastAsia="仿宋_GB2312"/>
                <w:bCs/>
                <w:szCs w:val="28"/>
              </w:rPr>
              <w:t>二等舱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4"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Cs/>
                <w:szCs w:val="28"/>
              </w:rPr>
            </w:pPr>
            <w:r>
              <w:rPr>
                <w:rFonts w:hint="eastAsia" w:ascii="仿宋_GB2312" w:hAnsi="宋体" w:eastAsia="仿宋_GB2312"/>
                <w:bCs/>
                <w:szCs w:val="28"/>
              </w:rPr>
              <w:t>其他人员</w:t>
            </w:r>
          </w:p>
        </w:tc>
        <w:tc>
          <w:tcPr>
            <w:tcW w:w="1863"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Cs/>
                <w:szCs w:val="28"/>
              </w:rPr>
            </w:pPr>
            <w:r>
              <w:rPr>
                <w:rFonts w:hint="eastAsia" w:ascii="仿宋_GB2312" w:hAnsi="宋体" w:eastAsia="仿宋_GB2312"/>
                <w:bCs/>
                <w:szCs w:val="28"/>
              </w:rPr>
              <w:t>经济舱</w:t>
            </w:r>
          </w:p>
        </w:tc>
        <w:tc>
          <w:tcPr>
            <w:tcW w:w="4090" w:type="dxa"/>
          </w:tcPr>
          <w:p>
            <w:pPr>
              <w:pageBreakBefore w:val="0"/>
              <w:kinsoku/>
              <w:wordWrap/>
              <w:overflowPunct/>
              <w:topLinePunct w:val="0"/>
              <w:autoSpaceDE/>
              <w:autoSpaceDN/>
              <w:bidi w:val="0"/>
              <w:spacing w:line="580" w:lineRule="exact"/>
              <w:ind w:left="560" w:firstLine="420" w:firstLineChars="200"/>
              <w:jc w:val="center"/>
              <w:outlineLvl w:val="9"/>
              <w:rPr>
                <w:rFonts w:hint="eastAsia" w:ascii="仿宋_GB2312" w:hAnsi="宋体" w:eastAsia="仿宋_GB2312"/>
                <w:bCs/>
                <w:szCs w:val="28"/>
              </w:rPr>
            </w:pPr>
            <w:r>
              <w:rPr>
                <w:rFonts w:hint="eastAsia" w:ascii="仿宋_GB2312" w:hAnsi="宋体" w:eastAsia="仿宋_GB2312"/>
                <w:bCs/>
                <w:szCs w:val="28"/>
              </w:rPr>
              <w:t>硬卧或全列软席列车二等座</w:t>
            </w:r>
          </w:p>
        </w:tc>
        <w:tc>
          <w:tcPr>
            <w:tcW w:w="1740" w:type="dxa"/>
          </w:tcPr>
          <w:p>
            <w:pPr>
              <w:pageBreakBefore w:val="0"/>
              <w:kinsoku/>
              <w:wordWrap/>
              <w:overflowPunct/>
              <w:topLinePunct w:val="0"/>
              <w:autoSpaceDE/>
              <w:autoSpaceDN/>
              <w:bidi w:val="0"/>
              <w:spacing w:line="580" w:lineRule="exact"/>
              <w:ind w:left="560"/>
              <w:jc w:val="center"/>
              <w:outlineLvl w:val="9"/>
              <w:rPr>
                <w:rFonts w:ascii="仿宋_GB2312" w:hAnsi="宋体" w:eastAsia="仿宋_GB2312"/>
                <w:bCs/>
                <w:szCs w:val="28"/>
              </w:rPr>
            </w:pPr>
            <w:r>
              <w:rPr>
                <w:rFonts w:hint="eastAsia" w:ascii="仿宋_GB2312" w:hAnsi="宋体" w:eastAsia="仿宋_GB2312"/>
                <w:bCs/>
                <w:szCs w:val="28"/>
              </w:rPr>
              <w:t>三等舱</w:t>
            </w:r>
          </w:p>
        </w:tc>
      </w:tr>
    </w:tbl>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所乘交通工具的划分与以上不一致时可乘坐同等水平的舱位。所乘交通工具未设置上述规定中本级人员可乘坐舱位等级时，应乘坐低一等级舱位。上述人员发生的国际旅费据实报销。超标准乘坐交通工具的，不予以报销。如因大病等突发情况，由出国人员说明情况，经所在单位、国交处同意后予以报销。</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教学科研人员出国执行学术交流合作任务的，专业技术职务二级人员可参照司局级标准乘坐交通工具，相关费用只能从科研经费中报销。科研经费是指横向课题、纵向课题的直接费用和间接费用、科研结余经费、科研管理费，但不包括教育财政经费通过校内二次分配安排的研究性项目经费，例如科研启动费和自主科研经费等。</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原则上应在任务批件下达后购买机票。如因个人原因预定机票、住宿，而后期不能如期前往所发生的退票费等，以及个人原因发生行李超重、改签、更改行程等费用，由个人承担。确因工作需要发生以上费用的，由出国人员说明情况，经所在部门、国交处批准后报销。</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（五）出国（境）人员乘坐国际列车，国内段按国内差旅费的有关规定执行；国外段超过6小时以上的按自然（日历）天数计算，每人每天补助12美元。</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第十三条</w:t>
      </w:r>
      <w:r>
        <w:rPr>
          <w:rFonts w:hint="eastAsia" w:ascii="仿宋_GB2312" w:hAnsi="宋体" w:eastAsia="仿宋_GB2312"/>
          <w:bCs/>
          <w:sz w:val="32"/>
          <w:szCs w:val="32"/>
        </w:rPr>
        <w:t xml:space="preserve"> 城市间交通费按照以下规定执行：</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一）出国人员根据出访任务需要在一个国家城市间往来，应当事先在出国计划中列明，并报学校批准。未列入出国计划、未经批准的，不得在国外城市间往来。出国人员的旅程必须按照批准的计划执行，其城市间交通费凭有效原始票据据实报销。</w:t>
      </w: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bCs/>
          <w:sz w:val="32"/>
          <w:szCs w:val="32"/>
        </w:rPr>
      </w:pPr>
      <w:r>
        <w:rPr>
          <w:rFonts w:ascii="仿宋_GB2312" w:hAnsi="宋体" w:eastAsia="仿宋_GB2312"/>
          <w:bCs/>
          <w:sz w:val="32"/>
          <w:szCs w:val="32"/>
        </w:rPr>
        <w:t>（二）出国人员在境外往返机场的交通费用，可参照城市间交通费有关规定执行。</w:t>
      </w: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bCs/>
          <w:sz w:val="32"/>
          <w:szCs w:val="32"/>
        </w:rPr>
      </w:pPr>
      <w:r>
        <w:rPr>
          <w:rFonts w:ascii="仿宋_GB2312" w:hAnsi="宋体" w:eastAsia="仿宋_GB2312"/>
          <w:bCs/>
          <w:sz w:val="32"/>
          <w:szCs w:val="32"/>
        </w:rPr>
        <w:t>（三）城市间交通本着节约的原则优先使用公共交通工具，凭有效原始票据据实报销。</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 xml:space="preserve">第十四条 </w:t>
      </w:r>
      <w:r>
        <w:rPr>
          <w:rFonts w:hint="eastAsia" w:ascii="仿宋_GB2312" w:hAnsi="宋体" w:eastAsia="仿宋_GB2312"/>
          <w:bCs/>
          <w:sz w:val="32"/>
          <w:szCs w:val="32"/>
        </w:rPr>
        <w:t>住宿费按照下列规定执行：</w:t>
      </w:r>
      <w:r>
        <w:rPr>
          <w:rFonts w:hint="eastAsia" w:ascii="仿宋_GB2312" w:hAnsi="宋体" w:eastAsia="仿宋_GB2312"/>
          <w:bCs/>
          <w:sz w:val="32"/>
          <w:szCs w:val="32"/>
        </w:rPr>
        <w:br w:type="textWrapping"/>
      </w:r>
      <w:r>
        <w:rPr>
          <w:rFonts w:hint="eastAsia" w:ascii="仿宋_GB2312" w:hAnsi="宋体" w:eastAsia="仿宋_GB2312"/>
          <w:bCs/>
          <w:sz w:val="32"/>
          <w:szCs w:val="32"/>
        </w:rPr>
        <w:t>　　（一）出国人员应当严格按照规定安排住宿，根据规定，厅局级及以下人员安排标准间，在规定的住宿费标准之内予以报销。</w:t>
      </w:r>
      <w:r>
        <w:rPr>
          <w:rFonts w:hint="eastAsia" w:ascii="仿宋_GB2312" w:hAnsi="宋体" w:eastAsia="仿宋_GB2312"/>
          <w:bCs/>
          <w:sz w:val="32"/>
          <w:szCs w:val="32"/>
        </w:rPr>
        <w:br w:type="textWrapping"/>
      </w:r>
      <w:r>
        <w:rPr>
          <w:rFonts w:hint="eastAsia" w:ascii="仿宋_GB2312" w:hAnsi="宋体" w:eastAsia="仿宋_GB2312"/>
          <w:bCs/>
          <w:sz w:val="32"/>
          <w:szCs w:val="32"/>
        </w:rPr>
        <w:t>　　（二）参加国际会议等的出国人员，原则上应当按照住宿费标准执行。如对方组织单位指定或推荐酒店，应当严格把关，通过询价方式从紧安排，超出费用标准的，须事先报学校审核，领导批准。经批准，住宿费可据实报销。</w:t>
      </w:r>
      <w:r>
        <w:rPr>
          <w:rFonts w:hint="eastAsia" w:ascii="仿宋_GB2312" w:hAnsi="宋体" w:eastAsia="仿宋_GB2312"/>
          <w:bCs/>
          <w:sz w:val="32"/>
          <w:szCs w:val="32"/>
        </w:rPr>
        <w:br w:type="textWrapping"/>
      </w:r>
      <w:r>
        <w:rPr>
          <w:rFonts w:hint="eastAsia" w:ascii="仿宋_GB2312" w:hAnsi="宋体" w:eastAsia="仿宋_GB2312"/>
          <w:b/>
          <w:sz w:val="32"/>
          <w:szCs w:val="32"/>
        </w:rPr>
        <w:t>　　第十五条</w:t>
      </w:r>
      <w:r>
        <w:rPr>
          <w:rFonts w:hint="eastAsia" w:ascii="仿宋_GB2312" w:hAnsi="宋体" w:eastAsia="仿宋_GB2312"/>
          <w:bCs/>
          <w:sz w:val="32"/>
          <w:szCs w:val="32"/>
        </w:rPr>
        <w:t>　伙食费和公杂费按照下列规定执行：</w:t>
      </w:r>
      <w:r>
        <w:rPr>
          <w:rFonts w:hint="eastAsia" w:ascii="仿宋_GB2312" w:hAnsi="宋体" w:eastAsia="仿宋_GB2312"/>
          <w:bCs/>
          <w:sz w:val="32"/>
          <w:szCs w:val="32"/>
        </w:rPr>
        <w:br w:type="textWrapping"/>
      </w:r>
      <w:r>
        <w:rPr>
          <w:rFonts w:hint="eastAsia" w:ascii="仿宋_GB2312" w:hAnsi="宋体" w:eastAsia="仿宋_GB2312"/>
          <w:bCs/>
          <w:sz w:val="32"/>
          <w:szCs w:val="32"/>
        </w:rPr>
        <w:t>　　（一）出国人员伙食费、公杂费可以按规定的标准发给个人包干使用。包干天数按离、抵我国国境之日计算。</w:t>
      </w:r>
      <w:r>
        <w:rPr>
          <w:rFonts w:hint="eastAsia" w:ascii="仿宋_GB2312" w:hAnsi="宋体" w:eastAsia="仿宋_GB2312"/>
          <w:bCs/>
          <w:sz w:val="32"/>
          <w:szCs w:val="32"/>
        </w:rPr>
        <w:br w:type="textWrapping"/>
      </w:r>
      <w:r>
        <w:rPr>
          <w:rFonts w:hint="eastAsia" w:ascii="仿宋_GB2312" w:hAnsi="宋体" w:eastAsia="仿宋_GB2312"/>
          <w:bCs/>
          <w:sz w:val="32"/>
          <w:szCs w:val="32"/>
        </w:rPr>
        <w:t>　　（二）批件任务在30天及以下的，按照财行〔2013〕516号规定的标准执行；批件任务在30天以上的，参照国家公派留学人员奖学金资助标准包干除国际旅费外的其他全部费用。</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三）包含在酒店住宿费票据内的餐费，显示金额的，在住宿费中据实扣除，未显示金额的，早餐费按照伙食包干标准的20%，午餐费、晚餐费等按照伙食费包干标准的40%予以扣除，不再报销。住宿发票列支了上网费、电话费、交通费及金额的，因以上费用已包含在伙食费、公杂费包干中，不再报销。</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（四）根据工作需要和特点，不宜个人包干的出访团组，其伙食费和公杂费由出访团组统一掌握，包干使用。</w:t>
      </w:r>
      <w:r>
        <w:rPr>
          <w:rFonts w:hint="eastAsia" w:ascii="仿宋_GB2312" w:hAnsi="宋体" w:eastAsia="仿宋_GB2312"/>
          <w:bCs/>
          <w:sz w:val="32"/>
          <w:szCs w:val="32"/>
        </w:rPr>
        <w:br w:type="textWrapping"/>
      </w:r>
      <w:r>
        <w:rPr>
          <w:rFonts w:hint="eastAsia" w:ascii="仿宋_GB2312" w:hAnsi="宋体" w:eastAsia="仿宋_GB2312"/>
          <w:bCs/>
          <w:sz w:val="32"/>
          <w:szCs w:val="32"/>
        </w:rPr>
        <w:t>　　（五）外方以现金或实物形式提供伙食费和公杂费接待我代表团组的，出国人员不再领取伙食费和公杂费。仅提供交通接待的，出国人员可按照标准的40%领取公杂费。</w:t>
      </w:r>
      <w:r>
        <w:rPr>
          <w:rFonts w:hint="eastAsia" w:ascii="仿宋_GB2312" w:hAnsi="宋体" w:eastAsia="仿宋_GB2312"/>
          <w:bCs/>
          <w:sz w:val="32"/>
          <w:szCs w:val="32"/>
        </w:rPr>
        <w:br w:type="textWrapping"/>
      </w:r>
      <w:r>
        <w:rPr>
          <w:rFonts w:hint="eastAsia" w:ascii="仿宋_GB2312" w:hAnsi="宋体" w:eastAsia="仿宋_GB2312"/>
          <w:bCs/>
          <w:sz w:val="32"/>
          <w:szCs w:val="32"/>
        </w:rPr>
        <w:t>　　（六）出租车属于市内交通，已经包含在公杂费中，不再报销。</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第十六条</w:t>
      </w:r>
      <w:r>
        <w:rPr>
          <w:rFonts w:hint="eastAsia" w:ascii="仿宋_GB2312" w:hAnsi="宋体" w:eastAsia="仿宋_GB2312"/>
          <w:bCs/>
          <w:sz w:val="32"/>
          <w:szCs w:val="32"/>
        </w:rPr>
        <w:t xml:space="preserve"> 其</w:t>
      </w:r>
      <w:r>
        <w:rPr>
          <w:rFonts w:hint="eastAsia" w:ascii="仿宋_GB2312" w:eastAsia="仿宋_GB2312"/>
          <w:bCs/>
          <w:sz w:val="32"/>
          <w:szCs w:val="32"/>
        </w:rPr>
        <w:t>它</w:t>
      </w:r>
      <w:r>
        <w:rPr>
          <w:rFonts w:hint="eastAsia" w:ascii="仿宋_GB2312" w:hAnsi="宋体" w:eastAsia="仿宋_GB2312"/>
          <w:bCs/>
          <w:sz w:val="32"/>
          <w:szCs w:val="32"/>
        </w:rPr>
        <w:t>费用</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r>
        <w:rPr>
          <w:rFonts w:hint="eastAsia" w:ascii="仿宋_GB2312" w:hAnsi="宋体" w:eastAsia="仿宋_GB2312"/>
          <w:bCs/>
          <w:sz w:val="32"/>
          <w:szCs w:val="32"/>
        </w:rPr>
        <w:t>（一）出国人员一般应购买境外“意外伤害、医疗及紧急救援保险”，可予以报销，购买商业医疗保险的费用自理。</w:t>
      </w: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（二）出国签证费、防疫费、翻译费、国际会议注册费等费用凭有效票据据实报销。国际会议注册费上如单独列支餐费及金额的，不再报销。</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第十七条</w:t>
      </w:r>
      <w:r>
        <w:rPr>
          <w:rFonts w:hint="eastAsia" w:ascii="仿宋_GB2312" w:hAnsi="宋体" w:eastAsia="仿宋_GB2312"/>
          <w:bCs/>
          <w:sz w:val="32"/>
          <w:szCs w:val="32"/>
        </w:rPr>
        <w:t xml:space="preserve"> 出访团组对外原则上不搞宴请，确需宴请的，应当连同出国计划一并报批，宴请标准按照所在国家一人一天的伙食费标准掌握。</w:t>
      </w:r>
      <w:r>
        <w:rPr>
          <w:rFonts w:hint="eastAsia" w:ascii="仿宋_GB2312" w:hAnsi="宋体" w:eastAsia="仿宋_GB2312"/>
          <w:bCs/>
          <w:sz w:val="32"/>
          <w:szCs w:val="32"/>
        </w:rPr>
        <w:br w:type="textWrapping"/>
      </w:r>
      <w:r>
        <w:rPr>
          <w:rFonts w:hint="eastAsia" w:ascii="仿宋_GB2312" w:hAnsi="宋体" w:eastAsia="仿宋_GB2312"/>
          <w:bCs/>
          <w:sz w:val="32"/>
          <w:szCs w:val="32"/>
        </w:rPr>
        <w:t>　　出访团组与我国驻外使领馆等外交机构和其他中资机构、企业之间一律不得用公款相互宴请。</w:t>
      </w:r>
      <w:r>
        <w:rPr>
          <w:rFonts w:hint="eastAsia" w:ascii="仿宋_GB2312" w:hAnsi="宋体" w:eastAsia="仿宋_GB2312"/>
          <w:bCs/>
          <w:sz w:val="32"/>
          <w:szCs w:val="32"/>
        </w:rPr>
        <w:br w:type="textWrapping"/>
      </w:r>
      <w:r>
        <w:rPr>
          <w:rFonts w:hint="eastAsia" w:ascii="仿宋_GB2312" w:hAnsi="宋体" w:eastAsia="仿宋_GB2312"/>
          <w:bCs/>
          <w:sz w:val="32"/>
          <w:szCs w:val="32"/>
        </w:rPr>
        <w:t>　　</w:t>
      </w:r>
      <w:r>
        <w:rPr>
          <w:rFonts w:hint="eastAsia" w:ascii="仿宋_GB2312" w:hAnsi="宋体" w:eastAsia="仿宋_GB2312"/>
          <w:b/>
          <w:sz w:val="32"/>
          <w:szCs w:val="32"/>
        </w:rPr>
        <w:t>第十八条</w:t>
      </w:r>
      <w:r>
        <w:rPr>
          <w:rFonts w:hint="eastAsia" w:ascii="仿宋_GB2312" w:hAnsi="宋体" w:eastAsia="仿宋_GB2312"/>
          <w:bCs/>
          <w:sz w:val="32"/>
          <w:szCs w:val="32"/>
        </w:rPr>
        <w:t xml:space="preserve"> 出访团组在国外期间，收授礼品应严格按照《国务院关于在对外公务活动中赠送和接受礼品的规定》（国务院令第133号）规定执</w:t>
      </w:r>
      <w:bookmarkStart w:id="1208" w:name="_Toc32484_WPSOffice_Level1"/>
      <w:r>
        <w:rPr>
          <w:rFonts w:hint="eastAsia" w:ascii="仿宋_GB2312" w:hAnsi="宋体" w:eastAsia="仿宋_GB2312"/>
          <w:bCs/>
          <w:sz w:val="32"/>
          <w:szCs w:val="32"/>
        </w:rPr>
        <w:t>行。原则</w:t>
      </w:r>
      <w:bookmarkEnd w:id="1208"/>
      <w:r>
        <w:rPr>
          <w:rFonts w:hint="eastAsia" w:ascii="仿宋_GB2312" w:hAnsi="宋体" w:eastAsia="仿宋_GB2312"/>
          <w:bCs/>
          <w:sz w:val="32"/>
          <w:szCs w:val="32"/>
        </w:rPr>
        <w:t>上</w:t>
      </w:r>
      <w:bookmarkStart w:id="1209" w:name="_Toc7535_WPSOffice_Level1"/>
      <w:r>
        <w:rPr>
          <w:rFonts w:hint="eastAsia" w:ascii="仿宋_GB2312" w:hAnsi="宋体" w:eastAsia="仿宋_GB2312"/>
          <w:bCs/>
          <w:sz w:val="32"/>
          <w:szCs w:val="32"/>
        </w:rPr>
        <w:t>不对外赠送礼品，确有必要赠送的，应</w:t>
      </w:r>
      <w:bookmarkEnd w:id="1209"/>
      <w:r>
        <w:rPr>
          <w:rFonts w:hint="eastAsia" w:ascii="仿宋_GB2312" w:hAnsi="宋体" w:eastAsia="仿宋_GB2312"/>
          <w:bCs/>
          <w:sz w:val="32"/>
          <w:szCs w:val="32"/>
        </w:rPr>
        <w:t>当事先报经国际交流处审批同意，按照厉行节俭的原则，选择具有民族特色的纪念品、传统手工艺品和实用物品，朴素大方，不求奢华。</w:t>
      </w:r>
      <w:r>
        <w:rPr>
          <w:rFonts w:hint="eastAsia" w:ascii="仿宋_GB2312" w:hAnsi="宋体" w:eastAsia="仿宋_GB2312"/>
          <w:bCs/>
          <w:sz w:val="32"/>
          <w:szCs w:val="32"/>
        </w:rPr>
        <w:br w:type="textWrapping"/>
      </w:r>
      <w:r>
        <w:rPr>
          <w:rFonts w:hint="eastAsia" w:ascii="仿宋_GB2312" w:hAnsi="宋体" w:eastAsia="仿宋_GB2312"/>
          <w:bCs/>
          <w:sz w:val="32"/>
          <w:szCs w:val="32"/>
        </w:rPr>
        <w:t>　　出访团组与我国驻外使领馆等外交机构和其他中资机构、企业之间一律不得以任何名义、任何方式互赠礼品或纪念品。</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第十九条</w:t>
      </w:r>
      <w:r>
        <w:rPr>
          <w:rFonts w:hint="eastAsia" w:ascii="仿宋_GB2312" w:hAnsi="宋体" w:eastAsia="仿宋_GB2312"/>
          <w:bCs/>
          <w:sz w:val="32"/>
          <w:szCs w:val="32"/>
        </w:rPr>
        <w:t xml:space="preserve"> 因公出国由外方提供资助的，若资助标准已超过国家财政部相应规定，不得再使用学校经费支付任何费用。</w:t>
      </w:r>
      <w:r>
        <w:rPr>
          <w:rFonts w:hint="eastAsia" w:ascii="仿宋_GB2312" w:hAnsi="宋体" w:eastAsia="仿宋_GB2312"/>
          <w:bCs/>
          <w:sz w:val="32"/>
          <w:szCs w:val="32"/>
        </w:rPr>
        <w:br w:type="textWrapping"/>
      </w:r>
      <w:r>
        <w:rPr>
          <w:rFonts w:hint="eastAsia" w:ascii="仿宋_GB2312" w:hAnsi="宋体" w:eastAsia="仿宋_GB2312"/>
          <w:bCs/>
          <w:sz w:val="32"/>
          <w:szCs w:val="32"/>
        </w:rPr>
        <w:t>　　</w:t>
      </w:r>
      <w:r>
        <w:rPr>
          <w:rFonts w:hint="eastAsia" w:ascii="仿宋_GB2312" w:hAnsi="宋体" w:eastAsia="仿宋_GB2312"/>
          <w:b/>
          <w:sz w:val="32"/>
          <w:szCs w:val="32"/>
        </w:rPr>
        <w:t>第二十条</w:t>
      </w:r>
      <w:r>
        <w:rPr>
          <w:rFonts w:hint="eastAsia" w:ascii="仿宋_GB2312" w:hAnsi="宋体" w:eastAsia="仿宋_GB2312"/>
          <w:bCs/>
          <w:sz w:val="32"/>
          <w:szCs w:val="32"/>
        </w:rPr>
        <w:t xml:space="preserve"> 出国人员回国报销费用时，须提交有效原始票据、出国任务批件或确认件、签证和出入境记录复印件。各种原始票据须用中文注明开支内容、日期、数量、金额等，并由经办人签字。财务处根据国交处审核后的各类出访费用票据，按照团组人员、天数、路线及有关开支标准进行费用报销。因公出国期间，出访人员非公事务的费用均不得公费支付和报销。　</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bCs/>
          <w:sz w:val="32"/>
          <w:szCs w:val="32"/>
        </w:rPr>
      </w:pPr>
      <w:r>
        <w:rPr>
          <w:rFonts w:hint="eastAsia" w:ascii="仿宋_GB2312" w:hAnsi="宋体" w:eastAsia="仿宋_GB2312"/>
          <w:b/>
          <w:sz w:val="32"/>
          <w:szCs w:val="32"/>
        </w:rPr>
        <w:t>第二十一条</w:t>
      </w:r>
      <w:r>
        <w:rPr>
          <w:rFonts w:hint="eastAsia" w:ascii="仿宋_GB2312" w:hAnsi="宋体" w:eastAsia="仿宋_GB2312"/>
          <w:bCs/>
          <w:sz w:val="32"/>
          <w:szCs w:val="32"/>
        </w:rPr>
        <w:t xml:space="preserve"> 出国人员可根据出国经费预算，结合实际购汇需求，自行购买外汇。</w:t>
      </w:r>
    </w:p>
    <w:p>
      <w:pPr>
        <w:pageBreakBefore w:val="0"/>
        <w:kinsoku/>
        <w:wordWrap/>
        <w:overflowPunct/>
        <w:topLinePunct w:val="0"/>
        <w:autoSpaceDE/>
        <w:autoSpaceDN/>
        <w:bidi w:val="0"/>
        <w:spacing w:line="580" w:lineRule="exact"/>
        <w:jc w:val="center"/>
        <w:outlineLvl w:val="9"/>
        <w:rPr>
          <w:rFonts w:ascii="黑体" w:hAnsi="宋体" w:eastAsia="黑体"/>
          <w:b/>
          <w:bCs/>
          <w:sz w:val="32"/>
          <w:szCs w:val="32"/>
        </w:rPr>
      </w:pPr>
      <w:bookmarkStart w:id="1210" w:name="_Toc16353_WPSOffice_Level1"/>
      <w:r>
        <w:rPr>
          <w:rFonts w:ascii="黑体" w:hAnsi="宋体" w:eastAsia="黑体"/>
          <w:b/>
          <w:bCs/>
          <w:sz w:val="32"/>
          <w:szCs w:val="32"/>
        </w:rPr>
        <w:t>第四章</w:t>
      </w:r>
      <w:r>
        <w:rPr>
          <w:rFonts w:hint="eastAsia" w:ascii="黑体" w:eastAsia="黑体"/>
          <w:b/>
          <w:bCs/>
          <w:sz w:val="32"/>
          <w:szCs w:val="32"/>
        </w:rPr>
        <w:t xml:space="preserve">  </w:t>
      </w:r>
      <w:r>
        <w:rPr>
          <w:rFonts w:ascii="黑体" w:hAnsi="宋体" w:eastAsia="黑体"/>
          <w:b/>
          <w:bCs/>
          <w:sz w:val="32"/>
          <w:szCs w:val="32"/>
        </w:rPr>
        <w:t>监督检查</w:t>
      </w:r>
      <w:bookmarkEnd w:id="1210"/>
    </w:p>
    <w:p>
      <w:pPr>
        <w:pageBreakBefore w:val="0"/>
        <w:kinsoku/>
        <w:wordWrap/>
        <w:overflowPunct/>
        <w:topLinePunct w:val="0"/>
        <w:autoSpaceDE/>
        <w:autoSpaceDN/>
        <w:bidi w:val="0"/>
        <w:spacing w:line="580" w:lineRule="exact"/>
        <w:ind w:firstLine="643" w:firstLineChars="200"/>
        <w:outlineLvl w:val="9"/>
        <w:rPr>
          <w:rFonts w:ascii="仿宋_GB2312" w:hAnsi="宋体" w:eastAsia="仿宋_GB2312"/>
          <w:bCs/>
          <w:sz w:val="32"/>
          <w:szCs w:val="32"/>
        </w:rPr>
      </w:pPr>
      <w:r>
        <w:rPr>
          <w:rFonts w:ascii="仿宋_GB2312" w:hAnsi="宋体" w:eastAsia="仿宋_GB2312"/>
          <w:b/>
          <w:sz w:val="32"/>
          <w:szCs w:val="32"/>
        </w:rPr>
        <w:t>第</w:t>
      </w:r>
      <w:r>
        <w:rPr>
          <w:rFonts w:hint="eastAsia" w:ascii="仿宋_GB2312" w:hAnsi="宋体" w:eastAsia="仿宋_GB2312"/>
          <w:b/>
          <w:sz w:val="32"/>
          <w:szCs w:val="32"/>
        </w:rPr>
        <w:t>二十二条</w:t>
      </w:r>
      <w:r>
        <w:rPr>
          <w:rFonts w:hint="eastAsia" w:ascii="仿宋_GB2312" w:hAnsi="宋体" w:eastAsia="仿宋_GB2312"/>
          <w:bCs/>
          <w:sz w:val="32"/>
          <w:szCs w:val="32"/>
        </w:rPr>
        <w:t xml:space="preserve"> </w:t>
      </w:r>
      <w:r>
        <w:rPr>
          <w:rFonts w:ascii="仿宋_GB2312" w:hAnsi="宋体" w:eastAsia="仿宋_GB2312"/>
          <w:bCs/>
          <w:sz w:val="32"/>
          <w:szCs w:val="32"/>
        </w:rPr>
        <w:t>除涉密内容和事项外，因公临时出国经费的使用情况需在校内进行公示，接受监督。</w:t>
      </w:r>
    </w:p>
    <w:p>
      <w:pPr>
        <w:pageBreakBefore w:val="0"/>
        <w:kinsoku/>
        <w:wordWrap/>
        <w:overflowPunct/>
        <w:topLinePunct w:val="0"/>
        <w:autoSpaceDE/>
        <w:autoSpaceDN/>
        <w:bidi w:val="0"/>
        <w:spacing w:line="580" w:lineRule="exact"/>
        <w:ind w:firstLine="643" w:firstLineChars="200"/>
        <w:outlineLvl w:val="9"/>
        <w:rPr>
          <w:rFonts w:ascii="仿宋_GB2312" w:hAnsi="宋体" w:eastAsia="仿宋_GB2312"/>
          <w:bCs/>
          <w:sz w:val="32"/>
          <w:szCs w:val="32"/>
        </w:rPr>
      </w:pPr>
      <w:r>
        <w:rPr>
          <w:rFonts w:ascii="仿宋_GB2312" w:hAnsi="宋体" w:eastAsia="仿宋_GB2312"/>
          <w:b/>
          <w:sz w:val="32"/>
          <w:szCs w:val="32"/>
        </w:rPr>
        <w:t>第二十</w:t>
      </w:r>
      <w:r>
        <w:rPr>
          <w:rFonts w:hint="eastAsia" w:ascii="仿宋_GB2312" w:hAnsi="宋体" w:eastAsia="仿宋_GB2312"/>
          <w:b/>
          <w:sz w:val="32"/>
          <w:szCs w:val="32"/>
        </w:rPr>
        <w:t>三</w:t>
      </w:r>
      <w:r>
        <w:rPr>
          <w:rFonts w:ascii="仿宋_GB2312" w:hAnsi="宋体" w:eastAsia="仿宋_GB2312"/>
          <w:b/>
          <w:sz w:val="32"/>
          <w:szCs w:val="32"/>
        </w:rPr>
        <w:t>条</w:t>
      </w:r>
      <w:r>
        <w:rPr>
          <w:rFonts w:hint="eastAsia" w:ascii="仿宋_GB2312" w:hAnsi="宋体" w:eastAsia="仿宋_GB2312"/>
          <w:bCs/>
          <w:sz w:val="32"/>
          <w:szCs w:val="32"/>
        </w:rPr>
        <w:t xml:space="preserve"> 国交处</w:t>
      </w:r>
      <w:r>
        <w:rPr>
          <w:rFonts w:ascii="仿宋_GB2312" w:hAnsi="宋体" w:eastAsia="仿宋_GB2312"/>
          <w:bCs/>
          <w:sz w:val="32"/>
          <w:szCs w:val="32"/>
        </w:rPr>
        <w:t>采取适当形式，对出国人员进行行前财经纪律教育。出国人员违反规定，有下列行为之一的，按照有关规定严肃处理，并追究有关人员责任：</w:t>
      </w: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bCs/>
          <w:sz w:val="32"/>
          <w:szCs w:val="32"/>
        </w:rPr>
      </w:pPr>
      <w:r>
        <w:rPr>
          <w:rFonts w:hint="eastAsia" w:ascii="仿宋_GB2312" w:eastAsia="仿宋_GB2312"/>
          <w:bCs/>
          <w:sz w:val="32"/>
          <w:szCs w:val="32"/>
        </w:rPr>
        <w:t>（一）</w:t>
      </w:r>
      <w:r>
        <w:rPr>
          <w:rFonts w:ascii="仿宋_GB2312" w:hAnsi="宋体" w:eastAsia="仿宋_GB2312"/>
          <w:bCs/>
          <w:sz w:val="32"/>
          <w:szCs w:val="32"/>
        </w:rPr>
        <w:t>违规扩大出国经费开支范围的；</w:t>
      </w: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bCs/>
          <w:sz w:val="32"/>
          <w:szCs w:val="32"/>
        </w:rPr>
      </w:pPr>
      <w:r>
        <w:rPr>
          <w:rFonts w:hint="eastAsia" w:ascii="仿宋_GB2312" w:eastAsia="仿宋_GB2312"/>
          <w:bCs/>
          <w:sz w:val="32"/>
          <w:szCs w:val="32"/>
        </w:rPr>
        <w:t>（二）</w:t>
      </w:r>
      <w:r>
        <w:rPr>
          <w:rFonts w:ascii="仿宋_GB2312" w:hAnsi="宋体" w:eastAsia="仿宋_GB2312"/>
          <w:bCs/>
          <w:sz w:val="32"/>
          <w:szCs w:val="32"/>
        </w:rPr>
        <w:t>擅自提高经费开支标准的；</w:t>
      </w: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bCs/>
          <w:sz w:val="32"/>
          <w:szCs w:val="32"/>
        </w:rPr>
      </w:pPr>
      <w:r>
        <w:rPr>
          <w:rFonts w:hint="eastAsia" w:ascii="仿宋_GB2312" w:eastAsia="仿宋_GB2312"/>
          <w:bCs/>
          <w:sz w:val="32"/>
          <w:szCs w:val="32"/>
        </w:rPr>
        <w:t>（三）</w:t>
      </w:r>
      <w:r>
        <w:rPr>
          <w:rFonts w:ascii="仿宋_GB2312" w:hAnsi="宋体" w:eastAsia="仿宋_GB2312"/>
          <w:bCs/>
          <w:sz w:val="32"/>
          <w:szCs w:val="32"/>
        </w:rPr>
        <w:t>虚报团组级别、人数、国家数、天数等，套取出国经费的；</w:t>
      </w: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bCs/>
          <w:sz w:val="32"/>
          <w:szCs w:val="32"/>
        </w:rPr>
      </w:pPr>
      <w:r>
        <w:rPr>
          <w:rFonts w:hint="eastAsia" w:ascii="仿宋_GB2312" w:eastAsia="仿宋_GB2312"/>
          <w:bCs/>
          <w:sz w:val="32"/>
          <w:szCs w:val="32"/>
        </w:rPr>
        <w:t>（四）</w:t>
      </w:r>
      <w:r>
        <w:rPr>
          <w:rFonts w:ascii="仿宋_GB2312" w:hAnsi="宋体" w:eastAsia="仿宋_GB2312"/>
          <w:bCs/>
          <w:sz w:val="32"/>
          <w:szCs w:val="32"/>
        </w:rPr>
        <w:t>使用虚假发票报销出国费用的；</w:t>
      </w: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bCs/>
          <w:sz w:val="32"/>
          <w:szCs w:val="32"/>
        </w:rPr>
      </w:pPr>
      <w:r>
        <w:rPr>
          <w:rFonts w:hint="eastAsia" w:ascii="仿宋_GB2312" w:eastAsia="仿宋_GB2312"/>
          <w:bCs/>
          <w:sz w:val="32"/>
          <w:szCs w:val="32"/>
        </w:rPr>
        <w:t>（五）</w:t>
      </w:r>
      <w:r>
        <w:rPr>
          <w:rFonts w:ascii="仿宋_GB2312" w:hAnsi="宋体" w:eastAsia="仿宋_GB2312"/>
          <w:bCs/>
          <w:sz w:val="32"/>
          <w:szCs w:val="32"/>
        </w:rPr>
        <w:t>其</w:t>
      </w:r>
      <w:r>
        <w:rPr>
          <w:rFonts w:hint="eastAsia" w:ascii="仿宋_GB2312" w:eastAsia="仿宋_GB2312"/>
          <w:bCs/>
          <w:sz w:val="32"/>
          <w:szCs w:val="32"/>
        </w:rPr>
        <w:t>它</w:t>
      </w:r>
      <w:r>
        <w:rPr>
          <w:rFonts w:ascii="仿宋_GB2312" w:hAnsi="宋体" w:eastAsia="仿宋_GB2312"/>
          <w:bCs/>
          <w:sz w:val="32"/>
          <w:szCs w:val="32"/>
        </w:rPr>
        <w:t>违反本办法的行为。</w:t>
      </w:r>
    </w:p>
    <w:p>
      <w:pPr>
        <w:pageBreakBefore w:val="0"/>
        <w:kinsoku/>
        <w:wordWrap/>
        <w:overflowPunct/>
        <w:topLinePunct w:val="0"/>
        <w:autoSpaceDE/>
        <w:autoSpaceDN/>
        <w:bidi w:val="0"/>
        <w:spacing w:line="580" w:lineRule="exact"/>
        <w:jc w:val="center"/>
        <w:outlineLvl w:val="9"/>
        <w:rPr>
          <w:rFonts w:ascii="黑体" w:hAnsi="宋体" w:eastAsia="黑体"/>
          <w:b/>
          <w:bCs/>
          <w:sz w:val="32"/>
          <w:szCs w:val="32"/>
        </w:rPr>
      </w:pPr>
      <w:bookmarkStart w:id="1211" w:name="_Toc3055_WPSOffice_Level1"/>
      <w:r>
        <w:rPr>
          <w:rFonts w:hint="eastAsia" w:ascii="黑体" w:hAnsi="宋体" w:eastAsia="黑体"/>
          <w:b/>
          <w:bCs/>
          <w:sz w:val="32"/>
          <w:szCs w:val="32"/>
        </w:rPr>
        <w:t>第五章</w:t>
      </w:r>
      <w:r>
        <w:rPr>
          <w:rFonts w:hint="eastAsia" w:ascii="黑体" w:eastAsia="黑体"/>
          <w:b/>
          <w:bCs/>
          <w:sz w:val="32"/>
          <w:szCs w:val="32"/>
        </w:rPr>
        <w:t xml:space="preserve">  </w:t>
      </w:r>
      <w:r>
        <w:rPr>
          <w:rFonts w:ascii="黑体" w:hAnsi="宋体" w:eastAsia="黑体"/>
          <w:b/>
          <w:bCs/>
          <w:sz w:val="32"/>
          <w:szCs w:val="32"/>
        </w:rPr>
        <w:t>附</w:t>
      </w:r>
      <w:r>
        <w:rPr>
          <w:rFonts w:hint="eastAsia" w:ascii="黑体" w:hAnsi="宋体" w:eastAsia="黑体"/>
          <w:b/>
          <w:bCs/>
          <w:sz w:val="32"/>
          <w:szCs w:val="32"/>
        </w:rPr>
        <w:t xml:space="preserve">  </w:t>
      </w:r>
      <w:r>
        <w:rPr>
          <w:rFonts w:ascii="黑体" w:hAnsi="宋体" w:eastAsia="黑体"/>
          <w:b/>
          <w:bCs/>
          <w:sz w:val="32"/>
          <w:szCs w:val="32"/>
        </w:rPr>
        <w:t>则</w:t>
      </w:r>
      <w:bookmarkEnd w:id="1211"/>
    </w:p>
    <w:p>
      <w:pPr>
        <w:pageBreakBefore w:val="0"/>
        <w:kinsoku/>
        <w:wordWrap/>
        <w:overflowPunct/>
        <w:topLinePunct w:val="0"/>
        <w:autoSpaceDE/>
        <w:autoSpaceDN/>
        <w:bidi w:val="0"/>
        <w:spacing w:line="580" w:lineRule="exact"/>
        <w:ind w:firstLine="643" w:firstLineChars="200"/>
        <w:outlineLvl w:val="9"/>
        <w:rPr>
          <w:rFonts w:ascii="仿宋_GB2312" w:hAnsi="宋体" w:eastAsia="仿宋_GB2312"/>
          <w:bCs/>
          <w:sz w:val="32"/>
          <w:szCs w:val="32"/>
        </w:rPr>
      </w:pPr>
      <w:r>
        <w:rPr>
          <w:rFonts w:ascii="仿宋_GB2312" w:hAnsi="宋体" w:eastAsia="仿宋_GB2312"/>
          <w:b/>
          <w:sz w:val="32"/>
          <w:szCs w:val="32"/>
        </w:rPr>
        <w:t>第二十</w:t>
      </w:r>
      <w:r>
        <w:rPr>
          <w:rFonts w:hint="eastAsia" w:ascii="仿宋_GB2312" w:hAnsi="宋体" w:eastAsia="仿宋_GB2312"/>
          <w:b/>
          <w:sz w:val="32"/>
          <w:szCs w:val="32"/>
        </w:rPr>
        <w:t>四</w:t>
      </w:r>
      <w:r>
        <w:rPr>
          <w:rFonts w:ascii="仿宋_GB2312" w:hAnsi="宋体" w:eastAsia="仿宋_GB2312"/>
          <w:b/>
          <w:sz w:val="32"/>
          <w:szCs w:val="32"/>
        </w:rPr>
        <w:t>条</w:t>
      </w:r>
      <w:r>
        <w:rPr>
          <w:rFonts w:hint="eastAsia" w:ascii="仿宋_GB2312" w:hAnsi="宋体" w:eastAsia="仿宋_GB2312"/>
          <w:bCs/>
          <w:sz w:val="32"/>
          <w:szCs w:val="32"/>
        </w:rPr>
        <w:t xml:space="preserve"> </w:t>
      </w:r>
      <w:r>
        <w:rPr>
          <w:rFonts w:ascii="仿宋_GB2312" w:hAnsi="宋体" w:eastAsia="仿宋_GB2312"/>
          <w:bCs/>
          <w:sz w:val="32"/>
          <w:szCs w:val="32"/>
        </w:rPr>
        <w:t>经学校审批立项派出的中长期（90天以上）出国学术交流合作任务的经费管理参照此办法。</w:t>
      </w:r>
    </w:p>
    <w:p>
      <w:pPr>
        <w:pageBreakBefore w:val="0"/>
        <w:kinsoku/>
        <w:wordWrap/>
        <w:overflowPunct/>
        <w:topLinePunct w:val="0"/>
        <w:autoSpaceDE/>
        <w:autoSpaceDN/>
        <w:bidi w:val="0"/>
        <w:spacing w:line="580" w:lineRule="exact"/>
        <w:ind w:firstLine="643" w:firstLineChars="200"/>
        <w:outlineLvl w:val="9"/>
        <w:rPr>
          <w:rFonts w:ascii="仿宋_GB2312" w:hAnsi="宋体" w:eastAsia="仿宋_GB2312"/>
          <w:bCs/>
          <w:sz w:val="32"/>
          <w:szCs w:val="32"/>
        </w:rPr>
      </w:pPr>
      <w:r>
        <w:rPr>
          <w:rFonts w:ascii="仿宋_GB2312" w:hAnsi="宋体" w:eastAsia="仿宋_GB2312"/>
          <w:b/>
          <w:sz w:val="32"/>
          <w:szCs w:val="32"/>
        </w:rPr>
        <w:t>第二十</w:t>
      </w:r>
      <w:r>
        <w:rPr>
          <w:rFonts w:hint="eastAsia" w:ascii="仿宋_GB2312" w:hAnsi="宋体" w:eastAsia="仿宋_GB2312"/>
          <w:b/>
          <w:sz w:val="32"/>
          <w:szCs w:val="32"/>
        </w:rPr>
        <w:t>五</w:t>
      </w:r>
      <w:r>
        <w:rPr>
          <w:rFonts w:ascii="仿宋_GB2312" w:hAnsi="宋体" w:eastAsia="仿宋_GB2312"/>
          <w:b/>
          <w:sz w:val="32"/>
          <w:szCs w:val="32"/>
        </w:rPr>
        <w:t>条</w:t>
      </w:r>
      <w:r>
        <w:rPr>
          <w:rFonts w:hint="eastAsia" w:ascii="仿宋_GB2312" w:hAnsi="宋体" w:eastAsia="仿宋_GB2312"/>
          <w:bCs/>
          <w:sz w:val="32"/>
          <w:szCs w:val="32"/>
        </w:rPr>
        <w:t xml:space="preserve"> </w:t>
      </w:r>
      <w:bookmarkStart w:id="1212" w:name="_Toc4552_WPSOffice_Level1"/>
      <w:r>
        <w:rPr>
          <w:rFonts w:ascii="仿宋_GB2312" w:hAnsi="宋体" w:eastAsia="仿宋_GB2312"/>
          <w:bCs/>
          <w:sz w:val="32"/>
          <w:szCs w:val="32"/>
        </w:rPr>
        <w:t>对与我国</w:t>
      </w:r>
      <w:bookmarkEnd w:id="1212"/>
      <w:r>
        <w:rPr>
          <w:rFonts w:ascii="仿宋_GB2312" w:hAnsi="宋体" w:eastAsia="仿宋_GB2312"/>
          <w:bCs/>
          <w:sz w:val="32"/>
          <w:szCs w:val="32"/>
        </w:rPr>
        <w:t>新建交或未建交的国家，相关经费开支标准暂按照经济水平相近的邻国标准执行。</w:t>
      </w:r>
    </w:p>
    <w:p>
      <w:pPr>
        <w:pageBreakBefore w:val="0"/>
        <w:kinsoku/>
        <w:wordWrap/>
        <w:overflowPunct/>
        <w:topLinePunct w:val="0"/>
        <w:autoSpaceDE/>
        <w:autoSpaceDN/>
        <w:bidi w:val="0"/>
        <w:spacing w:line="580" w:lineRule="exact"/>
        <w:ind w:firstLine="643" w:firstLineChars="200"/>
        <w:outlineLvl w:val="9"/>
        <w:rPr>
          <w:rFonts w:ascii="仿宋_GB2312" w:hAnsi="宋体" w:eastAsia="仿宋_GB2312"/>
          <w:bCs/>
          <w:sz w:val="32"/>
          <w:szCs w:val="32"/>
        </w:rPr>
      </w:pPr>
      <w:r>
        <w:rPr>
          <w:rFonts w:ascii="仿宋_GB2312" w:hAnsi="宋体" w:eastAsia="仿宋_GB2312"/>
          <w:b/>
          <w:sz w:val="32"/>
          <w:szCs w:val="32"/>
        </w:rPr>
        <w:t>第二十</w:t>
      </w:r>
      <w:r>
        <w:rPr>
          <w:rFonts w:hint="eastAsia" w:ascii="仿宋_GB2312" w:hAnsi="宋体" w:eastAsia="仿宋_GB2312"/>
          <w:b/>
          <w:sz w:val="32"/>
          <w:szCs w:val="32"/>
        </w:rPr>
        <w:t>六</w:t>
      </w:r>
      <w:r>
        <w:rPr>
          <w:rFonts w:ascii="仿宋_GB2312" w:hAnsi="宋体" w:eastAsia="仿宋_GB2312"/>
          <w:b/>
          <w:sz w:val="32"/>
          <w:szCs w:val="32"/>
        </w:rPr>
        <w:t>条</w:t>
      </w:r>
      <w:r>
        <w:rPr>
          <w:rFonts w:hint="eastAsia" w:ascii="仿宋_GB2312" w:hAnsi="宋体" w:eastAsia="仿宋_GB2312"/>
          <w:bCs/>
          <w:sz w:val="32"/>
          <w:szCs w:val="32"/>
        </w:rPr>
        <w:t xml:space="preserve"> </w:t>
      </w:r>
      <w:r>
        <w:rPr>
          <w:rFonts w:ascii="仿宋_GB2312" w:hAnsi="宋体" w:eastAsia="仿宋_GB2312"/>
          <w:bCs/>
          <w:sz w:val="32"/>
          <w:szCs w:val="32"/>
        </w:rPr>
        <w:t>各</w:t>
      </w:r>
      <w:r>
        <w:rPr>
          <w:rFonts w:hint="eastAsia" w:ascii="仿宋_GB2312" w:eastAsia="仿宋_GB2312"/>
          <w:bCs/>
          <w:sz w:val="32"/>
          <w:szCs w:val="32"/>
        </w:rPr>
        <w:t>部门</w:t>
      </w:r>
      <w:r>
        <w:rPr>
          <w:rFonts w:ascii="仿宋_GB2312" w:hAnsi="宋体" w:eastAsia="仿宋_GB2312"/>
          <w:bCs/>
          <w:sz w:val="32"/>
          <w:szCs w:val="32"/>
        </w:rPr>
        <w:t>人员因公临时赴香港特别行政区、澳门特别行政区和台湾地区的经费管理，适用本办法。</w:t>
      </w:r>
    </w:p>
    <w:p>
      <w:pPr>
        <w:pageBreakBefore w:val="0"/>
        <w:kinsoku/>
        <w:wordWrap/>
        <w:overflowPunct/>
        <w:topLinePunct w:val="0"/>
        <w:autoSpaceDE/>
        <w:autoSpaceDN/>
        <w:bidi w:val="0"/>
        <w:spacing w:line="580" w:lineRule="exact"/>
        <w:ind w:firstLine="643" w:firstLineChars="200"/>
        <w:outlineLvl w:val="9"/>
        <w:rPr>
          <w:rFonts w:ascii="仿宋_GB2312" w:hAnsi="宋体" w:eastAsia="仿宋_GB2312"/>
          <w:bCs/>
          <w:sz w:val="32"/>
          <w:szCs w:val="32"/>
        </w:rPr>
      </w:pPr>
      <w:r>
        <w:rPr>
          <w:rFonts w:ascii="仿宋_GB2312" w:hAnsi="宋体" w:eastAsia="仿宋_GB2312"/>
          <w:b/>
          <w:sz w:val="32"/>
          <w:szCs w:val="32"/>
        </w:rPr>
        <w:t>第二十</w:t>
      </w:r>
      <w:r>
        <w:rPr>
          <w:rFonts w:hint="eastAsia" w:ascii="仿宋_GB2312" w:hAnsi="宋体" w:eastAsia="仿宋_GB2312"/>
          <w:b/>
          <w:sz w:val="32"/>
          <w:szCs w:val="32"/>
        </w:rPr>
        <w:t>七</w:t>
      </w:r>
      <w:r>
        <w:rPr>
          <w:rFonts w:ascii="仿宋_GB2312" w:hAnsi="宋体" w:eastAsia="仿宋_GB2312"/>
          <w:b/>
          <w:sz w:val="32"/>
          <w:szCs w:val="32"/>
        </w:rPr>
        <w:t>条</w:t>
      </w:r>
      <w:r>
        <w:rPr>
          <w:rFonts w:hint="eastAsia" w:ascii="仿宋_GB2312" w:eastAsia="仿宋_GB2312"/>
          <w:b/>
          <w:sz w:val="32"/>
          <w:szCs w:val="32"/>
        </w:rPr>
        <w:t xml:space="preserve"> </w:t>
      </w:r>
      <w:r>
        <w:rPr>
          <w:rFonts w:ascii="仿宋_GB2312" w:hAnsi="宋体" w:eastAsia="仿宋_GB2312"/>
          <w:bCs/>
          <w:sz w:val="32"/>
          <w:szCs w:val="32"/>
        </w:rPr>
        <w:t>本办法由国际交流处、财务处负责解释，自印发之日起施行。未尽事宜按照国家相关规定执行。</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bCs/>
          <w:sz w:val="32"/>
          <w:szCs w:val="32"/>
        </w:rPr>
      </w:pPr>
      <w:r>
        <w:rPr>
          <w:rFonts w:hint="eastAsia" w:ascii="仿宋_GB2312" w:hAnsi="宋体" w:eastAsia="仿宋_GB2312"/>
          <w:bCs/>
          <w:sz w:val="32"/>
          <w:szCs w:val="32"/>
        </w:rPr>
        <w:t>附件：</w:t>
      </w:r>
      <w:r>
        <w:rPr>
          <w:rFonts w:hint="eastAsia" w:ascii="仿宋_GB2312" w:eastAsia="仿宋_GB2312"/>
          <w:bCs/>
          <w:sz w:val="32"/>
          <w:szCs w:val="32"/>
        </w:rPr>
        <w:t>1.</w:t>
      </w:r>
      <w:r>
        <w:rPr>
          <w:rFonts w:hint="eastAsia" w:ascii="仿宋_GB2312" w:hAnsi="宋体" w:eastAsia="仿宋_GB2312"/>
          <w:bCs/>
          <w:sz w:val="32"/>
          <w:szCs w:val="32"/>
        </w:rPr>
        <w:t>柳州职业技术学院因公出国（境）经费审批表</w:t>
      </w:r>
    </w:p>
    <w:p>
      <w:pPr>
        <w:pageBreakBefore w:val="0"/>
        <w:kinsoku/>
        <w:wordWrap/>
        <w:overflowPunct/>
        <w:topLinePunct w:val="0"/>
        <w:autoSpaceDE/>
        <w:autoSpaceDN/>
        <w:bidi w:val="0"/>
        <w:spacing w:line="580" w:lineRule="exact"/>
        <w:ind w:firstLine="1600" w:firstLineChars="500"/>
        <w:outlineLvl w:val="9"/>
        <w:rPr>
          <w:rFonts w:ascii="仿宋_GB2312" w:hAnsi="宋体" w:eastAsia="仿宋_GB2312"/>
          <w:bCs/>
          <w:sz w:val="32"/>
          <w:szCs w:val="32"/>
        </w:rPr>
      </w:pPr>
      <w:r>
        <w:rPr>
          <w:rFonts w:hint="eastAsia" w:ascii="仿宋_GB2312" w:hAnsi="宋体" w:eastAsia="仿宋_GB2312"/>
          <w:bCs/>
          <w:sz w:val="32"/>
          <w:szCs w:val="32"/>
        </w:rPr>
        <w:t>2</w:t>
      </w:r>
      <w:r>
        <w:rPr>
          <w:rFonts w:hint="eastAsia" w:ascii="仿宋_GB2312" w:eastAsia="仿宋_GB2312"/>
          <w:bCs/>
          <w:sz w:val="32"/>
          <w:szCs w:val="32"/>
        </w:rPr>
        <w:t>.</w:t>
      </w:r>
      <w:r>
        <w:rPr>
          <w:rFonts w:hint="eastAsia" w:ascii="仿宋_GB2312" w:hAnsi="宋体" w:eastAsia="仿宋_GB2312"/>
          <w:bCs/>
          <w:sz w:val="32"/>
          <w:szCs w:val="32"/>
        </w:rPr>
        <w:t>柳州职业技术学院因公出国（境）经费审批流程</w:t>
      </w:r>
    </w:p>
    <w:p>
      <w:pPr>
        <w:pageBreakBefore w:val="0"/>
        <w:kinsoku/>
        <w:wordWrap/>
        <w:overflowPunct/>
        <w:topLinePunct w:val="0"/>
        <w:autoSpaceDE/>
        <w:autoSpaceDN/>
        <w:bidi w:val="0"/>
        <w:spacing w:line="580" w:lineRule="exact"/>
        <w:ind w:firstLine="1600" w:firstLineChars="500"/>
        <w:outlineLvl w:val="9"/>
        <w:rPr>
          <w:rFonts w:hint="eastAsia" w:ascii="仿宋_GB2312" w:hAnsi="宋体" w:eastAsia="仿宋_GB2312"/>
          <w:bCs/>
          <w:sz w:val="32"/>
          <w:szCs w:val="32"/>
        </w:rPr>
      </w:pPr>
      <w:r>
        <w:rPr>
          <w:rFonts w:hint="eastAsia" w:ascii="仿宋_GB2312" w:hAnsi="宋体" w:eastAsia="仿宋_GB2312"/>
          <w:bCs/>
          <w:sz w:val="32"/>
          <w:szCs w:val="32"/>
        </w:rPr>
        <w:t>3</w:t>
      </w:r>
      <w:r>
        <w:rPr>
          <w:rFonts w:hint="eastAsia" w:ascii="仿宋_GB2312" w:eastAsia="仿宋_GB2312"/>
          <w:bCs/>
          <w:sz w:val="32"/>
          <w:szCs w:val="32"/>
        </w:rPr>
        <w:t>.</w:t>
      </w:r>
      <w:r>
        <w:rPr>
          <w:rFonts w:hint="eastAsia" w:ascii="仿宋_GB2312" w:hAnsi="宋体" w:eastAsia="仿宋_GB2312"/>
          <w:bCs/>
          <w:sz w:val="32"/>
          <w:szCs w:val="32"/>
        </w:rPr>
        <w:t>各国家和地区住宿费、伙食费、公杂费开支标准表</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bCs/>
          <w:sz w:val="32"/>
          <w:szCs w:val="32"/>
        </w:rPr>
      </w:pPr>
    </w:p>
    <w:p>
      <w:pPr>
        <w:pageBreakBefore w:val="0"/>
        <w:kinsoku/>
        <w:wordWrap/>
        <w:overflowPunct/>
        <w:topLinePunct w:val="0"/>
        <w:autoSpaceDE/>
        <w:autoSpaceDN/>
        <w:bidi w:val="0"/>
        <w:outlineLvl w:val="9"/>
        <w:rPr>
          <w:rFonts w:hint="eastAsia"/>
        </w:rPr>
      </w:pP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213" w:name="_Toc22610_WPSOffice_Level1"/>
      <w:r>
        <w:rPr>
          <w:rFonts w:hint="eastAsia" w:ascii="黑体" w:hAnsi="Calibri" w:eastAsia="黑体"/>
          <w:b/>
          <w:bCs/>
          <w:sz w:val="32"/>
          <w:szCs w:val="32"/>
        </w:rPr>
        <w:t>附件1：</w:t>
      </w:r>
      <w:bookmarkEnd w:id="1213"/>
    </w:p>
    <w:p>
      <w:pPr>
        <w:pageBreakBefore w:val="0"/>
        <w:kinsoku/>
        <w:wordWrap/>
        <w:overflowPunct/>
        <w:topLinePunct w:val="0"/>
        <w:autoSpaceDE/>
        <w:autoSpaceDN/>
        <w:bidi w:val="0"/>
        <w:jc w:val="center"/>
        <w:outlineLvl w:val="9"/>
        <w:rPr>
          <w:rFonts w:hint="eastAsia"/>
          <w:b/>
          <w:color w:val="000000"/>
          <w:sz w:val="36"/>
          <w:szCs w:val="36"/>
        </w:rPr>
      </w:pPr>
      <w:bookmarkStart w:id="1214" w:name="_Toc3184_WPSOffice_Level1"/>
      <w:r>
        <w:rPr>
          <w:rFonts w:hint="eastAsia"/>
          <w:b/>
          <w:color w:val="000000"/>
          <w:sz w:val="36"/>
          <w:szCs w:val="36"/>
        </w:rPr>
        <w:t>柳州职业技术学院因公出国（境）经费审批表</w:t>
      </w:r>
      <w:bookmarkEnd w:id="1214"/>
    </w:p>
    <w:tbl>
      <w:tblPr>
        <w:tblStyle w:val="15"/>
        <w:tblW w:w="89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1"/>
        <w:gridCol w:w="1337"/>
        <w:gridCol w:w="1288"/>
        <w:gridCol w:w="950"/>
        <w:gridCol w:w="1255"/>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团组名称</w:t>
            </w:r>
          </w:p>
        </w:tc>
        <w:tc>
          <w:tcPr>
            <w:tcW w:w="6192" w:type="dxa"/>
            <w:gridSpan w:val="5"/>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组团单位全称</w:t>
            </w:r>
          </w:p>
        </w:tc>
        <w:tc>
          <w:tcPr>
            <w:tcW w:w="6192" w:type="dxa"/>
            <w:gridSpan w:val="5"/>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领队姓名及职务</w:t>
            </w:r>
          </w:p>
        </w:tc>
        <w:tc>
          <w:tcPr>
            <w:tcW w:w="6192" w:type="dxa"/>
            <w:gridSpan w:val="5"/>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出访任务</w:t>
            </w:r>
          </w:p>
        </w:tc>
        <w:tc>
          <w:tcPr>
            <w:tcW w:w="262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20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组团单位主管部门</w:t>
            </w:r>
          </w:p>
        </w:tc>
        <w:tc>
          <w:tcPr>
            <w:tcW w:w="1362"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出访国家（地区）</w:t>
            </w:r>
          </w:p>
        </w:tc>
        <w:tc>
          <w:tcPr>
            <w:tcW w:w="262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20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拟停留天数</w:t>
            </w:r>
          </w:p>
        </w:tc>
        <w:tc>
          <w:tcPr>
            <w:tcW w:w="1362"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团组人数</w:t>
            </w:r>
          </w:p>
        </w:tc>
        <w:tc>
          <w:tcPr>
            <w:tcW w:w="262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20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申请财政经费人数</w:t>
            </w:r>
          </w:p>
        </w:tc>
        <w:tc>
          <w:tcPr>
            <w:tcW w:w="1362"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963" w:type="dxa"/>
            <w:gridSpan w:val="6"/>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申请财政经费人员名单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姓名</w:t>
            </w:r>
          </w:p>
        </w:tc>
        <w:tc>
          <w:tcPr>
            <w:tcW w:w="262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单位/职务</w:t>
            </w:r>
          </w:p>
        </w:tc>
        <w:tc>
          <w:tcPr>
            <w:tcW w:w="220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行政级别</w:t>
            </w:r>
          </w:p>
        </w:tc>
        <w:tc>
          <w:tcPr>
            <w:tcW w:w="1362"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62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20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1362"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62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20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1362"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62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20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1362"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62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2205" w:type="dxa"/>
            <w:gridSpan w:val="2"/>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1362"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71" w:type="dxa"/>
            <w:vMerge w:val="restart"/>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ind w:left="560"/>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出访费用预算</w:t>
            </w:r>
          </w:p>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（单位：元）</w:t>
            </w:r>
          </w:p>
        </w:tc>
        <w:tc>
          <w:tcPr>
            <w:tcW w:w="1337"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ind w:left="560"/>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国际旅费</w:t>
            </w:r>
          </w:p>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1288" w:type="dxa"/>
            <w:vAlign w:val="center"/>
          </w:tcPr>
          <w:p>
            <w:pPr>
              <w:pageBreakBefore w:val="0"/>
              <w:widowControl/>
              <w:kinsoku/>
              <w:wordWrap/>
              <w:overflowPunct/>
              <w:topLinePunct w:val="0"/>
              <w:autoSpaceDE/>
              <w:autoSpaceDN/>
              <w:bidi w:val="0"/>
              <w:spacing w:line="260" w:lineRule="exact"/>
              <w:ind w:left="560" w:firstLine="240" w:firstLineChars="100"/>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食宿费</w:t>
            </w:r>
          </w:p>
        </w:tc>
        <w:tc>
          <w:tcPr>
            <w:tcW w:w="950" w:type="dxa"/>
            <w:vAlign w:val="center"/>
          </w:tcPr>
          <w:p>
            <w:pPr>
              <w:pageBreakBefore w:val="0"/>
              <w:widowControl/>
              <w:kinsoku/>
              <w:wordWrap/>
              <w:overflowPunct/>
              <w:topLinePunct w:val="0"/>
              <w:autoSpaceDE/>
              <w:autoSpaceDN/>
              <w:bidi w:val="0"/>
              <w:spacing w:line="260" w:lineRule="exact"/>
              <w:ind w:left="560"/>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交通费</w:t>
            </w:r>
          </w:p>
        </w:tc>
        <w:tc>
          <w:tcPr>
            <w:tcW w:w="1255"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公杂费和其他费用</w:t>
            </w:r>
          </w:p>
        </w:tc>
        <w:tc>
          <w:tcPr>
            <w:tcW w:w="1362" w:type="dxa"/>
            <w:vAlign w:val="center"/>
          </w:tcPr>
          <w:p>
            <w:pPr>
              <w:pageBreakBefore w:val="0"/>
              <w:widowControl/>
              <w:kinsoku/>
              <w:wordWrap/>
              <w:overflowPunct/>
              <w:topLinePunct w:val="0"/>
              <w:autoSpaceDE/>
              <w:autoSpaceDN/>
              <w:bidi w:val="0"/>
              <w:spacing w:line="260" w:lineRule="exact"/>
              <w:ind w:left="560" w:firstLine="240" w:firstLineChars="100"/>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2771" w:type="dxa"/>
            <w:vMerge w:val="continue"/>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1337"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1288"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950"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1255"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c>
          <w:tcPr>
            <w:tcW w:w="1362"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771" w:type="dxa"/>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是否列入本年度出访计划</w:t>
            </w:r>
          </w:p>
        </w:tc>
        <w:tc>
          <w:tcPr>
            <w:tcW w:w="6192" w:type="dxa"/>
            <w:gridSpan w:val="5"/>
            <w:vAlign w:val="center"/>
          </w:tcPr>
          <w:p>
            <w:pPr>
              <w:pageBreakBefore w:val="0"/>
              <w:widowControl/>
              <w:kinsoku/>
              <w:wordWrap/>
              <w:overflowPunct/>
              <w:topLinePunct w:val="0"/>
              <w:autoSpaceDE/>
              <w:autoSpaceDN/>
              <w:bidi w:val="0"/>
              <w:spacing w:line="260" w:lineRule="exact"/>
              <w:ind w:left="560"/>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 w:hRule="atLeast"/>
          <w:jc w:val="center"/>
        </w:trPr>
        <w:tc>
          <w:tcPr>
            <w:tcW w:w="2771" w:type="dxa"/>
          </w:tcPr>
          <w:p>
            <w:pPr>
              <w:pageBreakBefore w:val="0"/>
              <w:widowControl/>
              <w:kinsoku/>
              <w:wordWrap/>
              <w:overflowPunct/>
              <w:topLinePunct w:val="0"/>
              <w:autoSpaceDE/>
              <w:autoSpaceDN/>
              <w:bidi w:val="0"/>
              <w:spacing w:line="260" w:lineRule="exact"/>
              <w:ind w:left="560"/>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派员单位财政部门意见（需列明单位年度出国经费总额，已使用支付情况、余额等）</w:t>
            </w:r>
          </w:p>
        </w:tc>
        <w:tc>
          <w:tcPr>
            <w:tcW w:w="6192" w:type="dxa"/>
            <w:gridSpan w:val="5"/>
          </w:tcPr>
          <w:p>
            <w:pPr>
              <w:pageBreakBefore w:val="0"/>
              <w:widowControl/>
              <w:kinsoku/>
              <w:wordWrap/>
              <w:overflowPunct/>
              <w:topLinePunct w:val="0"/>
              <w:autoSpaceDE/>
              <w:autoSpaceDN/>
              <w:bidi w:val="0"/>
              <w:spacing w:line="260" w:lineRule="exact"/>
              <w:ind w:left="560"/>
              <w:textAlignment w:val="center"/>
              <w:outlineLvl w:val="9"/>
              <w:rPr>
                <w:rFonts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ind w:left="560"/>
              <w:textAlignment w:val="center"/>
              <w:outlineLvl w:val="9"/>
              <w:rPr>
                <w:rFonts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ind w:left="560"/>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ind w:left="560"/>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财务负责人：                年  月  日（财务专用</w:t>
            </w:r>
            <w:bookmarkStart w:id="1215" w:name="_Toc18818_WPSOffice_Level1"/>
            <w:r>
              <w:rPr>
                <w:rFonts w:hint="eastAsia" w:ascii="仿宋_GB2312" w:hAnsi="宋体" w:eastAsia="仿宋_GB2312" w:cs="宋体"/>
                <w:color w:val="000000"/>
                <w:kern w:val="0"/>
                <w:sz w:val="24"/>
                <w:lang w:bidi="ar"/>
              </w:rPr>
              <w:t>章）</w:t>
            </w:r>
          </w:p>
        </w:tc>
      </w:tr>
      <w:bookmarkEnd w:id="1215"/>
    </w:tbl>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216" w:name="_Toc25460_WPSOffice_Level1"/>
      <w:r>
        <w:rPr>
          <w:rFonts w:hint="eastAsia" w:ascii="黑体" w:hAnsi="Calibri" w:eastAsia="黑体"/>
          <w:b/>
          <w:bCs/>
          <w:sz w:val="32"/>
          <w:szCs w:val="32"/>
        </w:rPr>
        <w:t>附件2：</w:t>
      </w:r>
      <w:bookmarkEnd w:id="1216"/>
    </w:p>
    <w:p>
      <w:pPr>
        <w:pageBreakBefore w:val="0"/>
        <w:kinsoku/>
        <w:wordWrap/>
        <w:overflowPunct/>
        <w:topLinePunct w:val="0"/>
        <w:autoSpaceDE/>
        <w:autoSpaceDN/>
        <w:bidi w:val="0"/>
        <w:jc w:val="center"/>
        <w:outlineLvl w:val="9"/>
        <w:rPr>
          <w:rFonts w:hint="eastAsia"/>
          <w:b/>
          <w:color w:val="000000"/>
          <w:sz w:val="36"/>
          <w:szCs w:val="36"/>
        </w:rPr>
      </w:pPr>
      <w:bookmarkStart w:id="1217" w:name="_Toc1728_WPSOffice_Level1"/>
      <w:r>
        <w:rPr>
          <w:rFonts w:hint="eastAsia"/>
          <w:b/>
          <w:color w:val="000000"/>
          <w:sz w:val="36"/>
          <w:szCs w:val="36"/>
        </w:rPr>
        <w:t>柳州职业技术学院因公出国（境）经费审批流程</w:t>
      </w:r>
      <w:bookmarkEnd w:id="1217"/>
    </w:p>
    <w:tbl>
      <w:tblPr>
        <w:tblStyle w:val="14"/>
        <w:tblW w:w="10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500"/>
        <w:gridCol w:w="705"/>
        <w:gridCol w:w="2955"/>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2478"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流程图</w:t>
            </w:r>
          </w:p>
        </w:tc>
        <w:tc>
          <w:tcPr>
            <w:tcW w:w="150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实施部门</w:t>
            </w:r>
          </w:p>
        </w:tc>
        <w:tc>
          <w:tcPr>
            <w:tcW w:w="705"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责任人</w:t>
            </w:r>
          </w:p>
        </w:tc>
        <w:tc>
          <w:tcPr>
            <w:tcW w:w="2955"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过程描述及注意事项</w:t>
            </w:r>
          </w:p>
        </w:tc>
        <w:tc>
          <w:tcPr>
            <w:tcW w:w="265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支持性文件及记录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2478" w:type="dxa"/>
            <w:vMerge w:val="restart"/>
            <w:vAlign w:val="center"/>
          </w:tcPr>
          <w:p>
            <w:pPr>
              <w:pageBreakBefore w:val="0"/>
              <w:kinsoku/>
              <w:wordWrap/>
              <w:overflowPunct/>
              <w:topLinePunct w:val="0"/>
              <w:autoSpaceDE/>
              <w:autoSpaceDN/>
              <w:bidi w:val="0"/>
              <w:outlineLvl w:val="9"/>
              <w:rPr>
                <w:rFonts w:ascii="宋体" w:hAnsi="宋体"/>
                <w:sz w:val="18"/>
                <w:szCs w:val="18"/>
              </w:rPr>
            </w:pPr>
            <w:r>
              <w:rPr>
                <w:rFonts w:ascii="宋体" w:hAnsi="宋体"/>
                <w:szCs w:val="21"/>
              </w:rPr>
              <mc:AlternateContent>
                <mc:Choice Requires="wpg">
                  <w:drawing>
                    <wp:inline distT="0" distB="0" distL="0" distR="0">
                      <wp:extent cx="1419860" cy="5898515"/>
                      <wp:effectExtent l="0" t="0" r="27940" b="0"/>
                      <wp:docPr id="287" name="组 2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19860" cy="5898515"/>
                                <a:chOff x="0" y="0"/>
                                <a:chExt cx="1419860" cy="5898515"/>
                              </a:xfrm>
                            </wpg:grpSpPr>
                            <wps:wsp>
                              <wps:cNvPr id="288" name="Rectangle 190"/>
                              <wps:cNvSpPr>
                                <a:spLocks noChangeAspect="1" noChangeArrowheads="1"/>
                              </wps:cNvSpPr>
                              <wps:spPr bwMode="auto">
                                <a:xfrm>
                                  <a:off x="0" y="0"/>
                                  <a:ext cx="1419860" cy="5898515"/>
                                </a:xfrm>
                                <a:prstGeom prst="rect">
                                  <a:avLst/>
                                </a:prstGeom>
                                <a:noFill/>
                                <a:ln>
                                  <a:noFill/>
                                </a:ln>
                                <a:effectLst/>
                              </wps:spPr>
                              <wps:bodyPr rot="0" vert="horz" wrap="square" lIns="91440" tIns="45720" rIns="91440" bIns="45720" anchor="t" anchorCtr="0" upright="1">
                                <a:noAutofit/>
                              </wps:bodyPr>
                            </wps:wsp>
                            <wps:wsp>
                              <wps:cNvPr id="289" name="直接箭头连接符 2"/>
                              <wps:cNvCnPr>
                                <a:cxnSpLocks noChangeShapeType="1"/>
                              </wps:cNvCnPr>
                              <wps:spPr bwMode="auto">
                                <a:xfrm flipH="1">
                                  <a:off x="718820" y="3030220"/>
                                  <a:ext cx="6350" cy="331470"/>
                                </a:xfrm>
                                <a:prstGeom prst="straightConnector1">
                                  <a:avLst/>
                                </a:prstGeom>
                                <a:noFill/>
                                <a:ln w="9525">
                                  <a:solidFill>
                                    <a:srgbClr val="000000"/>
                                  </a:solidFill>
                                  <a:round/>
                                  <a:tailEnd type="triangle" w="med" len="med"/>
                                </a:ln>
                                <a:effectLst/>
                              </wps:spPr>
                              <wps:bodyPr/>
                            </wps:wsp>
                            <wps:wsp>
                              <wps:cNvPr id="290" name="直接箭头连接符 4"/>
                              <wps:cNvCnPr>
                                <a:cxnSpLocks noChangeShapeType="1"/>
                              </wps:cNvCnPr>
                              <wps:spPr bwMode="auto">
                                <a:xfrm>
                                  <a:off x="737235" y="3774440"/>
                                  <a:ext cx="5715" cy="284480"/>
                                </a:xfrm>
                                <a:prstGeom prst="straightConnector1">
                                  <a:avLst/>
                                </a:prstGeom>
                                <a:noFill/>
                                <a:ln w="9525">
                                  <a:solidFill>
                                    <a:srgbClr val="000000"/>
                                  </a:solidFill>
                                  <a:round/>
                                  <a:tailEnd type="triangle" w="med" len="med"/>
                                </a:ln>
                                <a:effectLst/>
                              </wps:spPr>
                              <wps:bodyPr/>
                            </wps:wsp>
                            <wps:wsp>
                              <wps:cNvPr id="291" name="流程图: 过程 7"/>
                              <wps:cNvSpPr>
                                <a:spLocks noChangeArrowheads="1"/>
                              </wps:cNvSpPr>
                              <wps:spPr bwMode="auto">
                                <a:xfrm>
                                  <a:off x="135890" y="3406775"/>
                                  <a:ext cx="1156335" cy="360045"/>
                                </a:xfrm>
                                <a:prstGeom prst="flowChartProcess">
                                  <a:avLst/>
                                </a:prstGeom>
                                <a:solidFill>
                                  <a:srgbClr val="FFFFFF"/>
                                </a:solidFill>
                                <a:ln w="9525">
                                  <a:solidFill>
                                    <a:srgbClr val="000000"/>
                                  </a:solidFill>
                                  <a:miter lim="800000"/>
                                </a:ln>
                                <a:effectLst/>
                              </wps:spPr>
                              <wps:txbx>
                                <w:txbxContent>
                                  <w:p>
                                    <w:pPr>
                                      <w:widowControl/>
                                      <w:spacing w:line="260" w:lineRule="exact"/>
                                      <w:jc w:val="center"/>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上报学校党委会</w:t>
                                    </w:r>
                                  </w:p>
                                </w:txbxContent>
                              </wps:txbx>
                              <wps:bodyPr rot="0" vert="horz" wrap="square" lIns="0" tIns="0" rIns="0" bIns="0" anchor="ctr" anchorCtr="0" upright="1">
                                <a:noAutofit/>
                              </wps:bodyPr>
                            </wps:wsp>
                            <wps:wsp>
                              <wps:cNvPr id="292" name="流程图: 过程 9"/>
                              <wps:cNvSpPr>
                                <a:spLocks noChangeArrowheads="1"/>
                              </wps:cNvSpPr>
                              <wps:spPr bwMode="auto">
                                <a:xfrm>
                                  <a:off x="136525" y="5036820"/>
                                  <a:ext cx="1238885" cy="706755"/>
                                </a:xfrm>
                                <a:prstGeom prst="flowChartProcess">
                                  <a:avLst/>
                                </a:prstGeom>
                                <a:solidFill>
                                  <a:srgbClr val="FFFFFF"/>
                                </a:solidFill>
                                <a:ln w="9525">
                                  <a:solidFill>
                                    <a:srgbClr val="000000"/>
                                  </a:solidFill>
                                  <a:miter lim="800000"/>
                                </a:ln>
                                <a:effectLst/>
                              </wps:spPr>
                              <wps:txbx>
                                <w:txbxContent>
                                  <w:p>
                                    <w:pPr>
                                      <w:widowControl/>
                                      <w:spacing w:line="260" w:lineRule="exact"/>
                                      <w:jc w:val="center"/>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将审核结果反馈至部门/二级学院，准备出国（境）相关材料</w:t>
                                    </w:r>
                                  </w:p>
                                </w:txbxContent>
                              </wps:txbx>
                              <wps:bodyPr rot="0" vert="horz" wrap="square" lIns="0" tIns="0" rIns="0" bIns="0" anchor="ctr" anchorCtr="0" upright="1">
                                <a:noAutofit/>
                              </wps:bodyPr>
                            </wps:wsp>
                            <wps:wsp>
                              <wps:cNvPr id="293" name="直接箭头连接符 10"/>
                              <wps:cNvCnPr>
                                <a:cxnSpLocks noChangeShapeType="1"/>
                              </wps:cNvCnPr>
                              <wps:spPr bwMode="auto">
                                <a:xfrm>
                                  <a:off x="727710" y="4596130"/>
                                  <a:ext cx="6985" cy="452120"/>
                                </a:xfrm>
                                <a:prstGeom prst="straightConnector1">
                                  <a:avLst/>
                                </a:prstGeom>
                                <a:noFill/>
                                <a:ln w="9525">
                                  <a:solidFill>
                                    <a:srgbClr val="000000"/>
                                  </a:solidFill>
                                  <a:round/>
                                  <a:tailEnd type="triangle" w="med" len="med"/>
                                </a:ln>
                                <a:effectLst/>
                              </wps:spPr>
                              <wps:bodyPr/>
                            </wps:wsp>
                            <wps:wsp>
                              <wps:cNvPr id="294" name="直接箭头连接符 11"/>
                              <wps:cNvCnPr>
                                <a:cxnSpLocks noChangeShapeType="1"/>
                              </wps:cNvCnPr>
                              <wps:spPr bwMode="auto">
                                <a:xfrm>
                                  <a:off x="723900" y="1932304"/>
                                  <a:ext cx="0" cy="596265"/>
                                </a:xfrm>
                                <a:prstGeom prst="straightConnector1">
                                  <a:avLst/>
                                </a:prstGeom>
                                <a:noFill/>
                                <a:ln w="9525">
                                  <a:solidFill>
                                    <a:srgbClr val="000000"/>
                                  </a:solidFill>
                                  <a:round/>
                                  <a:tailEnd type="triangle" w="med" len="med"/>
                                </a:ln>
                                <a:effectLst/>
                              </wps:spPr>
                              <wps:bodyPr/>
                            </wps:wsp>
                            <wps:wsp>
                              <wps:cNvPr id="295" name="直接箭头连接符 12"/>
                              <wps:cNvCnPr>
                                <a:cxnSpLocks noChangeShapeType="1"/>
                              </wps:cNvCnPr>
                              <wps:spPr bwMode="auto">
                                <a:xfrm>
                                  <a:off x="697865" y="779145"/>
                                  <a:ext cx="13335" cy="549275"/>
                                </a:xfrm>
                                <a:prstGeom prst="straightConnector1">
                                  <a:avLst/>
                                </a:prstGeom>
                                <a:noFill/>
                                <a:ln w="9525">
                                  <a:solidFill>
                                    <a:srgbClr val="000000"/>
                                  </a:solidFill>
                                  <a:round/>
                                  <a:tailEnd type="triangle" w="med" len="med"/>
                                </a:ln>
                                <a:effectLst/>
                              </wps:spPr>
                              <wps:bodyPr/>
                            </wps:wsp>
                            <wps:wsp>
                              <wps:cNvPr id="296" name="菱形 17"/>
                              <wps:cNvSpPr>
                                <a:spLocks noChangeArrowheads="1"/>
                              </wps:cNvSpPr>
                              <wps:spPr bwMode="auto">
                                <a:xfrm>
                                  <a:off x="201295" y="1328420"/>
                                  <a:ext cx="1019810" cy="641985"/>
                                </a:xfrm>
                                <a:prstGeom prst="diamond">
                                  <a:avLst/>
                                </a:prstGeom>
                                <a:solidFill>
                                  <a:srgbClr val="FFFFFF"/>
                                </a:solidFill>
                                <a:ln w="9525">
                                  <a:solidFill>
                                    <a:srgbClr val="000000"/>
                                  </a:solidFill>
                                  <a:miter lim="800000"/>
                                </a:ln>
                                <a:effectLst/>
                              </wps:spPr>
                              <wps:txbx>
                                <w:txbxContent>
                                  <w:p>
                                    <w:pPr>
                                      <w:widowControl/>
                                      <w:spacing w:line="260" w:lineRule="exact"/>
                                      <w:jc w:val="center"/>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wps:txbx>
                              <wps:bodyPr rot="0" vert="horz" wrap="square" lIns="91440" tIns="45720" rIns="91440" bIns="45720" anchor="t" anchorCtr="0" upright="1">
                                <a:noAutofit/>
                              </wps:bodyPr>
                            </wps:wsp>
                            <wps:wsp>
                              <wps:cNvPr id="297" name="矩形 1"/>
                              <wps:cNvSpPr>
                                <a:spLocks noChangeArrowheads="1"/>
                              </wps:cNvSpPr>
                              <wps:spPr bwMode="auto">
                                <a:xfrm>
                                  <a:off x="74930" y="328295"/>
                                  <a:ext cx="1350010" cy="436245"/>
                                </a:xfrm>
                                <a:prstGeom prst="rect">
                                  <a:avLst/>
                                </a:prstGeom>
                                <a:solidFill>
                                  <a:srgbClr val="FFFFFF"/>
                                </a:solidFill>
                                <a:ln w="9525">
                                  <a:solidFill>
                                    <a:srgbClr val="000000"/>
                                  </a:solidFill>
                                  <a:miter lim="800000"/>
                                </a:ln>
                                <a:effectLst/>
                              </wps:spPr>
                              <wps:txbx>
                                <w:txbxContent>
                                  <w:p>
                                    <w:pPr>
                                      <w:widowControl/>
                                      <w:spacing w:line="260" w:lineRule="exact"/>
                                      <w:jc w:val="center"/>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申办部门/二级学院填写经费审批表</w:t>
                                    </w:r>
                                  </w:p>
                                </w:txbxContent>
                              </wps:txbx>
                              <wps:bodyPr rot="0" vert="horz" wrap="square" lIns="91440" tIns="45720" rIns="91440" bIns="45720" anchor="t" anchorCtr="0" upright="1">
                                <a:noAutofit/>
                              </wps:bodyPr>
                            </wps:wsp>
                            <wps:wsp>
                              <wps:cNvPr id="298" name="菱形 17"/>
                              <wps:cNvSpPr>
                                <a:spLocks noChangeArrowheads="1"/>
                              </wps:cNvSpPr>
                              <wps:spPr bwMode="auto">
                                <a:xfrm>
                                  <a:off x="217170" y="2511425"/>
                                  <a:ext cx="1010285" cy="516255"/>
                                </a:xfrm>
                                <a:prstGeom prst="diamond">
                                  <a:avLst/>
                                </a:prstGeom>
                                <a:solidFill>
                                  <a:srgbClr val="FFFFFF"/>
                                </a:solidFill>
                                <a:ln w="9525">
                                  <a:solidFill>
                                    <a:srgbClr val="000000"/>
                                  </a:solidFill>
                                  <a:miter lim="800000"/>
                                </a:ln>
                                <a:effectLst/>
                              </wps:spPr>
                              <wps:txbx>
                                <w:txbxContent>
                                  <w:p>
                                    <w:pPr>
                                      <w:widowControl/>
                                      <w:spacing w:line="260" w:lineRule="exact"/>
                                      <w:jc w:val="center"/>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wps:txbx>
                              <wps:bodyPr rot="0" vert="horz" wrap="square" lIns="91440" tIns="45720" rIns="91440" bIns="45720" anchor="t" anchorCtr="0" upright="1">
                                <a:noAutofit/>
                              </wps:bodyPr>
                            </wps:wsp>
                            <wps:wsp>
                              <wps:cNvPr id="299" name="菱形 19"/>
                              <wps:cNvSpPr>
                                <a:spLocks noChangeArrowheads="1"/>
                              </wps:cNvSpPr>
                              <wps:spPr bwMode="auto">
                                <a:xfrm>
                                  <a:off x="201295" y="4058285"/>
                                  <a:ext cx="1067435" cy="523875"/>
                                </a:xfrm>
                                <a:prstGeom prst="diamond">
                                  <a:avLst/>
                                </a:prstGeom>
                                <a:solidFill>
                                  <a:srgbClr val="FFFFFF"/>
                                </a:solidFill>
                                <a:ln w="9525">
                                  <a:solidFill>
                                    <a:srgbClr val="000000"/>
                                  </a:solidFill>
                                  <a:miter lim="800000"/>
                                </a:ln>
                                <a:effectLst/>
                              </wps:spPr>
                              <wps:txbx>
                                <w:txbxContent>
                                  <w:p>
                                    <w:pPr>
                                      <w:widowControl/>
                                      <w:spacing w:line="260" w:lineRule="exact"/>
                                      <w:jc w:val="center"/>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wps:txbx>
                              <wps:bodyPr rot="0" vert="horz" wrap="square" lIns="91440" tIns="45720" rIns="91440" bIns="45720" anchor="t" anchorCtr="0" upright="1">
                                <a:noAutofit/>
                              </wps:bodyPr>
                            </wps:wsp>
                          </wpg:wgp>
                        </a:graphicData>
                      </a:graphic>
                    </wp:inline>
                  </w:drawing>
                </mc:Choice>
                <mc:Fallback>
                  <w:pict>
                    <v:group id="组 287" o:spid="_x0000_s1026" o:spt="203" style="height:464.45pt;width:111.8pt;" coordsize="1419860,5898515" o:gfxdata="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BIux+u1gAAAAUBAAAPAAAAAAAAAAEAIAAAACIAAABkcnMvZG93bnJldi54bWxQ&#10;SwECFAAUAAAACACHTuJA7wYZrlAFAACDIAAADgAAAAAAAAABACAAAAAlAQAAZHJzL2Uyb0RvYy54&#10;bWxQSwUGAAAAAAYABgBZAQAA5wgAAAAA&#10;">
                      <o:lock v:ext="edit" aspectratio="t"/>
                      <v:rect id="Rectangle 190" o:spid="_x0000_s1026" o:spt="1" style="position:absolute;left:0;top:0;height:5898515;width:1419860;" filled="f" stroked="f" coordsize="21600,21600" o:gfxdata="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zyv7sAAADc&#10;AAAADwAAAAAAAAABACAAAAAiAAAAZHJzL2Rvd25yZXYueG1sUEsBAhQAFAAAAAgAh07iQDMvBZ47&#10;AAAAOQAAABAAAAAAAAAAAQAgAAAACgEAAGRycy9zaGFwZXhtbC54bWxQSwUGAAAAAAYABgBbAQAA&#10;tAMAAAAA&#10;">
                        <v:fill on="f" focussize="0,0"/>
                        <v:stroke on="f"/>
                        <v:imagedata o:title=""/>
                        <o:lock v:ext="edit" aspectratio="t"/>
                      </v:rect>
                      <v:shape id="直接箭头连接符 2" o:spid="_x0000_s1026" o:spt="32" type="#_x0000_t32" style="position:absolute;left:718820;top:3030220;flip:x;height:331470;width:6350;" filled="f" stroked="t" coordsize="21600,21600" o:gfxdata="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LOQ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 o:spid="_x0000_s1026" o:spt="32" type="#_x0000_t32" style="position:absolute;left:737235;top:3774440;height:284480;width:5715;" filled="f" stroked="t" coordsize="21600,21600" o:gfxdata="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99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流程图: 过程 7" o:spid="_x0000_s1026" o:spt="109" type="#_x0000_t109" style="position:absolute;left:135890;top:3406775;height:360045;width:1156335;v-text-anchor:middle;" fillcolor="#FFFFFF" filled="t" stroked="t" coordsize="21600,21600" o:gfxdata="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G9oH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0mm,0mm,0mm">
                          <w:txbxContent>
                            <w:p>
                              <w:pPr>
                                <w:widowControl/>
                                <w:spacing w:line="260" w:lineRule="exact"/>
                                <w:jc w:val="center"/>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上报学校党委会</w:t>
                              </w:r>
                            </w:p>
                          </w:txbxContent>
                        </v:textbox>
                      </v:shape>
                      <v:shape id="流程图: 过程 9" o:spid="_x0000_s1026" o:spt="109" type="#_x0000_t109" style="position:absolute;left:136525;top:5036820;height:706755;width:1238885;v-text-anchor:middle;" fillcolor="#FFFFFF" filled="t" stroked="t" coordsize="21600,21600" o:gfxdata="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yURw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0mm,0mm,0mm">
                          <w:txbxContent>
                            <w:p>
                              <w:pPr>
                                <w:widowControl/>
                                <w:spacing w:line="260" w:lineRule="exact"/>
                                <w:jc w:val="center"/>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将审核结果反馈至部门/二级学院，准备出国（境）相关材料</w:t>
                              </w:r>
                            </w:p>
                          </w:txbxContent>
                        </v:textbox>
                      </v:shape>
                      <v:shape id="直接箭头连接符 10" o:spid="_x0000_s1026" o:spt="32" type="#_x0000_t32" style="position:absolute;left:727710;top:4596130;height:452120;width:6985;" filled="f" stroked="t" coordsize="21600,21600" o:gfxdata="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Bo4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1" o:spid="_x0000_s1026" o:spt="32" type="#_x0000_t32" style="position:absolute;left:723900;top:1932304;height:596265;width:0;" filled="f" stroked="t" coordsize="21600,21600" o:gfxdata="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o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2" o:spid="_x0000_s1026" o:spt="32" type="#_x0000_t32" style="position:absolute;left:697865;top:779145;height:549275;width:13335;" filled="f" stroked="t" coordsize="21600,21600" o:gfxdata="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knm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菱形 17" o:spid="_x0000_s1026" o:spt="4" type="#_x0000_t4" style="position:absolute;left:201295;top:1328420;height:641985;width:1019810;" fillcolor="#FFFFFF" filled="t" stroked="t" coordsize="21600,21600" o:gfxdata="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3pk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widowControl/>
                                <w:spacing w:line="260" w:lineRule="exact"/>
                                <w:jc w:val="center"/>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v:textbox>
                      </v:shape>
                      <v:rect id="矩形 1" o:spid="_x0000_s1026" o:spt="1" style="position:absolute;left:74930;top:328295;height:436245;width:1350010;" fillcolor="#FFFFFF" filled="t" stroked="t" coordsize="21600,21600" o:gfxdata="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cUk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widowControl/>
                                <w:spacing w:line="260" w:lineRule="exact"/>
                                <w:jc w:val="center"/>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申办部门/二级学院填写经费审批表</w:t>
                              </w:r>
                            </w:p>
                          </w:txbxContent>
                        </v:textbox>
                      </v:rect>
                      <v:shape id="菱形 17" o:spid="_x0000_s1026" o:spt="4" type="#_x0000_t4" style="position:absolute;left:217170;top:2511425;height:516255;width:1010285;" fillcolor="#FFFFFF" filled="t" stroked="t" coordsize="21600,21600" o:gfxdata="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O2Hm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pPr>
                                <w:widowControl/>
                                <w:spacing w:line="260" w:lineRule="exact"/>
                                <w:jc w:val="center"/>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v:textbox>
                      </v:shape>
                      <v:shape id="菱形 19" o:spid="_x0000_s1026" o:spt="4" type="#_x0000_t4" style="position:absolute;left:201295;top:4058285;height:523875;width:1067435;" fillcolor="#FFFFFF" filled="t" stroked="t" coordsize="21600,21600" o:gfxdata="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n3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widowControl/>
                                <w:spacing w:line="260" w:lineRule="exact"/>
                                <w:jc w:val="center"/>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v:textbox>
                      </v:shape>
                      <w10:wrap type="none"/>
                      <w10:anchorlock/>
                    </v:group>
                  </w:pict>
                </mc:Fallback>
              </mc:AlternateContent>
            </w:r>
            <w:r>
              <w:rPr>
                <w:rFonts w:ascii="宋体" w:hAnsi="宋体"/>
                <w:sz w:val="18"/>
                <w:szCs w:val="18"/>
              </w:rPr>
              <mc:AlternateContent>
                <mc:Choice Requires="wps">
                  <w:drawing>
                    <wp:anchor distT="0" distB="0" distL="114300" distR="114300" simplePos="0" relativeHeight="251797504" behindDoc="0" locked="0" layoutInCell="1" allowOverlap="1">
                      <wp:simplePos x="0" y="0"/>
                      <wp:positionH relativeFrom="column">
                        <wp:posOffset>946150</wp:posOffset>
                      </wp:positionH>
                      <wp:positionV relativeFrom="paragraph">
                        <wp:posOffset>9483725</wp:posOffset>
                      </wp:positionV>
                      <wp:extent cx="635" cy="717550"/>
                      <wp:effectExtent l="38100" t="0" r="37465" b="6350"/>
                      <wp:wrapNone/>
                      <wp:docPr id="286" name="直线连接符 286"/>
                      <wp:cNvGraphicFramePr/>
                      <a:graphic xmlns:a="http://schemas.openxmlformats.org/drawingml/2006/main">
                        <a:graphicData uri="http://schemas.microsoft.com/office/word/2010/wordprocessingShape">
                          <wps:wsp>
                            <wps:cNvCnPr>
                              <a:cxnSpLocks noChangeShapeType="1"/>
                            </wps:cNvCnPr>
                            <wps:spPr bwMode="auto">
                              <a:xfrm flipH="1">
                                <a:off x="0" y="0"/>
                                <a:ext cx="635" cy="717550"/>
                              </a:xfrm>
                              <a:prstGeom prst="line">
                                <a:avLst/>
                              </a:prstGeom>
                              <a:noFill/>
                              <a:ln w="9525">
                                <a:solidFill>
                                  <a:srgbClr val="000000"/>
                                </a:solidFill>
                                <a:round/>
                                <a:tailEnd type="triangle" w="med" len="med"/>
                              </a:ln>
                              <a:effectLst/>
                            </wps:spPr>
                            <wps:bodyPr/>
                          </wps:wsp>
                        </a:graphicData>
                      </a:graphic>
                    </wp:anchor>
                  </w:drawing>
                </mc:Choice>
                <mc:Fallback>
                  <w:pict>
                    <v:line id="直线连接符 286" o:spid="_x0000_s1026" o:spt="20" style="position:absolute;left:0pt;flip:x;margin-left:74.5pt;margin-top:746.75pt;height:56.5pt;width:0.05pt;z-index:251797504;mso-width-relative:page;mso-height-relative:page;" filled="f" stroked="t" coordsize="21600,21600" o:gfxdata="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XxpWzaAAAADQEAAA8AAAAAAAAAAQAgAAAAIgAAAGRycy9kb3ducmV2Lnht&#10;bFBLAQIUABQAAAAIAIdO4kB9TrMv9wEAAKcDAAAOAAAAAAAAAAEAIAAAACkBAABkcnMvZTJvRG9j&#10;LnhtbFBLBQYAAAAABgAGAFkBAACSBQAAAAA=&#10;">
                      <v:fill on="f" focussize="0,0"/>
                      <v:stroke color="#000000" joinstyle="round" endarrow="block"/>
                      <v:imagedata o:title=""/>
                      <o:lock v:ext="edit" aspectratio="f"/>
                    </v:line>
                  </w:pict>
                </mc:Fallback>
              </mc:AlternateContent>
            </w:r>
          </w:p>
        </w:tc>
        <w:tc>
          <w:tcPr>
            <w:tcW w:w="1500" w:type="dxa"/>
            <w:vAlign w:val="center"/>
          </w:tcPr>
          <w:p>
            <w:pPr>
              <w:pageBreakBefore w:val="0"/>
              <w:widowControl/>
              <w:kinsoku/>
              <w:wordWrap/>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申报部门/二级学院</w:t>
            </w:r>
          </w:p>
        </w:tc>
        <w:tc>
          <w:tcPr>
            <w:tcW w:w="705" w:type="dxa"/>
            <w:vAlign w:val="center"/>
          </w:tcPr>
          <w:p>
            <w:pPr>
              <w:pageBreakBefore w:val="0"/>
              <w:widowControl/>
              <w:kinsoku/>
              <w:wordWrap/>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项目申报部门</w:t>
            </w:r>
          </w:p>
        </w:tc>
        <w:tc>
          <w:tcPr>
            <w:tcW w:w="2955" w:type="dxa"/>
            <w:vAlign w:val="center"/>
          </w:tcPr>
          <w:p>
            <w:pPr>
              <w:pageBreakBefore w:val="0"/>
              <w:widowControl/>
              <w:kinsoku/>
              <w:wordWrap/>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申报部门制定出国（境）年度计划，填写经费审批表，经部门领导审核同意后方可上报。</w:t>
            </w:r>
          </w:p>
        </w:tc>
        <w:tc>
          <w:tcPr>
            <w:tcW w:w="2650" w:type="dxa"/>
            <w:vAlign w:val="center"/>
          </w:tcPr>
          <w:p>
            <w:pPr>
              <w:pageBreakBefore w:val="0"/>
              <w:widowControl/>
              <w:kinsoku/>
              <w:wordWrap/>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《柳州职业技术学学院因公出国（境）经费管理办法》；《柳州职业技术学院因公出国（境）经费审批表》；部门出国（境）年度计划。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5" w:hRule="atLeast"/>
          <w:jc w:val="center"/>
        </w:trPr>
        <w:tc>
          <w:tcPr>
            <w:tcW w:w="2478" w:type="dxa"/>
            <w:vMerge w:val="continue"/>
            <w:vAlign w:val="center"/>
          </w:tcPr>
          <w:p>
            <w:pPr>
              <w:pageBreakBefore w:val="0"/>
              <w:kinsoku/>
              <w:wordWrap/>
              <w:overflowPunct/>
              <w:topLinePunct w:val="0"/>
              <w:autoSpaceDE/>
              <w:autoSpaceDN/>
              <w:bidi w:val="0"/>
              <w:outlineLvl w:val="9"/>
              <w:rPr>
                <w:rFonts w:ascii="宋体" w:hAnsi="宋体"/>
                <w:szCs w:val="21"/>
              </w:rPr>
            </w:pPr>
          </w:p>
        </w:tc>
        <w:tc>
          <w:tcPr>
            <w:tcW w:w="150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申报部门</w:t>
            </w:r>
          </w:p>
        </w:tc>
        <w:tc>
          <w:tcPr>
            <w:tcW w:w="705"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财务处/国际交流处</w:t>
            </w:r>
          </w:p>
        </w:tc>
        <w:tc>
          <w:tcPr>
            <w:tcW w:w="2955" w:type="dxa"/>
            <w:vAlign w:val="center"/>
          </w:tcPr>
          <w:p>
            <w:pPr>
              <w:pageBreakBefore w:val="0"/>
              <w:widowControl/>
              <w:kinsoku/>
              <w:wordWrap/>
              <w:overflowPunct/>
              <w:topLinePunct w:val="0"/>
              <w:autoSpaceDE/>
              <w:autoSpaceDN/>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财务处负责审核因公临时出国（境）团组的经费预算、开支核销等财务管理工作；国际交流合作处负责出国团组人员、路线、天数、境外宴请、赠送礼品等经费开支项目审核工作。</w:t>
            </w:r>
          </w:p>
        </w:tc>
        <w:tc>
          <w:tcPr>
            <w:tcW w:w="2650" w:type="dxa"/>
            <w:vAlign w:val="center"/>
          </w:tcPr>
          <w:p>
            <w:pPr>
              <w:pageBreakBefore w:val="0"/>
              <w:widowControl/>
              <w:kinsoku/>
              <w:wordWrap/>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《柳州职业技术学学院因公出国（境）经费管理办法》；《柳州职业技术学院因公出国（境）经费审批表》；经费相关的协议合同。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5" w:hRule="atLeast"/>
          <w:jc w:val="center"/>
        </w:trPr>
        <w:tc>
          <w:tcPr>
            <w:tcW w:w="2478" w:type="dxa"/>
            <w:vMerge w:val="continue"/>
            <w:vAlign w:val="center"/>
          </w:tcPr>
          <w:p>
            <w:pPr>
              <w:pageBreakBefore w:val="0"/>
              <w:kinsoku/>
              <w:wordWrap/>
              <w:overflowPunct/>
              <w:topLinePunct w:val="0"/>
              <w:autoSpaceDE/>
              <w:autoSpaceDN/>
              <w:bidi w:val="0"/>
              <w:outlineLvl w:val="9"/>
              <w:rPr>
                <w:rFonts w:ascii="宋体" w:hAnsi="宋体"/>
                <w:szCs w:val="21"/>
              </w:rPr>
            </w:pPr>
          </w:p>
        </w:tc>
        <w:tc>
          <w:tcPr>
            <w:tcW w:w="150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w:t>
            </w:r>
          </w:p>
        </w:tc>
        <w:tc>
          <w:tcPr>
            <w:tcW w:w="705" w:type="dxa"/>
            <w:vAlign w:val="center"/>
          </w:tcPr>
          <w:p>
            <w:pPr>
              <w:pageBreakBefore w:val="0"/>
              <w:widowControl/>
              <w:kinsoku/>
              <w:wordWrap/>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分管外事校领导</w:t>
            </w:r>
          </w:p>
        </w:tc>
        <w:tc>
          <w:tcPr>
            <w:tcW w:w="2955" w:type="dxa"/>
            <w:vAlign w:val="center"/>
          </w:tcPr>
          <w:p>
            <w:pPr>
              <w:pageBreakBefore w:val="0"/>
              <w:widowControl/>
              <w:kinsoku/>
              <w:wordWrap/>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分管外事校领导审核该项目是否符合《柳州职业技术学学院因公出国（境）经费管理办法》中各项规定，决定是否同意上报党委会。</w:t>
            </w:r>
          </w:p>
        </w:tc>
        <w:tc>
          <w:tcPr>
            <w:tcW w:w="2650" w:type="dxa"/>
            <w:vAlign w:val="center"/>
          </w:tcPr>
          <w:p>
            <w:pPr>
              <w:pageBreakBefore w:val="0"/>
              <w:widowControl/>
              <w:kinsoku/>
              <w:wordWrap/>
              <w:overflowPunct/>
              <w:topLinePunct w:val="0"/>
              <w:autoSpaceDE/>
              <w:autoSpaceDN/>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《柳州职业技术学学院因公出国（境）经费管理办法》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0" w:hRule="atLeast"/>
          <w:jc w:val="center"/>
        </w:trPr>
        <w:tc>
          <w:tcPr>
            <w:tcW w:w="2478" w:type="dxa"/>
            <w:vMerge w:val="continue"/>
            <w:vAlign w:val="center"/>
          </w:tcPr>
          <w:p>
            <w:pPr>
              <w:pageBreakBefore w:val="0"/>
              <w:kinsoku/>
              <w:wordWrap/>
              <w:overflowPunct/>
              <w:topLinePunct w:val="0"/>
              <w:autoSpaceDE/>
              <w:autoSpaceDN/>
              <w:bidi w:val="0"/>
              <w:outlineLvl w:val="9"/>
              <w:rPr>
                <w:rFonts w:ascii="宋体" w:hAnsi="宋体"/>
                <w:szCs w:val="21"/>
              </w:rPr>
            </w:pPr>
          </w:p>
        </w:tc>
        <w:tc>
          <w:tcPr>
            <w:tcW w:w="150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w:t>
            </w:r>
          </w:p>
        </w:tc>
        <w:tc>
          <w:tcPr>
            <w:tcW w:w="705" w:type="dxa"/>
            <w:vAlign w:val="center"/>
          </w:tcPr>
          <w:p>
            <w:pPr>
              <w:pageBreakBefore w:val="0"/>
              <w:widowControl/>
              <w:kinsoku/>
              <w:wordWrap/>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校领导</w:t>
            </w:r>
          </w:p>
        </w:tc>
        <w:tc>
          <w:tcPr>
            <w:tcW w:w="2955" w:type="dxa"/>
            <w:vAlign w:val="center"/>
          </w:tcPr>
          <w:p>
            <w:pPr>
              <w:pageBreakBefore w:val="0"/>
              <w:widowControl/>
              <w:kinsoku/>
              <w:wordWrap/>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国际交流处汇总材料上报学校党委会，学校党委审议是否同意通过该项目经费申请。</w:t>
            </w:r>
          </w:p>
        </w:tc>
        <w:tc>
          <w:tcPr>
            <w:tcW w:w="2650" w:type="dxa"/>
            <w:vAlign w:val="center"/>
          </w:tcPr>
          <w:p>
            <w:pPr>
              <w:pageBreakBefore w:val="0"/>
              <w:widowControl/>
              <w:kinsoku/>
              <w:wordWrap/>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《柳州职业技术学学院因公出国（境）经费管理办法》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5" w:hRule="atLeast"/>
          <w:jc w:val="center"/>
        </w:trPr>
        <w:tc>
          <w:tcPr>
            <w:tcW w:w="2478" w:type="dxa"/>
            <w:vMerge w:val="continue"/>
            <w:vAlign w:val="center"/>
          </w:tcPr>
          <w:p>
            <w:pPr>
              <w:pageBreakBefore w:val="0"/>
              <w:kinsoku/>
              <w:wordWrap/>
              <w:overflowPunct/>
              <w:topLinePunct w:val="0"/>
              <w:autoSpaceDE/>
              <w:autoSpaceDN/>
              <w:bidi w:val="0"/>
              <w:outlineLvl w:val="9"/>
              <w:rPr>
                <w:rFonts w:ascii="宋体" w:hAnsi="宋体"/>
                <w:szCs w:val="21"/>
              </w:rPr>
            </w:pPr>
          </w:p>
        </w:tc>
        <w:tc>
          <w:tcPr>
            <w:tcW w:w="150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w:t>
            </w:r>
          </w:p>
        </w:tc>
        <w:tc>
          <w:tcPr>
            <w:tcW w:w="705"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tc>
        <w:tc>
          <w:tcPr>
            <w:tcW w:w="2955" w:type="dxa"/>
            <w:vAlign w:val="center"/>
          </w:tcPr>
          <w:p>
            <w:pPr>
              <w:pageBreakBefore w:val="0"/>
              <w:widowControl/>
              <w:kinsoku/>
              <w:wordWrap/>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国际交流处将上会通过的项目，整理好后上报上级部门，上级部门审核。</w:t>
            </w:r>
          </w:p>
        </w:tc>
        <w:tc>
          <w:tcPr>
            <w:tcW w:w="2650" w:type="dxa"/>
            <w:vAlign w:val="center"/>
          </w:tcPr>
          <w:p>
            <w:pPr>
              <w:pageBreakBefore w:val="0"/>
              <w:widowControl/>
              <w:kinsoku/>
              <w:wordWrap/>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《柳州职业技术学院因公出国（境）经费审批表》及相关材料</w:t>
            </w:r>
            <w:r>
              <w:rPr>
                <w:rFonts w:hint="eastAsia" w:ascii="仿宋_GB2312" w:eastAsia="仿宋_GB2312" w:cs="宋体"/>
                <w:color w:val="000000"/>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5" w:hRule="atLeast"/>
          <w:jc w:val="center"/>
        </w:trPr>
        <w:tc>
          <w:tcPr>
            <w:tcW w:w="2478" w:type="dxa"/>
            <w:vMerge w:val="continue"/>
            <w:vAlign w:val="center"/>
          </w:tcPr>
          <w:p>
            <w:pPr>
              <w:pageBreakBefore w:val="0"/>
              <w:kinsoku/>
              <w:wordWrap/>
              <w:overflowPunct/>
              <w:topLinePunct w:val="0"/>
              <w:autoSpaceDE/>
              <w:autoSpaceDN/>
              <w:bidi w:val="0"/>
              <w:outlineLvl w:val="9"/>
              <w:rPr>
                <w:rFonts w:ascii="宋体" w:hAnsi="宋体"/>
                <w:szCs w:val="21"/>
              </w:rPr>
            </w:pPr>
          </w:p>
        </w:tc>
        <w:tc>
          <w:tcPr>
            <w:tcW w:w="150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w:t>
            </w:r>
          </w:p>
        </w:tc>
        <w:tc>
          <w:tcPr>
            <w:tcW w:w="705" w:type="dxa"/>
            <w:vAlign w:val="center"/>
          </w:tcPr>
          <w:p>
            <w:pPr>
              <w:pageBreakBefore w:val="0"/>
              <w:widowControl/>
              <w:kinsoku/>
              <w:wordWrap/>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w:t>
            </w:r>
          </w:p>
        </w:tc>
        <w:tc>
          <w:tcPr>
            <w:tcW w:w="2955" w:type="dxa"/>
            <w:vAlign w:val="center"/>
          </w:tcPr>
          <w:p>
            <w:pPr>
              <w:pageBreakBefore w:val="0"/>
              <w:widowControl/>
              <w:kinsoku/>
              <w:wordWrap/>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将上级部门审核结果反馈至各部门/二级学院，如通过则开始准备出国（境）相关材料；没通过则按照修改意见修改文件，修改完成后再上报上级部门审查。</w:t>
            </w:r>
          </w:p>
        </w:tc>
        <w:tc>
          <w:tcPr>
            <w:tcW w:w="2650" w:type="dxa"/>
            <w:vAlign w:val="center"/>
          </w:tcPr>
          <w:p>
            <w:pPr>
              <w:pageBreakBefore w:val="0"/>
              <w:widowControl/>
              <w:kinsoku/>
              <w:wordWrap/>
              <w:overflowPunct/>
              <w:topLinePunct w:val="0"/>
              <w:autoSpaceDE/>
              <w:autoSpaceDN/>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《柳州职业技术学院因公出国（境）经费审批表》及相关材料</w:t>
            </w:r>
            <w:r>
              <w:rPr>
                <w:rFonts w:hint="eastAsia" w:ascii="仿宋_GB2312" w:eastAsia="仿宋_GB2312" w:cs="宋体"/>
                <w:color w:val="000000"/>
                <w:kern w:val="0"/>
                <w:sz w:val="24"/>
                <w:lang w:bidi="ar"/>
              </w:rPr>
              <w:t>。</w:t>
            </w:r>
          </w:p>
        </w:tc>
      </w:tr>
    </w:tbl>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218" w:name="_Toc23688_WPSOffice_Level1"/>
      <w:r>
        <w:rPr>
          <w:rFonts w:hint="eastAsia" w:ascii="黑体" w:hAnsi="Calibri" w:eastAsia="黑体"/>
          <w:b/>
          <w:bCs/>
          <w:sz w:val="32"/>
          <w:szCs w:val="32"/>
        </w:rPr>
        <w:t>附件3：</w:t>
      </w:r>
      <w:bookmarkEnd w:id="1218"/>
    </w:p>
    <w:p>
      <w:pPr>
        <w:pageBreakBefore w:val="0"/>
        <w:kinsoku/>
        <w:wordWrap/>
        <w:overflowPunct/>
        <w:topLinePunct w:val="0"/>
        <w:autoSpaceDE/>
        <w:autoSpaceDN/>
        <w:bidi w:val="0"/>
        <w:spacing w:line="590" w:lineRule="exact"/>
        <w:jc w:val="center"/>
        <w:outlineLvl w:val="9"/>
        <w:rPr>
          <w:rFonts w:hint="eastAsia"/>
          <w:b/>
          <w:sz w:val="36"/>
          <w:szCs w:val="36"/>
        </w:rPr>
      </w:pPr>
      <w:bookmarkStart w:id="1219" w:name="_Toc12825_WPSOffice_Level1"/>
      <w:r>
        <w:rPr>
          <w:rFonts w:hint="eastAsia"/>
          <w:b/>
          <w:sz w:val="36"/>
          <w:szCs w:val="36"/>
        </w:rPr>
        <w:t>各国家</w:t>
      </w:r>
      <w:bookmarkStart w:id="1220" w:name="_Toc5624_WPSOffice_Level1"/>
      <w:r>
        <w:rPr>
          <w:rFonts w:hint="eastAsia"/>
          <w:b/>
          <w:sz w:val="36"/>
          <w:szCs w:val="36"/>
        </w:rPr>
        <w:t>和地区住</w:t>
      </w:r>
      <w:bookmarkEnd w:id="1220"/>
      <w:r>
        <w:rPr>
          <w:rFonts w:hint="eastAsia"/>
          <w:b/>
          <w:sz w:val="36"/>
          <w:szCs w:val="36"/>
        </w:rPr>
        <w:t>宿费、伙食费、公杂费开支标准表</w:t>
      </w:r>
      <w:bookmarkEnd w:id="1219"/>
    </w:p>
    <w:tbl>
      <w:tblPr>
        <w:tblStyle w:val="14"/>
        <w:tblW w:w="960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987"/>
        <w:gridCol w:w="2126"/>
        <w:gridCol w:w="710"/>
        <w:gridCol w:w="1272"/>
        <w:gridCol w:w="1421"/>
        <w:gridCol w:w="1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7" w:hRule="atLeast"/>
          <w:jc w:val="center"/>
        </w:trPr>
        <w:tc>
          <w:tcPr>
            <w:tcW w:w="619" w:type="dxa"/>
          </w:tcPr>
          <w:p>
            <w:pPr>
              <w:pStyle w:val="21"/>
              <w:pageBreakBefore w:val="0"/>
              <w:kinsoku/>
              <w:wordWrap/>
              <w:overflowPunct/>
              <w:topLinePunct w:val="0"/>
              <w:autoSpaceDE/>
              <w:autoSpaceDN/>
              <w:bidi w:val="0"/>
              <w:spacing w:before="0" w:line="314" w:lineRule="exact"/>
              <w:ind w:left="206"/>
              <w:outlineLvl w:val="9"/>
              <w:rPr>
                <w:rFonts w:hint="eastAsia" w:ascii="Microsoft JhengHei" w:eastAsia="Microsoft JhengHei"/>
                <w:b/>
                <w:sz w:val="21"/>
              </w:rPr>
            </w:pPr>
            <w:r>
              <w:rPr>
                <w:rFonts w:hint="eastAsia" w:ascii="Microsoft JhengHei" w:eastAsia="Microsoft JhengHei"/>
                <w:b/>
                <w:sz w:val="21"/>
              </w:rPr>
              <w:t>序</w:t>
            </w:r>
          </w:p>
          <w:p>
            <w:pPr>
              <w:pStyle w:val="21"/>
              <w:pageBreakBefore w:val="0"/>
              <w:kinsoku/>
              <w:wordWrap/>
              <w:overflowPunct/>
              <w:topLinePunct w:val="0"/>
              <w:autoSpaceDE/>
              <w:autoSpaceDN/>
              <w:bidi w:val="0"/>
              <w:spacing w:before="0" w:line="313" w:lineRule="exact"/>
              <w:ind w:left="206"/>
              <w:outlineLvl w:val="9"/>
              <w:rPr>
                <w:rFonts w:hint="eastAsia" w:ascii="Microsoft JhengHei" w:eastAsia="Microsoft JhengHei"/>
                <w:b/>
                <w:sz w:val="21"/>
              </w:rPr>
            </w:pPr>
            <w:r>
              <w:rPr>
                <w:rFonts w:hint="eastAsia" w:ascii="Microsoft JhengHei" w:eastAsia="Microsoft JhengHei"/>
                <w:b/>
                <w:sz w:val="21"/>
              </w:rPr>
              <w:t>号</w:t>
            </w:r>
          </w:p>
        </w:tc>
        <w:tc>
          <w:tcPr>
            <w:tcW w:w="1987" w:type="dxa"/>
          </w:tcPr>
          <w:p>
            <w:pPr>
              <w:pStyle w:val="21"/>
              <w:pageBreakBefore w:val="0"/>
              <w:kinsoku/>
              <w:wordWrap/>
              <w:overflowPunct/>
              <w:topLinePunct w:val="0"/>
              <w:autoSpaceDE/>
              <w:autoSpaceDN/>
              <w:bidi w:val="0"/>
              <w:spacing w:before="119"/>
              <w:ind w:left="364"/>
              <w:outlineLvl w:val="9"/>
              <w:rPr>
                <w:rFonts w:hint="eastAsia" w:ascii="Microsoft JhengHei" w:eastAsia="Microsoft JhengHei"/>
                <w:b/>
                <w:sz w:val="21"/>
              </w:rPr>
            </w:pPr>
            <w:r>
              <w:rPr>
                <w:rFonts w:hint="eastAsia" w:ascii="Microsoft JhengHei" w:eastAsia="Microsoft JhengHei"/>
                <w:b/>
                <w:sz w:val="21"/>
              </w:rPr>
              <w:t>国家（地区）</w:t>
            </w:r>
          </w:p>
        </w:tc>
        <w:tc>
          <w:tcPr>
            <w:tcW w:w="2126" w:type="dxa"/>
          </w:tcPr>
          <w:p>
            <w:pPr>
              <w:pStyle w:val="21"/>
              <w:pageBreakBefore w:val="0"/>
              <w:kinsoku/>
              <w:wordWrap/>
              <w:overflowPunct/>
              <w:topLinePunct w:val="0"/>
              <w:autoSpaceDE/>
              <w:autoSpaceDN/>
              <w:bidi w:val="0"/>
              <w:spacing w:before="119"/>
              <w:ind w:left="88" w:right="73"/>
              <w:jc w:val="center"/>
              <w:outlineLvl w:val="9"/>
              <w:rPr>
                <w:rFonts w:hint="eastAsia" w:ascii="Microsoft JhengHei" w:eastAsia="Microsoft JhengHei"/>
                <w:b/>
                <w:sz w:val="21"/>
              </w:rPr>
            </w:pPr>
            <w:r>
              <w:rPr>
                <w:rFonts w:hint="eastAsia" w:ascii="Microsoft JhengHei" w:eastAsia="Microsoft JhengHei"/>
                <w:b/>
                <w:sz w:val="21"/>
              </w:rPr>
              <w:t>城市</w:t>
            </w:r>
          </w:p>
        </w:tc>
        <w:tc>
          <w:tcPr>
            <w:tcW w:w="710" w:type="dxa"/>
          </w:tcPr>
          <w:p>
            <w:pPr>
              <w:pStyle w:val="21"/>
              <w:pageBreakBefore w:val="0"/>
              <w:kinsoku/>
              <w:wordWrap/>
              <w:overflowPunct/>
              <w:topLinePunct w:val="0"/>
              <w:autoSpaceDE/>
              <w:autoSpaceDN/>
              <w:bidi w:val="0"/>
              <w:spacing w:before="119"/>
              <w:ind w:left="115" w:right="114"/>
              <w:jc w:val="center"/>
              <w:outlineLvl w:val="9"/>
              <w:rPr>
                <w:rFonts w:hint="eastAsia" w:ascii="Microsoft JhengHei" w:eastAsia="Microsoft JhengHei"/>
                <w:b/>
                <w:sz w:val="21"/>
              </w:rPr>
            </w:pPr>
            <w:r>
              <w:rPr>
                <w:rFonts w:hint="eastAsia" w:ascii="Microsoft JhengHei" w:eastAsia="Microsoft JhengHei"/>
                <w:b/>
                <w:sz w:val="21"/>
              </w:rPr>
              <w:t>币种</w:t>
            </w:r>
          </w:p>
        </w:tc>
        <w:tc>
          <w:tcPr>
            <w:tcW w:w="1272" w:type="dxa"/>
          </w:tcPr>
          <w:p>
            <w:pPr>
              <w:pStyle w:val="21"/>
              <w:pageBreakBefore w:val="0"/>
              <w:kinsoku/>
              <w:wordWrap/>
              <w:overflowPunct/>
              <w:topLinePunct w:val="0"/>
              <w:autoSpaceDE/>
              <w:autoSpaceDN/>
              <w:bidi w:val="0"/>
              <w:spacing w:before="0" w:line="314" w:lineRule="exact"/>
              <w:ind w:left="125" w:right="118"/>
              <w:jc w:val="center"/>
              <w:outlineLvl w:val="9"/>
              <w:rPr>
                <w:rFonts w:hint="eastAsia" w:ascii="Microsoft JhengHei" w:eastAsia="Microsoft JhengHei"/>
                <w:b/>
                <w:sz w:val="21"/>
              </w:rPr>
            </w:pPr>
            <w:r>
              <w:rPr>
                <w:rFonts w:hint="eastAsia" w:ascii="Microsoft JhengHei" w:eastAsia="Microsoft JhengHei"/>
                <w:b/>
                <w:sz w:val="21"/>
              </w:rPr>
              <w:t>住宿费</w:t>
            </w:r>
          </w:p>
          <w:p>
            <w:pPr>
              <w:pStyle w:val="21"/>
              <w:pageBreakBefore w:val="0"/>
              <w:kinsoku/>
              <w:wordWrap/>
              <w:overflowPunct/>
              <w:topLinePunct w:val="0"/>
              <w:autoSpaceDE/>
              <w:autoSpaceDN/>
              <w:bidi w:val="0"/>
              <w:spacing w:before="0" w:line="313" w:lineRule="exact"/>
              <w:ind w:left="133" w:right="118"/>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21" w:type="dxa"/>
          </w:tcPr>
          <w:p>
            <w:pPr>
              <w:pStyle w:val="21"/>
              <w:pageBreakBefore w:val="0"/>
              <w:kinsoku/>
              <w:wordWrap/>
              <w:overflowPunct/>
              <w:topLinePunct w:val="0"/>
              <w:autoSpaceDE/>
              <w:autoSpaceDN/>
              <w:bidi w:val="0"/>
              <w:spacing w:before="0" w:line="314" w:lineRule="exact"/>
              <w:ind w:left="205" w:right="194"/>
              <w:jc w:val="center"/>
              <w:outlineLvl w:val="9"/>
              <w:rPr>
                <w:rFonts w:hint="eastAsia" w:ascii="Microsoft JhengHei" w:eastAsia="Microsoft JhengHei"/>
                <w:b/>
                <w:sz w:val="21"/>
              </w:rPr>
            </w:pPr>
            <w:r>
              <w:rPr>
                <w:rFonts w:hint="eastAsia" w:ascii="Microsoft JhengHei" w:eastAsia="Microsoft JhengHei"/>
                <w:b/>
                <w:sz w:val="21"/>
              </w:rPr>
              <w:t>伙食费</w:t>
            </w:r>
          </w:p>
          <w:p>
            <w:pPr>
              <w:pStyle w:val="21"/>
              <w:pageBreakBefore w:val="0"/>
              <w:kinsoku/>
              <w:wordWrap/>
              <w:overflowPunct/>
              <w:topLinePunct w:val="0"/>
              <w:autoSpaceDE/>
              <w:autoSpaceDN/>
              <w:bidi w:val="0"/>
              <w:spacing w:before="0" w:line="313" w:lineRule="exact"/>
              <w:ind w:left="205" w:right="195"/>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73" w:type="dxa"/>
          </w:tcPr>
          <w:p>
            <w:pPr>
              <w:pStyle w:val="21"/>
              <w:pageBreakBefore w:val="0"/>
              <w:kinsoku/>
              <w:wordWrap/>
              <w:overflowPunct/>
              <w:topLinePunct w:val="0"/>
              <w:autoSpaceDE/>
              <w:autoSpaceDN/>
              <w:bidi w:val="0"/>
              <w:spacing w:before="0" w:line="314" w:lineRule="exact"/>
              <w:ind w:left="190" w:right="184"/>
              <w:jc w:val="center"/>
              <w:outlineLvl w:val="9"/>
              <w:rPr>
                <w:rFonts w:hint="eastAsia" w:ascii="Microsoft JhengHei" w:eastAsia="Microsoft JhengHei"/>
                <w:b/>
                <w:sz w:val="21"/>
              </w:rPr>
            </w:pPr>
            <w:r>
              <w:rPr>
                <w:rFonts w:hint="eastAsia" w:ascii="Microsoft JhengHei" w:eastAsia="Microsoft JhengHei"/>
                <w:b/>
                <w:sz w:val="21"/>
              </w:rPr>
              <w:t>公杂费</w:t>
            </w:r>
          </w:p>
          <w:p>
            <w:pPr>
              <w:pStyle w:val="21"/>
              <w:pageBreakBefore w:val="0"/>
              <w:kinsoku/>
              <w:wordWrap/>
              <w:overflowPunct/>
              <w:topLinePunct w:val="0"/>
              <w:autoSpaceDE/>
              <w:autoSpaceDN/>
              <w:bidi w:val="0"/>
              <w:spacing w:before="0" w:line="313" w:lineRule="exact"/>
              <w:ind w:left="190" w:right="185"/>
              <w:jc w:val="center"/>
              <w:outlineLvl w:val="9"/>
              <w:rPr>
                <w:b/>
                <w:sz w:val="21"/>
              </w:rPr>
            </w:pPr>
            <w:r>
              <w:rPr>
                <w:b/>
                <w:sz w:val="21"/>
              </w:rPr>
              <w:t>(</w:t>
            </w:r>
            <w:r>
              <w:rPr>
                <w:rFonts w:hint="eastAsia" w:ascii="Microsoft JhengHei" w:eastAsia="Microsoft JhengHei"/>
                <w:b/>
                <w:sz w:val="21"/>
              </w:rPr>
              <w:t>每人每天</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spacing w:before="0" w:line="364" w:lineRule="exact"/>
              <w:ind w:left="14"/>
              <w:jc w:val="center"/>
              <w:outlineLvl w:val="9"/>
              <w:rPr>
                <w:rFonts w:hint="eastAsia" w:ascii="Microsoft JhengHei" w:eastAsia="Microsoft JhengHei"/>
                <w:b/>
                <w:sz w:val="21"/>
              </w:rPr>
            </w:pPr>
            <w:r>
              <w:rPr>
                <w:rFonts w:hint="eastAsia" w:ascii="Microsoft JhengHei" w:eastAsia="Microsoft JhengHei"/>
                <w:b/>
                <w:sz w:val="21"/>
              </w:rPr>
              <w:t>一</w:t>
            </w:r>
          </w:p>
        </w:tc>
        <w:tc>
          <w:tcPr>
            <w:tcW w:w="1987" w:type="dxa"/>
          </w:tcPr>
          <w:p>
            <w:pPr>
              <w:pStyle w:val="21"/>
              <w:pageBreakBefore w:val="0"/>
              <w:kinsoku/>
              <w:wordWrap/>
              <w:overflowPunct/>
              <w:topLinePunct w:val="0"/>
              <w:autoSpaceDE/>
              <w:autoSpaceDN/>
              <w:bidi w:val="0"/>
              <w:spacing w:before="0" w:line="364" w:lineRule="exact"/>
              <w:ind w:left="110"/>
              <w:outlineLvl w:val="9"/>
              <w:rPr>
                <w:rFonts w:hint="eastAsia" w:ascii="Microsoft JhengHei" w:eastAsia="Microsoft JhengHei"/>
                <w:b/>
                <w:sz w:val="21"/>
              </w:rPr>
            </w:pPr>
            <w:r>
              <w:rPr>
                <w:rFonts w:hint="eastAsia" w:ascii="Microsoft JhengHei" w:eastAsia="Microsoft JhengHei"/>
                <w:b/>
                <w:sz w:val="21"/>
              </w:rPr>
              <w:t>亚 洲</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0"/>
              <w:outlineLvl w:val="9"/>
              <w:rPr>
                <w:rFonts w:ascii="Times New Roman"/>
                <w:sz w:val="20"/>
              </w:rPr>
            </w:pPr>
          </w:p>
        </w:tc>
        <w:tc>
          <w:tcPr>
            <w:tcW w:w="1272" w:type="dxa"/>
          </w:tcPr>
          <w:p>
            <w:pPr>
              <w:pStyle w:val="21"/>
              <w:pageBreakBefore w:val="0"/>
              <w:kinsoku/>
              <w:wordWrap/>
              <w:overflowPunct/>
              <w:topLinePunct w:val="0"/>
              <w:autoSpaceDE/>
              <w:autoSpaceDN/>
              <w:bidi w:val="0"/>
              <w:spacing w:before="0"/>
              <w:outlineLvl w:val="9"/>
              <w:rPr>
                <w:rFonts w:ascii="Times New Roman"/>
                <w:sz w:val="20"/>
              </w:rPr>
            </w:pPr>
          </w:p>
        </w:tc>
        <w:tc>
          <w:tcPr>
            <w:tcW w:w="1421" w:type="dxa"/>
          </w:tcPr>
          <w:p>
            <w:pPr>
              <w:pStyle w:val="21"/>
              <w:pageBreakBefore w:val="0"/>
              <w:kinsoku/>
              <w:wordWrap/>
              <w:overflowPunct/>
              <w:topLinePunct w:val="0"/>
              <w:autoSpaceDE/>
              <w:autoSpaceDN/>
              <w:bidi w:val="0"/>
              <w:spacing w:before="0"/>
              <w:outlineLvl w:val="9"/>
              <w:rPr>
                <w:rFonts w:ascii="Times New Roman"/>
                <w:sz w:val="20"/>
              </w:rPr>
            </w:pPr>
          </w:p>
        </w:tc>
        <w:tc>
          <w:tcPr>
            <w:tcW w:w="1473" w:type="dxa"/>
          </w:tcPr>
          <w:p>
            <w:pPr>
              <w:pStyle w:val="21"/>
              <w:pageBreakBefore w:val="0"/>
              <w:kinsoku/>
              <w:wordWrap/>
              <w:overflowPunct/>
              <w:topLinePunct w:val="0"/>
              <w:autoSpaceDE/>
              <w:autoSpaceDN/>
              <w:bidi w:val="0"/>
              <w:spacing w:before="0"/>
              <w:outlineLvl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6"/>
              <w:jc w:val="center"/>
              <w:outlineLvl w:val="9"/>
              <w:rPr>
                <w:sz w:val="21"/>
              </w:rPr>
            </w:pPr>
            <w:r>
              <w:rPr>
                <w:sz w:val="21"/>
              </w:rPr>
              <w:t>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蒙古</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6" w:right="118"/>
              <w:jc w:val="center"/>
              <w:outlineLvl w:val="9"/>
              <w:rPr>
                <w:sz w:val="21"/>
              </w:rPr>
            </w:pPr>
            <w:r>
              <w:rPr>
                <w:sz w:val="21"/>
              </w:rPr>
              <w:t>90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6"/>
              <w:jc w:val="center"/>
              <w:outlineLvl w:val="9"/>
              <w:rPr>
                <w:sz w:val="21"/>
              </w:rPr>
            </w:pPr>
            <w:r>
              <w:rPr>
                <w:sz w:val="21"/>
              </w:rPr>
              <w:t>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朝鲜</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90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40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6"/>
              <w:jc w:val="center"/>
              <w:outlineLvl w:val="9"/>
              <w:rPr>
                <w:sz w:val="21"/>
              </w:rPr>
            </w:pPr>
            <w:r>
              <w:rPr>
                <w:sz w:val="21"/>
              </w:rPr>
              <w:t>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韩国</w:t>
            </w:r>
          </w:p>
        </w:tc>
        <w:tc>
          <w:tcPr>
            <w:tcW w:w="2126" w:type="dxa"/>
          </w:tcPr>
          <w:p>
            <w:pPr>
              <w:pStyle w:val="21"/>
              <w:pageBreakBefore w:val="0"/>
              <w:kinsoku/>
              <w:wordWrap/>
              <w:overflowPunct/>
              <w:topLinePunct w:val="0"/>
              <w:autoSpaceDE/>
              <w:autoSpaceDN/>
              <w:bidi w:val="0"/>
              <w:spacing w:before="54"/>
              <w:ind w:left="93" w:right="73"/>
              <w:jc w:val="center"/>
              <w:outlineLvl w:val="9"/>
              <w:rPr>
                <w:rFonts w:hint="eastAsia" w:ascii="仿宋" w:eastAsia="仿宋"/>
                <w:sz w:val="21"/>
              </w:rPr>
            </w:pPr>
            <w:r>
              <w:rPr>
                <w:rFonts w:hint="eastAsia" w:ascii="仿宋" w:eastAsia="仿宋"/>
                <w:sz w:val="21"/>
              </w:rPr>
              <w:t>首尔、釜山、济州</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70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spacing w:before="64"/>
              <w:ind w:left="16"/>
              <w:jc w:val="center"/>
              <w:outlineLvl w:val="9"/>
              <w:rPr>
                <w:sz w:val="21"/>
              </w:rPr>
            </w:pPr>
            <w:r>
              <w:rPr>
                <w:sz w:val="21"/>
              </w:rPr>
              <w:t>4</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8"/>
              <w:ind w:left="93" w:right="73"/>
              <w:jc w:val="center"/>
              <w:outlineLvl w:val="9"/>
              <w:rPr>
                <w:rFonts w:hint="eastAsia" w:ascii="仿宋" w:eastAsia="仿宋"/>
                <w:sz w:val="21"/>
              </w:rPr>
            </w:pPr>
            <w:r>
              <w:rPr>
                <w:rFonts w:hint="eastAsia" w:ascii="仿宋" w:eastAsia="仿宋"/>
                <w:sz w:val="21"/>
              </w:rPr>
              <w:t>光州、西归浦</w:t>
            </w:r>
          </w:p>
        </w:tc>
        <w:tc>
          <w:tcPr>
            <w:tcW w:w="710" w:type="dxa"/>
          </w:tcPr>
          <w:p>
            <w:pPr>
              <w:pStyle w:val="21"/>
              <w:pageBreakBefore w:val="0"/>
              <w:kinsoku/>
              <w:wordWrap/>
              <w:overflowPunct/>
              <w:topLinePunct w:val="0"/>
              <w:autoSpaceDE/>
              <w:autoSpaceDN/>
              <w:bidi w:val="0"/>
              <w:spacing w:before="58"/>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spacing w:before="64"/>
              <w:ind w:left="127" w:right="118"/>
              <w:jc w:val="center"/>
              <w:outlineLvl w:val="9"/>
              <w:rPr>
                <w:sz w:val="21"/>
              </w:rPr>
            </w:pPr>
            <w:r>
              <w:rPr>
                <w:sz w:val="21"/>
              </w:rPr>
              <w:t>160</w:t>
            </w:r>
          </w:p>
        </w:tc>
        <w:tc>
          <w:tcPr>
            <w:tcW w:w="1421" w:type="dxa"/>
          </w:tcPr>
          <w:p>
            <w:pPr>
              <w:pStyle w:val="21"/>
              <w:pageBreakBefore w:val="0"/>
              <w:kinsoku/>
              <w:wordWrap/>
              <w:overflowPunct/>
              <w:topLinePunct w:val="0"/>
              <w:autoSpaceDE/>
              <w:autoSpaceDN/>
              <w:bidi w:val="0"/>
              <w:spacing w:before="64"/>
              <w:ind w:left="205" w:right="192"/>
              <w:jc w:val="center"/>
              <w:outlineLvl w:val="9"/>
              <w:rPr>
                <w:sz w:val="21"/>
              </w:rPr>
            </w:pPr>
            <w:r>
              <w:rPr>
                <w:sz w:val="21"/>
              </w:rPr>
              <w:t>70</w:t>
            </w:r>
          </w:p>
        </w:tc>
        <w:tc>
          <w:tcPr>
            <w:tcW w:w="1473" w:type="dxa"/>
          </w:tcPr>
          <w:p>
            <w:pPr>
              <w:pStyle w:val="21"/>
              <w:pageBreakBefore w:val="0"/>
              <w:kinsoku/>
              <w:wordWrap/>
              <w:overflowPunct/>
              <w:topLinePunct w:val="0"/>
              <w:autoSpaceDE/>
              <w:autoSpaceDN/>
              <w:bidi w:val="0"/>
              <w:spacing w:before="64"/>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6"/>
              <w:jc w:val="center"/>
              <w:outlineLvl w:val="9"/>
              <w:rPr>
                <w:sz w:val="21"/>
              </w:rPr>
            </w:pPr>
            <w:r>
              <w:rPr>
                <w:sz w:val="21"/>
              </w:rPr>
              <w:t>5</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150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70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6"/>
              <w:jc w:val="center"/>
              <w:outlineLvl w:val="9"/>
              <w:rPr>
                <w:sz w:val="21"/>
              </w:rPr>
            </w:pPr>
            <w:r>
              <w:rPr>
                <w:sz w:val="21"/>
              </w:rPr>
              <w:t>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日本</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东京</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日元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20000</w:t>
            </w:r>
          </w:p>
        </w:tc>
        <w:tc>
          <w:tcPr>
            <w:tcW w:w="1421" w:type="dxa"/>
          </w:tcPr>
          <w:p>
            <w:pPr>
              <w:pStyle w:val="21"/>
              <w:pageBreakBefore w:val="0"/>
              <w:kinsoku/>
              <w:wordWrap/>
              <w:overflowPunct/>
              <w:topLinePunct w:val="0"/>
              <w:autoSpaceDE/>
              <w:autoSpaceDN/>
              <w:bidi w:val="0"/>
              <w:ind w:left="199" w:right="195"/>
              <w:jc w:val="center"/>
              <w:outlineLvl w:val="9"/>
              <w:rPr>
                <w:sz w:val="21"/>
              </w:rPr>
            </w:pPr>
            <w:r>
              <w:rPr>
                <w:sz w:val="21"/>
              </w:rPr>
              <w:t>10000</w:t>
            </w:r>
          </w:p>
        </w:tc>
        <w:tc>
          <w:tcPr>
            <w:tcW w:w="1473" w:type="dxa"/>
          </w:tcPr>
          <w:p>
            <w:pPr>
              <w:pStyle w:val="21"/>
              <w:pageBreakBefore w:val="0"/>
              <w:kinsoku/>
              <w:wordWrap/>
              <w:overflowPunct/>
              <w:topLinePunct w:val="0"/>
              <w:autoSpaceDE/>
              <w:autoSpaceDN/>
              <w:bidi w:val="0"/>
              <w:ind w:left="184" w:right="185"/>
              <w:jc w:val="center"/>
              <w:outlineLvl w:val="9"/>
              <w:rPr>
                <w:sz w:val="21"/>
              </w:rPr>
            </w:pPr>
            <w:r>
              <w:rPr>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6"/>
              <w:jc w:val="center"/>
              <w:outlineLvl w:val="9"/>
              <w:rPr>
                <w:sz w:val="21"/>
              </w:rPr>
            </w:pPr>
            <w:r>
              <w:rPr>
                <w:sz w:val="21"/>
              </w:rPr>
              <w:t>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大阪、京都</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日元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18000</w:t>
            </w:r>
          </w:p>
        </w:tc>
        <w:tc>
          <w:tcPr>
            <w:tcW w:w="1421" w:type="dxa"/>
          </w:tcPr>
          <w:p>
            <w:pPr>
              <w:pStyle w:val="21"/>
              <w:pageBreakBefore w:val="0"/>
              <w:kinsoku/>
              <w:wordWrap/>
              <w:overflowPunct/>
              <w:topLinePunct w:val="0"/>
              <w:autoSpaceDE/>
              <w:autoSpaceDN/>
              <w:bidi w:val="0"/>
              <w:ind w:left="199" w:right="195"/>
              <w:jc w:val="center"/>
              <w:outlineLvl w:val="9"/>
              <w:rPr>
                <w:sz w:val="21"/>
              </w:rPr>
            </w:pPr>
            <w:r>
              <w:rPr>
                <w:sz w:val="21"/>
              </w:rPr>
              <w:t>10000</w:t>
            </w:r>
          </w:p>
        </w:tc>
        <w:tc>
          <w:tcPr>
            <w:tcW w:w="1473" w:type="dxa"/>
          </w:tcPr>
          <w:p>
            <w:pPr>
              <w:pStyle w:val="21"/>
              <w:pageBreakBefore w:val="0"/>
              <w:kinsoku/>
              <w:wordWrap/>
              <w:overflowPunct/>
              <w:topLinePunct w:val="0"/>
              <w:autoSpaceDE/>
              <w:autoSpaceDN/>
              <w:bidi w:val="0"/>
              <w:ind w:left="184" w:right="185"/>
              <w:jc w:val="center"/>
              <w:outlineLvl w:val="9"/>
              <w:rPr>
                <w:sz w:val="21"/>
              </w:rPr>
            </w:pPr>
            <w:r>
              <w:rPr>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8" w:hRule="atLeast"/>
          <w:jc w:val="center"/>
        </w:trPr>
        <w:tc>
          <w:tcPr>
            <w:tcW w:w="619" w:type="dxa"/>
          </w:tcPr>
          <w:p>
            <w:pPr>
              <w:pStyle w:val="21"/>
              <w:pageBreakBefore w:val="0"/>
              <w:kinsoku/>
              <w:wordWrap/>
              <w:overflowPunct/>
              <w:topLinePunct w:val="0"/>
              <w:autoSpaceDE/>
              <w:autoSpaceDN/>
              <w:bidi w:val="0"/>
              <w:spacing w:before="12"/>
              <w:outlineLvl w:val="9"/>
              <w:rPr>
                <w:rFonts w:ascii="Microsoft JhengHei"/>
                <w:b/>
                <w:sz w:val="20"/>
              </w:rPr>
            </w:pPr>
          </w:p>
          <w:p>
            <w:pPr>
              <w:pStyle w:val="21"/>
              <w:pageBreakBefore w:val="0"/>
              <w:kinsoku/>
              <w:wordWrap/>
              <w:overflowPunct/>
              <w:topLinePunct w:val="0"/>
              <w:autoSpaceDE/>
              <w:autoSpaceDN/>
              <w:bidi w:val="0"/>
              <w:spacing w:before="1"/>
              <w:ind w:left="16"/>
              <w:jc w:val="center"/>
              <w:outlineLvl w:val="9"/>
              <w:rPr>
                <w:sz w:val="21"/>
              </w:rPr>
            </w:pPr>
            <w:r>
              <w:rPr>
                <w:sz w:val="21"/>
              </w:rPr>
              <w:t>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25"/>
              <w:ind w:left="93" w:right="73"/>
              <w:jc w:val="center"/>
              <w:outlineLvl w:val="9"/>
              <w:rPr>
                <w:rFonts w:hint="eastAsia" w:ascii="仿宋" w:eastAsia="仿宋"/>
                <w:sz w:val="21"/>
              </w:rPr>
            </w:pPr>
            <w:r>
              <w:rPr>
                <w:rFonts w:hint="eastAsia" w:ascii="仿宋" w:eastAsia="仿宋"/>
                <w:sz w:val="21"/>
              </w:rPr>
              <w:t>福冈、札幌、长崎、</w:t>
            </w:r>
          </w:p>
          <w:p>
            <w:pPr>
              <w:pStyle w:val="21"/>
              <w:pageBreakBefore w:val="0"/>
              <w:kinsoku/>
              <w:wordWrap/>
              <w:overflowPunct/>
              <w:topLinePunct w:val="0"/>
              <w:autoSpaceDE/>
              <w:autoSpaceDN/>
              <w:bidi w:val="0"/>
              <w:spacing w:before="43"/>
              <w:ind w:left="88" w:right="73"/>
              <w:jc w:val="center"/>
              <w:outlineLvl w:val="9"/>
              <w:rPr>
                <w:rFonts w:hint="eastAsia" w:ascii="仿宋" w:eastAsia="仿宋"/>
                <w:sz w:val="21"/>
              </w:rPr>
            </w:pPr>
            <w:r>
              <w:rPr>
                <w:rFonts w:hint="eastAsia" w:ascii="仿宋" w:eastAsia="仿宋"/>
                <w:sz w:val="21"/>
              </w:rPr>
              <w:t>名</w:t>
            </w:r>
            <w:bookmarkStart w:id="1221" w:name="_Toc32727_WPSOffice_Level1"/>
            <w:r>
              <w:rPr>
                <w:rFonts w:hint="eastAsia" w:ascii="仿宋" w:eastAsia="仿宋"/>
                <w:sz w:val="21"/>
              </w:rPr>
              <w:t>古屋</w:t>
            </w:r>
          </w:p>
        </w:tc>
        <w:tc>
          <w:tcPr>
            <w:tcW w:w="710" w:type="dxa"/>
          </w:tcPr>
          <w:p>
            <w:pPr>
              <w:pStyle w:val="21"/>
              <w:pageBreakBefore w:val="0"/>
              <w:kinsoku/>
              <w:wordWrap/>
              <w:overflowPunct/>
              <w:topLinePunct w:val="0"/>
              <w:autoSpaceDE/>
              <w:autoSpaceDN/>
              <w:bidi w:val="0"/>
              <w:spacing w:before="178"/>
              <w:ind w:left="120" w:right="109"/>
              <w:jc w:val="center"/>
              <w:outlineLvl w:val="9"/>
              <w:rPr>
                <w:rFonts w:hint="eastAsia" w:ascii="仿宋" w:eastAsia="仿宋"/>
                <w:sz w:val="21"/>
              </w:rPr>
            </w:pPr>
            <w:r>
              <w:rPr>
                <w:rFonts w:hint="eastAsia" w:ascii="仿宋" w:eastAsia="仿宋"/>
                <w:sz w:val="21"/>
              </w:rPr>
              <w:t>日元</w:t>
            </w:r>
          </w:p>
        </w:tc>
        <w:tc>
          <w:tcPr>
            <w:tcW w:w="1272" w:type="dxa"/>
          </w:tcPr>
          <w:p>
            <w:pPr>
              <w:pStyle w:val="21"/>
              <w:pageBreakBefore w:val="0"/>
              <w:kinsoku/>
              <w:wordWrap/>
              <w:overflowPunct/>
              <w:topLinePunct w:val="0"/>
              <w:autoSpaceDE/>
              <w:autoSpaceDN/>
              <w:bidi w:val="0"/>
              <w:spacing w:before="18"/>
              <w:outlineLvl w:val="9"/>
              <w:rPr>
                <w:rFonts w:ascii="Microsoft JhengHei"/>
                <w:b/>
                <w:sz w:val="9"/>
              </w:rPr>
            </w:pPr>
          </w:p>
          <w:p>
            <w:pPr>
              <w:pStyle w:val="21"/>
              <w:pageBreakBefore w:val="0"/>
              <w:kinsoku/>
              <w:wordWrap/>
              <w:overflowPunct/>
              <w:topLinePunct w:val="0"/>
              <w:autoSpaceDE/>
              <w:autoSpaceDN/>
              <w:bidi w:val="0"/>
              <w:spacing w:before="0"/>
              <w:ind w:left="127" w:right="118"/>
              <w:jc w:val="center"/>
              <w:outlineLvl w:val="9"/>
              <w:rPr>
                <w:sz w:val="21"/>
              </w:rPr>
            </w:pPr>
            <w:r>
              <w:rPr>
                <w:sz w:val="21"/>
              </w:rPr>
              <w:t>14000</w:t>
            </w:r>
          </w:p>
        </w:tc>
        <w:tc>
          <w:tcPr>
            <w:tcW w:w="1421" w:type="dxa"/>
          </w:tcPr>
          <w:p>
            <w:pPr>
              <w:pStyle w:val="21"/>
              <w:pageBreakBefore w:val="0"/>
              <w:kinsoku/>
              <w:wordWrap/>
              <w:overflowPunct/>
              <w:topLinePunct w:val="0"/>
              <w:autoSpaceDE/>
              <w:autoSpaceDN/>
              <w:bidi w:val="0"/>
              <w:spacing w:before="18"/>
              <w:outlineLvl w:val="9"/>
              <w:rPr>
                <w:rFonts w:ascii="Microsoft JhengHei"/>
                <w:b/>
                <w:sz w:val="9"/>
              </w:rPr>
            </w:pPr>
          </w:p>
          <w:p>
            <w:pPr>
              <w:pStyle w:val="21"/>
              <w:pageBreakBefore w:val="0"/>
              <w:kinsoku/>
              <w:wordWrap/>
              <w:overflowPunct/>
              <w:topLinePunct w:val="0"/>
              <w:autoSpaceDE/>
              <w:autoSpaceDN/>
              <w:bidi w:val="0"/>
              <w:spacing w:before="0"/>
              <w:ind w:left="199" w:right="195"/>
              <w:jc w:val="center"/>
              <w:outlineLvl w:val="9"/>
              <w:rPr>
                <w:sz w:val="21"/>
              </w:rPr>
            </w:pPr>
            <w:r>
              <w:rPr>
                <w:sz w:val="21"/>
              </w:rPr>
              <w:t>10000</w:t>
            </w:r>
          </w:p>
          <w:bookmarkEnd w:id="1221"/>
        </w:tc>
        <w:tc>
          <w:tcPr>
            <w:tcW w:w="1473" w:type="dxa"/>
          </w:tcPr>
          <w:p>
            <w:pPr>
              <w:pStyle w:val="21"/>
              <w:pageBreakBefore w:val="0"/>
              <w:kinsoku/>
              <w:wordWrap/>
              <w:overflowPunct/>
              <w:topLinePunct w:val="0"/>
              <w:autoSpaceDE/>
              <w:autoSpaceDN/>
              <w:bidi w:val="0"/>
              <w:spacing w:before="18"/>
              <w:outlineLvl w:val="9"/>
              <w:rPr>
                <w:rFonts w:ascii="Microsoft JhengHei"/>
                <w:b/>
                <w:sz w:val="9"/>
              </w:rPr>
            </w:pPr>
          </w:p>
          <w:p>
            <w:pPr>
              <w:pStyle w:val="21"/>
              <w:pageBreakBefore w:val="0"/>
              <w:kinsoku/>
              <w:wordWrap/>
              <w:overflowPunct/>
              <w:topLinePunct w:val="0"/>
              <w:autoSpaceDE/>
              <w:autoSpaceDN/>
              <w:bidi w:val="0"/>
              <w:spacing w:before="0"/>
              <w:ind w:left="184" w:right="185"/>
              <w:jc w:val="center"/>
              <w:outlineLvl w:val="9"/>
              <w:rPr>
                <w:sz w:val="21"/>
              </w:rPr>
            </w:pPr>
            <w:r>
              <w:rPr>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6"/>
              <w:jc w:val="center"/>
              <w:outlineLvl w:val="9"/>
              <w:rPr>
                <w:sz w:val="21"/>
              </w:rPr>
            </w:pPr>
            <w:r>
              <w:rPr>
                <w:sz w:val="21"/>
              </w:rPr>
              <w:t>9</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日元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9000</w:t>
            </w:r>
          </w:p>
        </w:tc>
        <w:tc>
          <w:tcPr>
            <w:tcW w:w="1421" w:type="dxa"/>
          </w:tcPr>
          <w:p>
            <w:pPr>
              <w:pStyle w:val="21"/>
              <w:pageBreakBefore w:val="0"/>
              <w:kinsoku/>
              <w:wordWrap/>
              <w:overflowPunct/>
              <w:topLinePunct w:val="0"/>
              <w:autoSpaceDE/>
              <w:autoSpaceDN/>
              <w:bidi w:val="0"/>
              <w:ind w:left="199" w:right="195"/>
              <w:jc w:val="center"/>
              <w:outlineLvl w:val="9"/>
              <w:rPr>
                <w:sz w:val="21"/>
              </w:rPr>
            </w:pPr>
            <w:r>
              <w:rPr>
                <w:sz w:val="21"/>
              </w:rPr>
              <w:t>10000</w:t>
            </w:r>
          </w:p>
        </w:tc>
        <w:tc>
          <w:tcPr>
            <w:tcW w:w="1473" w:type="dxa"/>
          </w:tcPr>
          <w:p>
            <w:pPr>
              <w:pStyle w:val="21"/>
              <w:pageBreakBefore w:val="0"/>
              <w:kinsoku/>
              <w:wordWrap/>
              <w:overflowPunct/>
              <w:topLinePunct w:val="0"/>
              <w:autoSpaceDE/>
              <w:autoSpaceDN/>
              <w:bidi w:val="0"/>
              <w:ind w:left="184" w:right="185"/>
              <w:jc w:val="center"/>
              <w:outlineLvl w:val="9"/>
              <w:rPr>
                <w:sz w:val="21"/>
              </w:rPr>
            </w:pPr>
            <w:r>
              <w:rPr>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10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缅甸</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6" w:right="118"/>
              <w:jc w:val="center"/>
              <w:outlineLvl w:val="9"/>
              <w:rPr>
                <w:sz w:val="21"/>
              </w:rPr>
            </w:pPr>
            <w:r>
              <w:rPr>
                <w:sz w:val="21"/>
              </w:rPr>
              <w:t>90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11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巴基斯坦</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伊斯兰堡</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135</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30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19" w:type="dxa"/>
          </w:tcPr>
          <w:p>
            <w:pPr>
              <w:pStyle w:val="21"/>
              <w:pageBreakBefore w:val="0"/>
              <w:kinsoku/>
              <w:wordWrap/>
              <w:overflowPunct/>
              <w:topLinePunct w:val="0"/>
              <w:autoSpaceDE/>
              <w:autoSpaceDN/>
              <w:bidi w:val="0"/>
              <w:spacing w:before="179"/>
              <w:ind w:left="127" w:right="111"/>
              <w:jc w:val="center"/>
              <w:outlineLvl w:val="9"/>
              <w:rPr>
                <w:sz w:val="21"/>
              </w:rPr>
            </w:pPr>
            <w:r>
              <w:rPr>
                <w:sz w:val="21"/>
              </w:rPr>
              <w:t>12</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20"/>
              <w:ind w:left="93" w:right="73"/>
              <w:jc w:val="center"/>
              <w:outlineLvl w:val="9"/>
              <w:rPr>
                <w:rFonts w:hint="eastAsia" w:ascii="仿宋" w:eastAsia="仿宋"/>
                <w:sz w:val="21"/>
              </w:rPr>
            </w:pPr>
            <w:r>
              <w:rPr>
                <w:rFonts w:hint="eastAsia" w:ascii="仿宋" w:eastAsia="仿宋"/>
                <w:sz w:val="21"/>
              </w:rPr>
              <w:t>奎达、拉合尔、卡拉</w:t>
            </w:r>
          </w:p>
          <w:p>
            <w:pPr>
              <w:pStyle w:val="21"/>
              <w:pageBreakBefore w:val="0"/>
              <w:kinsoku/>
              <w:wordWrap/>
              <w:overflowPunct/>
              <w:topLinePunct w:val="0"/>
              <w:autoSpaceDE/>
              <w:autoSpaceDN/>
              <w:bidi w:val="0"/>
              <w:spacing w:before="43"/>
              <w:ind w:left="15"/>
              <w:jc w:val="center"/>
              <w:outlineLvl w:val="9"/>
              <w:rPr>
                <w:rFonts w:hint="eastAsia" w:ascii="仿宋" w:eastAsia="仿宋"/>
                <w:sz w:val="21"/>
              </w:rPr>
            </w:pPr>
            <w:r>
              <w:rPr>
                <w:rFonts w:hint="eastAsia" w:ascii="仿宋" w:eastAsia="仿宋"/>
                <w:sz w:val="21"/>
              </w:rPr>
              <w:t>奇</w:t>
            </w:r>
          </w:p>
        </w:tc>
        <w:tc>
          <w:tcPr>
            <w:tcW w:w="710" w:type="dxa"/>
          </w:tcPr>
          <w:p>
            <w:pPr>
              <w:pStyle w:val="21"/>
              <w:pageBreakBefore w:val="0"/>
              <w:kinsoku/>
              <w:wordWrap/>
              <w:overflowPunct/>
              <w:topLinePunct w:val="0"/>
              <w:autoSpaceDE/>
              <w:autoSpaceDN/>
              <w:bidi w:val="0"/>
              <w:spacing w:before="17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spacing w:before="179"/>
              <w:ind w:left="127" w:right="118"/>
              <w:jc w:val="center"/>
              <w:outlineLvl w:val="9"/>
              <w:rPr>
                <w:rFonts w:eastAsia="宋体"/>
                <w:sz w:val="21"/>
                <w:lang w:val="en-US"/>
              </w:rPr>
            </w:pPr>
            <w:r>
              <w:rPr>
                <w:rFonts w:hint="eastAsia" w:eastAsia="宋体"/>
                <w:sz w:val="21"/>
                <w:lang w:val="en-US"/>
              </w:rPr>
              <w:t>70</w:t>
            </w:r>
          </w:p>
        </w:tc>
        <w:tc>
          <w:tcPr>
            <w:tcW w:w="1421" w:type="dxa"/>
          </w:tcPr>
          <w:p>
            <w:pPr>
              <w:pStyle w:val="21"/>
              <w:pageBreakBefore w:val="0"/>
              <w:kinsoku/>
              <w:wordWrap/>
              <w:overflowPunct/>
              <w:topLinePunct w:val="0"/>
              <w:autoSpaceDE/>
              <w:autoSpaceDN/>
              <w:bidi w:val="0"/>
              <w:spacing w:before="179"/>
              <w:ind w:left="205" w:right="192"/>
              <w:jc w:val="center"/>
              <w:outlineLvl w:val="9"/>
              <w:rPr>
                <w:sz w:val="21"/>
              </w:rPr>
            </w:pPr>
            <w:r>
              <w:rPr>
                <w:sz w:val="21"/>
              </w:rPr>
              <w:t>30</w:t>
            </w:r>
          </w:p>
        </w:tc>
        <w:tc>
          <w:tcPr>
            <w:tcW w:w="1473" w:type="dxa"/>
          </w:tcPr>
          <w:p>
            <w:pPr>
              <w:pStyle w:val="21"/>
              <w:pageBreakBefore w:val="0"/>
              <w:kinsoku/>
              <w:wordWrap/>
              <w:overflowPunct/>
              <w:topLinePunct w:val="0"/>
              <w:autoSpaceDE/>
              <w:autoSpaceDN/>
              <w:bidi w:val="0"/>
              <w:spacing w:before="179"/>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13</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60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30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14</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斯里兰卡</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sz w:val="21"/>
              </w:rPr>
              <w:t>1</w:t>
            </w:r>
            <w:r>
              <w:rPr>
                <w:rFonts w:hint="eastAsia" w:eastAsia="宋体"/>
                <w:sz w:val="21"/>
                <w:lang w:val="en-US"/>
              </w:rPr>
              <w:t>10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40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15</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马尔代夫</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160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spacing w:before="64"/>
              <w:ind w:left="127" w:right="111"/>
              <w:jc w:val="center"/>
              <w:outlineLvl w:val="9"/>
              <w:rPr>
                <w:sz w:val="21"/>
              </w:rPr>
            </w:pPr>
            <w:r>
              <w:rPr>
                <w:sz w:val="21"/>
              </w:rPr>
              <w:t>16</w:t>
            </w:r>
          </w:p>
        </w:tc>
        <w:tc>
          <w:tcPr>
            <w:tcW w:w="1987" w:type="dxa"/>
          </w:tcPr>
          <w:p>
            <w:pPr>
              <w:pStyle w:val="21"/>
              <w:pageBreakBefore w:val="0"/>
              <w:kinsoku/>
              <w:wordWrap/>
              <w:overflowPunct/>
              <w:topLinePunct w:val="0"/>
              <w:autoSpaceDE/>
              <w:autoSpaceDN/>
              <w:bidi w:val="0"/>
              <w:spacing w:before="58"/>
              <w:ind w:left="110"/>
              <w:outlineLvl w:val="9"/>
              <w:rPr>
                <w:rFonts w:hint="eastAsia" w:ascii="仿宋" w:eastAsia="仿宋"/>
                <w:sz w:val="21"/>
              </w:rPr>
            </w:pPr>
            <w:r>
              <w:rPr>
                <w:rFonts w:hint="eastAsia" w:ascii="仿宋" w:eastAsia="仿宋"/>
                <w:sz w:val="21"/>
              </w:rPr>
              <w:t>孟加拉</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8"/>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spacing w:before="64"/>
              <w:ind w:left="127" w:right="118"/>
              <w:jc w:val="center"/>
              <w:outlineLvl w:val="9"/>
              <w:rPr>
                <w:sz w:val="21"/>
              </w:rPr>
            </w:pPr>
            <w:r>
              <w:rPr>
                <w:sz w:val="21"/>
              </w:rPr>
              <w:t>150</w:t>
            </w:r>
          </w:p>
        </w:tc>
        <w:tc>
          <w:tcPr>
            <w:tcW w:w="1421" w:type="dxa"/>
          </w:tcPr>
          <w:p>
            <w:pPr>
              <w:pStyle w:val="21"/>
              <w:pageBreakBefore w:val="0"/>
              <w:kinsoku/>
              <w:wordWrap/>
              <w:overflowPunct/>
              <w:topLinePunct w:val="0"/>
              <w:autoSpaceDE/>
              <w:autoSpaceDN/>
              <w:bidi w:val="0"/>
              <w:spacing w:before="64"/>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spacing w:before="64"/>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spacing w:before="12"/>
              <w:outlineLvl w:val="9"/>
              <w:rPr>
                <w:rFonts w:ascii="Microsoft JhengHei"/>
                <w:b/>
                <w:sz w:val="13"/>
              </w:rPr>
            </w:pPr>
          </w:p>
          <w:p>
            <w:pPr>
              <w:pStyle w:val="21"/>
              <w:pageBreakBefore w:val="0"/>
              <w:kinsoku/>
              <w:wordWrap/>
              <w:overflowPunct/>
              <w:topLinePunct w:val="0"/>
              <w:autoSpaceDE/>
              <w:autoSpaceDN/>
              <w:bidi w:val="0"/>
              <w:spacing w:before="0"/>
              <w:ind w:left="206"/>
              <w:outlineLvl w:val="9"/>
              <w:rPr>
                <w:sz w:val="21"/>
              </w:rPr>
            </w:pPr>
            <w:r>
              <w:rPr>
                <w:sz w:val="21"/>
              </w:rPr>
              <w:t>17</w:t>
            </w:r>
          </w:p>
        </w:tc>
        <w:tc>
          <w:tcPr>
            <w:tcW w:w="1987" w:type="dxa"/>
          </w:tcPr>
          <w:p>
            <w:pPr>
              <w:pStyle w:val="21"/>
              <w:pageBreakBefore w:val="0"/>
              <w:kinsoku/>
              <w:wordWrap/>
              <w:overflowPunct/>
              <w:topLinePunct w:val="0"/>
              <w:autoSpaceDE/>
              <w:autoSpaceDN/>
              <w:bidi w:val="0"/>
              <w:spacing w:before="6"/>
              <w:outlineLvl w:val="9"/>
              <w:rPr>
                <w:rFonts w:ascii="Microsoft JhengHei"/>
                <w:b/>
                <w:sz w:val="13"/>
              </w:rPr>
            </w:pPr>
          </w:p>
          <w:p>
            <w:pPr>
              <w:pStyle w:val="21"/>
              <w:pageBreakBefore w:val="0"/>
              <w:kinsoku/>
              <w:wordWrap/>
              <w:overflowPunct/>
              <w:topLinePunct w:val="0"/>
              <w:autoSpaceDE/>
              <w:autoSpaceDN/>
              <w:bidi w:val="0"/>
              <w:spacing w:before="0"/>
              <w:ind w:left="110"/>
              <w:outlineLvl w:val="9"/>
              <w:rPr>
                <w:rFonts w:hint="eastAsia" w:ascii="仿宋" w:eastAsia="仿宋"/>
                <w:sz w:val="21"/>
              </w:rPr>
            </w:pPr>
            <w:r>
              <w:rPr>
                <w:rFonts w:hint="eastAsia" w:ascii="仿宋" w:eastAsia="仿宋"/>
                <w:sz w:val="21"/>
              </w:rPr>
              <w:t>伊拉克</w:t>
            </w: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170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18</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阿拉伯联合酋长国</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200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spacing w:before="64"/>
              <w:ind w:left="127" w:right="111"/>
              <w:jc w:val="center"/>
              <w:outlineLvl w:val="9"/>
              <w:rPr>
                <w:sz w:val="21"/>
              </w:rPr>
            </w:pPr>
            <w:r>
              <w:rPr>
                <w:sz w:val="21"/>
              </w:rPr>
              <w:t>19</w:t>
            </w:r>
          </w:p>
        </w:tc>
        <w:tc>
          <w:tcPr>
            <w:tcW w:w="1987" w:type="dxa"/>
          </w:tcPr>
          <w:p>
            <w:pPr>
              <w:pStyle w:val="21"/>
              <w:pageBreakBefore w:val="0"/>
              <w:kinsoku/>
              <w:wordWrap/>
              <w:overflowPunct/>
              <w:topLinePunct w:val="0"/>
              <w:autoSpaceDE/>
              <w:autoSpaceDN/>
              <w:bidi w:val="0"/>
              <w:spacing w:before="58"/>
              <w:ind w:left="110"/>
              <w:outlineLvl w:val="9"/>
              <w:rPr>
                <w:rFonts w:hint="eastAsia" w:ascii="仿宋" w:eastAsia="仿宋"/>
                <w:sz w:val="21"/>
              </w:rPr>
            </w:pPr>
            <w:r>
              <w:rPr>
                <w:rFonts w:hint="eastAsia" w:ascii="仿宋" w:eastAsia="仿宋"/>
                <w:sz w:val="21"/>
              </w:rPr>
              <w:t>也门</w:t>
            </w:r>
          </w:p>
        </w:tc>
        <w:tc>
          <w:tcPr>
            <w:tcW w:w="2126" w:type="dxa"/>
          </w:tcPr>
          <w:p>
            <w:pPr>
              <w:pStyle w:val="21"/>
              <w:pageBreakBefore w:val="0"/>
              <w:kinsoku/>
              <w:wordWrap/>
              <w:overflowPunct/>
              <w:topLinePunct w:val="0"/>
              <w:autoSpaceDE/>
              <w:autoSpaceDN/>
              <w:bidi w:val="0"/>
              <w:spacing w:before="58"/>
              <w:ind w:left="88" w:right="73"/>
              <w:jc w:val="center"/>
              <w:outlineLvl w:val="9"/>
              <w:rPr>
                <w:rFonts w:hint="eastAsia" w:ascii="仿宋" w:eastAsia="仿宋"/>
                <w:sz w:val="21"/>
              </w:rPr>
            </w:pPr>
            <w:r>
              <w:rPr>
                <w:rFonts w:hint="eastAsia" w:ascii="仿宋" w:eastAsia="仿宋"/>
                <w:sz w:val="21"/>
              </w:rPr>
              <w:t>萨那</w:t>
            </w:r>
          </w:p>
        </w:tc>
        <w:tc>
          <w:tcPr>
            <w:tcW w:w="710" w:type="dxa"/>
          </w:tcPr>
          <w:p>
            <w:pPr>
              <w:pStyle w:val="21"/>
              <w:pageBreakBefore w:val="0"/>
              <w:kinsoku/>
              <w:wordWrap/>
              <w:overflowPunct/>
              <w:topLinePunct w:val="0"/>
              <w:autoSpaceDE/>
              <w:autoSpaceDN/>
              <w:bidi w:val="0"/>
              <w:spacing w:before="58"/>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spacing w:before="64"/>
              <w:ind w:left="127" w:right="118"/>
              <w:jc w:val="center"/>
              <w:outlineLvl w:val="9"/>
              <w:rPr>
                <w:sz w:val="21"/>
              </w:rPr>
            </w:pPr>
            <w:r>
              <w:rPr>
                <w:sz w:val="21"/>
              </w:rPr>
              <w:t>110</w:t>
            </w:r>
          </w:p>
        </w:tc>
        <w:tc>
          <w:tcPr>
            <w:tcW w:w="1421" w:type="dxa"/>
          </w:tcPr>
          <w:p>
            <w:pPr>
              <w:pStyle w:val="21"/>
              <w:pageBreakBefore w:val="0"/>
              <w:kinsoku/>
              <w:wordWrap/>
              <w:overflowPunct/>
              <w:topLinePunct w:val="0"/>
              <w:autoSpaceDE/>
              <w:autoSpaceDN/>
              <w:bidi w:val="0"/>
              <w:spacing w:before="64"/>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spacing w:before="64"/>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20</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亚丁</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6" w:right="118"/>
              <w:jc w:val="center"/>
              <w:outlineLvl w:val="9"/>
              <w:rPr>
                <w:sz w:val="21"/>
              </w:rPr>
            </w:pPr>
            <w:r>
              <w:rPr>
                <w:sz w:val="21"/>
              </w:rPr>
              <w:t>90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21</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6" w:right="118"/>
              <w:jc w:val="center"/>
              <w:outlineLvl w:val="9"/>
              <w:rPr>
                <w:sz w:val="21"/>
              </w:rPr>
            </w:pPr>
            <w:r>
              <w:rPr>
                <w:sz w:val="21"/>
              </w:rPr>
              <w:t>80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22</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阿曼</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150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spacing w:before="64"/>
              <w:ind w:left="127" w:right="111"/>
              <w:jc w:val="center"/>
              <w:outlineLvl w:val="9"/>
              <w:rPr>
                <w:sz w:val="21"/>
              </w:rPr>
            </w:pPr>
            <w:r>
              <w:rPr>
                <w:sz w:val="21"/>
              </w:rPr>
              <w:t>23</w:t>
            </w:r>
          </w:p>
        </w:tc>
        <w:tc>
          <w:tcPr>
            <w:tcW w:w="1987" w:type="dxa"/>
          </w:tcPr>
          <w:p>
            <w:pPr>
              <w:pStyle w:val="21"/>
              <w:pageBreakBefore w:val="0"/>
              <w:kinsoku/>
              <w:wordWrap/>
              <w:overflowPunct/>
              <w:topLinePunct w:val="0"/>
              <w:autoSpaceDE/>
              <w:autoSpaceDN/>
              <w:bidi w:val="0"/>
              <w:spacing w:before="58"/>
              <w:ind w:left="110"/>
              <w:outlineLvl w:val="9"/>
              <w:rPr>
                <w:rFonts w:hint="eastAsia" w:ascii="仿宋" w:eastAsia="仿宋"/>
                <w:sz w:val="21"/>
              </w:rPr>
            </w:pPr>
            <w:r>
              <w:rPr>
                <w:rFonts w:hint="eastAsia" w:ascii="仿宋" w:eastAsia="仿宋"/>
                <w:sz w:val="21"/>
              </w:rPr>
              <w:t>伊朗</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8"/>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spacing w:before="64"/>
              <w:ind w:left="127" w:right="118"/>
              <w:jc w:val="center"/>
              <w:outlineLvl w:val="9"/>
              <w:rPr>
                <w:rFonts w:eastAsia="宋体"/>
                <w:sz w:val="21"/>
                <w:lang w:val="en-US"/>
              </w:rPr>
            </w:pPr>
            <w:r>
              <w:rPr>
                <w:rFonts w:hint="eastAsia" w:eastAsia="宋体"/>
                <w:sz w:val="21"/>
                <w:lang w:val="en-US"/>
              </w:rPr>
              <w:t>95</w:t>
            </w:r>
          </w:p>
        </w:tc>
        <w:tc>
          <w:tcPr>
            <w:tcW w:w="1421" w:type="dxa"/>
          </w:tcPr>
          <w:p>
            <w:pPr>
              <w:pStyle w:val="21"/>
              <w:pageBreakBefore w:val="0"/>
              <w:kinsoku/>
              <w:wordWrap/>
              <w:overflowPunct/>
              <w:topLinePunct w:val="0"/>
              <w:autoSpaceDE/>
              <w:autoSpaceDN/>
              <w:bidi w:val="0"/>
              <w:spacing w:before="64"/>
              <w:ind w:left="205" w:right="192"/>
              <w:jc w:val="center"/>
              <w:outlineLvl w:val="9"/>
              <w:rPr>
                <w:sz w:val="21"/>
              </w:rPr>
            </w:pPr>
            <w:r>
              <w:rPr>
                <w:sz w:val="21"/>
              </w:rPr>
              <w:t>50</w:t>
            </w:r>
          </w:p>
        </w:tc>
        <w:tc>
          <w:tcPr>
            <w:tcW w:w="1473" w:type="dxa"/>
          </w:tcPr>
          <w:p>
            <w:pPr>
              <w:pStyle w:val="21"/>
              <w:pageBreakBefore w:val="0"/>
              <w:kinsoku/>
              <w:wordWrap/>
              <w:overflowPunct/>
              <w:topLinePunct w:val="0"/>
              <w:autoSpaceDE/>
              <w:autoSpaceDN/>
              <w:bidi w:val="0"/>
              <w:spacing w:before="64"/>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24</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科威特</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200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70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11"/>
              <w:jc w:val="center"/>
              <w:outlineLvl w:val="9"/>
              <w:rPr>
                <w:sz w:val="21"/>
              </w:rPr>
            </w:pPr>
            <w:r>
              <w:rPr>
                <w:sz w:val="21"/>
              </w:rPr>
              <w:t>25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沙特阿拉伯</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利雅得</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200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70</w:t>
            </w:r>
          </w:p>
        </w:tc>
        <w:tc>
          <w:tcPr>
            <w:tcW w:w="1473"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bl>
    <w:p>
      <w:pPr>
        <w:pageBreakBefore w:val="0"/>
        <w:kinsoku/>
        <w:wordWrap/>
        <w:overflowPunct/>
        <w:topLinePunct w:val="0"/>
        <w:autoSpaceDE/>
        <w:autoSpaceDN/>
        <w:bidi w:val="0"/>
        <w:jc w:val="center"/>
        <w:outlineLvl w:val="9"/>
        <w:rPr>
          <w:sz w:val="21"/>
        </w:rPr>
        <w:sectPr>
          <w:headerReference r:id="rId28" w:type="default"/>
          <w:footerReference r:id="rId29" w:type="default"/>
          <w:pgSz w:w="11900" w:h="16840"/>
          <w:pgMar w:top="2098" w:right="1474" w:bottom="1984" w:left="1587" w:header="720" w:footer="720" w:gutter="0"/>
          <w:pgNumType w:fmt="decimal"/>
          <w:cols w:space="720" w:num="1"/>
        </w:sectPr>
      </w:pPr>
    </w:p>
    <w:tbl>
      <w:tblPr>
        <w:tblStyle w:val="14"/>
        <w:tblW w:w="953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987"/>
        <w:gridCol w:w="2126"/>
        <w:gridCol w:w="710"/>
        <w:gridCol w:w="1272"/>
        <w:gridCol w:w="1421"/>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trPr>
        <w:tc>
          <w:tcPr>
            <w:tcW w:w="619" w:type="dxa"/>
          </w:tcPr>
          <w:p>
            <w:pPr>
              <w:pStyle w:val="21"/>
              <w:pageBreakBefore w:val="0"/>
              <w:kinsoku/>
              <w:wordWrap/>
              <w:overflowPunct/>
              <w:topLinePunct w:val="0"/>
              <w:autoSpaceDE/>
              <w:autoSpaceDN/>
              <w:bidi w:val="0"/>
              <w:spacing w:before="0" w:line="314" w:lineRule="exact"/>
              <w:ind w:left="206"/>
              <w:outlineLvl w:val="9"/>
              <w:rPr>
                <w:rFonts w:hint="eastAsia" w:ascii="Microsoft JhengHei" w:eastAsia="Microsoft JhengHei"/>
                <w:b/>
                <w:sz w:val="21"/>
              </w:rPr>
            </w:pPr>
            <w:r>
              <w:rPr>
                <w:rFonts w:hint="eastAsia" w:ascii="Microsoft JhengHei" w:eastAsia="Microsoft JhengHei"/>
                <w:b/>
                <w:sz w:val="21"/>
              </w:rPr>
              <w:t>序</w:t>
            </w:r>
          </w:p>
          <w:p>
            <w:pPr>
              <w:pStyle w:val="21"/>
              <w:pageBreakBefore w:val="0"/>
              <w:kinsoku/>
              <w:wordWrap/>
              <w:overflowPunct/>
              <w:topLinePunct w:val="0"/>
              <w:autoSpaceDE/>
              <w:autoSpaceDN/>
              <w:bidi w:val="0"/>
              <w:spacing w:before="0" w:line="318" w:lineRule="exact"/>
              <w:ind w:left="206"/>
              <w:outlineLvl w:val="9"/>
              <w:rPr>
                <w:rFonts w:hint="eastAsia" w:ascii="Microsoft JhengHei" w:eastAsia="Microsoft JhengHei"/>
                <w:b/>
                <w:sz w:val="21"/>
              </w:rPr>
            </w:pPr>
            <w:r>
              <w:rPr>
                <w:rFonts w:hint="eastAsia" w:ascii="Microsoft JhengHei" w:eastAsia="Microsoft JhengHei"/>
                <w:b/>
                <w:sz w:val="21"/>
              </w:rPr>
              <w:t>号</w:t>
            </w:r>
          </w:p>
        </w:tc>
        <w:tc>
          <w:tcPr>
            <w:tcW w:w="1987" w:type="dxa"/>
          </w:tcPr>
          <w:p>
            <w:pPr>
              <w:pStyle w:val="21"/>
              <w:pageBreakBefore w:val="0"/>
              <w:kinsoku/>
              <w:wordWrap/>
              <w:overflowPunct/>
              <w:topLinePunct w:val="0"/>
              <w:autoSpaceDE/>
              <w:autoSpaceDN/>
              <w:bidi w:val="0"/>
              <w:spacing w:before="119"/>
              <w:ind w:left="364"/>
              <w:outlineLvl w:val="9"/>
              <w:rPr>
                <w:rFonts w:hint="eastAsia" w:ascii="Microsoft JhengHei" w:eastAsia="Microsoft JhengHei"/>
                <w:b/>
                <w:sz w:val="21"/>
              </w:rPr>
            </w:pPr>
            <w:r>
              <w:rPr>
                <w:rFonts w:hint="eastAsia" w:ascii="Microsoft JhengHei" w:eastAsia="Microsoft JhengHei"/>
                <w:b/>
                <w:sz w:val="21"/>
              </w:rPr>
              <w:t>国家（地区）</w:t>
            </w:r>
          </w:p>
        </w:tc>
        <w:tc>
          <w:tcPr>
            <w:tcW w:w="2126" w:type="dxa"/>
          </w:tcPr>
          <w:p>
            <w:pPr>
              <w:pStyle w:val="21"/>
              <w:pageBreakBefore w:val="0"/>
              <w:kinsoku/>
              <w:wordWrap/>
              <w:overflowPunct/>
              <w:topLinePunct w:val="0"/>
              <w:autoSpaceDE/>
              <w:autoSpaceDN/>
              <w:bidi w:val="0"/>
              <w:spacing w:before="119"/>
              <w:ind w:left="88" w:right="73"/>
              <w:jc w:val="center"/>
              <w:outlineLvl w:val="9"/>
              <w:rPr>
                <w:rFonts w:hint="eastAsia" w:ascii="Microsoft JhengHei" w:eastAsia="Microsoft JhengHei"/>
                <w:b/>
                <w:sz w:val="21"/>
              </w:rPr>
            </w:pPr>
            <w:r>
              <w:rPr>
                <w:rFonts w:hint="eastAsia" w:ascii="Microsoft JhengHei" w:eastAsia="Microsoft JhengHei"/>
                <w:b/>
                <w:sz w:val="21"/>
              </w:rPr>
              <w:t>城市</w:t>
            </w:r>
          </w:p>
        </w:tc>
        <w:tc>
          <w:tcPr>
            <w:tcW w:w="710" w:type="dxa"/>
          </w:tcPr>
          <w:p>
            <w:pPr>
              <w:pStyle w:val="21"/>
              <w:pageBreakBefore w:val="0"/>
              <w:kinsoku/>
              <w:wordWrap/>
              <w:overflowPunct/>
              <w:topLinePunct w:val="0"/>
              <w:autoSpaceDE/>
              <w:autoSpaceDN/>
              <w:bidi w:val="0"/>
              <w:spacing w:before="119"/>
              <w:ind w:left="115" w:right="114"/>
              <w:jc w:val="center"/>
              <w:outlineLvl w:val="9"/>
              <w:rPr>
                <w:rFonts w:hint="eastAsia" w:ascii="Microsoft JhengHei" w:eastAsia="Microsoft JhengHei"/>
                <w:b/>
                <w:sz w:val="21"/>
              </w:rPr>
            </w:pPr>
            <w:r>
              <w:rPr>
                <w:rFonts w:hint="eastAsia" w:ascii="Microsoft JhengHei" w:eastAsia="Microsoft JhengHei"/>
                <w:b/>
                <w:sz w:val="21"/>
              </w:rPr>
              <w:t>币种</w:t>
            </w:r>
          </w:p>
        </w:tc>
        <w:tc>
          <w:tcPr>
            <w:tcW w:w="1272" w:type="dxa"/>
          </w:tcPr>
          <w:p>
            <w:pPr>
              <w:pStyle w:val="21"/>
              <w:pageBreakBefore w:val="0"/>
              <w:kinsoku/>
              <w:wordWrap/>
              <w:overflowPunct/>
              <w:topLinePunct w:val="0"/>
              <w:autoSpaceDE/>
              <w:autoSpaceDN/>
              <w:bidi w:val="0"/>
              <w:spacing w:before="0" w:line="314" w:lineRule="exact"/>
              <w:ind w:left="125" w:right="118"/>
              <w:jc w:val="center"/>
              <w:outlineLvl w:val="9"/>
              <w:rPr>
                <w:rFonts w:hint="eastAsia" w:ascii="Microsoft JhengHei" w:eastAsia="Microsoft JhengHei"/>
                <w:b/>
                <w:sz w:val="21"/>
              </w:rPr>
            </w:pPr>
            <w:r>
              <w:rPr>
                <w:rFonts w:hint="eastAsia" w:ascii="Microsoft JhengHei" w:eastAsia="Microsoft JhengHei"/>
                <w:b/>
                <w:sz w:val="21"/>
              </w:rPr>
              <w:t>住宿费</w:t>
            </w:r>
          </w:p>
          <w:p>
            <w:pPr>
              <w:pStyle w:val="21"/>
              <w:pageBreakBefore w:val="0"/>
              <w:kinsoku/>
              <w:wordWrap/>
              <w:overflowPunct/>
              <w:topLinePunct w:val="0"/>
              <w:autoSpaceDE/>
              <w:autoSpaceDN/>
              <w:bidi w:val="0"/>
              <w:spacing w:before="0" w:line="318" w:lineRule="exact"/>
              <w:ind w:left="133" w:right="118"/>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21" w:type="dxa"/>
          </w:tcPr>
          <w:p>
            <w:pPr>
              <w:pStyle w:val="21"/>
              <w:pageBreakBefore w:val="0"/>
              <w:kinsoku/>
              <w:wordWrap/>
              <w:overflowPunct/>
              <w:topLinePunct w:val="0"/>
              <w:autoSpaceDE/>
              <w:autoSpaceDN/>
              <w:bidi w:val="0"/>
              <w:spacing w:before="0" w:line="314" w:lineRule="exact"/>
              <w:ind w:left="205" w:right="194"/>
              <w:jc w:val="center"/>
              <w:outlineLvl w:val="9"/>
              <w:rPr>
                <w:rFonts w:hint="eastAsia" w:ascii="Microsoft JhengHei" w:eastAsia="Microsoft JhengHei"/>
                <w:b/>
                <w:sz w:val="21"/>
              </w:rPr>
            </w:pPr>
            <w:r>
              <w:rPr>
                <w:rFonts w:hint="eastAsia" w:ascii="Microsoft JhengHei" w:eastAsia="Microsoft JhengHei"/>
                <w:b/>
                <w:sz w:val="21"/>
              </w:rPr>
              <w:t>伙食费</w:t>
            </w:r>
          </w:p>
          <w:p>
            <w:pPr>
              <w:pStyle w:val="21"/>
              <w:pageBreakBefore w:val="0"/>
              <w:kinsoku/>
              <w:wordWrap/>
              <w:overflowPunct/>
              <w:topLinePunct w:val="0"/>
              <w:autoSpaceDE/>
              <w:autoSpaceDN/>
              <w:bidi w:val="0"/>
              <w:spacing w:before="0" w:line="318" w:lineRule="exact"/>
              <w:ind w:left="205" w:right="195"/>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397" w:type="dxa"/>
          </w:tcPr>
          <w:p>
            <w:pPr>
              <w:pStyle w:val="21"/>
              <w:pageBreakBefore w:val="0"/>
              <w:kinsoku/>
              <w:wordWrap/>
              <w:overflowPunct/>
              <w:topLinePunct w:val="0"/>
              <w:autoSpaceDE/>
              <w:autoSpaceDN/>
              <w:bidi w:val="0"/>
              <w:spacing w:before="0" w:line="314" w:lineRule="exact"/>
              <w:ind w:left="190" w:right="184"/>
              <w:jc w:val="center"/>
              <w:outlineLvl w:val="9"/>
              <w:rPr>
                <w:rFonts w:hint="eastAsia" w:ascii="Microsoft JhengHei" w:eastAsia="Microsoft JhengHei"/>
                <w:b/>
                <w:sz w:val="21"/>
              </w:rPr>
            </w:pPr>
            <w:r>
              <w:rPr>
                <w:rFonts w:hint="eastAsia" w:ascii="Microsoft JhengHei" w:eastAsia="Microsoft JhengHei"/>
                <w:b/>
                <w:sz w:val="21"/>
              </w:rPr>
              <w:t>公杂费</w:t>
            </w:r>
          </w:p>
          <w:p>
            <w:pPr>
              <w:pStyle w:val="21"/>
              <w:pageBreakBefore w:val="0"/>
              <w:kinsoku/>
              <w:wordWrap/>
              <w:overflowPunct/>
              <w:topLinePunct w:val="0"/>
              <w:autoSpaceDE/>
              <w:autoSpaceDN/>
              <w:bidi w:val="0"/>
              <w:spacing w:before="0" w:line="318" w:lineRule="exact"/>
              <w:ind w:left="190" w:right="185"/>
              <w:jc w:val="center"/>
              <w:outlineLvl w:val="9"/>
              <w:rPr>
                <w:b/>
                <w:sz w:val="21"/>
              </w:rPr>
            </w:pPr>
            <w:r>
              <w:rPr>
                <w:b/>
                <w:sz w:val="21"/>
              </w:rPr>
              <w:t>(</w:t>
            </w:r>
            <w:r>
              <w:rPr>
                <w:rFonts w:hint="eastAsia" w:ascii="Microsoft JhengHei" w:eastAsia="Microsoft JhengHei"/>
                <w:b/>
                <w:sz w:val="21"/>
              </w:rPr>
              <w:t>每人每天</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26</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吉达</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70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27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70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28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巴林</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29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以色列</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70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巴勒斯坦</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70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文莱</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印度</w:t>
            </w:r>
          </w:p>
        </w:tc>
        <w:tc>
          <w:tcPr>
            <w:tcW w:w="2126" w:type="dxa"/>
          </w:tcPr>
          <w:p>
            <w:pPr>
              <w:pStyle w:val="21"/>
              <w:pageBreakBefore w:val="0"/>
              <w:kinsoku/>
              <w:wordWrap/>
              <w:overflowPunct/>
              <w:topLinePunct w:val="0"/>
              <w:autoSpaceDE/>
              <w:autoSpaceDN/>
              <w:bidi w:val="0"/>
              <w:spacing w:before="54"/>
              <w:ind w:left="93" w:right="73"/>
              <w:jc w:val="center"/>
              <w:outlineLvl w:val="9"/>
              <w:rPr>
                <w:rFonts w:hint="eastAsia" w:ascii="仿宋" w:eastAsia="仿宋"/>
                <w:sz w:val="21"/>
              </w:rPr>
            </w:pPr>
            <w:r>
              <w:rPr>
                <w:rFonts w:hint="eastAsia" w:ascii="仿宋" w:eastAsia="仿宋"/>
                <w:sz w:val="21"/>
              </w:rPr>
              <w:t>新德里、加尔各答</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175</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33</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孟买</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34</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155</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不丹</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越南</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河内</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胡志明市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80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70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39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柬埔寨</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100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40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老挝</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41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马来西亚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spacing w:before="12"/>
              <w:outlineLvl w:val="9"/>
              <w:rPr>
                <w:rFonts w:ascii="Microsoft JhengHei"/>
                <w:b/>
                <w:sz w:val="13"/>
              </w:rPr>
            </w:pPr>
          </w:p>
          <w:p>
            <w:pPr>
              <w:pStyle w:val="21"/>
              <w:pageBreakBefore w:val="0"/>
              <w:kinsoku/>
              <w:wordWrap/>
              <w:overflowPunct/>
              <w:topLinePunct w:val="0"/>
              <w:autoSpaceDE/>
              <w:autoSpaceDN/>
              <w:bidi w:val="0"/>
              <w:spacing w:before="0"/>
              <w:ind w:left="206"/>
              <w:outlineLvl w:val="9"/>
              <w:rPr>
                <w:sz w:val="21"/>
              </w:rPr>
            </w:pPr>
            <w:r>
              <w:rPr>
                <w:sz w:val="21"/>
              </w:rPr>
              <w:t>42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菲律宾</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43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印度尼西亚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125</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44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东帝汶</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45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泰国</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曼谷</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46</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宋卡</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47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清迈、孔敬</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48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80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49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新加坡</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220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阿富汗</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100</w:t>
            </w:r>
          </w:p>
        </w:tc>
        <w:tc>
          <w:tcPr>
            <w:tcW w:w="1421" w:type="dxa"/>
          </w:tcPr>
          <w:p>
            <w:pPr>
              <w:pStyle w:val="21"/>
              <w:pageBreakBefore w:val="0"/>
              <w:kinsoku/>
              <w:wordWrap/>
              <w:overflowPunct/>
              <w:topLinePunct w:val="0"/>
              <w:autoSpaceDE/>
              <w:autoSpaceDN/>
              <w:bidi w:val="0"/>
              <w:ind w:left="605"/>
              <w:outlineLvl w:val="9"/>
              <w:rPr>
                <w:sz w:val="21"/>
              </w:rPr>
            </w:pPr>
            <w:r>
              <w:rPr>
                <w:sz w:val="21"/>
              </w:rPr>
              <w:t>38</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51</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尼泊尔</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52</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黎巴嫩</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塞浦路斯</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100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约旦</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sz w:val="21"/>
              </w:rPr>
              <w:t>1</w:t>
            </w:r>
            <w:r>
              <w:rPr>
                <w:rFonts w:hint="eastAsia" w:eastAsia="宋体"/>
                <w:sz w:val="21"/>
                <w:lang w:val="en-US"/>
              </w:rPr>
              <w:t>20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55</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土耳其</w:t>
            </w: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安卡拉</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105</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56</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伊斯坦布尔</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58</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叙利亚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bl>
    <w:p>
      <w:pPr>
        <w:pageBreakBefore w:val="0"/>
        <w:kinsoku/>
        <w:wordWrap/>
        <w:overflowPunct/>
        <w:topLinePunct w:val="0"/>
        <w:autoSpaceDE/>
        <w:autoSpaceDN/>
        <w:bidi w:val="0"/>
        <w:jc w:val="center"/>
        <w:outlineLvl w:val="9"/>
        <w:rPr>
          <w:sz w:val="21"/>
        </w:rPr>
        <w:sectPr>
          <w:pgSz w:w="11900" w:h="16840"/>
          <w:pgMar w:top="1440" w:right="1060" w:bottom="280" w:left="1080" w:header="720" w:footer="720" w:gutter="0"/>
          <w:pgNumType w:fmt="decimal"/>
          <w:cols w:space="720" w:num="1"/>
        </w:sectPr>
      </w:pPr>
    </w:p>
    <w:tbl>
      <w:tblPr>
        <w:tblStyle w:val="14"/>
        <w:tblW w:w="953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987"/>
        <w:gridCol w:w="2126"/>
        <w:gridCol w:w="710"/>
        <w:gridCol w:w="1272"/>
        <w:gridCol w:w="1421"/>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trPr>
        <w:tc>
          <w:tcPr>
            <w:tcW w:w="619" w:type="dxa"/>
          </w:tcPr>
          <w:p>
            <w:pPr>
              <w:pStyle w:val="21"/>
              <w:pageBreakBefore w:val="0"/>
              <w:kinsoku/>
              <w:wordWrap/>
              <w:overflowPunct/>
              <w:topLinePunct w:val="0"/>
              <w:autoSpaceDE/>
              <w:autoSpaceDN/>
              <w:bidi w:val="0"/>
              <w:spacing w:before="0" w:line="314" w:lineRule="exact"/>
              <w:ind w:left="206"/>
              <w:outlineLvl w:val="9"/>
              <w:rPr>
                <w:rFonts w:hint="eastAsia" w:ascii="Microsoft JhengHei" w:eastAsia="Microsoft JhengHei"/>
                <w:b/>
                <w:sz w:val="21"/>
              </w:rPr>
            </w:pPr>
            <w:r>
              <w:rPr>
                <w:rFonts w:hint="eastAsia" w:ascii="Microsoft JhengHei" w:eastAsia="Microsoft JhengHei"/>
                <w:b/>
                <w:sz w:val="21"/>
              </w:rPr>
              <w:t>序</w:t>
            </w:r>
          </w:p>
          <w:p>
            <w:pPr>
              <w:pStyle w:val="21"/>
              <w:pageBreakBefore w:val="0"/>
              <w:kinsoku/>
              <w:wordWrap/>
              <w:overflowPunct/>
              <w:topLinePunct w:val="0"/>
              <w:autoSpaceDE/>
              <w:autoSpaceDN/>
              <w:bidi w:val="0"/>
              <w:spacing w:before="0" w:line="318" w:lineRule="exact"/>
              <w:ind w:left="206"/>
              <w:outlineLvl w:val="9"/>
              <w:rPr>
                <w:rFonts w:hint="eastAsia" w:ascii="Microsoft JhengHei" w:eastAsia="Microsoft JhengHei"/>
                <w:b/>
                <w:sz w:val="21"/>
              </w:rPr>
            </w:pPr>
            <w:r>
              <w:rPr>
                <w:rFonts w:hint="eastAsia" w:ascii="Microsoft JhengHei" w:eastAsia="Microsoft JhengHei"/>
                <w:b/>
                <w:sz w:val="21"/>
              </w:rPr>
              <w:t>号</w:t>
            </w:r>
          </w:p>
        </w:tc>
        <w:tc>
          <w:tcPr>
            <w:tcW w:w="1987" w:type="dxa"/>
          </w:tcPr>
          <w:p>
            <w:pPr>
              <w:pStyle w:val="21"/>
              <w:pageBreakBefore w:val="0"/>
              <w:kinsoku/>
              <w:wordWrap/>
              <w:overflowPunct/>
              <w:topLinePunct w:val="0"/>
              <w:autoSpaceDE/>
              <w:autoSpaceDN/>
              <w:bidi w:val="0"/>
              <w:spacing w:before="119"/>
              <w:ind w:left="364"/>
              <w:outlineLvl w:val="9"/>
              <w:rPr>
                <w:rFonts w:hint="eastAsia" w:ascii="Microsoft JhengHei" w:eastAsia="Microsoft JhengHei"/>
                <w:b/>
                <w:sz w:val="21"/>
              </w:rPr>
            </w:pPr>
            <w:r>
              <w:rPr>
                <w:rFonts w:hint="eastAsia" w:ascii="Microsoft JhengHei" w:eastAsia="Microsoft JhengHei"/>
                <w:b/>
                <w:sz w:val="21"/>
              </w:rPr>
              <w:t>国家（地区）</w:t>
            </w:r>
          </w:p>
        </w:tc>
        <w:tc>
          <w:tcPr>
            <w:tcW w:w="2126" w:type="dxa"/>
          </w:tcPr>
          <w:p>
            <w:pPr>
              <w:pStyle w:val="21"/>
              <w:pageBreakBefore w:val="0"/>
              <w:kinsoku/>
              <w:wordWrap/>
              <w:overflowPunct/>
              <w:topLinePunct w:val="0"/>
              <w:autoSpaceDE/>
              <w:autoSpaceDN/>
              <w:bidi w:val="0"/>
              <w:spacing w:before="119"/>
              <w:ind w:left="88" w:right="73"/>
              <w:jc w:val="center"/>
              <w:outlineLvl w:val="9"/>
              <w:rPr>
                <w:rFonts w:hint="eastAsia" w:ascii="Microsoft JhengHei" w:eastAsia="Microsoft JhengHei"/>
                <w:b/>
                <w:sz w:val="21"/>
              </w:rPr>
            </w:pPr>
            <w:r>
              <w:rPr>
                <w:rFonts w:hint="eastAsia" w:ascii="Microsoft JhengHei" w:eastAsia="Microsoft JhengHei"/>
                <w:b/>
                <w:sz w:val="21"/>
              </w:rPr>
              <w:t>城市</w:t>
            </w:r>
          </w:p>
        </w:tc>
        <w:tc>
          <w:tcPr>
            <w:tcW w:w="710" w:type="dxa"/>
          </w:tcPr>
          <w:p>
            <w:pPr>
              <w:pStyle w:val="21"/>
              <w:pageBreakBefore w:val="0"/>
              <w:kinsoku/>
              <w:wordWrap/>
              <w:overflowPunct/>
              <w:topLinePunct w:val="0"/>
              <w:autoSpaceDE/>
              <w:autoSpaceDN/>
              <w:bidi w:val="0"/>
              <w:spacing w:before="119"/>
              <w:ind w:left="115" w:right="114"/>
              <w:jc w:val="center"/>
              <w:outlineLvl w:val="9"/>
              <w:rPr>
                <w:rFonts w:hint="eastAsia" w:ascii="Microsoft JhengHei" w:eastAsia="Microsoft JhengHei"/>
                <w:b/>
                <w:sz w:val="21"/>
              </w:rPr>
            </w:pPr>
            <w:r>
              <w:rPr>
                <w:rFonts w:hint="eastAsia" w:ascii="Microsoft JhengHei" w:eastAsia="Microsoft JhengHei"/>
                <w:b/>
                <w:sz w:val="21"/>
              </w:rPr>
              <w:t>币种</w:t>
            </w:r>
          </w:p>
        </w:tc>
        <w:tc>
          <w:tcPr>
            <w:tcW w:w="1272" w:type="dxa"/>
          </w:tcPr>
          <w:p>
            <w:pPr>
              <w:pStyle w:val="21"/>
              <w:pageBreakBefore w:val="0"/>
              <w:kinsoku/>
              <w:wordWrap/>
              <w:overflowPunct/>
              <w:topLinePunct w:val="0"/>
              <w:autoSpaceDE/>
              <w:autoSpaceDN/>
              <w:bidi w:val="0"/>
              <w:spacing w:before="0" w:line="314" w:lineRule="exact"/>
              <w:ind w:left="125" w:right="118"/>
              <w:jc w:val="center"/>
              <w:outlineLvl w:val="9"/>
              <w:rPr>
                <w:rFonts w:hint="eastAsia" w:ascii="Microsoft JhengHei" w:eastAsia="Microsoft JhengHei"/>
                <w:b/>
                <w:sz w:val="21"/>
              </w:rPr>
            </w:pPr>
            <w:r>
              <w:rPr>
                <w:rFonts w:hint="eastAsia" w:ascii="Microsoft JhengHei" w:eastAsia="Microsoft JhengHei"/>
                <w:b/>
                <w:sz w:val="21"/>
              </w:rPr>
              <w:t>住宿费</w:t>
            </w:r>
          </w:p>
          <w:p>
            <w:pPr>
              <w:pStyle w:val="21"/>
              <w:pageBreakBefore w:val="0"/>
              <w:kinsoku/>
              <w:wordWrap/>
              <w:overflowPunct/>
              <w:topLinePunct w:val="0"/>
              <w:autoSpaceDE/>
              <w:autoSpaceDN/>
              <w:bidi w:val="0"/>
              <w:spacing w:before="0" w:line="318" w:lineRule="exact"/>
              <w:ind w:left="133" w:right="118"/>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21" w:type="dxa"/>
          </w:tcPr>
          <w:p>
            <w:pPr>
              <w:pStyle w:val="21"/>
              <w:pageBreakBefore w:val="0"/>
              <w:kinsoku/>
              <w:wordWrap/>
              <w:overflowPunct/>
              <w:topLinePunct w:val="0"/>
              <w:autoSpaceDE/>
              <w:autoSpaceDN/>
              <w:bidi w:val="0"/>
              <w:spacing w:before="0" w:line="314" w:lineRule="exact"/>
              <w:ind w:left="205" w:right="194"/>
              <w:jc w:val="center"/>
              <w:outlineLvl w:val="9"/>
              <w:rPr>
                <w:rFonts w:hint="eastAsia" w:ascii="Microsoft JhengHei" w:eastAsia="Microsoft JhengHei"/>
                <w:b/>
                <w:sz w:val="21"/>
              </w:rPr>
            </w:pPr>
            <w:r>
              <w:rPr>
                <w:rFonts w:hint="eastAsia" w:ascii="Microsoft JhengHei" w:eastAsia="Microsoft JhengHei"/>
                <w:b/>
                <w:sz w:val="21"/>
              </w:rPr>
              <w:t>伙食费</w:t>
            </w:r>
          </w:p>
          <w:p>
            <w:pPr>
              <w:pStyle w:val="21"/>
              <w:pageBreakBefore w:val="0"/>
              <w:kinsoku/>
              <w:wordWrap/>
              <w:overflowPunct/>
              <w:topLinePunct w:val="0"/>
              <w:autoSpaceDE/>
              <w:autoSpaceDN/>
              <w:bidi w:val="0"/>
              <w:spacing w:before="0" w:line="318" w:lineRule="exact"/>
              <w:ind w:left="205" w:right="195"/>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397" w:type="dxa"/>
          </w:tcPr>
          <w:p>
            <w:pPr>
              <w:pStyle w:val="21"/>
              <w:pageBreakBefore w:val="0"/>
              <w:kinsoku/>
              <w:wordWrap/>
              <w:overflowPunct/>
              <w:topLinePunct w:val="0"/>
              <w:autoSpaceDE/>
              <w:autoSpaceDN/>
              <w:bidi w:val="0"/>
              <w:spacing w:before="0" w:line="314" w:lineRule="exact"/>
              <w:ind w:left="190" w:right="184"/>
              <w:jc w:val="center"/>
              <w:outlineLvl w:val="9"/>
              <w:rPr>
                <w:rFonts w:hint="eastAsia" w:ascii="Microsoft JhengHei" w:eastAsia="Microsoft JhengHei"/>
                <w:b/>
                <w:sz w:val="21"/>
              </w:rPr>
            </w:pPr>
            <w:r>
              <w:rPr>
                <w:rFonts w:hint="eastAsia" w:ascii="Microsoft JhengHei" w:eastAsia="Microsoft JhengHei"/>
                <w:b/>
                <w:sz w:val="21"/>
              </w:rPr>
              <w:t>公杂费</w:t>
            </w:r>
          </w:p>
          <w:p>
            <w:pPr>
              <w:pStyle w:val="21"/>
              <w:pageBreakBefore w:val="0"/>
              <w:kinsoku/>
              <w:wordWrap/>
              <w:overflowPunct/>
              <w:topLinePunct w:val="0"/>
              <w:autoSpaceDE/>
              <w:autoSpaceDN/>
              <w:bidi w:val="0"/>
              <w:spacing w:before="0" w:line="318" w:lineRule="exact"/>
              <w:ind w:left="190" w:right="185"/>
              <w:jc w:val="center"/>
              <w:outlineLvl w:val="9"/>
              <w:rPr>
                <w:b/>
                <w:sz w:val="21"/>
              </w:rPr>
            </w:pPr>
            <w:r>
              <w:rPr>
                <w:b/>
                <w:sz w:val="21"/>
              </w:rPr>
              <w:t>(</w:t>
            </w:r>
            <w:r>
              <w:rPr>
                <w:rFonts w:hint="eastAsia" w:ascii="Microsoft JhengHei" w:eastAsia="Microsoft JhengHei"/>
                <w:b/>
                <w:sz w:val="21"/>
              </w:rPr>
              <w:t>每人每天</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59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卡塔尔</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160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60</w:t>
            </w:r>
          </w:p>
        </w:tc>
        <w:tc>
          <w:tcPr>
            <w:tcW w:w="1397" w:type="dxa"/>
          </w:tcPr>
          <w:p>
            <w:pPr>
              <w:pStyle w:val="21"/>
              <w:pageBreakBefore w:val="0"/>
              <w:kinsoku/>
              <w:wordWrap/>
              <w:overflowPunct/>
              <w:topLinePunct w:val="0"/>
              <w:autoSpaceDE/>
              <w:autoSpaceDN/>
              <w:bidi w:val="0"/>
              <w:ind w:left="591"/>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香港</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港币</w:t>
            </w:r>
          </w:p>
        </w:tc>
        <w:tc>
          <w:tcPr>
            <w:tcW w:w="1272" w:type="dxa"/>
          </w:tcPr>
          <w:p>
            <w:pPr>
              <w:pStyle w:val="21"/>
              <w:pageBreakBefore w:val="0"/>
              <w:kinsoku/>
              <w:wordWrap/>
              <w:overflowPunct/>
              <w:topLinePunct w:val="0"/>
              <w:autoSpaceDE/>
              <w:autoSpaceDN/>
              <w:bidi w:val="0"/>
              <w:ind w:left="126" w:right="118"/>
              <w:jc w:val="center"/>
              <w:outlineLvl w:val="9"/>
              <w:rPr>
                <w:rFonts w:eastAsia="宋体"/>
                <w:sz w:val="21"/>
                <w:lang w:val="en-US"/>
              </w:rPr>
            </w:pPr>
            <w:r>
              <w:rPr>
                <w:sz w:val="21"/>
              </w:rPr>
              <w:t>1</w:t>
            </w:r>
            <w:r>
              <w:rPr>
                <w:rFonts w:hint="eastAsia" w:eastAsia="宋体"/>
                <w:sz w:val="21"/>
                <w:lang w:val="en-US"/>
              </w:rPr>
              <w:t>500</w:t>
            </w:r>
          </w:p>
        </w:tc>
        <w:tc>
          <w:tcPr>
            <w:tcW w:w="1421" w:type="dxa"/>
          </w:tcPr>
          <w:p>
            <w:pPr>
              <w:pStyle w:val="21"/>
              <w:pageBreakBefore w:val="0"/>
              <w:kinsoku/>
              <w:wordWrap/>
              <w:overflowPunct/>
              <w:topLinePunct w:val="0"/>
              <w:autoSpaceDE/>
              <w:autoSpaceDN/>
              <w:bidi w:val="0"/>
              <w:ind w:left="199" w:right="195"/>
              <w:jc w:val="center"/>
              <w:outlineLvl w:val="9"/>
              <w:rPr>
                <w:sz w:val="21"/>
              </w:rPr>
            </w:pPr>
            <w:r>
              <w:rPr>
                <w:sz w:val="21"/>
              </w:rPr>
              <w:t>500</w:t>
            </w:r>
          </w:p>
        </w:tc>
        <w:tc>
          <w:tcPr>
            <w:tcW w:w="1397" w:type="dxa"/>
          </w:tcPr>
          <w:p>
            <w:pPr>
              <w:pStyle w:val="21"/>
              <w:pageBreakBefore w:val="0"/>
              <w:kinsoku/>
              <w:wordWrap/>
              <w:overflowPunct/>
              <w:topLinePunct w:val="0"/>
              <w:autoSpaceDE/>
              <w:autoSpaceDN/>
              <w:bidi w:val="0"/>
              <w:ind w:left="533"/>
              <w:outlineLvl w:val="9"/>
              <w:rPr>
                <w:sz w:val="21"/>
              </w:rPr>
            </w:pPr>
            <w:r>
              <w:rPr>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澳门</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港币</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1200</w:t>
            </w:r>
          </w:p>
        </w:tc>
        <w:tc>
          <w:tcPr>
            <w:tcW w:w="1421" w:type="dxa"/>
          </w:tcPr>
          <w:p>
            <w:pPr>
              <w:pStyle w:val="21"/>
              <w:pageBreakBefore w:val="0"/>
              <w:kinsoku/>
              <w:wordWrap/>
              <w:overflowPunct/>
              <w:topLinePunct w:val="0"/>
              <w:autoSpaceDE/>
              <w:autoSpaceDN/>
              <w:bidi w:val="0"/>
              <w:ind w:left="199" w:right="195"/>
              <w:jc w:val="center"/>
              <w:outlineLvl w:val="9"/>
              <w:rPr>
                <w:sz w:val="21"/>
              </w:rPr>
            </w:pPr>
            <w:r>
              <w:rPr>
                <w:sz w:val="21"/>
              </w:rPr>
              <w:t>500</w:t>
            </w:r>
          </w:p>
        </w:tc>
        <w:tc>
          <w:tcPr>
            <w:tcW w:w="1397" w:type="dxa"/>
          </w:tcPr>
          <w:p>
            <w:pPr>
              <w:pStyle w:val="21"/>
              <w:pageBreakBefore w:val="0"/>
              <w:kinsoku/>
              <w:wordWrap/>
              <w:overflowPunct/>
              <w:topLinePunct w:val="0"/>
              <w:autoSpaceDE/>
              <w:autoSpaceDN/>
              <w:bidi w:val="0"/>
              <w:ind w:left="533"/>
              <w:outlineLvl w:val="9"/>
              <w:rPr>
                <w:sz w:val="21"/>
              </w:rPr>
            </w:pPr>
            <w:r>
              <w:rPr>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台湾</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150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60</w:t>
            </w:r>
          </w:p>
        </w:tc>
        <w:tc>
          <w:tcPr>
            <w:tcW w:w="1397" w:type="dxa"/>
          </w:tcPr>
          <w:p>
            <w:pPr>
              <w:pStyle w:val="21"/>
              <w:pageBreakBefore w:val="0"/>
              <w:kinsoku/>
              <w:wordWrap/>
              <w:overflowPunct/>
              <w:topLinePunct w:val="0"/>
              <w:autoSpaceDE/>
              <w:autoSpaceDN/>
              <w:bidi w:val="0"/>
              <w:ind w:left="591"/>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spacing w:before="0" w:line="359" w:lineRule="exact"/>
              <w:ind w:left="206"/>
              <w:outlineLvl w:val="9"/>
              <w:rPr>
                <w:rFonts w:hint="eastAsia" w:ascii="Microsoft JhengHei" w:eastAsia="Microsoft JhengHei"/>
                <w:b/>
                <w:sz w:val="21"/>
              </w:rPr>
            </w:pPr>
            <w:r>
              <w:rPr>
                <w:rFonts w:hint="eastAsia" w:ascii="Microsoft JhengHei" w:eastAsia="Microsoft JhengHei"/>
                <w:b/>
                <w:sz w:val="21"/>
              </w:rPr>
              <w:t>二</w:t>
            </w:r>
          </w:p>
        </w:tc>
        <w:tc>
          <w:tcPr>
            <w:tcW w:w="1987" w:type="dxa"/>
          </w:tcPr>
          <w:p>
            <w:pPr>
              <w:pStyle w:val="21"/>
              <w:pageBreakBefore w:val="0"/>
              <w:kinsoku/>
              <w:wordWrap/>
              <w:overflowPunct/>
              <w:topLinePunct w:val="0"/>
              <w:autoSpaceDE/>
              <w:autoSpaceDN/>
              <w:bidi w:val="0"/>
              <w:spacing w:before="0" w:line="359" w:lineRule="exact"/>
              <w:ind w:left="110"/>
              <w:outlineLvl w:val="9"/>
              <w:rPr>
                <w:rFonts w:hint="eastAsia" w:ascii="Microsoft JhengHei" w:eastAsia="Microsoft JhengHei"/>
                <w:b/>
                <w:sz w:val="21"/>
              </w:rPr>
            </w:pPr>
            <w:r>
              <w:rPr>
                <w:rFonts w:hint="eastAsia" w:ascii="Microsoft JhengHei" w:eastAsia="Microsoft JhengHei"/>
                <w:b/>
                <w:sz w:val="21"/>
              </w:rPr>
              <w:t>非 洲</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0"/>
              <w:outlineLvl w:val="9"/>
              <w:rPr>
                <w:rFonts w:ascii="Times New Roman"/>
                <w:sz w:val="20"/>
              </w:rPr>
            </w:pPr>
          </w:p>
        </w:tc>
        <w:tc>
          <w:tcPr>
            <w:tcW w:w="1272" w:type="dxa"/>
          </w:tcPr>
          <w:p>
            <w:pPr>
              <w:pStyle w:val="21"/>
              <w:pageBreakBefore w:val="0"/>
              <w:kinsoku/>
              <w:wordWrap/>
              <w:overflowPunct/>
              <w:topLinePunct w:val="0"/>
              <w:autoSpaceDE/>
              <w:autoSpaceDN/>
              <w:bidi w:val="0"/>
              <w:spacing w:before="0"/>
              <w:outlineLvl w:val="9"/>
              <w:rPr>
                <w:rFonts w:ascii="Times New Roman"/>
                <w:sz w:val="20"/>
              </w:rPr>
            </w:pPr>
          </w:p>
        </w:tc>
        <w:tc>
          <w:tcPr>
            <w:tcW w:w="1421" w:type="dxa"/>
          </w:tcPr>
          <w:p>
            <w:pPr>
              <w:pStyle w:val="21"/>
              <w:pageBreakBefore w:val="0"/>
              <w:kinsoku/>
              <w:wordWrap/>
              <w:overflowPunct/>
              <w:topLinePunct w:val="0"/>
              <w:autoSpaceDE/>
              <w:autoSpaceDN/>
              <w:bidi w:val="0"/>
              <w:spacing w:before="0"/>
              <w:outlineLvl w:val="9"/>
              <w:rPr>
                <w:rFonts w:ascii="Times New Roman"/>
                <w:sz w:val="20"/>
              </w:rPr>
            </w:pPr>
          </w:p>
        </w:tc>
        <w:tc>
          <w:tcPr>
            <w:tcW w:w="1397" w:type="dxa"/>
          </w:tcPr>
          <w:p>
            <w:pPr>
              <w:pStyle w:val="21"/>
              <w:pageBreakBefore w:val="0"/>
              <w:kinsoku/>
              <w:wordWrap/>
              <w:overflowPunct/>
              <w:topLinePunct w:val="0"/>
              <w:autoSpaceDE/>
              <w:autoSpaceDN/>
              <w:bidi w:val="0"/>
              <w:spacing w:before="0"/>
              <w:outlineLvl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马达加斯加</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塔那那利佛</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38</w:t>
            </w:r>
          </w:p>
        </w:tc>
        <w:tc>
          <w:tcPr>
            <w:tcW w:w="1397" w:type="dxa"/>
          </w:tcPr>
          <w:p>
            <w:pPr>
              <w:pStyle w:val="21"/>
              <w:pageBreakBefore w:val="0"/>
              <w:kinsoku/>
              <w:wordWrap/>
              <w:overflowPunct/>
              <w:topLinePunct w:val="0"/>
              <w:autoSpaceDE/>
              <w:autoSpaceDN/>
              <w:bidi w:val="0"/>
              <w:ind w:left="591"/>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64</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塔马塔夫</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100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38</w:t>
            </w:r>
          </w:p>
        </w:tc>
        <w:tc>
          <w:tcPr>
            <w:tcW w:w="1397" w:type="dxa"/>
          </w:tcPr>
          <w:p>
            <w:pPr>
              <w:pStyle w:val="21"/>
              <w:pageBreakBefore w:val="0"/>
              <w:kinsoku/>
              <w:wordWrap/>
              <w:overflowPunct/>
              <w:topLinePunct w:val="0"/>
              <w:autoSpaceDE/>
              <w:autoSpaceDN/>
              <w:bidi w:val="0"/>
              <w:ind w:left="591"/>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65</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6" w:right="118"/>
              <w:jc w:val="center"/>
              <w:outlineLvl w:val="9"/>
              <w:rPr>
                <w:sz w:val="21"/>
              </w:rPr>
            </w:pPr>
            <w:r>
              <w:rPr>
                <w:sz w:val="21"/>
              </w:rPr>
              <w:t>90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38</w:t>
            </w:r>
          </w:p>
        </w:tc>
        <w:tc>
          <w:tcPr>
            <w:tcW w:w="1397" w:type="dxa"/>
          </w:tcPr>
          <w:p>
            <w:pPr>
              <w:pStyle w:val="21"/>
              <w:pageBreakBefore w:val="0"/>
              <w:kinsoku/>
              <w:wordWrap/>
              <w:overflowPunct/>
              <w:topLinePunct w:val="0"/>
              <w:autoSpaceDE/>
              <w:autoSpaceDN/>
              <w:bidi w:val="0"/>
              <w:ind w:left="591"/>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喀麦隆</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多哥</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110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48</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科特迪瓦</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69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摩洛哥</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阿尔及利亚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55</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卢旺达</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32</w:t>
            </w:r>
          </w:p>
        </w:tc>
        <w:tc>
          <w:tcPr>
            <w:tcW w:w="1397" w:type="dxa"/>
          </w:tcPr>
          <w:p>
            <w:pPr>
              <w:pStyle w:val="21"/>
              <w:pageBreakBefore w:val="0"/>
              <w:kinsoku/>
              <w:wordWrap/>
              <w:overflowPunct/>
              <w:topLinePunct w:val="0"/>
              <w:autoSpaceDE/>
              <w:autoSpaceDN/>
              <w:bidi w:val="0"/>
              <w:ind w:left="591"/>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几内亚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55</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埃塞俄比亚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210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厄立特里亚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110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莫桑比克</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170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塞舌尔</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240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肯尼亚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195</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利比亚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160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79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安哥拉</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400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60</w:t>
            </w:r>
          </w:p>
        </w:tc>
        <w:tc>
          <w:tcPr>
            <w:tcW w:w="1397" w:type="dxa"/>
          </w:tcPr>
          <w:p>
            <w:pPr>
              <w:pStyle w:val="21"/>
              <w:pageBreakBefore w:val="0"/>
              <w:kinsoku/>
              <w:wordWrap/>
              <w:overflowPunct/>
              <w:topLinePunct w:val="0"/>
              <w:autoSpaceDE/>
              <w:autoSpaceDN/>
              <w:bidi w:val="0"/>
              <w:ind w:left="591"/>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赞比亚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150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45</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几内亚比绍</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135</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45</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突尼斯</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100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40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布隆迪</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150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40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84</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莱索托</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100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35</w:t>
            </w:r>
          </w:p>
        </w:tc>
        <w:tc>
          <w:tcPr>
            <w:tcW w:w="1397" w:type="dxa"/>
          </w:tcPr>
          <w:p>
            <w:pPr>
              <w:pStyle w:val="21"/>
              <w:pageBreakBefore w:val="0"/>
              <w:kinsoku/>
              <w:wordWrap/>
              <w:overflowPunct/>
              <w:topLinePunct w:val="0"/>
              <w:autoSpaceDE/>
              <w:autoSpaceDN/>
              <w:bidi w:val="0"/>
              <w:ind w:left="591"/>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85</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津巴布韦</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45</w:t>
            </w:r>
          </w:p>
        </w:tc>
        <w:tc>
          <w:tcPr>
            <w:tcW w:w="1397" w:type="dxa"/>
          </w:tcPr>
          <w:p>
            <w:pPr>
              <w:pStyle w:val="21"/>
              <w:pageBreakBefore w:val="0"/>
              <w:kinsoku/>
              <w:wordWrap/>
              <w:overflowPunct/>
              <w:topLinePunct w:val="0"/>
              <w:autoSpaceDE/>
              <w:autoSpaceDN/>
              <w:bidi w:val="0"/>
              <w:ind w:left="591"/>
              <w:outlineLvl w:val="9"/>
              <w:rPr>
                <w:sz w:val="21"/>
              </w:rPr>
            </w:pPr>
            <w:r>
              <w:rPr>
                <w:sz w:val="21"/>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尼日利亚</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阿布贾</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270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60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拉各斯</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300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60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250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60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89</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毛里求斯</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155</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90</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索马里</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50</w:t>
            </w:r>
          </w:p>
        </w:tc>
        <w:tc>
          <w:tcPr>
            <w:tcW w:w="1397" w:type="dxa"/>
          </w:tcPr>
          <w:p>
            <w:pPr>
              <w:pStyle w:val="21"/>
              <w:pageBreakBefore w:val="0"/>
              <w:kinsoku/>
              <w:wordWrap/>
              <w:overflowPunct/>
              <w:topLinePunct w:val="0"/>
              <w:autoSpaceDE/>
              <w:autoSpaceDN/>
              <w:bidi w:val="0"/>
              <w:ind w:left="591"/>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91</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苏丹</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130</w:t>
            </w:r>
          </w:p>
        </w:tc>
        <w:tc>
          <w:tcPr>
            <w:tcW w:w="1421" w:type="dxa"/>
          </w:tcPr>
          <w:p>
            <w:pPr>
              <w:pStyle w:val="21"/>
              <w:pageBreakBefore w:val="0"/>
              <w:kinsoku/>
              <w:wordWrap/>
              <w:overflowPunct/>
              <w:topLinePunct w:val="0"/>
              <w:autoSpaceDE/>
              <w:autoSpaceDN/>
              <w:bidi w:val="0"/>
              <w:ind w:left="205" w:right="192"/>
              <w:jc w:val="center"/>
              <w:outlineLvl w:val="9"/>
              <w:rPr>
                <w:sz w:val="21"/>
              </w:rPr>
            </w:pPr>
            <w:r>
              <w:rPr>
                <w:sz w:val="21"/>
              </w:rPr>
              <w:t>40</w:t>
            </w:r>
          </w:p>
        </w:tc>
        <w:tc>
          <w:tcPr>
            <w:tcW w:w="1397" w:type="dxa"/>
          </w:tcPr>
          <w:p>
            <w:pPr>
              <w:pStyle w:val="21"/>
              <w:pageBreakBefore w:val="0"/>
              <w:kinsoku/>
              <w:wordWrap/>
              <w:overflowPunct/>
              <w:topLinePunct w:val="0"/>
              <w:autoSpaceDE/>
              <w:autoSpaceDN/>
              <w:bidi w:val="0"/>
              <w:ind w:left="591"/>
              <w:outlineLvl w:val="9"/>
              <w:rPr>
                <w:sz w:val="21"/>
              </w:rPr>
            </w:pPr>
            <w:r>
              <w:rPr>
                <w:sz w:val="21"/>
              </w:rPr>
              <w:t>32</w:t>
            </w:r>
          </w:p>
        </w:tc>
      </w:tr>
    </w:tbl>
    <w:p>
      <w:pPr>
        <w:pageBreakBefore w:val="0"/>
        <w:kinsoku/>
        <w:wordWrap/>
        <w:overflowPunct/>
        <w:topLinePunct w:val="0"/>
        <w:autoSpaceDE/>
        <w:autoSpaceDN/>
        <w:bidi w:val="0"/>
        <w:outlineLvl w:val="9"/>
        <w:rPr>
          <w:sz w:val="21"/>
        </w:rPr>
        <w:sectPr>
          <w:pgSz w:w="11900" w:h="16840"/>
          <w:pgMar w:top="1440" w:right="1060" w:bottom="280" w:left="1080" w:header="720" w:footer="720" w:gutter="0"/>
          <w:pgNumType w:fmt="decimal"/>
          <w:cols w:space="720" w:num="1"/>
        </w:sectPr>
      </w:pPr>
    </w:p>
    <w:tbl>
      <w:tblPr>
        <w:tblStyle w:val="14"/>
        <w:tblW w:w="953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987"/>
        <w:gridCol w:w="2126"/>
        <w:gridCol w:w="710"/>
        <w:gridCol w:w="1272"/>
        <w:gridCol w:w="1421"/>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trPr>
        <w:tc>
          <w:tcPr>
            <w:tcW w:w="619" w:type="dxa"/>
          </w:tcPr>
          <w:p>
            <w:pPr>
              <w:pStyle w:val="21"/>
              <w:pageBreakBefore w:val="0"/>
              <w:kinsoku/>
              <w:wordWrap/>
              <w:overflowPunct/>
              <w:topLinePunct w:val="0"/>
              <w:autoSpaceDE/>
              <w:autoSpaceDN/>
              <w:bidi w:val="0"/>
              <w:spacing w:before="0" w:line="314" w:lineRule="exact"/>
              <w:ind w:left="206"/>
              <w:outlineLvl w:val="9"/>
              <w:rPr>
                <w:rFonts w:hint="eastAsia" w:ascii="Microsoft JhengHei" w:eastAsia="Microsoft JhengHei"/>
                <w:b/>
                <w:sz w:val="21"/>
              </w:rPr>
            </w:pPr>
            <w:r>
              <w:rPr>
                <w:rFonts w:hint="eastAsia" w:ascii="Microsoft JhengHei" w:eastAsia="Microsoft JhengHei"/>
                <w:b/>
                <w:sz w:val="21"/>
              </w:rPr>
              <w:t>序</w:t>
            </w:r>
          </w:p>
          <w:p>
            <w:pPr>
              <w:pStyle w:val="21"/>
              <w:pageBreakBefore w:val="0"/>
              <w:kinsoku/>
              <w:wordWrap/>
              <w:overflowPunct/>
              <w:topLinePunct w:val="0"/>
              <w:autoSpaceDE/>
              <w:autoSpaceDN/>
              <w:bidi w:val="0"/>
              <w:spacing w:before="0" w:line="318" w:lineRule="exact"/>
              <w:ind w:left="206"/>
              <w:outlineLvl w:val="9"/>
              <w:rPr>
                <w:rFonts w:hint="eastAsia" w:ascii="Microsoft JhengHei" w:eastAsia="Microsoft JhengHei"/>
                <w:b/>
                <w:sz w:val="21"/>
              </w:rPr>
            </w:pPr>
            <w:r>
              <w:rPr>
                <w:rFonts w:hint="eastAsia" w:ascii="Microsoft JhengHei" w:eastAsia="Microsoft JhengHei"/>
                <w:b/>
                <w:sz w:val="21"/>
              </w:rPr>
              <w:t>号</w:t>
            </w:r>
          </w:p>
        </w:tc>
        <w:tc>
          <w:tcPr>
            <w:tcW w:w="1987" w:type="dxa"/>
          </w:tcPr>
          <w:p>
            <w:pPr>
              <w:pStyle w:val="21"/>
              <w:pageBreakBefore w:val="0"/>
              <w:kinsoku/>
              <w:wordWrap/>
              <w:overflowPunct/>
              <w:topLinePunct w:val="0"/>
              <w:autoSpaceDE/>
              <w:autoSpaceDN/>
              <w:bidi w:val="0"/>
              <w:spacing w:before="119"/>
              <w:ind w:left="364"/>
              <w:outlineLvl w:val="9"/>
              <w:rPr>
                <w:rFonts w:hint="eastAsia" w:ascii="Microsoft JhengHei" w:eastAsia="Microsoft JhengHei"/>
                <w:b/>
                <w:sz w:val="21"/>
              </w:rPr>
            </w:pPr>
            <w:r>
              <w:rPr>
                <w:rFonts w:hint="eastAsia" w:ascii="Microsoft JhengHei" w:eastAsia="Microsoft JhengHei"/>
                <w:b/>
                <w:sz w:val="21"/>
              </w:rPr>
              <w:t>国家（地区）</w:t>
            </w:r>
          </w:p>
        </w:tc>
        <w:tc>
          <w:tcPr>
            <w:tcW w:w="2126" w:type="dxa"/>
          </w:tcPr>
          <w:p>
            <w:pPr>
              <w:pStyle w:val="21"/>
              <w:pageBreakBefore w:val="0"/>
              <w:kinsoku/>
              <w:wordWrap/>
              <w:overflowPunct/>
              <w:topLinePunct w:val="0"/>
              <w:autoSpaceDE/>
              <w:autoSpaceDN/>
              <w:bidi w:val="0"/>
              <w:spacing w:before="119"/>
              <w:ind w:left="88" w:right="73"/>
              <w:jc w:val="center"/>
              <w:outlineLvl w:val="9"/>
              <w:rPr>
                <w:rFonts w:hint="eastAsia" w:ascii="Microsoft JhengHei" w:eastAsia="Microsoft JhengHei"/>
                <w:b/>
                <w:sz w:val="21"/>
              </w:rPr>
            </w:pPr>
            <w:r>
              <w:rPr>
                <w:rFonts w:hint="eastAsia" w:ascii="Microsoft JhengHei" w:eastAsia="Microsoft JhengHei"/>
                <w:b/>
                <w:sz w:val="21"/>
              </w:rPr>
              <w:t>城市</w:t>
            </w:r>
          </w:p>
        </w:tc>
        <w:tc>
          <w:tcPr>
            <w:tcW w:w="710" w:type="dxa"/>
          </w:tcPr>
          <w:p>
            <w:pPr>
              <w:pStyle w:val="21"/>
              <w:pageBreakBefore w:val="0"/>
              <w:kinsoku/>
              <w:wordWrap/>
              <w:overflowPunct/>
              <w:topLinePunct w:val="0"/>
              <w:autoSpaceDE/>
              <w:autoSpaceDN/>
              <w:bidi w:val="0"/>
              <w:spacing w:before="119"/>
              <w:ind w:left="115" w:right="114"/>
              <w:jc w:val="center"/>
              <w:outlineLvl w:val="9"/>
              <w:rPr>
                <w:rFonts w:hint="eastAsia" w:ascii="Microsoft JhengHei" w:eastAsia="Microsoft JhengHei"/>
                <w:b/>
                <w:sz w:val="21"/>
              </w:rPr>
            </w:pPr>
            <w:r>
              <w:rPr>
                <w:rFonts w:hint="eastAsia" w:ascii="Microsoft JhengHei" w:eastAsia="Microsoft JhengHei"/>
                <w:b/>
                <w:sz w:val="21"/>
              </w:rPr>
              <w:t>币种</w:t>
            </w:r>
          </w:p>
        </w:tc>
        <w:tc>
          <w:tcPr>
            <w:tcW w:w="1272" w:type="dxa"/>
          </w:tcPr>
          <w:p>
            <w:pPr>
              <w:pStyle w:val="21"/>
              <w:pageBreakBefore w:val="0"/>
              <w:kinsoku/>
              <w:wordWrap/>
              <w:overflowPunct/>
              <w:topLinePunct w:val="0"/>
              <w:autoSpaceDE/>
              <w:autoSpaceDN/>
              <w:bidi w:val="0"/>
              <w:spacing w:before="0" w:line="314" w:lineRule="exact"/>
              <w:ind w:left="125" w:right="118"/>
              <w:jc w:val="center"/>
              <w:outlineLvl w:val="9"/>
              <w:rPr>
                <w:rFonts w:hint="eastAsia" w:ascii="Microsoft JhengHei" w:eastAsia="Microsoft JhengHei"/>
                <w:b/>
                <w:sz w:val="21"/>
              </w:rPr>
            </w:pPr>
            <w:r>
              <w:rPr>
                <w:rFonts w:hint="eastAsia" w:ascii="Microsoft JhengHei" w:eastAsia="Microsoft JhengHei"/>
                <w:b/>
                <w:sz w:val="21"/>
              </w:rPr>
              <w:t>住宿费</w:t>
            </w:r>
          </w:p>
          <w:p>
            <w:pPr>
              <w:pStyle w:val="21"/>
              <w:pageBreakBefore w:val="0"/>
              <w:kinsoku/>
              <w:wordWrap/>
              <w:overflowPunct/>
              <w:topLinePunct w:val="0"/>
              <w:autoSpaceDE/>
              <w:autoSpaceDN/>
              <w:bidi w:val="0"/>
              <w:spacing w:before="0" w:line="318" w:lineRule="exact"/>
              <w:ind w:left="133" w:right="118"/>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21" w:type="dxa"/>
          </w:tcPr>
          <w:p>
            <w:pPr>
              <w:pStyle w:val="21"/>
              <w:pageBreakBefore w:val="0"/>
              <w:kinsoku/>
              <w:wordWrap/>
              <w:overflowPunct/>
              <w:topLinePunct w:val="0"/>
              <w:autoSpaceDE/>
              <w:autoSpaceDN/>
              <w:bidi w:val="0"/>
              <w:spacing w:before="0" w:line="314" w:lineRule="exact"/>
              <w:ind w:left="205" w:right="194"/>
              <w:jc w:val="center"/>
              <w:outlineLvl w:val="9"/>
              <w:rPr>
                <w:rFonts w:hint="eastAsia" w:ascii="Microsoft JhengHei" w:eastAsia="Microsoft JhengHei"/>
                <w:b/>
                <w:sz w:val="21"/>
              </w:rPr>
            </w:pPr>
            <w:r>
              <w:rPr>
                <w:rFonts w:hint="eastAsia" w:ascii="Microsoft JhengHei" w:eastAsia="Microsoft JhengHei"/>
                <w:b/>
                <w:sz w:val="21"/>
              </w:rPr>
              <w:t>伙食费</w:t>
            </w:r>
          </w:p>
          <w:p>
            <w:pPr>
              <w:pStyle w:val="21"/>
              <w:pageBreakBefore w:val="0"/>
              <w:kinsoku/>
              <w:wordWrap/>
              <w:overflowPunct/>
              <w:topLinePunct w:val="0"/>
              <w:autoSpaceDE/>
              <w:autoSpaceDN/>
              <w:bidi w:val="0"/>
              <w:spacing w:before="0" w:line="318" w:lineRule="exact"/>
              <w:ind w:left="205" w:right="195"/>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397" w:type="dxa"/>
          </w:tcPr>
          <w:p>
            <w:pPr>
              <w:pStyle w:val="21"/>
              <w:pageBreakBefore w:val="0"/>
              <w:kinsoku/>
              <w:wordWrap/>
              <w:overflowPunct/>
              <w:topLinePunct w:val="0"/>
              <w:autoSpaceDE/>
              <w:autoSpaceDN/>
              <w:bidi w:val="0"/>
              <w:spacing w:before="0" w:line="314" w:lineRule="exact"/>
              <w:ind w:left="190" w:right="184"/>
              <w:jc w:val="center"/>
              <w:outlineLvl w:val="9"/>
              <w:rPr>
                <w:rFonts w:hint="eastAsia" w:ascii="Microsoft JhengHei" w:eastAsia="Microsoft JhengHei"/>
                <w:b/>
                <w:sz w:val="21"/>
              </w:rPr>
            </w:pPr>
            <w:r>
              <w:rPr>
                <w:rFonts w:hint="eastAsia" w:ascii="Microsoft JhengHei" w:eastAsia="Microsoft JhengHei"/>
                <w:b/>
                <w:sz w:val="21"/>
              </w:rPr>
              <w:t>公杂费</w:t>
            </w:r>
          </w:p>
          <w:p>
            <w:pPr>
              <w:pStyle w:val="21"/>
              <w:pageBreakBefore w:val="0"/>
              <w:kinsoku/>
              <w:wordWrap/>
              <w:overflowPunct/>
              <w:topLinePunct w:val="0"/>
              <w:autoSpaceDE/>
              <w:autoSpaceDN/>
              <w:bidi w:val="0"/>
              <w:spacing w:before="0" w:line="318" w:lineRule="exact"/>
              <w:ind w:left="190" w:right="185"/>
              <w:jc w:val="center"/>
              <w:outlineLvl w:val="9"/>
              <w:rPr>
                <w:b/>
                <w:sz w:val="21"/>
              </w:rPr>
            </w:pPr>
            <w:r>
              <w:rPr>
                <w:b/>
                <w:sz w:val="21"/>
              </w:rPr>
              <w:t>(</w:t>
            </w:r>
            <w:r>
              <w:rPr>
                <w:rFonts w:hint="eastAsia" w:ascii="Microsoft JhengHei" w:eastAsia="Microsoft JhengHei"/>
                <w:b/>
                <w:sz w:val="21"/>
              </w:rPr>
              <w:t>每人每天</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贝宁</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35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马里</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乌干达</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塞拉里昂</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155</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吉布提</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塞内加尔</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165</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冈比亚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206"/>
              <w:outlineLvl w:val="9"/>
              <w:rPr>
                <w:sz w:val="21"/>
              </w:rPr>
            </w:pPr>
            <w:r>
              <w:rPr>
                <w:sz w:val="21"/>
              </w:rPr>
              <w:t>99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加蓬</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bookmarkStart w:id="1222" w:name="_Toc5606_WPSOffice_Level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中非</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14</w:t>
            </w:r>
            <w:bookmarkEnd w:id="1222"/>
            <w:r>
              <w:rPr>
                <w:rFonts w:hint="eastAsia" w:eastAsia="宋体"/>
                <w:sz w:val="21"/>
                <w:lang w:val="en-US"/>
              </w:rPr>
              <w:t>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布基纳法索</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毛里塔尼亚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尼日尔</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145</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乍得</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220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赤道几内亚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加纳</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坦桑尼亚</w:t>
            </w:r>
          </w:p>
        </w:tc>
        <w:tc>
          <w:tcPr>
            <w:tcW w:w="2126" w:type="dxa"/>
          </w:tcPr>
          <w:p>
            <w:pPr>
              <w:pStyle w:val="21"/>
              <w:pageBreakBefore w:val="0"/>
              <w:kinsoku/>
              <w:wordWrap/>
              <w:overflowPunct/>
              <w:topLinePunct w:val="0"/>
              <w:autoSpaceDE/>
              <w:autoSpaceDN/>
              <w:bidi w:val="0"/>
              <w:spacing w:before="54"/>
              <w:ind w:left="93" w:right="73"/>
              <w:jc w:val="center"/>
              <w:outlineLvl w:val="9"/>
              <w:rPr>
                <w:rFonts w:hint="eastAsia" w:ascii="仿宋" w:eastAsia="仿宋"/>
                <w:sz w:val="21"/>
              </w:rPr>
            </w:pPr>
            <w:r>
              <w:rPr>
                <w:rFonts w:hint="eastAsia" w:ascii="仿宋" w:eastAsia="仿宋"/>
                <w:sz w:val="21"/>
              </w:rPr>
              <w:t>达累斯萨拉姆</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桑给巴尔</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210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109</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刚果（金）</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220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刚果（布）</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埃及</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圣多美和普林西比</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博茨瓦纳</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南非</w:t>
            </w:r>
          </w:p>
        </w:tc>
        <w:tc>
          <w:tcPr>
            <w:tcW w:w="2126" w:type="dxa"/>
          </w:tcPr>
          <w:p>
            <w:pPr>
              <w:pStyle w:val="21"/>
              <w:pageBreakBefore w:val="0"/>
              <w:kinsoku/>
              <w:wordWrap/>
              <w:overflowPunct/>
              <w:topLinePunct w:val="0"/>
              <w:autoSpaceDE/>
              <w:autoSpaceDN/>
              <w:bidi w:val="0"/>
              <w:spacing w:before="54"/>
              <w:ind w:left="103" w:right="44"/>
              <w:jc w:val="center"/>
              <w:outlineLvl w:val="9"/>
              <w:rPr>
                <w:rFonts w:hint="eastAsia" w:ascii="仿宋" w:eastAsia="仿宋"/>
                <w:sz w:val="21"/>
              </w:rPr>
            </w:pPr>
            <w:r>
              <w:rPr>
                <w:rFonts w:hint="eastAsia" w:ascii="仿宋" w:eastAsia="仿宋"/>
                <w:sz w:val="21"/>
              </w:rPr>
              <w:t>比勒陀尼亚、约翰内斯堡</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116</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开普敦</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210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德班</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119</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纳米比亚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35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斯威士兰</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利比里亚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195</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122</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佛得角</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123</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科摩罗</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124</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南苏丹</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125</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马拉维</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bl>
    <w:p>
      <w:pPr>
        <w:pageBreakBefore w:val="0"/>
        <w:kinsoku/>
        <w:wordWrap/>
        <w:overflowPunct/>
        <w:topLinePunct w:val="0"/>
        <w:autoSpaceDE/>
        <w:autoSpaceDN/>
        <w:bidi w:val="0"/>
        <w:jc w:val="center"/>
        <w:outlineLvl w:val="9"/>
        <w:rPr>
          <w:sz w:val="21"/>
        </w:rPr>
        <w:sectPr>
          <w:pgSz w:w="11900" w:h="16840"/>
          <w:pgMar w:top="1440" w:right="1060" w:bottom="280" w:left="1080" w:header="720" w:footer="720" w:gutter="0"/>
          <w:pgNumType w:fmt="decimal"/>
          <w:cols w:space="720" w:num="1"/>
        </w:sectPr>
      </w:pPr>
    </w:p>
    <w:tbl>
      <w:tblPr>
        <w:tblStyle w:val="14"/>
        <w:tblW w:w="953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987"/>
        <w:gridCol w:w="2126"/>
        <w:gridCol w:w="710"/>
        <w:gridCol w:w="1272"/>
        <w:gridCol w:w="1421"/>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trPr>
        <w:tc>
          <w:tcPr>
            <w:tcW w:w="619" w:type="dxa"/>
          </w:tcPr>
          <w:p>
            <w:pPr>
              <w:pStyle w:val="21"/>
              <w:pageBreakBefore w:val="0"/>
              <w:kinsoku/>
              <w:wordWrap/>
              <w:overflowPunct/>
              <w:topLinePunct w:val="0"/>
              <w:autoSpaceDE/>
              <w:autoSpaceDN/>
              <w:bidi w:val="0"/>
              <w:spacing w:before="0" w:line="314" w:lineRule="exact"/>
              <w:ind w:left="206"/>
              <w:outlineLvl w:val="9"/>
              <w:rPr>
                <w:rFonts w:hint="eastAsia" w:ascii="Microsoft JhengHei" w:eastAsia="Microsoft JhengHei"/>
                <w:b/>
                <w:sz w:val="21"/>
              </w:rPr>
            </w:pPr>
            <w:r>
              <w:rPr>
                <w:rFonts w:hint="eastAsia" w:ascii="Microsoft JhengHei" w:eastAsia="Microsoft JhengHei"/>
                <w:b/>
                <w:sz w:val="21"/>
              </w:rPr>
              <w:t>序</w:t>
            </w:r>
          </w:p>
          <w:p>
            <w:pPr>
              <w:pStyle w:val="21"/>
              <w:pageBreakBefore w:val="0"/>
              <w:kinsoku/>
              <w:wordWrap/>
              <w:overflowPunct/>
              <w:topLinePunct w:val="0"/>
              <w:autoSpaceDE/>
              <w:autoSpaceDN/>
              <w:bidi w:val="0"/>
              <w:spacing w:before="0" w:line="318" w:lineRule="exact"/>
              <w:ind w:left="206"/>
              <w:outlineLvl w:val="9"/>
              <w:rPr>
                <w:rFonts w:hint="eastAsia" w:ascii="Microsoft JhengHei" w:eastAsia="Microsoft JhengHei"/>
                <w:b/>
                <w:sz w:val="21"/>
              </w:rPr>
            </w:pPr>
            <w:r>
              <w:rPr>
                <w:rFonts w:hint="eastAsia" w:ascii="Microsoft JhengHei" w:eastAsia="Microsoft JhengHei"/>
                <w:b/>
                <w:sz w:val="21"/>
              </w:rPr>
              <w:t>号</w:t>
            </w:r>
          </w:p>
        </w:tc>
        <w:tc>
          <w:tcPr>
            <w:tcW w:w="1987" w:type="dxa"/>
          </w:tcPr>
          <w:p>
            <w:pPr>
              <w:pStyle w:val="21"/>
              <w:pageBreakBefore w:val="0"/>
              <w:kinsoku/>
              <w:wordWrap/>
              <w:overflowPunct/>
              <w:topLinePunct w:val="0"/>
              <w:autoSpaceDE/>
              <w:autoSpaceDN/>
              <w:bidi w:val="0"/>
              <w:spacing w:before="119"/>
              <w:ind w:left="364"/>
              <w:outlineLvl w:val="9"/>
              <w:rPr>
                <w:rFonts w:hint="eastAsia" w:ascii="Microsoft JhengHei" w:eastAsia="Microsoft JhengHei"/>
                <w:b/>
                <w:sz w:val="21"/>
              </w:rPr>
            </w:pPr>
            <w:r>
              <w:rPr>
                <w:rFonts w:hint="eastAsia" w:ascii="Microsoft JhengHei" w:eastAsia="Microsoft JhengHei"/>
                <w:b/>
                <w:sz w:val="21"/>
              </w:rPr>
              <w:t>国家（地区）</w:t>
            </w:r>
          </w:p>
        </w:tc>
        <w:tc>
          <w:tcPr>
            <w:tcW w:w="2126" w:type="dxa"/>
          </w:tcPr>
          <w:p>
            <w:pPr>
              <w:pStyle w:val="21"/>
              <w:pageBreakBefore w:val="0"/>
              <w:kinsoku/>
              <w:wordWrap/>
              <w:overflowPunct/>
              <w:topLinePunct w:val="0"/>
              <w:autoSpaceDE/>
              <w:autoSpaceDN/>
              <w:bidi w:val="0"/>
              <w:spacing w:before="119"/>
              <w:ind w:left="88" w:right="73"/>
              <w:jc w:val="center"/>
              <w:outlineLvl w:val="9"/>
              <w:rPr>
                <w:rFonts w:hint="eastAsia" w:ascii="Microsoft JhengHei" w:eastAsia="Microsoft JhengHei"/>
                <w:b/>
                <w:sz w:val="21"/>
              </w:rPr>
            </w:pPr>
            <w:r>
              <w:rPr>
                <w:rFonts w:hint="eastAsia" w:ascii="Microsoft JhengHei" w:eastAsia="Microsoft JhengHei"/>
                <w:b/>
                <w:sz w:val="21"/>
              </w:rPr>
              <w:t>城市</w:t>
            </w:r>
          </w:p>
        </w:tc>
        <w:tc>
          <w:tcPr>
            <w:tcW w:w="710" w:type="dxa"/>
          </w:tcPr>
          <w:p>
            <w:pPr>
              <w:pStyle w:val="21"/>
              <w:pageBreakBefore w:val="0"/>
              <w:kinsoku/>
              <w:wordWrap/>
              <w:overflowPunct/>
              <w:topLinePunct w:val="0"/>
              <w:autoSpaceDE/>
              <w:autoSpaceDN/>
              <w:bidi w:val="0"/>
              <w:spacing w:before="119"/>
              <w:ind w:left="115" w:right="114"/>
              <w:jc w:val="center"/>
              <w:outlineLvl w:val="9"/>
              <w:rPr>
                <w:rFonts w:hint="eastAsia" w:ascii="Microsoft JhengHei" w:eastAsia="Microsoft JhengHei"/>
                <w:b/>
                <w:sz w:val="21"/>
              </w:rPr>
            </w:pPr>
            <w:r>
              <w:rPr>
                <w:rFonts w:hint="eastAsia" w:ascii="Microsoft JhengHei" w:eastAsia="Microsoft JhengHei"/>
                <w:b/>
                <w:sz w:val="21"/>
              </w:rPr>
              <w:t>币种</w:t>
            </w:r>
          </w:p>
        </w:tc>
        <w:tc>
          <w:tcPr>
            <w:tcW w:w="1272" w:type="dxa"/>
          </w:tcPr>
          <w:p>
            <w:pPr>
              <w:pStyle w:val="21"/>
              <w:pageBreakBefore w:val="0"/>
              <w:kinsoku/>
              <w:wordWrap/>
              <w:overflowPunct/>
              <w:topLinePunct w:val="0"/>
              <w:autoSpaceDE/>
              <w:autoSpaceDN/>
              <w:bidi w:val="0"/>
              <w:spacing w:before="0" w:line="314" w:lineRule="exact"/>
              <w:ind w:left="125" w:right="118"/>
              <w:jc w:val="center"/>
              <w:outlineLvl w:val="9"/>
              <w:rPr>
                <w:rFonts w:hint="eastAsia" w:ascii="Microsoft JhengHei" w:eastAsia="Microsoft JhengHei"/>
                <w:b/>
                <w:sz w:val="21"/>
              </w:rPr>
            </w:pPr>
            <w:r>
              <w:rPr>
                <w:rFonts w:hint="eastAsia" w:ascii="Microsoft JhengHei" w:eastAsia="Microsoft JhengHei"/>
                <w:b/>
                <w:sz w:val="21"/>
              </w:rPr>
              <w:t>住宿费</w:t>
            </w:r>
          </w:p>
          <w:p>
            <w:pPr>
              <w:pStyle w:val="21"/>
              <w:pageBreakBefore w:val="0"/>
              <w:kinsoku/>
              <w:wordWrap/>
              <w:overflowPunct/>
              <w:topLinePunct w:val="0"/>
              <w:autoSpaceDE/>
              <w:autoSpaceDN/>
              <w:bidi w:val="0"/>
              <w:spacing w:before="0" w:line="318" w:lineRule="exact"/>
              <w:ind w:left="133" w:right="118"/>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21" w:type="dxa"/>
          </w:tcPr>
          <w:p>
            <w:pPr>
              <w:pStyle w:val="21"/>
              <w:pageBreakBefore w:val="0"/>
              <w:kinsoku/>
              <w:wordWrap/>
              <w:overflowPunct/>
              <w:topLinePunct w:val="0"/>
              <w:autoSpaceDE/>
              <w:autoSpaceDN/>
              <w:bidi w:val="0"/>
              <w:spacing w:before="0" w:line="314" w:lineRule="exact"/>
              <w:ind w:left="205" w:right="194"/>
              <w:jc w:val="center"/>
              <w:outlineLvl w:val="9"/>
              <w:rPr>
                <w:rFonts w:hint="eastAsia" w:ascii="Microsoft JhengHei" w:eastAsia="Microsoft JhengHei"/>
                <w:b/>
                <w:sz w:val="21"/>
              </w:rPr>
            </w:pPr>
            <w:r>
              <w:rPr>
                <w:rFonts w:hint="eastAsia" w:ascii="Microsoft JhengHei" w:eastAsia="Microsoft JhengHei"/>
                <w:b/>
                <w:sz w:val="21"/>
              </w:rPr>
              <w:t>伙食费</w:t>
            </w:r>
          </w:p>
          <w:p>
            <w:pPr>
              <w:pStyle w:val="21"/>
              <w:pageBreakBefore w:val="0"/>
              <w:kinsoku/>
              <w:wordWrap/>
              <w:overflowPunct/>
              <w:topLinePunct w:val="0"/>
              <w:autoSpaceDE/>
              <w:autoSpaceDN/>
              <w:bidi w:val="0"/>
              <w:spacing w:before="0" w:line="318" w:lineRule="exact"/>
              <w:ind w:left="205" w:right="195"/>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397" w:type="dxa"/>
          </w:tcPr>
          <w:p>
            <w:pPr>
              <w:pStyle w:val="21"/>
              <w:pageBreakBefore w:val="0"/>
              <w:kinsoku/>
              <w:wordWrap/>
              <w:overflowPunct/>
              <w:topLinePunct w:val="0"/>
              <w:autoSpaceDE/>
              <w:autoSpaceDN/>
              <w:bidi w:val="0"/>
              <w:spacing w:before="0" w:line="314" w:lineRule="exact"/>
              <w:ind w:left="190" w:right="184"/>
              <w:jc w:val="center"/>
              <w:outlineLvl w:val="9"/>
              <w:rPr>
                <w:rFonts w:hint="eastAsia" w:ascii="Microsoft JhengHei" w:eastAsia="Microsoft JhengHei"/>
                <w:b/>
                <w:sz w:val="21"/>
              </w:rPr>
            </w:pPr>
            <w:r>
              <w:rPr>
                <w:rFonts w:hint="eastAsia" w:ascii="Microsoft JhengHei" w:eastAsia="Microsoft JhengHei"/>
                <w:b/>
                <w:sz w:val="21"/>
              </w:rPr>
              <w:t>公杂费</w:t>
            </w:r>
          </w:p>
          <w:p>
            <w:pPr>
              <w:pStyle w:val="21"/>
              <w:pageBreakBefore w:val="0"/>
              <w:kinsoku/>
              <w:wordWrap/>
              <w:overflowPunct/>
              <w:topLinePunct w:val="0"/>
              <w:autoSpaceDE/>
              <w:autoSpaceDN/>
              <w:bidi w:val="0"/>
              <w:spacing w:before="0" w:line="318" w:lineRule="exact"/>
              <w:ind w:left="190" w:right="185"/>
              <w:jc w:val="center"/>
              <w:outlineLvl w:val="9"/>
              <w:rPr>
                <w:b/>
                <w:sz w:val="21"/>
              </w:rPr>
            </w:pPr>
            <w:r>
              <w:rPr>
                <w:b/>
                <w:sz w:val="21"/>
              </w:rPr>
              <w:t>(</w:t>
            </w:r>
            <w:r>
              <w:rPr>
                <w:rFonts w:hint="eastAsia" w:ascii="Microsoft JhengHei" w:eastAsia="Microsoft JhengHei"/>
                <w:b/>
                <w:sz w:val="21"/>
              </w:rPr>
              <w:t>每人每天</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spacing w:before="0" w:line="359" w:lineRule="exact"/>
              <w:ind w:left="206"/>
              <w:outlineLvl w:val="9"/>
              <w:rPr>
                <w:rFonts w:hint="eastAsia" w:ascii="Microsoft JhengHei" w:eastAsia="Microsoft JhengHei"/>
                <w:b/>
                <w:sz w:val="21"/>
              </w:rPr>
            </w:pPr>
            <w:r>
              <w:rPr>
                <w:rFonts w:hint="eastAsia" w:ascii="Microsoft JhengHei" w:eastAsia="Microsoft JhengHei"/>
                <w:b/>
                <w:sz w:val="21"/>
              </w:rPr>
              <w:t>三</w:t>
            </w:r>
          </w:p>
        </w:tc>
        <w:tc>
          <w:tcPr>
            <w:tcW w:w="1987" w:type="dxa"/>
          </w:tcPr>
          <w:p>
            <w:pPr>
              <w:pStyle w:val="21"/>
              <w:pageBreakBefore w:val="0"/>
              <w:kinsoku/>
              <w:wordWrap/>
              <w:overflowPunct/>
              <w:topLinePunct w:val="0"/>
              <w:autoSpaceDE/>
              <w:autoSpaceDN/>
              <w:bidi w:val="0"/>
              <w:spacing w:before="0" w:line="359" w:lineRule="exact"/>
              <w:ind w:left="110"/>
              <w:outlineLvl w:val="9"/>
              <w:rPr>
                <w:rFonts w:hint="eastAsia" w:ascii="Microsoft JhengHei" w:eastAsia="Microsoft JhengHei"/>
                <w:b/>
                <w:sz w:val="21"/>
              </w:rPr>
            </w:pPr>
            <w:r>
              <w:rPr>
                <w:rFonts w:hint="eastAsia" w:ascii="Microsoft JhengHei" w:eastAsia="Microsoft JhengHei"/>
                <w:b/>
                <w:sz w:val="21"/>
              </w:rPr>
              <w:t>欧 洲</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0"/>
              <w:outlineLvl w:val="9"/>
              <w:rPr>
                <w:rFonts w:ascii="Times New Roman"/>
                <w:sz w:val="20"/>
              </w:rPr>
            </w:pPr>
          </w:p>
        </w:tc>
        <w:tc>
          <w:tcPr>
            <w:tcW w:w="1272" w:type="dxa"/>
          </w:tcPr>
          <w:p>
            <w:pPr>
              <w:pStyle w:val="21"/>
              <w:pageBreakBefore w:val="0"/>
              <w:kinsoku/>
              <w:wordWrap/>
              <w:overflowPunct/>
              <w:topLinePunct w:val="0"/>
              <w:autoSpaceDE/>
              <w:autoSpaceDN/>
              <w:bidi w:val="0"/>
              <w:spacing w:before="0"/>
              <w:outlineLvl w:val="9"/>
              <w:rPr>
                <w:rFonts w:ascii="Times New Roman"/>
                <w:sz w:val="20"/>
              </w:rPr>
            </w:pPr>
          </w:p>
        </w:tc>
        <w:tc>
          <w:tcPr>
            <w:tcW w:w="1421" w:type="dxa"/>
          </w:tcPr>
          <w:p>
            <w:pPr>
              <w:pStyle w:val="21"/>
              <w:pageBreakBefore w:val="0"/>
              <w:kinsoku/>
              <w:wordWrap/>
              <w:overflowPunct/>
              <w:topLinePunct w:val="0"/>
              <w:autoSpaceDE/>
              <w:autoSpaceDN/>
              <w:bidi w:val="0"/>
              <w:spacing w:before="0"/>
              <w:outlineLvl w:val="9"/>
              <w:rPr>
                <w:rFonts w:ascii="Times New Roman"/>
                <w:sz w:val="20"/>
              </w:rPr>
            </w:pPr>
          </w:p>
        </w:tc>
        <w:tc>
          <w:tcPr>
            <w:tcW w:w="1397" w:type="dxa"/>
          </w:tcPr>
          <w:p>
            <w:pPr>
              <w:pStyle w:val="21"/>
              <w:pageBreakBefore w:val="0"/>
              <w:kinsoku/>
              <w:wordWrap/>
              <w:overflowPunct/>
              <w:topLinePunct w:val="0"/>
              <w:autoSpaceDE/>
              <w:autoSpaceDN/>
              <w:bidi w:val="0"/>
              <w:spacing w:before="0"/>
              <w:outlineLvl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罗马尼亚</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布加勒斯特</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康斯坦察</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80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129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马其顿</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斯洛文尼亚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30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波黑</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100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克罗地亚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阿尔巴尼亚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35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保加利亚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俄罗斯</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莫斯科</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285</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136</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93" w:right="73"/>
              <w:jc w:val="center"/>
              <w:outlineLvl w:val="9"/>
              <w:rPr>
                <w:rFonts w:hint="eastAsia" w:ascii="仿宋" w:eastAsia="仿宋"/>
                <w:sz w:val="21"/>
              </w:rPr>
            </w:pPr>
            <w:r>
              <w:rPr>
                <w:rFonts w:hint="eastAsia" w:ascii="仿宋" w:eastAsia="仿宋"/>
                <w:sz w:val="21"/>
              </w:rPr>
              <w:t>哈巴罗夫斯克</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103" w:right="44"/>
              <w:jc w:val="center"/>
              <w:outlineLvl w:val="9"/>
              <w:rPr>
                <w:rFonts w:hint="eastAsia" w:ascii="仿宋" w:eastAsia="仿宋"/>
                <w:sz w:val="21"/>
              </w:rPr>
            </w:pPr>
            <w:r>
              <w:rPr>
                <w:rFonts w:hint="eastAsia" w:ascii="仿宋" w:eastAsia="仿宋"/>
                <w:sz w:val="21"/>
              </w:rPr>
              <w:t>叶卡捷琳堡、圣彼得堡</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伊尔库茨克</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139</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立陶宛</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拉脱维亚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35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爱沙尼亚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35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乌克兰</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基辅</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100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144</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敖德萨</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145</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80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阿塞拜疆</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亚美尼亚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格鲁吉亚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149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吉尔吉斯斯坦</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比什凯克</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230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150</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80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151</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塔吉克斯坦</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210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152</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土库曼斯坦</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153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乌兹别克斯坦</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塔什干</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154</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撒马尔罕</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100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155</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156</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白俄罗斯</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157</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哈萨克斯坦</w:t>
            </w: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阿斯塔纳</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158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阿拉木图</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bl>
    <w:p>
      <w:pPr>
        <w:pageBreakBefore w:val="0"/>
        <w:kinsoku/>
        <w:wordWrap/>
        <w:overflowPunct/>
        <w:topLinePunct w:val="0"/>
        <w:autoSpaceDE/>
        <w:autoSpaceDN/>
        <w:bidi w:val="0"/>
        <w:jc w:val="center"/>
        <w:outlineLvl w:val="9"/>
        <w:rPr>
          <w:sz w:val="21"/>
        </w:rPr>
        <w:sectPr>
          <w:pgSz w:w="11900" w:h="16840"/>
          <w:pgMar w:top="1440" w:right="1060" w:bottom="280" w:left="1080" w:header="720" w:footer="720" w:gutter="0"/>
          <w:pgNumType w:fmt="decimal"/>
          <w:cols w:space="720" w:num="1"/>
        </w:sectPr>
      </w:pPr>
    </w:p>
    <w:tbl>
      <w:tblPr>
        <w:tblStyle w:val="14"/>
        <w:tblW w:w="953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987"/>
        <w:gridCol w:w="2126"/>
        <w:gridCol w:w="710"/>
        <w:gridCol w:w="1272"/>
        <w:gridCol w:w="1421"/>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trPr>
        <w:tc>
          <w:tcPr>
            <w:tcW w:w="619" w:type="dxa"/>
          </w:tcPr>
          <w:p>
            <w:pPr>
              <w:pStyle w:val="21"/>
              <w:pageBreakBefore w:val="0"/>
              <w:kinsoku/>
              <w:wordWrap/>
              <w:overflowPunct/>
              <w:topLinePunct w:val="0"/>
              <w:autoSpaceDE/>
              <w:autoSpaceDN/>
              <w:bidi w:val="0"/>
              <w:spacing w:before="0" w:line="314" w:lineRule="exact"/>
              <w:ind w:left="206"/>
              <w:outlineLvl w:val="9"/>
              <w:rPr>
                <w:rFonts w:hint="eastAsia" w:ascii="Microsoft JhengHei" w:eastAsia="Microsoft JhengHei"/>
                <w:b/>
                <w:sz w:val="21"/>
              </w:rPr>
            </w:pPr>
            <w:r>
              <w:rPr>
                <w:rFonts w:hint="eastAsia" w:ascii="Microsoft JhengHei" w:eastAsia="Microsoft JhengHei"/>
                <w:b/>
                <w:sz w:val="21"/>
              </w:rPr>
              <w:t>序</w:t>
            </w:r>
          </w:p>
          <w:p>
            <w:pPr>
              <w:pStyle w:val="21"/>
              <w:pageBreakBefore w:val="0"/>
              <w:kinsoku/>
              <w:wordWrap/>
              <w:overflowPunct/>
              <w:topLinePunct w:val="0"/>
              <w:autoSpaceDE/>
              <w:autoSpaceDN/>
              <w:bidi w:val="0"/>
              <w:spacing w:before="0" w:line="318" w:lineRule="exact"/>
              <w:ind w:left="206"/>
              <w:outlineLvl w:val="9"/>
              <w:rPr>
                <w:rFonts w:hint="eastAsia" w:ascii="Microsoft JhengHei" w:eastAsia="Microsoft JhengHei"/>
                <w:b/>
                <w:sz w:val="21"/>
              </w:rPr>
            </w:pPr>
            <w:r>
              <w:rPr>
                <w:rFonts w:hint="eastAsia" w:ascii="Microsoft JhengHei" w:eastAsia="Microsoft JhengHei"/>
                <w:b/>
                <w:sz w:val="21"/>
              </w:rPr>
              <w:t>号</w:t>
            </w:r>
          </w:p>
        </w:tc>
        <w:tc>
          <w:tcPr>
            <w:tcW w:w="1987" w:type="dxa"/>
          </w:tcPr>
          <w:p>
            <w:pPr>
              <w:pStyle w:val="21"/>
              <w:pageBreakBefore w:val="0"/>
              <w:kinsoku/>
              <w:wordWrap/>
              <w:overflowPunct/>
              <w:topLinePunct w:val="0"/>
              <w:autoSpaceDE/>
              <w:autoSpaceDN/>
              <w:bidi w:val="0"/>
              <w:spacing w:before="119"/>
              <w:ind w:left="364"/>
              <w:outlineLvl w:val="9"/>
              <w:rPr>
                <w:rFonts w:hint="eastAsia" w:ascii="Microsoft JhengHei" w:eastAsia="Microsoft JhengHei"/>
                <w:b/>
                <w:sz w:val="21"/>
              </w:rPr>
            </w:pPr>
            <w:r>
              <w:rPr>
                <w:rFonts w:hint="eastAsia" w:ascii="Microsoft JhengHei" w:eastAsia="Microsoft JhengHei"/>
                <w:b/>
                <w:sz w:val="21"/>
              </w:rPr>
              <w:t>国家（地区）</w:t>
            </w:r>
          </w:p>
        </w:tc>
        <w:tc>
          <w:tcPr>
            <w:tcW w:w="2126" w:type="dxa"/>
          </w:tcPr>
          <w:p>
            <w:pPr>
              <w:pStyle w:val="21"/>
              <w:pageBreakBefore w:val="0"/>
              <w:kinsoku/>
              <w:wordWrap/>
              <w:overflowPunct/>
              <w:topLinePunct w:val="0"/>
              <w:autoSpaceDE/>
              <w:autoSpaceDN/>
              <w:bidi w:val="0"/>
              <w:spacing w:before="119"/>
              <w:ind w:left="88" w:right="73"/>
              <w:jc w:val="center"/>
              <w:outlineLvl w:val="9"/>
              <w:rPr>
                <w:rFonts w:hint="eastAsia" w:ascii="Microsoft JhengHei" w:eastAsia="Microsoft JhengHei"/>
                <w:b/>
                <w:sz w:val="21"/>
              </w:rPr>
            </w:pPr>
            <w:r>
              <w:rPr>
                <w:rFonts w:hint="eastAsia" w:ascii="Microsoft JhengHei" w:eastAsia="Microsoft JhengHei"/>
                <w:b/>
                <w:sz w:val="21"/>
              </w:rPr>
              <w:t>城市</w:t>
            </w:r>
          </w:p>
        </w:tc>
        <w:tc>
          <w:tcPr>
            <w:tcW w:w="710" w:type="dxa"/>
          </w:tcPr>
          <w:p>
            <w:pPr>
              <w:pStyle w:val="21"/>
              <w:pageBreakBefore w:val="0"/>
              <w:kinsoku/>
              <w:wordWrap/>
              <w:overflowPunct/>
              <w:topLinePunct w:val="0"/>
              <w:autoSpaceDE/>
              <w:autoSpaceDN/>
              <w:bidi w:val="0"/>
              <w:spacing w:before="119"/>
              <w:ind w:left="115" w:right="114"/>
              <w:jc w:val="center"/>
              <w:outlineLvl w:val="9"/>
              <w:rPr>
                <w:rFonts w:hint="eastAsia" w:ascii="Microsoft JhengHei" w:eastAsia="Microsoft JhengHei"/>
                <w:b/>
                <w:sz w:val="21"/>
              </w:rPr>
            </w:pPr>
            <w:r>
              <w:rPr>
                <w:rFonts w:hint="eastAsia" w:ascii="Microsoft JhengHei" w:eastAsia="Microsoft JhengHei"/>
                <w:b/>
                <w:sz w:val="21"/>
              </w:rPr>
              <w:t>币种</w:t>
            </w:r>
          </w:p>
        </w:tc>
        <w:tc>
          <w:tcPr>
            <w:tcW w:w="1272" w:type="dxa"/>
          </w:tcPr>
          <w:p>
            <w:pPr>
              <w:pStyle w:val="21"/>
              <w:pageBreakBefore w:val="0"/>
              <w:kinsoku/>
              <w:wordWrap/>
              <w:overflowPunct/>
              <w:topLinePunct w:val="0"/>
              <w:autoSpaceDE/>
              <w:autoSpaceDN/>
              <w:bidi w:val="0"/>
              <w:spacing w:before="0" w:line="314" w:lineRule="exact"/>
              <w:ind w:left="125" w:right="118"/>
              <w:jc w:val="center"/>
              <w:outlineLvl w:val="9"/>
              <w:rPr>
                <w:rFonts w:hint="eastAsia" w:ascii="Microsoft JhengHei" w:eastAsia="Microsoft JhengHei"/>
                <w:b/>
                <w:sz w:val="21"/>
              </w:rPr>
            </w:pPr>
            <w:r>
              <w:rPr>
                <w:rFonts w:hint="eastAsia" w:ascii="Microsoft JhengHei" w:eastAsia="Microsoft JhengHei"/>
                <w:b/>
                <w:sz w:val="21"/>
              </w:rPr>
              <w:t>住宿费</w:t>
            </w:r>
          </w:p>
          <w:p>
            <w:pPr>
              <w:pStyle w:val="21"/>
              <w:pageBreakBefore w:val="0"/>
              <w:kinsoku/>
              <w:wordWrap/>
              <w:overflowPunct/>
              <w:topLinePunct w:val="0"/>
              <w:autoSpaceDE/>
              <w:autoSpaceDN/>
              <w:bidi w:val="0"/>
              <w:spacing w:before="0" w:line="318" w:lineRule="exact"/>
              <w:ind w:left="133" w:right="118"/>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21" w:type="dxa"/>
          </w:tcPr>
          <w:p>
            <w:pPr>
              <w:pStyle w:val="21"/>
              <w:pageBreakBefore w:val="0"/>
              <w:kinsoku/>
              <w:wordWrap/>
              <w:overflowPunct/>
              <w:topLinePunct w:val="0"/>
              <w:autoSpaceDE/>
              <w:autoSpaceDN/>
              <w:bidi w:val="0"/>
              <w:spacing w:before="0" w:line="314" w:lineRule="exact"/>
              <w:ind w:left="205" w:right="194"/>
              <w:jc w:val="center"/>
              <w:outlineLvl w:val="9"/>
              <w:rPr>
                <w:rFonts w:hint="eastAsia" w:ascii="Microsoft JhengHei" w:eastAsia="Microsoft JhengHei"/>
                <w:b/>
                <w:sz w:val="21"/>
              </w:rPr>
            </w:pPr>
            <w:r>
              <w:rPr>
                <w:rFonts w:hint="eastAsia" w:ascii="Microsoft JhengHei" w:eastAsia="Microsoft JhengHei"/>
                <w:b/>
                <w:sz w:val="21"/>
              </w:rPr>
              <w:t>伙食费</w:t>
            </w:r>
          </w:p>
          <w:p>
            <w:pPr>
              <w:pStyle w:val="21"/>
              <w:pageBreakBefore w:val="0"/>
              <w:kinsoku/>
              <w:wordWrap/>
              <w:overflowPunct/>
              <w:topLinePunct w:val="0"/>
              <w:autoSpaceDE/>
              <w:autoSpaceDN/>
              <w:bidi w:val="0"/>
              <w:spacing w:before="0" w:line="318" w:lineRule="exact"/>
              <w:ind w:left="205" w:right="195"/>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397" w:type="dxa"/>
          </w:tcPr>
          <w:p>
            <w:pPr>
              <w:pStyle w:val="21"/>
              <w:pageBreakBefore w:val="0"/>
              <w:kinsoku/>
              <w:wordWrap/>
              <w:overflowPunct/>
              <w:topLinePunct w:val="0"/>
              <w:autoSpaceDE/>
              <w:autoSpaceDN/>
              <w:bidi w:val="0"/>
              <w:spacing w:before="0" w:line="314" w:lineRule="exact"/>
              <w:ind w:left="190" w:right="184"/>
              <w:jc w:val="center"/>
              <w:outlineLvl w:val="9"/>
              <w:rPr>
                <w:rFonts w:hint="eastAsia" w:ascii="Microsoft JhengHei" w:eastAsia="Microsoft JhengHei"/>
                <w:b/>
                <w:sz w:val="21"/>
              </w:rPr>
            </w:pPr>
            <w:r>
              <w:rPr>
                <w:rFonts w:hint="eastAsia" w:ascii="Microsoft JhengHei" w:eastAsia="Microsoft JhengHei"/>
                <w:b/>
                <w:sz w:val="21"/>
              </w:rPr>
              <w:t>公杂费</w:t>
            </w:r>
          </w:p>
          <w:p>
            <w:pPr>
              <w:pStyle w:val="21"/>
              <w:pageBreakBefore w:val="0"/>
              <w:kinsoku/>
              <w:wordWrap/>
              <w:overflowPunct/>
              <w:topLinePunct w:val="0"/>
              <w:autoSpaceDE/>
              <w:autoSpaceDN/>
              <w:bidi w:val="0"/>
              <w:spacing w:before="0" w:line="318" w:lineRule="exact"/>
              <w:ind w:left="190" w:right="185"/>
              <w:jc w:val="center"/>
              <w:outlineLvl w:val="9"/>
              <w:rPr>
                <w:b/>
                <w:sz w:val="21"/>
              </w:rPr>
            </w:pPr>
            <w:r>
              <w:rPr>
                <w:b/>
                <w:sz w:val="21"/>
              </w:rPr>
              <w:t>(</w:t>
            </w:r>
            <w:r>
              <w:rPr>
                <w:rFonts w:hint="eastAsia" w:ascii="Microsoft JhengHei" w:eastAsia="Microsoft JhengHei"/>
                <w:b/>
                <w:sz w:val="21"/>
              </w:rPr>
              <w:t>每人每天</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159</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摩尔多瓦</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528"/>
              <w:outlineLvl w:val="9"/>
              <w:rPr>
                <w:sz w:val="21"/>
              </w:rPr>
            </w:pPr>
            <w:r>
              <w:rPr>
                <w:sz w:val="21"/>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波兰</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华沙</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162</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革但斯克</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163</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德国</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柏林、汉堡</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165</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慕尼黑</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166</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法兰克福</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荷兰</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海牙</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169</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阿姆斯特丹</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170</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171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意大利</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罗马</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65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172</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米兰</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65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173</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佛罗伦萨</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65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174</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65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175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比利时</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176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奥地利</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177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希腊</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178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法国</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巴黎</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19" w:type="dxa"/>
          </w:tcPr>
          <w:p>
            <w:pPr>
              <w:pStyle w:val="21"/>
              <w:pageBreakBefore w:val="0"/>
              <w:kinsoku/>
              <w:wordWrap/>
              <w:overflowPunct/>
              <w:topLinePunct w:val="0"/>
              <w:autoSpaceDE/>
              <w:autoSpaceDN/>
              <w:bidi w:val="0"/>
              <w:spacing w:before="179"/>
              <w:ind w:left="127" w:right="121"/>
              <w:jc w:val="center"/>
              <w:outlineLvl w:val="9"/>
              <w:rPr>
                <w:sz w:val="21"/>
              </w:rPr>
            </w:pPr>
            <w:r>
              <w:rPr>
                <w:sz w:val="21"/>
              </w:rPr>
              <w:t>179</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20"/>
              <w:ind w:left="93" w:right="73"/>
              <w:jc w:val="center"/>
              <w:outlineLvl w:val="9"/>
              <w:rPr>
                <w:rFonts w:hint="eastAsia" w:ascii="仿宋" w:eastAsia="仿宋"/>
                <w:sz w:val="21"/>
              </w:rPr>
            </w:pPr>
            <w:r>
              <w:rPr>
                <w:rFonts w:hint="eastAsia" w:ascii="仿宋" w:eastAsia="仿宋"/>
                <w:sz w:val="21"/>
              </w:rPr>
              <w:t>马赛、斯特拉斯堡、</w:t>
            </w:r>
          </w:p>
          <w:p>
            <w:pPr>
              <w:pStyle w:val="21"/>
              <w:pageBreakBefore w:val="0"/>
              <w:kinsoku/>
              <w:wordWrap/>
              <w:overflowPunct/>
              <w:topLinePunct w:val="0"/>
              <w:autoSpaceDE/>
              <w:autoSpaceDN/>
              <w:bidi w:val="0"/>
              <w:spacing w:before="43"/>
              <w:ind w:left="88" w:right="73"/>
              <w:jc w:val="center"/>
              <w:outlineLvl w:val="9"/>
              <w:rPr>
                <w:rFonts w:hint="eastAsia" w:ascii="仿宋" w:eastAsia="仿宋"/>
                <w:sz w:val="21"/>
              </w:rPr>
            </w:pPr>
            <w:r>
              <w:rPr>
                <w:rFonts w:hint="eastAsia" w:ascii="仿宋" w:eastAsia="仿宋"/>
                <w:sz w:val="21"/>
              </w:rPr>
              <w:t>尼斯、里昂</w:t>
            </w:r>
          </w:p>
        </w:tc>
        <w:tc>
          <w:tcPr>
            <w:tcW w:w="710" w:type="dxa"/>
          </w:tcPr>
          <w:p>
            <w:pPr>
              <w:pStyle w:val="21"/>
              <w:pageBreakBefore w:val="0"/>
              <w:kinsoku/>
              <w:wordWrap/>
              <w:overflowPunct/>
              <w:topLinePunct w:val="0"/>
              <w:autoSpaceDE/>
              <w:autoSpaceDN/>
              <w:bidi w:val="0"/>
              <w:spacing w:before="17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spacing w:before="179"/>
              <w:ind w:left="476"/>
              <w:outlineLvl w:val="9"/>
              <w:rPr>
                <w:rFonts w:eastAsia="宋体"/>
                <w:sz w:val="21"/>
                <w:lang w:val="en-US"/>
              </w:rPr>
            </w:pPr>
            <w:r>
              <w:rPr>
                <w:rFonts w:hint="eastAsia" w:eastAsia="宋体"/>
                <w:sz w:val="21"/>
                <w:lang w:val="en-US"/>
              </w:rPr>
              <w:t>130</w:t>
            </w:r>
          </w:p>
        </w:tc>
        <w:tc>
          <w:tcPr>
            <w:tcW w:w="1421" w:type="dxa"/>
          </w:tcPr>
          <w:p>
            <w:pPr>
              <w:pStyle w:val="21"/>
              <w:pageBreakBefore w:val="0"/>
              <w:kinsoku/>
              <w:wordWrap/>
              <w:overflowPunct/>
              <w:topLinePunct w:val="0"/>
              <w:autoSpaceDE/>
              <w:autoSpaceDN/>
              <w:bidi w:val="0"/>
              <w:spacing w:before="179"/>
              <w:ind w:left="605"/>
              <w:outlineLvl w:val="9"/>
              <w:rPr>
                <w:sz w:val="21"/>
              </w:rPr>
            </w:pPr>
            <w:r>
              <w:rPr>
                <w:sz w:val="21"/>
              </w:rPr>
              <w:t>60</w:t>
            </w:r>
          </w:p>
        </w:tc>
        <w:tc>
          <w:tcPr>
            <w:tcW w:w="1397" w:type="dxa"/>
          </w:tcPr>
          <w:p>
            <w:pPr>
              <w:pStyle w:val="21"/>
              <w:pageBreakBefore w:val="0"/>
              <w:kinsoku/>
              <w:wordWrap/>
              <w:overflowPunct/>
              <w:topLinePunct w:val="0"/>
              <w:autoSpaceDE/>
              <w:autoSpaceDN/>
              <w:bidi w:val="0"/>
              <w:spacing w:before="179"/>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180</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181</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西班牙</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125</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卢森堡</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爱尔兰</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184</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葡萄牙</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185</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芬兰</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sz w:val="21"/>
              </w:rPr>
            </w:pPr>
            <w:r>
              <w:rPr>
                <w:sz w:val="21"/>
              </w:rPr>
              <w:t>145</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捷克</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斯洛伐克</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35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188</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匈牙利</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189</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瑞典</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280</w:t>
            </w:r>
          </w:p>
        </w:tc>
        <w:tc>
          <w:tcPr>
            <w:tcW w:w="1421" w:type="dxa"/>
          </w:tcPr>
          <w:p>
            <w:pPr>
              <w:pStyle w:val="21"/>
              <w:pageBreakBefore w:val="0"/>
              <w:kinsoku/>
              <w:wordWrap/>
              <w:overflowPunct/>
              <w:topLinePunct w:val="0"/>
              <w:autoSpaceDE/>
              <w:autoSpaceDN/>
              <w:bidi w:val="0"/>
              <w:ind w:left="605"/>
              <w:outlineLvl w:val="9"/>
              <w:rPr>
                <w:sz w:val="21"/>
              </w:rPr>
            </w:pPr>
            <w:r>
              <w:rPr>
                <w:sz w:val="21"/>
              </w:rPr>
              <w:t>80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190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丹麦</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80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191</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挪威</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80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bl>
    <w:p>
      <w:pPr>
        <w:pageBreakBefore w:val="0"/>
        <w:kinsoku/>
        <w:wordWrap/>
        <w:overflowPunct/>
        <w:topLinePunct w:val="0"/>
        <w:autoSpaceDE/>
        <w:autoSpaceDN/>
        <w:bidi w:val="0"/>
        <w:jc w:val="center"/>
        <w:outlineLvl w:val="9"/>
        <w:rPr>
          <w:sz w:val="21"/>
        </w:rPr>
        <w:sectPr>
          <w:pgSz w:w="11900" w:h="16840"/>
          <w:pgMar w:top="1440" w:right="1060" w:bottom="280" w:left="1080" w:header="720" w:footer="720" w:gutter="0"/>
          <w:pgNumType w:fmt="decimal"/>
          <w:cols w:space="720" w:num="1"/>
        </w:sectPr>
      </w:pPr>
    </w:p>
    <w:tbl>
      <w:tblPr>
        <w:tblStyle w:val="14"/>
        <w:tblW w:w="953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987"/>
        <w:gridCol w:w="2126"/>
        <w:gridCol w:w="710"/>
        <w:gridCol w:w="1272"/>
        <w:gridCol w:w="1421"/>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trPr>
        <w:tc>
          <w:tcPr>
            <w:tcW w:w="619" w:type="dxa"/>
          </w:tcPr>
          <w:p>
            <w:pPr>
              <w:pStyle w:val="21"/>
              <w:pageBreakBefore w:val="0"/>
              <w:kinsoku/>
              <w:wordWrap/>
              <w:overflowPunct/>
              <w:topLinePunct w:val="0"/>
              <w:autoSpaceDE/>
              <w:autoSpaceDN/>
              <w:bidi w:val="0"/>
              <w:spacing w:before="0" w:line="314" w:lineRule="exact"/>
              <w:ind w:left="206"/>
              <w:outlineLvl w:val="9"/>
              <w:rPr>
                <w:rFonts w:hint="eastAsia" w:ascii="Microsoft JhengHei" w:eastAsia="Microsoft JhengHei"/>
                <w:b/>
                <w:sz w:val="21"/>
              </w:rPr>
            </w:pPr>
            <w:r>
              <w:rPr>
                <w:rFonts w:hint="eastAsia" w:ascii="Microsoft JhengHei" w:eastAsia="Microsoft JhengHei"/>
                <w:b/>
                <w:sz w:val="21"/>
              </w:rPr>
              <w:t>序</w:t>
            </w:r>
          </w:p>
          <w:p>
            <w:pPr>
              <w:pStyle w:val="21"/>
              <w:pageBreakBefore w:val="0"/>
              <w:kinsoku/>
              <w:wordWrap/>
              <w:overflowPunct/>
              <w:topLinePunct w:val="0"/>
              <w:autoSpaceDE/>
              <w:autoSpaceDN/>
              <w:bidi w:val="0"/>
              <w:spacing w:before="0" w:line="318" w:lineRule="exact"/>
              <w:ind w:left="206"/>
              <w:outlineLvl w:val="9"/>
              <w:rPr>
                <w:rFonts w:hint="eastAsia" w:ascii="Microsoft JhengHei" w:eastAsia="Microsoft JhengHei"/>
                <w:b/>
                <w:sz w:val="21"/>
              </w:rPr>
            </w:pPr>
            <w:r>
              <w:rPr>
                <w:rFonts w:hint="eastAsia" w:ascii="Microsoft JhengHei" w:eastAsia="Microsoft JhengHei"/>
                <w:b/>
                <w:sz w:val="21"/>
              </w:rPr>
              <w:t>号</w:t>
            </w:r>
          </w:p>
        </w:tc>
        <w:tc>
          <w:tcPr>
            <w:tcW w:w="1987" w:type="dxa"/>
          </w:tcPr>
          <w:p>
            <w:pPr>
              <w:pStyle w:val="21"/>
              <w:pageBreakBefore w:val="0"/>
              <w:kinsoku/>
              <w:wordWrap/>
              <w:overflowPunct/>
              <w:topLinePunct w:val="0"/>
              <w:autoSpaceDE/>
              <w:autoSpaceDN/>
              <w:bidi w:val="0"/>
              <w:spacing w:before="119"/>
              <w:ind w:left="364"/>
              <w:outlineLvl w:val="9"/>
              <w:rPr>
                <w:rFonts w:hint="eastAsia" w:ascii="Microsoft JhengHei" w:eastAsia="Microsoft JhengHei"/>
                <w:b/>
                <w:sz w:val="21"/>
              </w:rPr>
            </w:pPr>
            <w:r>
              <w:rPr>
                <w:rFonts w:hint="eastAsia" w:ascii="Microsoft JhengHei" w:eastAsia="Microsoft JhengHei"/>
                <w:b/>
                <w:sz w:val="21"/>
              </w:rPr>
              <w:t>国家（地区）</w:t>
            </w:r>
          </w:p>
        </w:tc>
        <w:tc>
          <w:tcPr>
            <w:tcW w:w="2126" w:type="dxa"/>
          </w:tcPr>
          <w:p>
            <w:pPr>
              <w:pStyle w:val="21"/>
              <w:pageBreakBefore w:val="0"/>
              <w:kinsoku/>
              <w:wordWrap/>
              <w:overflowPunct/>
              <w:topLinePunct w:val="0"/>
              <w:autoSpaceDE/>
              <w:autoSpaceDN/>
              <w:bidi w:val="0"/>
              <w:spacing w:before="119"/>
              <w:ind w:left="88" w:right="73"/>
              <w:jc w:val="center"/>
              <w:outlineLvl w:val="9"/>
              <w:rPr>
                <w:rFonts w:hint="eastAsia" w:ascii="Microsoft JhengHei" w:eastAsia="Microsoft JhengHei"/>
                <w:b/>
                <w:sz w:val="21"/>
              </w:rPr>
            </w:pPr>
            <w:r>
              <w:rPr>
                <w:rFonts w:hint="eastAsia" w:ascii="Microsoft JhengHei" w:eastAsia="Microsoft JhengHei"/>
                <w:b/>
                <w:sz w:val="21"/>
              </w:rPr>
              <w:t>城市</w:t>
            </w:r>
          </w:p>
        </w:tc>
        <w:tc>
          <w:tcPr>
            <w:tcW w:w="710" w:type="dxa"/>
          </w:tcPr>
          <w:p>
            <w:pPr>
              <w:pStyle w:val="21"/>
              <w:pageBreakBefore w:val="0"/>
              <w:kinsoku/>
              <w:wordWrap/>
              <w:overflowPunct/>
              <w:topLinePunct w:val="0"/>
              <w:autoSpaceDE/>
              <w:autoSpaceDN/>
              <w:bidi w:val="0"/>
              <w:spacing w:before="119"/>
              <w:ind w:left="115" w:right="114"/>
              <w:jc w:val="center"/>
              <w:outlineLvl w:val="9"/>
              <w:rPr>
                <w:rFonts w:hint="eastAsia" w:ascii="Microsoft JhengHei" w:eastAsia="Microsoft JhengHei"/>
                <w:b/>
                <w:sz w:val="21"/>
              </w:rPr>
            </w:pPr>
            <w:r>
              <w:rPr>
                <w:rFonts w:hint="eastAsia" w:ascii="Microsoft JhengHei" w:eastAsia="Microsoft JhengHei"/>
                <w:b/>
                <w:sz w:val="21"/>
              </w:rPr>
              <w:t>币种</w:t>
            </w:r>
          </w:p>
        </w:tc>
        <w:tc>
          <w:tcPr>
            <w:tcW w:w="1272" w:type="dxa"/>
          </w:tcPr>
          <w:p>
            <w:pPr>
              <w:pStyle w:val="21"/>
              <w:pageBreakBefore w:val="0"/>
              <w:kinsoku/>
              <w:wordWrap/>
              <w:overflowPunct/>
              <w:topLinePunct w:val="0"/>
              <w:autoSpaceDE/>
              <w:autoSpaceDN/>
              <w:bidi w:val="0"/>
              <w:spacing w:before="0" w:line="314" w:lineRule="exact"/>
              <w:ind w:left="125" w:right="118"/>
              <w:jc w:val="center"/>
              <w:outlineLvl w:val="9"/>
              <w:rPr>
                <w:rFonts w:hint="eastAsia" w:ascii="Microsoft JhengHei" w:eastAsia="Microsoft JhengHei"/>
                <w:b/>
                <w:sz w:val="21"/>
              </w:rPr>
            </w:pPr>
            <w:r>
              <w:rPr>
                <w:rFonts w:hint="eastAsia" w:ascii="Microsoft JhengHei" w:eastAsia="Microsoft JhengHei"/>
                <w:b/>
                <w:sz w:val="21"/>
              </w:rPr>
              <w:t>住宿费</w:t>
            </w:r>
          </w:p>
          <w:p>
            <w:pPr>
              <w:pStyle w:val="21"/>
              <w:pageBreakBefore w:val="0"/>
              <w:kinsoku/>
              <w:wordWrap/>
              <w:overflowPunct/>
              <w:topLinePunct w:val="0"/>
              <w:autoSpaceDE/>
              <w:autoSpaceDN/>
              <w:bidi w:val="0"/>
              <w:spacing w:before="0" w:line="318" w:lineRule="exact"/>
              <w:ind w:left="133" w:right="118"/>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21" w:type="dxa"/>
          </w:tcPr>
          <w:p>
            <w:pPr>
              <w:pStyle w:val="21"/>
              <w:pageBreakBefore w:val="0"/>
              <w:kinsoku/>
              <w:wordWrap/>
              <w:overflowPunct/>
              <w:topLinePunct w:val="0"/>
              <w:autoSpaceDE/>
              <w:autoSpaceDN/>
              <w:bidi w:val="0"/>
              <w:spacing w:before="0" w:line="314" w:lineRule="exact"/>
              <w:ind w:left="205" w:right="194"/>
              <w:jc w:val="center"/>
              <w:outlineLvl w:val="9"/>
              <w:rPr>
                <w:rFonts w:hint="eastAsia" w:ascii="Microsoft JhengHei" w:eastAsia="Microsoft JhengHei"/>
                <w:b/>
                <w:sz w:val="21"/>
              </w:rPr>
            </w:pPr>
            <w:r>
              <w:rPr>
                <w:rFonts w:hint="eastAsia" w:ascii="Microsoft JhengHei" w:eastAsia="Microsoft JhengHei"/>
                <w:b/>
                <w:sz w:val="21"/>
              </w:rPr>
              <w:t>伙食费</w:t>
            </w:r>
          </w:p>
          <w:p>
            <w:pPr>
              <w:pStyle w:val="21"/>
              <w:pageBreakBefore w:val="0"/>
              <w:kinsoku/>
              <w:wordWrap/>
              <w:overflowPunct/>
              <w:topLinePunct w:val="0"/>
              <w:autoSpaceDE/>
              <w:autoSpaceDN/>
              <w:bidi w:val="0"/>
              <w:spacing w:before="0" w:line="318" w:lineRule="exact"/>
              <w:ind w:left="205" w:right="195"/>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397" w:type="dxa"/>
          </w:tcPr>
          <w:p>
            <w:pPr>
              <w:pStyle w:val="21"/>
              <w:pageBreakBefore w:val="0"/>
              <w:kinsoku/>
              <w:wordWrap/>
              <w:overflowPunct/>
              <w:topLinePunct w:val="0"/>
              <w:autoSpaceDE/>
              <w:autoSpaceDN/>
              <w:bidi w:val="0"/>
              <w:spacing w:before="0" w:line="314" w:lineRule="exact"/>
              <w:ind w:left="190" w:right="184"/>
              <w:jc w:val="center"/>
              <w:outlineLvl w:val="9"/>
              <w:rPr>
                <w:rFonts w:hint="eastAsia" w:ascii="Microsoft JhengHei" w:eastAsia="Microsoft JhengHei"/>
                <w:b/>
                <w:sz w:val="21"/>
              </w:rPr>
            </w:pPr>
            <w:r>
              <w:rPr>
                <w:rFonts w:hint="eastAsia" w:ascii="Microsoft JhengHei" w:eastAsia="Microsoft JhengHei"/>
                <w:b/>
                <w:sz w:val="21"/>
              </w:rPr>
              <w:t>公杂费</w:t>
            </w:r>
          </w:p>
          <w:p>
            <w:pPr>
              <w:pStyle w:val="21"/>
              <w:pageBreakBefore w:val="0"/>
              <w:kinsoku/>
              <w:wordWrap/>
              <w:overflowPunct/>
              <w:topLinePunct w:val="0"/>
              <w:autoSpaceDE/>
              <w:autoSpaceDN/>
              <w:bidi w:val="0"/>
              <w:spacing w:before="0" w:line="318" w:lineRule="exact"/>
              <w:ind w:left="190" w:right="185"/>
              <w:jc w:val="center"/>
              <w:outlineLvl w:val="9"/>
              <w:rPr>
                <w:b/>
                <w:sz w:val="21"/>
              </w:rPr>
            </w:pPr>
            <w:r>
              <w:rPr>
                <w:b/>
                <w:sz w:val="21"/>
              </w:rPr>
              <w:t>(</w:t>
            </w:r>
            <w:r>
              <w:rPr>
                <w:rFonts w:hint="eastAsia" w:ascii="Microsoft JhengHei" w:eastAsia="Microsoft JhengHei"/>
                <w:b/>
                <w:sz w:val="21"/>
              </w:rPr>
              <w:t>每人每天</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192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瑞士</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70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193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冰岛</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65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194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马耳他</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38</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195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塞尔维亚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196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黑山</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欧元</w:t>
            </w:r>
          </w:p>
        </w:tc>
        <w:tc>
          <w:tcPr>
            <w:tcW w:w="1272" w:type="dxa"/>
          </w:tcPr>
          <w:p>
            <w:pPr>
              <w:pStyle w:val="21"/>
              <w:pageBreakBefore w:val="0"/>
              <w:kinsoku/>
              <w:wordWrap/>
              <w:overflowPunct/>
              <w:topLinePunct w:val="0"/>
              <w:autoSpaceDE/>
              <w:autoSpaceDN/>
              <w:bidi w:val="0"/>
              <w:ind w:left="528"/>
              <w:outlineLvl w:val="9"/>
              <w:rPr>
                <w:sz w:val="21"/>
              </w:rPr>
            </w:pPr>
            <w:r>
              <w:rPr>
                <w:sz w:val="21"/>
              </w:rPr>
              <w:t>90</w:t>
            </w:r>
          </w:p>
        </w:tc>
        <w:tc>
          <w:tcPr>
            <w:tcW w:w="1421" w:type="dxa"/>
          </w:tcPr>
          <w:p>
            <w:pPr>
              <w:pStyle w:val="21"/>
              <w:pageBreakBefore w:val="0"/>
              <w:kinsoku/>
              <w:wordWrap/>
              <w:overflowPunct/>
              <w:topLinePunct w:val="0"/>
              <w:autoSpaceDE/>
              <w:autoSpaceDN/>
              <w:bidi w:val="0"/>
              <w:ind w:left="605"/>
              <w:outlineLvl w:val="9"/>
              <w:rPr>
                <w:sz w:val="21"/>
              </w:rPr>
            </w:pPr>
            <w:r>
              <w:rPr>
                <w:sz w:val="21"/>
              </w:rPr>
              <w:t>30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197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英国</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伦敦</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英镑</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198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93" w:right="73"/>
              <w:jc w:val="center"/>
              <w:outlineLvl w:val="9"/>
              <w:rPr>
                <w:rFonts w:hint="eastAsia" w:ascii="仿宋" w:eastAsia="仿宋"/>
                <w:sz w:val="21"/>
              </w:rPr>
            </w:pPr>
            <w:r>
              <w:rPr>
                <w:rFonts w:hint="eastAsia" w:ascii="仿宋" w:eastAsia="仿宋"/>
                <w:sz w:val="21"/>
              </w:rPr>
              <w:t>曼彻斯特、爱丁堡</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英镑</w:t>
            </w:r>
          </w:p>
        </w:tc>
        <w:tc>
          <w:tcPr>
            <w:tcW w:w="1272" w:type="dxa"/>
          </w:tcPr>
          <w:p>
            <w:pPr>
              <w:pStyle w:val="21"/>
              <w:pageBreakBefore w:val="0"/>
              <w:kinsoku/>
              <w:wordWrap/>
              <w:overflowPunct/>
              <w:topLinePunct w:val="0"/>
              <w:autoSpaceDE/>
              <w:autoSpaceDN/>
              <w:bidi w:val="0"/>
              <w:ind w:left="476"/>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199</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英镑</w:t>
            </w:r>
          </w:p>
        </w:tc>
        <w:tc>
          <w:tcPr>
            <w:tcW w:w="1272" w:type="dxa"/>
          </w:tcPr>
          <w:p>
            <w:pPr>
              <w:pStyle w:val="21"/>
              <w:pageBreakBefore w:val="0"/>
              <w:kinsoku/>
              <w:wordWrap/>
              <w:overflowPunct/>
              <w:topLinePunct w:val="0"/>
              <w:autoSpaceDE/>
              <w:autoSpaceDN/>
              <w:bidi w:val="0"/>
              <w:ind w:left="476"/>
              <w:outlineLvl w:val="9"/>
              <w:rPr>
                <w:sz w:val="21"/>
              </w:rPr>
            </w:pPr>
            <w:r>
              <w:rPr>
                <w:sz w:val="21"/>
              </w:rPr>
              <w:t>125</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spacing w:before="0" w:line="359" w:lineRule="exact"/>
              <w:ind w:left="206"/>
              <w:outlineLvl w:val="9"/>
              <w:rPr>
                <w:rFonts w:hint="eastAsia" w:ascii="Microsoft JhengHei" w:eastAsia="Microsoft JhengHei"/>
                <w:b/>
                <w:sz w:val="21"/>
              </w:rPr>
            </w:pPr>
            <w:r>
              <w:rPr>
                <w:rFonts w:hint="eastAsia" w:ascii="Microsoft JhengHei" w:eastAsia="Microsoft JhengHei"/>
                <w:b/>
                <w:sz w:val="21"/>
              </w:rPr>
              <w:t>四</w:t>
            </w:r>
          </w:p>
        </w:tc>
        <w:tc>
          <w:tcPr>
            <w:tcW w:w="1987" w:type="dxa"/>
          </w:tcPr>
          <w:p>
            <w:pPr>
              <w:pStyle w:val="21"/>
              <w:pageBreakBefore w:val="0"/>
              <w:kinsoku/>
              <w:wordWrap/>
              <w:overflowPunct/>
              <w:topLinePunct w:val="0"/>
              <w:autoSpaceDE/>
              <w:autoSpaceDN/>
              <w:bidi w:val="0"/>
              <w:spacing w:before="0" w:line="359" w:lineRule="exact"/>
              <w:ind w:left="110"/>
              <w:outlineLvl w:val="9"/>
              <w:rPr>
                <w:rFonts w:hint="eastAsia" w:ascii="Microsoft JhengHei" w:eastAsia="Microsoft JhengHei"/>
                <w:b/>
                <w:sz w:val="21"/>
              </w:rPr>
            </w:pPr>
            <w:r>
              <w:rPr>
                <w:rFonts w:hint="eastAsia" w:ascii="Microsoft JhengHei" w:eastAsia="Microsoft JhengHei"/>
                <w:b/>
                <w:sz w:val="21"/>
              </w:rPr>
              <w:t>美 洲</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0"/>
              <w:outlineLvl w:val="9"/>
              <w:rPr>
                <w:rFonts w:ascii="Times New Roman"/>
                <w:sz w:val="20"/>
              </w:rPr>
            </w:pPr>
          </w:p>
        </w:tc>
        <w:tc>
          <w:tcPr>
            <w:tcW w:w="1272" w:type="dxa"/>
          </w:tcPr>
          <w:p>
            <w:pPr>
              <w:pStyle w:val="21"/>
              <w:pageBreakBefore w:val="0"/>
              <w:kinsoku/>
              <w:wordWrap/>
              <w:overflowPunct/>
              <w:topLinePunct w:val="0"/>
              <w:autoSpaceDE/>
              <w:autoSpaceDN/>
              <w:bidi w:val="0"/>
              <w:spacing w:before="0"/>
              <w:outlineLvl w:val="9"/>
              <w:rPr>
                <w:rFonts w:ascii="Times New Roman"/>
                <w:sz w:val="20"/>
              </w:rPr>
            </w:pPr>
          </w:p>
        </w:tc>
        <w:tc>
          <w:tcPr>
            <w:tcW w:w="1421" w:type="dxa"/>
          </w:tcPr>
          <w:p>
            <w:pPr>
              <w:pStyle w:val="21"/>
              <w:pageBreakBefore w:val="0"/>
              <w:kinsoku/>
              <w:wordWrap/>
              <w:overflowPunct/>
              <w:topLinePunct w:val="0"/>
              <w:autoSpaceDE/>
              <w:autoSpaceDN/>
              <w:bidi w:val="0"/>
              <w:spacing w:before="0"/>
              <w:outlineLvl w:val="9"/>
              <w:rPr>
                <w:rFonts w:ascii="Times New Roman"/>
                <w:sz w:val="20"/>
              </w:rPr>
            </w:pPr>
          </w:p>
        </w:tc>
        <w:tc>
          <w:tcPr>
            <w:tcW w:w="1397" w:type="dxa"/>
          </w:tcPr>
          <w:p>
            <w:pPr>
              <w:pStyle w:val="21"/>
              <w:pageBreakBefore w:val="0"/>
              <w:kinsoku/>
              <w:wordWrap/>
              <w:overflowPunct/>
              <w:topLinePunct w:val="0"/>
              <w:autoSpaceDE/>
              <w:autoSpaceDN/>
              <w:bidi w:val="0"/>
              <w:spacing w:before="0"/>
              <w:outlineLvl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200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美国</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华盛顿</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w:t>
            </w:r>
            <w:r>
              <w:rPr>
                <w:rFonts w:hint="eastAsia" w:eastAsia="宋体"/>
                <w:sz w:val="21"/>
                <w:lang w:val="en-US"/>
              </w:rPr>
              <w:t>1</w:t>
            </w:r>
            <w:r>
              <w:rPr>
                <w:sz w:val="21"/>
              </w:rPr>
              <w:t>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201</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旧金山</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250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202</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休斯顿</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203</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波士顿</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230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204</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纽约</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sz w:val="21"/>
              </w:rPr>
              <w:t>2</w:t>
            </w:r>
            <w:r>
              <w:rPr>
                <w:rFonts w:hint="eastAsia" w:eastAsia="宋体"/>
                <w:sz w:val="21"/>
                <w:lang w:val="en-US"/>
              </w:rPr>
              <w:t>45</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205</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芝加哥</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w:t>
            </w:r>
            <w:r>
              <w:rPr>
                <w:rFonts w:hint="eastAsia" w:eastAsia="宋体"/>
                <w:sz w:val="21"/>
                <w:lang w:val="en-US"/>
              </w:rPr>
              <w:t>2</w:t>
            </w:r>
            <w:r>
              <w:rPr>
                <w:sz w:val="21"/>
              </w:rPr>
              <w:t>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206</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洛杉矶</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sz w:val="21"/>
              </w:rPr>
              <w:t>2</w:t>
            </w:r>
            <w:r>
              <w:rPr>
                <w:rFonts w:hint="eastAsia" w:eastAsia="宋体"/>
                <w:sz w:val="21"/>
                <w:lang w:val="en-US"/>
              </w:rPr>
              <w:t>00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207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夏威夷</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195</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208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19" w:type="dxa"/>
          </w:tcPr>
          <w:p>
            <w:pPr>
              <w:pStyle w:val="21"/>
              <w:pageBreakBefore w:val="0"/>
              <w:kinsoku/>
              <w:wordWrap/>
              <w:overflowPunct/>
              <w:topLinePunct w:val="0"/>
              <w:autoSpaceDE/>
              <w:autoSpaceDN/>
              <w:bidi w:val="0"/>
              <w:spacing w:before="18"/>
              <w:outlineLvl w:val="9"/>
              <w:rPr>
                <w:rFonts w:ascii="Microsoft JhengHei"/>
                <w:b/>
                <w:sz w:val="9"/>
              </w:rPr>
            </w:pPr>
          </w:p>
          <w:p>
            <w:pPr>
              <w:pStyle w:val="21"/>
              <w:pageBreakBefore w:val="0"/>
              <w:kinsoku/>
              <w:wordWrap/>
              <w:overflowPunct/>
              <w:topLinePunct w:val="0"/>
              <w:autoSpaceDE/>
              <w:autoSpaceDN/>
              <w:bidi w:val="0"/>
              <w:spacing w:before="0"/>
              <w:ind w:left="148"/>
              <w:outlineLvl w:val="9"/>
              <w:rPr>
                <w:sz w:val="21"/>
              </w:rPr>
            </w:pPr>
            <w:r>
              <w:rPr>
                <w:sz w:val="21"/>
              </w:rPr>
              <w:t>209</w:t>
            </w:r>
          </w:p>
        </w:tc>
        <w:tc>
          <w:tcPr>
            <w:tcW w:w="1987" w:type="dxa"/>
          </w:tcPr>
          <w:p>
            <w:pPr>
              <w:pStyle w:val="21"/>
              <w:pageBreakBefore w:val="0"/>
              <w:kinsoku/>
              <w:wordWrap/>
              <w:overflowPunct/>
              <w:topLinePunct w:val="0"/>
              <w:autoSpaceDE/>
              <w:autoSpaceDN/>
              <w:bidi w:val="0"/>
              <w:spacing w:before="178"/>
              <w:ind w:left="110"/>
              <w:outlineLvl w:val="9"/>
              <w:rPr>
                <w:rFonts w:hint="eastAsia" w:ascii="仿宋" w:eastAsia="仿宋"/>
                <w:sz w:val="21"/>
              </w:rPr>
            </w:pPr>
            <w:r>
              <w:rPr>
                <w:rFonts w:hint="eastAsia" w:ascii="仿宋" w:eastAsia="仿宋"/>
                <w:sz w:val="21"/>
              </w:rPr>
              <w:t>加拿大</w:t>
            </w:r>
          </w:p>
        </w:tc>
        <w:tc>
          <w:tcPr>
            <w:tcW w:w="2126" w:type="dxa"/>
          </w:tcPr>
          <w:p>
            <w:pPr>
              <w:pStyle w:val="21"/>
              <w:pageBreakBefore w:val="0"/>
              <w:kinsoku/>
              <w:wordWrap/>
              <w:overflowPunct/>
              <w:topLinePunct w:val="0"/>
              <w:autoSpaceDE/>
              <w:autoSpaceDN/>
              <w:bidi w:val="0"/>
              <w:spacing w:before="20"/>
              <w:ind w:left="93" w:right="73"/>
              <w:jc w:val="center"/>
              <w:outlineLvl w:val="9"/>
              <w:rPr>
                <w:rFonts w:hint="eastAsia" w:ascii="仿宋" w:eastAsia="仿宋"/>
                <w:sz w:val="21"/>
              </w:rPr>
            </w:pPr>
            <w:r>
              <w:rPr>
                <w:rFonts w:hint="eastAsia" w:ascii="仿宋" w:eastAsia="仿宋"/>
                <w:sz w:val="21"/>
              </w:rPr>
              <w:t>渥太华、多伦多、卡</w:t>
            </w:r>
          </w:p>
          <w:p>
            <w:pPr>
              <w:pStyle w:val="21"/>
              <w:pageBreakBefore w:val="0"/>
              <w:kinsoku/>
              <w:wordWrap/>
              <w:overflowPunct/>
              <w:topLinePunct w:val="0"/>
              <w:autoSpaceDE/>
              <w:autoSpaceDN/>
              <w:bidi w:val="0"/>
              <w:spacing w:before="43"/>
              <w:ind w:left="93" w:right="73"/>
              <w:jc w:val="center"/>
              <w:outlineLvl w:val="9"/>
              <w:rPr>
                <w:rFonts w:hint="eastAsia" w:ascii="仿宋" w:eastAsia="仿宋"/>
                <w:sz w:val="21"/>
              </w:rPr>
            </w:pPr>
            <w:r>
              <w:rPr>
                <w:rFonts w:hint="eastAsia" w:ascii="仿宋" w:eastAsia="仿宋"/>
                <w:sz w:val="21"/>
              </w:rPr>
              <w:t>尔加里、蒙特利尔</w:t>
            </w:r>
          </w:p>
        </w:tc>
        <w:tc>
          <w:tcPr>
            <w:tcW w:w="710" w:type="dxa"/>
          </w:tcPr>
          <w:p>
            <w:pPr>
              <w:pStyle w:val="21"/>
              <w:pageBreakBefore w:val="0"/>
              <w:kinsoku/>
              <w:wordWrap/>
              <w:overflowPunct/>
              <w:topLinePunct w:val="0"/>
              <w:autoSpaceDE/>
              <w:autoSpaceDN/>
              <w:bidi w:val="0"/>
              <w:spacing w:before="178"/>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spacing w:before="18"/>
              <w:outlineLvl w:val="9"/>
              <w:rPr>
                <w:rFonts w:ascii="Microsoft JhengHei"/>
                <w:b/>
                <w:sz w:val="9"/>
              </w:rPr>
            </w:pPr>
          </w:p>
          <w:p>
            <w:pPr>
              <w:pStyle w:val="21"/>
              <w:pageBreakBefore w:val="0"/>
              <w:kinsoku/>
              <w:wordWrap/>
              <w:overflowPunct/>
              <w:topLinePunct w:val="0"/>
              <w:autoSpaceDE/>
              <w:autoSpaceDN/>
              <w:bidi w:val="0"/>
              <w:spacing w:before="0"/>
              <w:ind w:left="476"/>
              <w:outlineLvl w:val="9"/>
              <w:rPr>
                <w:sz w:val="21"/>
              </w:rPr>
            </w:pPr>
            <w:r>
              <w:rPr>
                <w:sz w:val="21"/>
              </w:rPr>
              <w:t>210</w:t>
            </w:r>
          </w:p>
        </w:tc>
        <w:tc>
          <w:tcPr>
            <w:tcW w:w="1421" w:type="dxa"/>
          </w:tcPr>
          <w:p>
            <w:pPr>
              <w:pStyle w:val="21"/>
              <w:pageBreakBefore w:val="0"/>
              <w:kinsoku/>
              <w:wordWrap/>
              <w:overflowPunct/>
              <w:topLinePunct w:val="0"/>
              <w:autoSpaceDE/>
              <w:autoSpaceDN/>
              <w:bidi w:val="0"/>
              <w:spacing w:before="18"/>
              <w:outlineLvl w:val="9"/>
              <w:rPr>
                <w:rFonts w:ascii="Microsoft JhengHei"/>
                <w:b/>
                <w:sz w:val="9"/>
              </w:rPr>
            </w:pPr>
          </w:p>
          <w:p>
            <w:pPr>
              <w:pStyle w:val="21"/>
              <w:pageBreakBefore w:val="0"/>
              <w:kinsoku/>
              <w:wordWrap/>
              <w:overflowPunct/>
              <w:topLinePunct w:val="0"/>
              <w:autoSpaceDE/>
              <w:autoSpaceDN/>
              <w:bidi w:val="0"/>
              <w:spacing w:before="0"/>
              <w:ind w:left="605"/>
              <w:outlineLvl w:val="9"/>
              <w:rPr>
                <w:sz w:val="21"/>
              </w:rPr>
            </w:pPr>
            <w:r>
              <w:rPr>
                <w:sz w:val="21"/>
              </w:rPr>
              <w:t>55</w:t>
            </w:r>
          </w:p>
        </w:tc>
        <w:tc>
          <w:tcPr>
            <w:tcW w:w="1397" w:type="dxa"/>
          </w:tcPr>
          <w:p>
            <w:pPr>
              <w:pStyle w:val="21"/>
              <w:pageBreakBefore w:val="0"/>
              <w:kinsoku/>
              <w:wordWrap/>
              <w:overflowPunct/>
              <w:topLinePunct w:val="0"/>
              <w:autoSpaceDE/>
              <w:autoSpaceDN/>
              <w:bidi w:val="0"/>
              <w:spacing w:before="18"/>
              <w:outlineLvl w:val="9"/>
              <w:rPr>
                <w:rFonts w:ascii="Microsoft JhengHei"/>
                <w:b/>
                <w:sz w:val="9"/>
              </w:rPr>
            </w:pPr>
          </w:p>
          <w:p>
            <w:pPr>
              <w:pStyle w:val="21"/>
              <w:pageBreakBefore w:val="0"/>
              <w:kinsoku/>
              <w:wordWrap/>
              <w:overflowPunct/>
              <w:topLinePunct w:val="0"/>
              <w:autoSpaceDE/>
              <w:autoSpaceDN/>
              <w:bidi w:val="0"/>
              <w:spacing w:before="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210</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温哥华</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240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211</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190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212</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墨西哥</w:t>
            </w: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墨西哥</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spacing w:before="16"/>
              <w:outlineLvl w:val="9"/>
              <w:rPr>
                <w:rFonts w:ascii="Microsoft JhengHei"/>
                <w:b/>
                <w:sz w:val="13"/>
              </w:rPr>
            </w:pPr>
          </w:p>
          <w:p>
            <w:pPr>
              <w:pStyle w:val="21"/>
              <w:pageBreakBefore w:val="0"/>
              <w:kinsoku/>
              <w:wordWrap/>
              <w:overflowPunct/>
              <w:topLinePunct w:val="0"/>
              <w:autoSpaceDE/>
              <w:autoSpaceDN/>
              <w:bidi w:val="0"/>
              <w:spacing w:before="0"/>
              <w:ind w:left="148"/>
              <w:outlineLvl w:val="9"/>
              <w:rPr>
                <w:sz w:val="21"/>
              </w:rPr>
            </w:pPr>
            <w:r>
              <w:rPr>
                <w:sz w:val="21"/>
              </w:rPr>
              <w:t>213</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蒂华纳</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214</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100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215</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巴西</w:t>
            </w: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巴西利亚</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216</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3"/>
              <w:ind w:left="88" w:right="73"/>
              <w:jc w:val="center"/>
              <w:outlineLvl w:val="9"/>
              <w:rPr>
                <w:rFonts w:hint="eastAsia" w:ascii="仿宋" w:eastAsia="仿宋"/>
                <w:sz w:val="21"/>
              </w:rPr>
            </w:pPr>
            <w:r>
              <w:rPr>
                <w:rFonts w:hint="eastAsia" w:ascii="仿宋" w:eastAsia="仿宋"/>
                <w:sz w:val="21"/>
              </w:rPr>
              <w:t>圣保罗</w:t>
            </w: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240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217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里约热内卢</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260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218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219</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牙买加</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220</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特立尼达和多巴哥</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厄瓜多尔</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222</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阿根廷</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476"/>
              <w:outlineLvl w:val="9"/>
              <w:rPr>
                <w:rFonts w:eastAsia="宋体"/>
                <w:sz w:val="21"/>
                <w:lang w:val="en-US"/>
              </w:rPr>
            </w:pPr>
            <w:r>
              <w:rPr>
                <w:rFonts w:hint="eastAsia" w:eastAsia="宋体"/>
                <w:sz w:val="21"/>
                <w:lang w:val="en-US"/>
              </w:rPr>
              <w:t>130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bl>
    <w:p>
      <w:pPr>
        <w:pageBreakBefore w:val="0"/>
        <w:kinsoku/>
        <w:wordWrap/>
        <w:overflowPunct/>
        <w:topLinePunct w:val="0"/>
        <w:autoSpaceDE/>
        <w:autoSpaceDN/>
        <w:bidi w:val="0"/>
        <w:jc w:val="center"/>
        <w:outlineLvl w:val="9"/>
        <w:rPr>
          <w:sz w:val="21"/>
        </w:rPr>
        <w:sectPr>
          <w:pgSz w:w="11900" w:h="16840"/>
          <w:pgMar w:top="1440" w:right="1060" w:bottom="280" w:left="1080" w:header="720" w:footer="720" w:gutter="0"/>
          <w:pgNumType w:fmt="decimal"/>
          <w:cols w:space="720" w:num="1"/>
        </w:sectPr>
      </w:pPr>
    </w:p>
    <w:tbl>
      <w:tblPr>
        <w:tblStyle w:val="14"/>
        <w:tblW w:w="953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987"/>
        <w:gridCol w:w="2126"/>
        <w:gridCol w:w="710"/>
        <w:gridCol w:w="1272"/>
        <w:gridCol w:w="1421"/>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trPr>
        <w:tc>
          <w:tcPr>
            <w:tcW w:w="619" w:type="dxa"/>
          </w:tcPr>
          <w:p>
            <w:pPr>
              <w:pStyle w:val="21"/>
              <w:pageBreakBefore w:val="0"/>
              <w:kinsoku/>
              <w:wordWrap/>
              <w:overflowPunct/>
              <w:topLinePunct w:val="0"/>
              <w:autoSpaceDE/>
              <w:autoSpaceDN/>
              <w:bidi w:val="0"/>
              <w:spacing w:before="0" w:line="314" w:lineRule="exact"/>
              <w:ind w:left="206"/>
              <w:outlineLvl w:val="9"/>
              <w:rPr>
                <w:rFonts w:hint="eastAsia" w:ascii="Microsoft JhengHei" w:eastAsia="Microsoft JhengHei"/>
                <w:b/>
                <w:sz w:val="21"/>
              </w:rPr>
            </w:pPr>
            <w:r>
              <w:rPr>
                <w:rFonts w:hint="eastAsia" w:ascii="Microsoft JhengHei" w:eastAsia="Microsoft JhengHei"/>
                <w:b/>
                <w:sz w:val="21"/>
              </w:rPr>
              <w:t>序</w:t>
            </w:r>
          </w:p>
          <w:p>
            <w:pPr>
              <w:pStyle w:val="21"/>
              <w:pageBreakBefore w:val="0"/>
              <w:kinsoku/>
              <w:wordWrap/>
              <w:overflowPunct/>
              <w:topLinePunct w:val="0"/>
              <w:autoSpaceDE/>
              <w:autoSpaceDN/>
              <w:bidi w:val="0"/>
              <w:spacing w:before="0" w:line="318" w:lineRule="exact"/>
              <w:ind w:left="206"/>
              <w:outlineLvl w:val="9"/>
              <w:rPr>
                <w:rFonts w:hint="eastAsia" w:ascii="Microsoft JhengHei" w:eastAsia="Microsoft JhengHei"/>
                <w:b/>
                <w:sz w:val="21"/>
              </w:rPr>
            </w:pPr>
            <w:r>
              <w:rPr>
                <w:rFonts w:hint="eastAsia" w:ascii="Microsoft JhengHei" w:eastAsia="Microsoft JhengHei"/>
                <w:b/>
                <w:sz w:val="21"/>
              </w:rPr>
              <w:t>号</w:t>
            </w:r>
          </w:p>
        </w:tc>
        <w:tc>
          <w:tcPr>
            <w:tcW w:w="1987" w:type="dxa"/>
          </w:tcPr>
          <w:p>
            <w:pPr>
              <w:pStyle w:val="21"/>
              <w:pageBreakBefore w:val="0"/>
              <w:kinsoku/>
              <w:wordWrap/>
              <w:overflowPunct/>
              <w:topLinePunct w:val="0"/>
              <w:autoSpaceDE/>
              <w:autoSpaceDN/>
              <w:bidi w:val="0"/>
              <w:spacing w:before="119"/>
              <w:ind w:left="364"/>
              <w:outlineLvl w:val="9"/>
              <w:rPr>
                <w:rFonts w:hint="eastAsia" w:ascii="Microsoft JhengHei" w:eastAsia="Microsoft JhengHei"/>
                <w:b/>
                <w:sz w:val="21"/>
              </w:rPr>
            </w:pPr>
            <w:r>
              <w:rPr>
                <w:rFonts w:hint="eastAsia" w:ascii="Microsoft JhengHei" w:eastAsia="Microsoft JhengHei"/>
                <w:b/>
                <w:sz w:val="21"/>
              </w:rPr>
              <w:t>国家（地区）</w:t>
            </w:r>
          </w:p>
        </w:tc>
        <w:tc>
          <w:tcPr>
            <w:tcW w:w="2126" w:type="dxa"/>
          </w:tcPr>
          <w:p>
            <w:pPr>
              <w:pStyle w:val="21"/>
              <w:pageBreakBefore w:val="0"/>
              <w:kinsoku/>
              <w:wordWrap/>
              <w:overflowPunct/>
              <w:topLinePunct w:val="0"/>
              <w:autoSpaceDE/>
              <w:autoSpaceDN/>
              <w:bidi w:val="0"/>
              <w:spacing w:before="119"/>
              <w:ind w:left="88" w:right="73"/>
              <w:jc w:val="center"/>
              <w:outlineLvl w:val="9"/>
              <w:rPr>
                <w:rFonts w:hint="eastAsia" w:ascii="Microsoft JhengHei" w:eastAsia="Microsoft JhengHei"/>
                <w:b/>
                <w:sz w:val="21"/>
              </w:rPr>
            </w:pPr>
            <w:r>
              <w:rPr>
                <w:rFonts w:hint="eastAsia" w:ascii="Microsoft JhengHei" w:eastAsia="Microsoft JhengHei"/>
                <w:b/>
                <w:sz w:val="21"/>
              </w:rPr>
              <w:t>城市</w:t>
            </w:r>
          </w:p>
        </w:tc>
        <w:tc>
          <w:tcPr>
            <w:tcW w:w="710" w:type="dxa"/>
          </w:tcPr>
          <w:p>
            <w:pPr>
              <w:pStyle w:val="21"/>
              <w:pageBreakBefore w:val="0"/>
              <w:kinsoku/>
              <w:wordWrap/>
              <w:overflowPunct/>
              <w:topLinePunct w:val="0"/>
              <w:autoSpaceDE/>
              <w:autoSpaceDN/>
              <w:bidi w:val="0"/>
              <w:spacing w:before="119"/>
              <w:ind w:left="115" w:right="114"/>
              <w:jc w:val="center"/>
              <w:outlineLvl w:val="9"/>
              <w:rPr>
                <w:rFonts w:hint="eastAsia" w:ascii="Microsoft JhengHei" w:eastAsia="Microsoft JhengHei"/>
                <w:b/>
                <w:sz w:val="21"/>
              </w:rPr>
            </w:pPr>
            <w:r>
              <w:rPr>
                <w:rFonts w:hint="eastAsia" w:ascii="Microsoft JhengHei" w:eastAsia="Microsoft JhengHei"/>
                <w:b/>
                <w:sz w:val="21"/>
              </w:rPr>
              <w:t>币种</w:t>
            </w:r>
          </w:p>
        </w:tc>
        <w:tc>
          <w:tcPr>
            <w:tcW w:w="1272" w:type="dxa"/>
          </w:tcPr>
          <w:p>
            <w:pPr>
              <w:pStyle w:val="21"/>
              <w:pageBreakBefore w:val="0"/>
              <w:kinsoku/>
              <w:wordWrap/>
              <w:overflowPunct/>
              <w:topLinePunct w:val="0"/>
              <w:autoSpaceDE/>
              <w:autoSpaceDN/>
              <w:bidi w:val="0"/>
              <w:spacing w:before="0" w:line="314" w:lineRule="exact"/>
              <w:ind w:left="125" w:right="118"/>
              <w:jc w:val="center"/>
              <w:outlineLvl w:val="9"/>
              <w:rPr>
                <w:rFonts w:hint="eastAsia" w:ascii="Microsoft JhengHei" w:eastAsia="Microsoft JhengHei"/>
                <w:b/>
                <w:sz w:val="21"/>
              </w:rPr>
            </w:pPr>
            <w:r>
              <w:rPr>
                <w:rFonts w:hint="eastAsia" w:ascii="Microsoft JhengHei" w:eastAsia="Microsoft JhengHei"/>
                <w:b/>
                <w:sz w:val="21"/>
              </w:rPr>
              <w:t>住宿费</w:t>
            </w:r>
          </w:p>
          <w:p>
            <w:pPr>
              <w:pStyle w:val="21"/>
              <w:pageBreakBefore w:val="0"/>
              <w:kinsoku/>
              <w:wordWrap/>
              <w:overflowPunct/>
              <w:topLinePunct w:val="0"/>
              <w:autoSpaceDE/>
              <w:autoSpaceDN/>
              <w:bidi w:val="0"/>
              <w:spacing w:before="0" w:line="318" w:lineRule="exact"/>
              <w:ind w:left="133" w:right="118"/>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21" w:type="dxa"/>
          </w:tcPr>
          <w:p>
            <w:pPr>
              <w:pStyle w:val="21"/>
              <w:pageBreakBefore w:val="0"/>
              <w:kinsoku/>
              <w:wordWrap/>
              <w:overflowPunct/>
              <w:topLinePunct w:val="0"/>
              <w:autoSpaceDE/>
              <w:autoSpaceDN/>
              <w:bidi w:val="0"/>
              <w:spacing w:before="0" w:line="314" w:lineRule="exact"/>
              <w:ind w:left="205" w:right="194"/>
              <w:jc w:val="center"/>
              <w:outlineLvl w:val="9"/>
              <w:rPr>
                <w:rFonts w:hint="eastAsia" w:ascii="Microsoft JhengHei" w:eastAsia="Microsoft JhengHei"/>
                <w:b/>
                <w:sz w:val="21"/>
              </w:rPr>
            </w:pPr>
            <w:r>
              <w:rPr>
                <w:rFonts w:hint="eastAsia" w:ascii="Microsoft JhengHei" w:eastAsia="Microsoft JhengHei"/>
                <w:b/>
                <w:sz w:val="21"/>
              </w:rPr>
              <w:t>伙食费</w:t>
            </w:r>
          </w:p>
          <w:p>
            <w:pPr>
              <w:pStyle w:val="21"/>
              <w:pageBreakBefore w:val="0"/>
              <w:kinsoku/>
              <w:wordWrap/>
              <w:overflowPunct/>
              <w:topLinePunct w:val="0"/>
              <w:autoSpaceDE/>
              <w:autoSpaceDN/>
              <w:bidi w:val="0"/>
              <w:spacing w:before="0" w:line="318" w:lineRule="exact"/>
              <w:ind w:left="205" w:right="195"/>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397" w:type="dxa"/>
          </w:tcPr>
          <w:p>
            <w:pPr>
              <w:pStyle w:val="21"/>
              <w:pageBreakBefore w:val="0"/>
              <w:kinsoku/>
              <w:wordWrap/>
              <w:overflowPunct/>
              <w:topLinePunct w:val="0"/>
              <w:autoSpaceDE/>
              <w:autoSpaceDN/>
              <w:bidi w:val="0"/>
              <w:spacing w:before="0" w:line="314" w:lineRule="exact"/>
              <w:ind w:left="190" w:right="184"/>
              <w:jc w:val="center"/>
              <w:outlineLvl w:val="9"/>
              <w:rPr>
                <w:rFonts w:hint="eastAsia" w:ascii="Microsoft JhengHei" w:eastAsia="Microsoft JhengHei"/>
                <w:b/>
                <w:sz w:val="21"/>
              </w:rPr>
            </w:pPr>
            <w:r>
              <w:rPr>
                <w:rFonts w:hint="eastAsia" w:ascii="Microsoft JhengHei" w:eastAsia="Microsoft JhengHei"/>
                <w:b/>
                <w:sz w:val="21"/>
              </w:rPr>
              <w:t>公杂费</w:t>
            </w:r>
          </w:p>
          <w:p>
            <w:pPr>
              <w:pStyle w:val="21"/>
              <w:pageBreakBefore w:val="0"/>
              <w:kinsoku/>
              <w:wordWrap/>
              <w:overflowPunct/>
              <w:topLinePunct w:val="0"/>
              <w:autoSpaceDE/>
              <w:autoSpaceDN/>
              <w:bidi w:val="0"/>
              <w:spacing w:before="0" w:line="318" w:lineRule="exact"/>
              <w:ind w:left="190" w:right="185"/>
              <w:jc w:val="center"/>
              <w:outlineLvl w:val="9"/>
              <w:rPr>
                <w:b/>
                <w:sz w:val="21"/>
              </w:rPr>
            </w:pPr>
            <w:r>
              <w:rPr>
                <w:b/>
                <w:sz w:val="21"/>
              </w:rPr>
              <w:t>(</w:t>
            </w:r>
            <w:r>
              <w:rPr>
                <w:rFonts w:hint="eastAsia" w:ascii="Microsoft JhengHei" w:eastAsia="Microsoft JhengHei"/>
                <w:b/>
                <w:sz w:val="21"/>
              </w:rPr>
              <w:t>每人每天</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乌拉圭</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135</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智利</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圣地亚哥</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135</w:t>
            </w:r>
          </w:p>
        </w:tc>
        <w:tc>
          <w:tcPr>
            <w:tcW w:w="1421" w:type="dxa"/>
          </w:tcPr>
          <w:p>
            <w:pPr>
              <w:pStyle w:val="21"/>
              <w:pageBreakBefore w:val="0"/>
              <w:kinsoku/>
              <w:wordWrap/>
              <w:overflowPunct/>
              <w:topLinePunct w:val="0"/>
              <w:autoSpaceDE/>
              <w:autoSpaceDN/>
              <w:bidi w:val="0"/>
              <w:ind w:left="605"/>
              <w:outlineLvl w:val="9"/>
              <w:rPr>
                <w:sz w:val="21"/>
              </w:rPr>
            </w:pPr>
            <w:r>
              <w:rPr>
                <w:sz w:val="21"/>
              </w:rPr>
              <w:t>47</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225</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伊基克</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47</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226</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103" w:right="45"/>
              <w:jc w:val="center"/>
              <w:outlineLvl w:val="9"/>
              <w:rPr>
                <w:rFonts w:hint="eastAsia" w:ascii="仿宋" w:eastAsia="仿宋"/>
                <w:sz w:val="21"/>
              </w:rPr>
            </w:pPr>
            <w:r>
              <w:rPr>
                <w:rFonts w:hint="eastAsia" w:ascii="仿宋" w:eastAsia="仿宋"/>
                <w:sz w:val="21"/>
              </w:rPr>
              <w:t>安托法加斯塔、阿里卡</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47</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100</w:t>
            </w:r>
          </w:p>
        </w:tc>
        <w:tc>
          <w:tcPr>
            <w:tcW w:w="1421" w:type="dxa"/>
          </w:tcPr>
          <w:p>
            <w:pPr>
              <w:pStyle w:val="21"/>
              <w:pageBreakBefore w:val="0"/>
              <w:kinsoku/>
              <w:wordWrap/>
              <w:overflowPunct/>
              <w:topLinePunct w:val="0"/>
              <w:autoSpaceDE/>
              <w:autoSpaceDN/>
              <w:bidi w:val="0"/>
              <w:ind w:left="605"/>
              <w:outlineLvl w:val="9"/>
              <w:rPr>
                <w:sz w:val="21"/>
              </w:rPr>
            </w:pPr>
            <w:r>
              <w:rPr>
                <w:sz w:val="21"/>
              </w:rPr>
              <w:t>47</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哥伦比亚</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波哥大</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190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229</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麦德林</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230</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卡塔赫纳</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231</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100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巴巴多斯</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250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圭亚那</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古巴</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135</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巴拿马</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135</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236</w:t>
            </w:r>
            <w:bookmarkStart w:id="1223" w:name="_Toc21607_WPSOffice_Level1"/>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格林纳达</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190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bookmarkEnd w:id="1223"/>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安提瓜和巴布达</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秘鲁</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239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玻利维亚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36</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尼加拉瓜</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苏里南</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sz w:val="21"/>
              </w:rPr>
              <w:t>1</w:t>
            </w:r>
            <w:r>
              <w:rPr>
                <w:rFonts w:hint="eastAsia" w:eastAsia="宋体"/>
                <w:sz w:val="21"/>
                <w:lang w:val="en-US"/>
              </w:rPr>
              <w:t>10</w:t>
            </w:r>
          </w:p>
        </w:tc>
        <w:tc>
          <w:tcPr>
            <w:tcW w:w="1421" w:type="dxa"/>
          </w:tcPr>
          <w:p>
            <w:pPr>
              <w:pStyle w:val="21"/>
              <w:pageBreakBefore w:val="0"/>
              <w:kinsoku/>
              <w:wordWrap/>
              <w:overflowPunct/>
              <w:topLinePunct w:val="0"/>
              <w:autoSpaceDE/>
              <w:autoSpaceDN/>
              <w:bidi w:val="0"/>
              <w:ind w:left="605"/>
              <w:outlineLvl w:val="9"/>
              <w:rPr>
                <w:sz w:val="21"/>
              </w:rPr>
            </w:pPr>
            <w:r>
              <w:rPr>
                <w:sz w:val="21"/>
              </w:rPr>
              <w:t>50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委内瑞拉</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230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海地</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波多黎各</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多米尼加</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多米尼克</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巴哈马</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220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圣卢西亚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249</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阿鲁巴岛</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250</w:t>
            </w:r>
          </w:p>
        </w:tc>
        <w:tc>
          <w:tcPr>
            <w:tcW w:w="1987" w:type="dxa"/>
          </w:tcPr>
          <w:p>
            <w:pPr>
              <w:pStyle w:val="21"/>
              <w:pageBreakBefore w:val="0"/>
              <w:kinsoku/>
              <w:wordWrap/>
              <w:overflowPunct/>
              <w:topLinePunct w:val="0"/>
              <w:autoSpaceDE/>
              <w:autoSpaceDN/>
              <w:bidi w:val="0"/>
              <w:spacing w:before="53"/>
              <w:ind w:left="110"/>
              <w:outlineLvl w:val="9"/>
              <w:rPr>
                <w:rFonts w:hint="eastAsia" w:ascii="仿宋" w:eastAsia="仿宋"/>
                <w:sz w:val="21"/>
              </w:rPr>
            </w:pPr>
            <w:r>
              <w:rPr>
                <w:rFonts w:hint="eastAsia" w:ascii="仿宋" w:eastAsia="仿宋"/>
                <w:sz w:val="21"/>
              </w:rPr>
              <w:t>哥斯达黎加</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spacing w:before="0" w:line="359" w:lineRule="exact"/>
              <w:ind w:left="206"/>
              <w:outlineLvl w:val="9"/>
              <w:rPr>
                <w:rFonts w:hint="eastAsia" w:ascii="Microsoft JhengHei" w:eastAsia="Microsoft JhengHei"/>
                <w:b/>
                <w:sz w:val="21"/>
              </w:rPr>
            </w:pPr>
            <w:r>
              <w:rPr>
                <w:rFonts w:hint="eastAsia" w:ascii="Microsoft JhengHei" w:eastAsia="Microsoft JhengHei"/>
                <w:b/>
                <w:sz w:val="21"/>
              </w:rPr>
              <w:t>五</w:t>
            </w:r>
          </w:p>
        </w:tc>
        <w:tc>
          <w:tcPr>
            <w:tcW w:w="1987" w:type="dxa"/>
          </w:tcPr>
          <w:p>
            <w:pPr>
              <w:pStyle w:val="21"/>
              <w:pageBreakBefore w:val="0"/>
              <w:kinsoku/>
              <w:wordWrap/>
              <w:overflowPunct/>
              <w:topLinePunct w:val="0"/>
              <w:autoSpaceDE/>
              <w:autoSpaceDN/>
              <w:bidi w:val="0"/>
              <w:spacing w:before="0" w:line="359" w:lineRule="exact"/>
              <w:ind w:left="110"/>
              <w:outlineLvl w:val="9"/>
              <w:rPr>
                <w:rFonts w:hint="eastAsia" w:ascii="Microsoft JhengHei" w:eastAsia="Microsoft JhengHei"/>
                <w:b/>
                <w:sz w:val="21"/>
              </w:rPr>
            </w:pPr>
            <w:r>
              <w:rPr>
                <w:rFonts w:hint="eastAsia" w:ascii="仿宋" w:eastAsia="仿宋"/>
                <w:sz w:val="21"/>
              </w:rPr>
              <w:t>大洋州及太平洋岛屿</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0"/>
              <w:outlineLvl w:val="9"/>
              <w:rPr>
                <w:rFonts w:ascii="Times New Roman"/>
                <w:sz w:val="20"/>
              </w:rPr>
            </w:pPr>
          </w:p>
        </w:tc>
        <w:tc>
          <w:tcPr>
            <w:tcW w:w="1272" w:type="dxa"/>
          </w:tcPr>
          <w:p>
            <w:pPr>
              <w:pStyle w:val="21"/>
              <w:pageBreakBefore w:val="0"/>
              <w:kinsoku/>
              <w:wordWrap/>
              <w:overflowPunct/>
              <w:topLinePunct w:val="0"/>
              <w:autoSpaceDE/>
              <w:autoSpaceDN/>
              <w:bidi w:val="0"/>
              <w:spacing w:before="0"/>
              <w:outlineLvl w:val="9"/>
              <w:rPr>
                <w:rFonts w:ascii="Times New Roman"/>
                <w:sz w:val="20"/>
              </w:rPr>
            </w:pPr>
          </w:p>
        </w:tc>
        <w:tc>
          <w:tcPr>
            <w:tcW w:w="1421" w:type="dxa"/>
          </w:tcPr>
          <w:p>
            <w:pPr>
              <w:pStyle w:val="21"/>
              <w:pageBreakBefore w:val="0"/>
              <w:kinsoku/>
              <w:wordWrap/>
              <w:overflowPunct/>
              <w:topLinePunct w:val="0"/>
              <w:autoSpaceDE/>
              <w:autoSpaceDN/>
              <w:bidi w:val="0"/>
              <w:spacing w:before="0"/>
              <w:outlineLvl w:val="9"/>
              <w:rPr>
                <w:rFonts w:ascii="Times New Roman"/>
                <w:sz w:val="20"/>
              </w:rPr>
            </w:pPr>
          </w:p>
        </w:tc>
        <w:tc>
          <w:tcPr>
            <w:tcW w:w="1397" w:type="dxa"/>
          </w:tcPr>
          <w:p>
            <w:pPr>
              <w:pStyle w:val="21"/>
              <w:pageBreakBefore w:val="0"/>
              <w:kinsoku/>
              <w:wordWrap/>
              <w:overflowPunct/>
              <w:topLinePunct w:val="0"/>
              <w:autoSpaceDE/>
              <w:autoSpaceDN/>
              <w:bidi w:val="0"/>
              <w:spacing w:before="0"/>
              <w:outlineLvl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19" w:type="dxa"/>
            <w:vMerge w:val="restart"/>
          </w:tcPr>
          <w:p>
            <w:pPr>
              <w:pStyle w:val="21"/>
              <w:pageBreakBefore w:val="0"/>
              <w:kinsoku/>
              <w:wordWrap/>
              <w:overflowPunct/>
              <w:topLinePunct w:val="0"/>
              <w:autoSpaceDE/>
              <w:autoSpaceDN/>
              <w:bidi w:val="0"/>
              <w:spacing w:before="17"/>
              <w:outlineLvl w:val="9"/>
              <w:rPr>
                <w:rFonts w:ascii="Microsoft JhengHei"/>
                <w:b/>
                <w:sz w:val="26"/>
              </w:rPr>
            </w:pPr>
          </w:p>
          <w:p>
            <w:pPr>
              <w:pStyle w:val="21"/>
              <w:pageBreakBefore w:val="0"/>
              <w:kinsoku/>
              <w:wordWrap/>
              <w:overflowPunct/>
              <w:topLinePunct w:val="0"/>
              <w:autoSpaceDE/>
              <w:autoSpaceDN/>
              <w:bidi w:val="0"/>
              <w:spacing w:before="0"/>
              <w:ind w:left="148"/>
              <w:outlineLvl w:val="9"/>
              <w:rPr>
                <w:sz w:val="21"/>
              </w:rPr>
            </w:pPr>
            <w:r>
              <w:rPr>
                <w:sz w:val="21"/>
              </w:rPr>
              <w:t>251</w:t>
            </w:r>
          </w:p>
        </w:tc>
        <w:tc>
          <w:tcPr>
            <w:tcW w:w="1987" w:type="dxa"/>
          </w:tcPr>
          <w:p>
            <w:pPr>
              <w:pStyle w:val="21"/>
              <w:pageBreakBefore w:val="0"/>
              <w:kinsoku/>
              <w:wordWrap/>
              <w:overflowPunct/>
              <w:topLinePunct w:val="0"/>
              <w:autoSpaceDE/>
              <w:autoSpaceDN/>
              <w:bidi w:val="0"/>
              <w:spacing w:before="174"/>
              <w:ind w:left="110"/>
              <w:outlineLvl w:val="9"/>
              <w:rPr>
                <w:rFonts w:hint="eastAsia" w:ascii="仿宋" w:eastAsia="仿宋"/>
                <w:sz w:val="21"/>
              </w:rPr>
            </w:pPr>
            <w:r>
              <w:rPr>
                <w:rFonts w:hint="eastAsia" w:ascii="仿宋" w:eastAsia="仿宋"/>
                <w:sz w:val="21"/>
              </w:rPr>
              <w:t>澳大利亚</w:t>
            </w:r>
          </w:p>
        </w:tc>
        <w:tc>
          <w:tcPr>
            <w:tcW w:w="2126" w:type="dxa"/>
          </w:tcPr>
          <w:p>
            <w:pPr>
              <w:pStyle w:val="21"/>
              <w:pageBreakBefore w:val="0"/>
              <w:kinsoku/>
              <w:wordWrap/>
              <w:overflowPunct/>
              <w:topLinePunct w:val="0"/>
              <w:autoSpaceDE/>
              <w:autoSpaceDN/>
              <w:bidi w:val="0"/>
              <w:spacing w:before="20"/>
              <w:ind w:left="88" w:right="73"/>
              <w:jc w:val="center"/>
              <w:outlineLvl w:val="9"/>
              <w:rPr>
                <w:rFonts w:hint="eastAsia" w:ascii="仿宋" w:eastAsia="仿宋"/>
                <w:sz w:val="21"/>
              </w:rPr>
            </w:pPr>
            <w:r>
              <w:rPr>
                <w:rFonts w:hint="eastAsia" w:ascii="仿宋" w:eastAsia="仿宋"/>
                <w:sz w:val="21"/>
              </w:rPr>
              <w:t>堪培拉</w:t>
            </w:r>
          </w:p>
        </w:tc>
        <w:tc>
          <w:tcPr>
            <w:tcW w:w="710" w:type="dxa"/>
          </w:tcPr>
          <w:p>
            <w:pPr>
              <w:pStyle w:val="21"/>
              <w:pageBreakBefore w:val="0"/>
              <w:kinsoku/>
              <w:wordWrap/>
              <w:overflowPunct/>
              <w:topLinePunct w:val="0"/>
              <w:autoSpaceDE/>
              <w:autoSpaceDN/>
              <w:bidi w:val="0"/>
              <w:spacing w:before="17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spacing w:before="179"/>
              <w:ind w:left="127" w:right="118"/>
              <w:jc w:val="center"/>
              <w:outlineLvl w:val="9"/>
              <w:rPr>
                <w:sz w:val="21"/>
              </w:rPr>
            </w:pPr>
            <w:r>
              <w:rPr>
                <w:sz w:val="21"/>
              </w:rPr>
              <w:t>210</w:t>
            </w:r>
          </w:p>
        </w:tc>
        <w:tc>
          <w:tcPr>
            <w:tcW w:w="1421" w:type="dxa"/>
          </w:tcPr>
          <w:p>
            <w:pPr>
              <w:pStyle w:val="21"/>
              <w:pageBreakBefore w:val="0"/>
              <w:kinsoku/>
              <w:wordWrap/>
              <w:overflowPunct/>
              <w:topLinePunct w:val="0"/>
              <w:autoSpaceDE/>
              <w:autoSpaceDN/>
              <w:bidi w:val="0"/>
              <w:spacing w:before="179"/>
              <w:ind w:left="605"/>
              <w:outlineLvl w:val="9"/>
              <w:rPr>
                <w:sz w:val="21"/>
              </w:rPr>
            </w:pPr>
            <w:r>
              <w:rPr>
                <w:sz w:val="21"/>
              </w:rPr>
              <w:t>60</w:t>
            </w:r>
          </w:p>
        </w:tc>
        <w:tc>
          <w:tcPr>
            <w:tcW w:w="1397" w:type="dxa"/>
          </w:tcPr>
          <w:p>
            <w:pPr>
              <w:pStyle w:val="21"/>
              <w:pageBreakBefore w:val="0"/>
              <w:kinsoku/>
              <w:wordWrap/>
              <w:overflowPunct/>
              <w:topLinePunct w:val="0"/>
              <w:autoSpaceDE/>
              <w:autoSpaceDN/>
              <w:bidi w:val="0"/>
              <w:spacing w:before="179"/>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19" w:type="dxa"/>
            <w:vMerge w:val="continue"/>
            <w:tcBorders>
              <w:top w:val="nil"/>
            </w:tcBorders>
          </w:tcPr>
          <w:p>
            <w:pPr>
              <w:pageBreakBefore w:val="0"/>
              <w:kinsoku/>
              <w:wordWrap/>
              <w:overflowPunct/>
              <w:topLinePunct w:val="0"/>
              <w:autoSpaceDE/>
              <w:autoSpaceDN/>
              <w:bidi w:val="0"/>
              <w:outlineLvl w:val="9"/>
              <w:rPr>
                <w:sz w:val="2"/>
                <w:szCs w:val="2"/>
              </w:rPr>
            </w:pP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20"/>
              <w:ind w:left="88" w:right="73"/>
              <w:jc w:val="center"/>
              <w:outlineLvl w:val="9"/>
              <w:rPr>
                <w:rFonts w:hint="eastAsia" w:ascii="仿宋" w:eastAsia="仿宋"/>
                <w:sz w:val="21"/>
              </w:rPr>
            </w:pPr>
            <w:r>
              <w:rPr>
                <w:rFonts w:hint="eastAsia" w:ascii="仿宋" w:eastAsia="仿宋"/>
                <w:sz w:val="21"/>
              </w:rPr>
              <w:t>帕斯、</w:t>
            </w:r>
          </w:p>
          <w:p>
            <w:pPr>
              <w:pStyle w:val="21"/>
              <w:pageBreakBefore w:val="0"/>
              <w:kinsoku/>
              <w:wordWrap/>
              <w:overflowPunct/>
              <w:topLinePunct w:val="0"/>
              <w:autoSpaceDE/>
              <w:autoSpaceDN/>
              <w:bidi w:val="0"/>
              <w:spacing w:before="43"/>
              <w:ind w:left="88" w:right="73"/>
              <w:jc w:val="center"/>
              <w:outlineLvl w:val="9"/>
              <w:rPr>
                <w:rFonts w:hint="eastAsia" w:ascii="仿宋" w:eastAsia="仿宋"/>
                <w:sz w:val="21"/>
              </w:rPr>
            </w:pPr>
            <w:r>
              <w:rPr>
                <w:rFonts w:hint="eastAsia" w:ascii="仿宋" w:eastAsia="仿宋"/>
                <w:sz w:val="21"/>
              </w:rPr>
              <w:t>布里斯班</w:t>
            </w:r>
          </w:p>
        </w:tc>
        <w:tc>
          <w:tcPr>
            <w:tcW w:w="710" w:type="dxa"/>
          </w:tcPr>
          <w:p>
            <w:pPr>
              <w:pStyle w:val="21"/>
              <w:pageBreakBefore w:val="0"/>
              <w:kinsoku/>
              <w:wordWrap/>
              <w:overflowPunct/>
              <w:topLinePunct w:val="0"/>
              <w:autoSpaceDE/>
              <w:autoSpaceDN/>
              <w:bidi w:val="0"/>
              <w:spacing w:before="173"/>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spacing w:before="179"/>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spacing w:before="179"/>
              <w:ind w:left="605"/>
              <w:outlineLvl w:val="9"/>
              <w:rPr>
                <w:sz w:val="21"/>
              </w:rPr>
            </w:pPr>
            <w:r>
              <w:rPr>
                <w:sz w:val="21"/>
              </w:rPr>
              <w:t>60</w:t>
            </w:r>
          </w:p>
        </w:tc>
        <w:tc>
          <w:tcPr>
            <w:tcW w:w="1397" w:type="dxa"/>
          </w:tcPr>
          <w:p>
            <w:pPr>
              <w:pStyle w:val="21"/>
              <w:pageBreakBefore w:val="0"/>
              <w:kinsoku/>
              <w:wordWrap/>
              <w:overflowPunct/>
              <w:topLinePunct w:val="0"/>
              <w:autoSpaceDE/>
              <w:autoSpaceDN/>
              <w:bidi w:val="0"/>
              <w:spacing w:before="179"/>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619" w:type="dxa"/>
          </w:tcPr>
          <w:p>
            <w:pPr>
              <w:pStyle w:val="21"/>
              <w:pageBreakBefore w:val="0"/>
              <w:kinsoku/>
              <w:wordWrap/>
              <w:overflowPunct/>
              <w:topLinePunct w:val="0"/>
              <w:autoSpaceDE/>
              <w:autoSpaceDN/>
              <w:bidi w:val="0"/>
              <w:ind w:left="148"/>
              <w:outlineLvl w:val="9"/>
              <w:rPr>
                <w:sz w:val="21"/>
              </w:rPr>
            </w:pPr>
            <w:r>
              <w:rPr>
                <w:sz w:val="21"/>
              </w:rPr>
              <w:t>252</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93" w:right="73"/>
              <w:jc w:val="center"/>
              <w:outlineLvl w:val="9"/>
              <w:rPr>
                <w:rFonts w:hint="eastAsia" w:ascii="仿宋" w:eastAsia="仿宋"/>
                <w:sz w:val="21"/>
              </w:rPr>
            </w:pPr>
            <w:r>
              <w:rPr>
                <w:rFonts w:hint="eastAsia" w:ascii="仿宋" w:eastAsia="仿宋"/>
                <w:sz w:val="21"/>
              </w:rPr>
              <w:t>墨尔本、悉尼</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bl>
    <w:p>
      <w:pPr>
        <w:pageBreakBefore w:val="0"/>
        <w:kinsoku/>
        <w:wordWrap/>
        <w:overflowPunct/>
        <w:topLinePunct w:val="0"/>
        <w:autoSpaceDE/>
        <w:autoSpaceDN/>
        <w:bidi w:val="0"/>
        <w:jc w:val="center"/>
        <w:outlineLvl w:val="9"/>
        <w:rPr>
          <w:sz w:val="21"/>
        </w:rPr>
        <w:sectPr>
          <w:pgSz w:w="11900" w:h="16840"/>
          <w:pgMar w:top="1440" w:right="1060" w:bottom="280" w:left="1080" w:header="720" w:footer="720" w:gutter="0"/>
          <w:pgNumType w:fmt="decimal"/>
          <w:cols w:space="720" w:num="1"/>
        </w:sectPr>
      </w:pPr>
    </w:p>
    <w:tbl>
      <w:tblPr>
        <w:tblStyle w:val="14"/>
        <w:tblW w:w="953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987"/>
        <w:gridCol w:w="2126"/>
        <w:gridCol w:w="710"/>
        <w:gridCol w:w="1272"/>
        <w:gridCol w:w="1421"/>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jc w:val="center"/>
        </w:trPr>
        <w:tc>
          <w:tcPr>
            <w:tcW w:w="619" w:type="dxa"/>
          </w:tcPr>
          <w:p>
            <w:pPr>
              <w:pStyle w:val="21"/>
              <w:pageBreakBefore w:val="0"/>
              <w:kinsoku/>
              <w:wordWrap/>
              <w:overflowPunct/>
              <w:topLinePunct w:val="0"/>
              <w:autoSpaceDE/>
              <w:autoSpaceDN/>
              <w:bidi w:val="0"/>
              <w:spacing w:before="0" w:line="314" w:lineRule="exact"/>
              <w:ind w:left="206"/>
              <w:outlineLvl w:val="9"/>
              <w:rPr>
                <w:rFonts w:hint="eastAsia" w:ascii="Microsoft JhengHei" w:eastAsia="Microsoft JhengHei"/>
                <w:b/>
                <w:sz w:val="21"/>
              </w:rPr>
            </w:pPr>
            <w:r>
              <w:rPr>
                <w:rFonts w:hint="eastAsia" w:ascii="Microsoft JhengHei" w:eastAsia="Microsoft JhengHei"/>
                <w:b/>
                <w:sz w:val="21"/>
              </w:rPr>
              <w:t>序</w:t>
            </w:r>
          </w:p>
          <w:p>
            <w:pPr>
              <w:pStyle w:val="21"/>
              <w:pageBreakBefore w:val="0"/>
              <w:kinsoku/>
              <w:wordWrap/>
              <w:overflowPunct/>
              <w:topLinePunct w:val="0"/>
              <w:autoSpaceDE/>
              <w:autoSpaceDN/>
              <w:bidi w:val="0"/>
              <w:spacing w:before="0" w:line="318" w:lineRule="exact"/>
              <w:ind w:left="206"/>
              <w:outlineLvl w:val="9"/>
              <w:rPr>
                <w:rFonts w:hint="eastAsia" w:ascii="Microsoft JhengHei" w:eastAsia="Microsoft JhengHei"/>
                <w:b/>
                <w:sz w:val="21"/>
              </w:rPr>
            </w:pPr>
            <w:r>
              <w:rPr>
                <w:rFonts w:hint="eastAsia" w:ascii="Microsoft JhengHei" w:eastAsia="Microsoft JhengHei"/>
                <w:b/>
                <w:sz w:val="21"/>
              </w:rPr>
              <w:t>号</w:t>
            </w:r>
          </w:p>
        </w:tc>
        <w:tc>
          <w:tcPr>
            <w:tcW w:w="1987" w:type="dxa"/>
          </w:tcPr>
          <w:p>
            <w:pPr>
              <w:pStyle w:val="21"/>
              <w:pageBreakBefore w:val="0"/>
              <w:kinsoku/>
              <w:wordWrap/>
              <w:overflowPunct/>
              <w:topLinePunct w:val="0"/>
              <w:autoSpaceDE/>
              <w:autoSpaceDN/>
              <w:bidi w:val="0"/>
              <w:spacing w:before="119"/>
              <w:ind w:left="364"/>
              <w:outlineLvl w:val="9"/>
              <w:rPr>
                <w:rFonts w:hint="eastAsia" w:ascii="Microsoft JhengHei" w:eastAsia="Microsoft JhengHei"/>
                <w:b/>
                <w:sz w:val="21"/>
              </w:rPr>
            </w:pPr>
            <w:r>
              <w:rPr>
                <w:rFonts w:hint="eastAsia" w:ascii="Microsoft JhengHei" w:eastAsia="Microsoft JhengHei"/>
                <w:b/>
                <w:sz w:val="21"/>
              </w:rPr>
              <w:t>国家（地区）</w:t>
            </w:r>
          </w:p>
        </w:tc>
        <w:tc>
          <w:tcPr>
            <w:tcW w:w="2126" w:type="dxa"/>
          </w:tcPr>
          <w:p>
            <w:pPr>
              <w:pStyle w:val="21"/>
              <w:pageBreakBefore w:val="0"/>
              <w:kinsoku/>
              <w:wordWrap/>
              <w:overflowPunct/>
              <w:topLinePunct w:val="0"/>
              <w:autoSpaceDE/>
              <w:autoSpaceDN/>
              <w:bidi w:val="0"/>
              <w:spacing w:before="119"/>
              <w:ind w:left="88" w:right="73"/>
              <w:jc w:val="center"/>
              <w:outlineLvl w:val="9"/>
              <w:rPr>
                <w:rFonts w:hint="eastAsia" w:ascii="Microsoft JhengHei" w:eastAsia="Microsoft JhengHei"/>
                <w:b/>
                <w:sz w:val="21"/>
              </w:rPr>
            </w:pPr>
            <w:r>
              <w:rPr>
                <w:rFonts w:hint="eastAsia" w:ascii="Microsoft JhengHei" w:eastAsia="Microsoft JhengHei"/>
                <w:b/>
                <w:sz w:val="21"/>
              </w:rPr>
              <w:t>城市</w:t>
            </w:r>
          </w:p>
        </w:tc>
        <w:tc>
          <w:tcPr>
            <w:tcW w:w="710" w:type="dxa"/>
          </w:tcPr>
          <w:p>
            <w:pPr>
              <w:pStyle w:val="21"/>
              <w:pageBreakBefore w:val="0"/>
              <w:kinsoku/>
              <w:wordWrap/>
              <w:overflowPunct/>
              <w:topLinePunct w:val="0"/>
              <w:autoSpaceDE/>
              <w:autoSpaceDN/>
              <w:bidi w:val="0"/>
              <w:spacing w:before="119"/>
              <w:ind w:left="115" w:right="114"/>
              <w:jc w:val="center"/>
              <w:outlineLvl w:val="9"/>
              <w:rPr>
                <w:rFonts w:hint="eastAsia" w:ascii="Microsoft JhengHei" w:eastAsia="Microsoft JhengHei"/>
                <w:b/>
                <w:sz w:val="21"/>
              </w:rPr>
            </w:pPr>
            <w:r>
              <w:rPr>
                <w:rFonts w:hint="eastAsia" w:ascii="Microsoft JhengHei" w:eastAsia="Microsoft JhengHei"/>
                <w:b/>
                <w:sz w:val="21"/>
              </w:rPr>
              <w:t>币种</w:t>
            </w:r>
          </w:p>
        </w:tc>
        <w:tc>
          <w:tcPr>
            <w:tcW w:w="1272" w:type="dxa"/>
          </w:tcPr>
          <w:p>
            <w:pPr>
              <w:pStyle w:val="21"/>
              <w:pageBreakBefore w:val="0"/>
              <w:kinsoku/>
              <w:wordWrap/>
              <w:overflowPunct/>
              <w:topLinePunct w:val="0"/>
              <w:autoSpaceDE/>
              <w:autoSpaceDN/>
              <w:bidi w:val="0"/>
              <w:spacing w:before="0" w:line="314" w:lineRule="exact"/>
              <w:ind w:left="125" w:right="118"/>
              <w:jc w:val="center"/>
              <w:outlineLvl w:val="9"/>
              <w:rPr>
                <w:rFonts w:hint="eastAsia" w:ascii="Microsoft JhengHei" w:eastAsia="Microsoft JhengHei"/>
                <w:b/>
                <w:sz w:val="21"/>
              </w:rPr>
            </w:pPr>
            <w:r>
              <w:rPr>
                <w:rFonts w:hint="eastAsia" w:ascii="Microsoft JhengHei" w:eastAsia="Microsoft JhengHei"/>
                <w:b/>
                <w:sz w:val="21"/>
              </w:rPr>
              <w:t>住宿费</w:t>
            </w:r>
          </w:p>
          <w:p>
            <w:pPr>
              <w:pStyle w:val="21"/>
              <w:pageBreakBefore w:val="0"/>
              <w:kinsoku/>
              <w:wordWrap/>
              <w:overflowPunct/>
              <w:topLinePunct w:val="0"/>
              <w:autoSpaceDE/>
              <w:autoSpaceDN/>
              <w:bidi w:val="0"/>
              <w:spacing w:before="0" w:line="318" w:lineRule="exact"/>
              <w:ind w:left="133" w:right="118"/>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421" w:type="dxa"/>
          </w:tcPr>
          <w:p>
            <w:pPr>
              <w:pStyle w:val="21"/>
              <w:pageBreakBefore w:val="0"/>
              <w:kinsoku/>
              <w:wordWrap/>
              <w:overflowPunct/>
              <w:topLinePunct w:val="0"/>
              <w:autoSpaceDE/>
              <w:autoSpaceDN/>
              <w:bidi w:val="0"/>
              <w:spacing w:before="0" w:line="314" w:lineRule="exact"/>
              <w:ind w:left="205" w:right="194"/>
              <w:jc w:val="center"/>
              <w:outlineLvl w:val="9"/>
              <w:rPr>
                <w:rFonts w:hint="eastAsia" w:ascii="Microsoft JhengHei" w:eastAsia="Microsoft JhengHei"/>
                <w:b/>
                <w:sz w:val="21"/>
              </w:rPr>
            </w:pPr>
            <w:r>
              <w:rPr>
                <w:rFonts w:hint="eastAsia" w:ascii="Microsoft JhengHei" w:eastAsia="Microsoft JhengHei"/>
                <w:b/>
                <w:sz w:val="21"/>
              </w:rPr>
              <w:t>伙食费</w:t>
            </w:r>
          </w:p>
          <w:p>
            <w:pPr>
              <w:pStyle w:val="21"/>
              <w:pageBreakBefore w:val="0"/>
              <w:kinsoku/>
              <w:wordWrap/>
              <w:overflowPunct/>
              <w:topLinePunct w:val="0"/>
              <w:autoSpaceDE/>
              <w:autoSpaceDN/>
              <w:bidi w:val="0"/>
              <w:spacing w:before="0" w:line="318" w:lineRule="exact"/>
              <w:ind w:left="205" w:right="195"/>
              <w:jc w:val="center"/>
              <w:outlineLvl w:val="9"/>
              <w:rPr>
                <w:b/>
                <w:sz w:val="21"/>
              </w:rPr>
            </w:pPr>
            <w:r>
              <w:rPr>
                <w:b/>
                <w:sz w:val="21"/>
              </w:rPr>
              <w:t>(</w:t>
            </w:r>
            <w:r>
              <w:rPr>
                <w:rFonts w:hint="eastAsia" w:ascii="Microsoft JhengHei" w:eastAsia="Microsoft JhengHei"/>
                <w:b/>
                <w:sz w:val="21"/>
              </w:rPr>
              <w:t>每人每天</w:t>
            </w:r>
            <w:r>
              <w:rPr>
                <w:b/>
                <w:sz w:val="21"/>
              </w:rPr>
              <w:t>)</w:t>
            </w:r>
          </w:p>
        </w:tc>
        <w:tc>
          <w:tcPr>
            <w:tcW w:w="1397" w:type="dxa"/>
          </w:tcPr>
          <w:p>
            <w:pPr>
              <w:pStyle w:val="21"/>
              <w:pageBreakBefore w:val="0"/>
              <w:kinsoku/>
              <w:wordWrap/>
              <w:overflowPunct/>
              <w:topLinePunct w:val="0"/>
              <w:autoSpaceDE/>
              <w:autoSpaceDN/>
              <w:bidi w:val="0"/>
              <w:spacing w:before="0" w:line="314" w:lineRule="exact"/>
              <w:ind w:left="190" w:right="184"/>
              <w:jc w:val="center"/>
              <w:outlineLvl w:val="9"/>
              <w:rPr>
                <w:rFonts w:hint="eastAsia" w:ascii="Microsoft JhengHei" w:eastAsia="Microsoft JhengHei"/>
                <w:b/>
                <w:sz w:val="21"/>
              </w:rPr>
            </w:pPr>
            <w:r>
              <w:rPr>
                <w:rFonts w:hint="eastAsia" w:ascii="Microsoft JhengHei" w:eastAsia="Microsoft JhengHei"/>
                <w:b/>
                <w:sz w:val="21"/>
              </w:rPr>
              <w:t>公杂费</w:t>
            </w:r>
          </w:p>
          <w:p>
            <w:pPr>
              <w:pStyle w:val="21"/>
              <w:pageBreakBefore w:val="0"/>
              <w:kinsoku/>
              <w:wordWrap/>
              <w:overflowPunct/>
              <w:topLinePunct w:val="0"/>
              <w:autoSpaceDE/>
              <w:autoSpaceDN/>
              <w:bidi w:val="0"/>
              <w:spacing w:before="0" w:line="318" w:lineRule="exact"/>
              <w:ind w:left="190" w:right="185"/>
              <w:jc w:val="center"/>
              <w:outlineLvl w:val="9"/>
              <w:rPr>
                <w:b/>
                <w:sz w:val="21"/>
              </w:rPr>
            </w:pPr>
            <w:r>
              <w:rPr>
                <w:b/>
                <w:sz w:val="21"/>
              </w:rPr>
              <w:t>(</w:t>
            </w:r>
            <w:r>
              <w:rPr>
                <w:rFonts w:hint="eastAsia" w:ascii="Microsoft JhengHei" w:eastAsia="Microsoft JhengHei"/>
                <w:b/>
                <w:sz w:val="21"/>
              </w:rPr>
              <w:t>每人每天</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253</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254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新西兰</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255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萨摩亚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170</w:t>
            </w:r>
          </w:p>
        </w:tc>
        <w:tc>
          <w:tcPr>
            <w:tcW w:w="1421" w:type="dxa"/>
          </w:tcPr>
          <w:p>
            <w:pPr>
              <w:pStyle w:val="21"/>
              <w:pageBreakBefore w:val="0"/>
              <w:kinsoku/>
              <w:wordWrap/>
              <w:overflowPunct/>
              <w:topLinePunct w:val="0"/>
              <w:autoSpaceDE/>
              <w:autoSpaceDN/>
              <w:bidi w:val="0"/>
              <w:ind w:left="605"/>
              <w:outlineLvl w:val="9"/>
              <w:rPr>
                <w:sz w:val="21"/>
              </w:rPr>
            </w:pPr>
            <w:r>
              <w:rPr>
                <w:sz w:val="21"/>
              </w:rPr>
              <w:t>47</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256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斐济</w:t>
            </w: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苏瓦</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190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257</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楠迪</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258</w:t>
            </w:r>
          </w:p>
        </w:tc>
        <w:tc>
          <w:tcPr>
            <w:tcW w:w="1987" w:type="dxa"/>
          </w:tcPr>
          <w:p>
            <w:pPr>
              <w:pStyle w:val="21"/>
              <w:pageBreakBefore w:val="0"/>
              <w:kinsoku/>
              <w:wordWrap/>
              <w:overflowPunct/>
              <w:topLinePunct w:val="0"/>
              <w:autoSpaceDE/>
              <w:autoSpaceDN/>
              <w:bidi w:val="0"/>
              <w:spacing w:before="0"/>
              <w:outlineLvl w:val="9"/>
              <w:rPr>
                <w:rFonts w:ascii="Times New Roman"/>
                <w:sz w:val="20"/>
              </w:rPr>
            </w:pPr>
          </w:p>
        </w:tc>
        <w:tc>
          <w:tcPr>
            <w:tcW w:w="2126" w:type="dxa"/>
          </w:tcPr>
          <w:p>
            <w:pPr>
              <w:pStyle w:val="21"/>
              <w:pageBreakBefore w:val="0"/>
              <w:kinsoku/>
              <w:wordWrap/>
              <w:overflowPunct/>
              <w:topLinePunct w:val="0"/>
              <w:autoSpaceDE/>
              <w:autoSpaceDN/>
              <w:bidi w:val="0"/>
              <w:spacing w:before="54"/>
              <w:ind w:left="88" w:right="73"/>
              <w:jc w:val="center"/>
              <w:outlineLvl w:val="9"/>
              <w:rPr>
                <w:rFonts w:hint="eastAsia" w:ascii="仿宋" w:eastAsia="仿宋"/>
                <w:sz w:val="21"/>
              </w:rPr>
            </w:pPr>
            <w:r>
              <w:rPr>
                <w:rFonts w:hint="eastAsia" w:ascii="仿宋" w:eastAsia="仿宋"/>
                <w:sz w:val="21"/>
              </w:rPr>
              <w:t>其他城市</w:t>
            </w: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110</w:t>
            </w:r>
          </w:p>
        </w:tc>
        <w:tc>
          <w:tcPr>
            <w:tcW w:w="1421" w:type="dxa"/>
          </w:tcPr>
          <w:p>
            <w:pPr>
              <w:pStyle w:val="21"/>
              <w:pageBreakBefore w:val="0"/>
              <w:kinsoku/>
              <w:wordWrap/>
              <w:overflowPunct/>
              <w:topLinePunct w:val="0"/>
              <w:autoSpaceDE/>
              <w:autoSpaceDN/>
              <w:bidi w:val="0"/>
              <w:ind w:left="605"/>
              <w:outlineLvl w:val="9"/>
              <w:rPr>
                <w:sz w:val="21"/>
              </w:rPr>
            </w:pPr>
            <w:r>
              <w:rPr>
                <w:sz w:val="21"/>
              </w:rPr>
              <w:t>45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259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巴布亚新几内亚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350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260</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密克罗尼西亚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40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261</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马绍尔群岛</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120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262</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瓦努阿图</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rFonts w:eastAsia="宋体"/>
                <w:sz w:val="21"/>
                <w:lang w:val="en-US"/>
              </w:rPr>
            </w:pPr>
            <w:r>
              <w:rPr>
                <w:rFonts w:hint="eastAsia" w:eastAsia="宋体"/>
                <w:sz w:val="21"/>
                <w:lang w:val="en-US"/>
              </w:rPr>
              <w:t>150</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263</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基里巴斯</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195</w:t>
            </w:r>
          </w:p>
        </w:tc>
        <w:tc>
          <w:tcPr>
            <w:tcW w:w="1421" w:type="dxa"/>
          </w:tcPr>
          <w:p>
            <w:pPr>
              <w:pStyle w:val="21"/>
              <w:pageBreakBefore w:val="0"/>
              <w:kinsoku/>
              <w:wordWrap/>
              <w:overflowPunct/>
              <w:topLinePunct w:val="0"/>
              <w:autoSpaceDE/>
              <w:autoSpaceDN/>
              <w:bidi w:val="0"/>
              <w:ind w:left="605"/>
              <w:outlineLvl w:val="9"/>
              <w:rPr>
                <w:sz w:val="21"/>
              </w:rPr>
            </w:pPr>
            <w:r>
              <w:rPr>
                <w:sz w:val="21"/>
              </w:rPr>
              <w:t>55</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264</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汤加</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160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265</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帕劳</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266</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库克群岛</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180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267</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所罗门群岛</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200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268</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法属留尼汪</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140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619" w:type="dxa"/>
          </w:tcPr>
          <w:p>
            <w:pPr>
              <w:pStyle w:val="21"/>
              <w:pageBreakBefore w:val="0"/>
              <w:kinsoku/>
              <w:wordWrap/>
              <w:overflowPunct/>
              <w:topLinePunct w:val="0"/>
              <w:autoSpaceDE/>
              <w:autoSpaceDN/>
              <w:bidi w:val="0"/>
              <w:ind w:left="127" w:right="121"/>
              <w:jc w:val="center"/>
              <w:outlineLvl w:val="9"/>
              <w:rPr>
                <w:sz w:val="21"/>
              </w:rPr>
            </w:pPr>
            <w:r>
              <w:rPr>
                <w:sz w:val="21"/>
              </w:rPr>
              <w:t>269</w:t>
            </w:r>
          </w:p>
        </w:tc>
        <w:tc>
          <w:tcPr>
            <w:tcW w:w="1987" w:type="dxa"/>
          </w:tcPr>
          <w:p>
            <w:pPr>
              <w:pStyle w:val="21"/>
              <w:pageBreakBefore w:val="0"/>
              <w:kinsoku/>
              <w:wordWrap/>
              <w:overflowPunct/>
              <w:topLinePunct w:val="0"/>
              <w:autoSpaceDE/>
              <w:autoSpaceDN/>
              <w:bidi w:val="0"/>
              <w:spacing w:before="54"/>
              <w:ind w:left="110"/>
              <w:outlineLvl w:val="9"/>
              <w:rPr>
                <w:rFonts w:hint="eastAsia" w:ascii="仿宋" w:eastAsia="仿宋"/>
                <w:sz w:val="21"/>
              </w:rPr>
            </w:pPr>
            <w:r>
              <w:rPr>
                <w:rFonts w:hint="eastAsia" w:ascii="仿宋" w:eastAsia="仿宋"/>
                <w:sz w:val="21"/>
              </w:rPr>
              <w:t>法属波利尼西亚</w:t>
            </w:r>
          </w:p>
        </w:tc>
        <w:tc>
          <w:tcPr>
            <w:tcW w:w="2126" w:type="dxa"/>
          </w:tcPr>
          <w:p>
            <w:pPr>
              <w:pStyle w:val="21"/>
              <w:pageBreakBefore w:val="0"/>
              <w:kinsoku/>
              <w:wordWrap/>
              <w:overflowPunct/>
              <w:topLinePunct w:val="0"/>
              <w:autoSpaceDE/>
              <w:autoSpaceDN/>
              <w:bidi w:val="0"/>
              <w:spacing w:before="0"/>
              <w:outlineLvl w:val="9"/>
              <w:rPr>
                <w:rFonts w:ascii="Times New Roman"/>
                <w:sz w:val="20"/>
              </w:rPr>
            </w:pPr>
          </w:p>
        </w:tc>
        <w:tc>
          <w:tcPr>
            <w:tcW w:w="710" w:type="dxa"/>
          </w:tcPr>
          <w:p>
            <w:pPr>
              <w:pStyle w:val="21"/>
              <w:pageBreakBefore w:val="0"/>
              <w:kinsoku/>
              <w:wordWrap/>
              <w:overflowPunct/>
              <w:topLinePunct w:val="0"/>
              <w:autoSpaceDE/>
              <w:autoSpaceDN/>
              <w:bidi w:val="0"/>
              <w:spacing w:before="54"/>
              <w:ind w:left="120" w:right="109"/>
              <w:jc w:val="center"/>
              <w:outlineLvl w:val="9"/>
              <w:rPr>
                <w:rFonts w:hint="eastAsia" w:ascii="仿宋" w:eastAsia="仿宋"/>
                <w:sz w:val="21"/>
              </w:rPr>
            </w:pPr>
            <w:r>
              <w:rPr>
                <w:rFonts w:hint="eastAsia" w:ascii="仿宋" w:eastAsia="仿宋"/>
                <w:sz w:val="21"/>
              </w:rPr>
              <w:t>美元</w:t>
            </w:r>
          </w:p>
        </w:tc>
        <w:tc>
          <w:tcPr>
            <w:tcW w:w="1272" w:type="dxa"/>
          </w:tcPr>
          <w:p>
            <w:pPr>
              <w:pStyle w:val="21"/>
              <w:pageBreakBefore w:val="0"/>
              <w:kinsoku/>
              <w:wordWrap/>
              <w:overflowPunct/>
              <w:topLinePunct w:val="0"/>
              <w:autoSpaceDE/>
              <w:autoSpaceDN/>
              <w:bidi w:val="0"/>
              <w:ind w:left="127" w:right="118"/>
              <w:jc w:val="center"/>
              <w:outlineLvl w:val="9"/>
              <w:rPr>
                <w:sz w:val="21"/>
              </w:rPr>
            </w:pPr>
            <w:r>
              <w:rPr>
                <w:sz w:val="21"/>
              </w:rPr>
              <w:t>240</w:t>
            </w:r>
          </w:p>
        </w:tc>
        <w:tc>
          <w:tcPr>
            <w:tcW w:w="1421" w:type="dxa"/>
          </w:tcPr>
          <w:p>
            <w:pPr>
              <w:pStyle w:val="21"/>
              <w:pageBreakBefore w:val="0"/>
              <w:kinsoku/>
              <w:wordWrap/>
              <w:overflowPunct/>
              <w:topLinePunct w:val="0"/>
              <w:autoSpaceDE/>
              <w:autoSpaceDN/>
              <w:bidi w:val="0"/>
              <w:ind w:left="605"/>
              <w:outlineLvl w:val="9"/>
              <w:rPr>
                <w:sz w:val="21"/>
              </w:rPr>
            </w:pPr>
            <w:r>
              <w:rPr>
                <w:sz w:val="21"/>
              </w:rPr>
              <w:t>60</w:t>
            </w:r>
          </w:p>
        </w:tc>
        <w:tc>
          <w:tcPr>
            <w:tcW w:w="1397" w:type="dxa"/>
          </w:tcPr>
          <w:p>
            <w:pPr>
              <w:pStyle w:val="21"/>
              <w:pageBreakBefore w:val="0"/>
              <w:kinsoku/>
              <w:wordWrap/>
              <w:overflowPunct/>
              <w:topLinePunct w:val="0"/>
              <w:autoSpaceDE/>
              <w:autoSpaceDN/>
              <w:bidi w:val="0"/>
              <w:ind w:left="190" w:right="182"/>
              <w:jc w:val="center"/>
              <w:outlineLvl w:val="9"/>
              <w:rPr>
                <w:sz w:val="21"/>
              </w:rPr>
            </w:pPr>
            <w:r>
              <w:rPr>
                <w:sz w:val="21"/>
              </w:rPr>
              <w:t>35</w:t>
            </w:r>
          </w:p>
        </w:tc>
      </w:tr>
    </w:tbl>
    <w:p>
      <w:pPr>
        <w:pageBreakBefore w:val="0"/>
        <w:kinsoku/>
        <w:wordWrap/>
        <w:overflowPunct/>
        <w:topLinePunct w:val="0"/>
        <w:autoSpaceDE/>
        <w:autoSpaceDN/>
        <w:bidi w:val="0"/>
        <w:spacing w:line="590" w:lineRule="exact"/>
        <w:jc w:val="center"/>
        <w:outlineLvl w:val="9"/>
        <w:rPr>
          <w:b/>
          <w:bCs/>
          <w:sz w:val="40"/>
          <w:szCs w:val="48"/>
        </w:rPr>
      </w:pPr>
    </w:p>
    <w:p>
      <w:pPr>
        <w:pageBreakBefore w:val="0"/>
        <w:kinsoku/>
        <w:wordWrap/>
        <w:overflowPunct/>
        <w:topLinePunct w:val="0"/>
        <w:autoSpaceDE/>
        <w:autoSpaceDN/>
        <w:bidi w:val="0"/>
        <w:outlineLvl w:val="9"/>
        <w:rPr>
          <w:rFonts w:hint="default"/>
          <w:lang w:val="en-US" w:eastAsia="zh-CN"/>
        </w:rPr>
      </w:pPr>
    </w:p>
    <w:p>
      <w:pPr>
        <w:numPr>
          <w:ilvl w:val="0"/>
          <w:numId w:val="0"/>
        </w:numPr>
        <w:rPr>
          <w:rFonts w:hint="default"/>
          <w:sz w:val="32"/>
          <w:szCs w:val="32"/>
          <w:lang w:val="en-US" w:eastAsia="zh-CN"/>
        </w:rPr>
        <w:sectPr>
          <w:pgSz w:w="11906" w:h="16838"/>
          <w:pgMar w:top="1440" w:right="1800" w:bottom="1440" w:left="1800" w:header="851" w:footer="992" w:gutter="0"/>
          <w:pgNumType w:fmt="decimal"/>
          <w:cols w:space="425" w:num="1"/>
          <w:docGrid w:type="lines" w:linePitch="312" w:charSpace="0"/>
        </w:sectPr>
      </w:pPr>
      <w:bookmarkStart w:id="1224" w:name="_Toc30164"/>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225" w:name="_Toc534377770"/>
      <w:bookmarkStart w:id="1226" w:name="_Toc10968_WPSOffice_Level1"/>
      <w:bookmarkStart w:id="1227" w:name="_Toc32089"/>
      <w:bookmarkStart w:id="1228" w:name="_Toc17291"/>
      <w:r>
        <w:rPr>
          <w:rFonts w:hint="eastAsia"/>
          <w:b/>
          <w:color w:val="000000"/>
          <w:sz w:val="36"/>
          <w:szCs w:val="36"/>
        </w:rPr>
        <w:t>柳州职业技术学院</w:t>
      </w:r>
      <w:bookmarkEnd w:id="1225"/>
      <w:bookmarkStart w:id="1229" w:name="_Toc534377771"/>
      <w:r>
        <w:rPr>
          <w:rFonts w:hint="eastAsia"/>
          <w:b/>
          <w:color w:val="000000"/>
          <w:sz w:val="36"/>
          <w:szCs w:val="36"/>
        </w:rPr>
        <w:t>科技成果转化管理办法（暂行）</w:t>
      </w:r>
      <w:bookmarkEnd w:id="1226"/>
      <w:bookmarkEnd w:id="1227"/>
      <w:bookmarkEnd w:id="1228"/>
      <w:bookmarkEnd w:id="1229"/>
    </w:p>
    <w:p>
      <w:pPr>
        <w:pStyle w:val="1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（柳职院字〔2017〕17号）</w:t>
      </w:r>
    </w:p>
    <w:p>
      <w:pPr>
        <w:spacing w:line="590" w:lineRule="exact"/>
        <w:ind w:firstLine="540"/>
        <w:rPr>
          <w:szCs w:val="28"/>
        </w:rPr>
      </w:pPr>
    </w:p>
    <w:p>
      <w:pPr>
        <w:spacing w:line="590" w:lineRule="exact"/>
        <w:ind w:firstLine="640" w:firstLineChars="200"/>
        <w:rPr>
          <w:rFonts w:ascii="仿宋_GB2312" w:eastAsia="仿宋_GB2312"/>
          <w:sz w:val="32"/>
          <w:szCs w:val="32"/>
        </w:rPr>
      </w:pPr>
      <w:r>
        <w:rPr>
          <w:rFonts w:hint="eastAsia" w:ascii="仿宋_GB2312" w:eastAsia="仿宋_GB2312"/>
          <w:sz w:val="32"/>
          <w:szCs w:val="32"/>
        </w:rPr>
        <w:t>为贯彻落实国家创新驱动发展战略，加强科技成果管理，加快科技成果转化，规范科技成果使用、处置和收益管理，加强产学研合作，充分调动学校师生创新创业积极性，加快推进科技成果向现实生产力转化，增强学校科研实力与核心竞争力，提高学校社会服务能力与影响力。根据自治区党委办公厅自治区人民政府办公厅印发《关于深化高校和科研院所体制机制改革的实施意见》的通知（桂办发[2016]42号）、《广西壮族自治区人民政府办公厅转发科技厅财政厅关于事业单位科技成果使用处置和收益管理暂行规定的通知》（桂政办发〔2015〕135号）等文件精神，坚持规范管理、公平公正、公开透明、权责一致、利益共享、激励与约束并重的原则，结合学校实际，特制订本办法。</w:t>
      </w:r>
    </w:p>
    <w:p>
      <w:pPr>
        <w:spacing w:line="590" w:lineRule="exact"/>
        <w:jc w:val="center"/>
        <w:outlineLvl w:val="9"/>
        <w:rPr>
          <w:rFonts w:ascii="黑体" w:hAnsi="黑体" w:eastAsia="黑体"/>
          <w:b/>
          <w:bCs/>
          <w:kern w:val="0"/>
          <w:sz w:val="32"/>
          <w:szCs w:val="32"/>
        </w:rPr>
      </w:pPr>
      <w:bookmarkStart w:id="1230" w:name="_Toc6579_WPSOffice_Level1"/>
      <w:r>
        <w:rPr>
          <w:rFonts w:hint="eastAsia" w:ascii="黑体" w:hAnsi="黑体" w:eastAsia="黑体"/>
          <w:b/>
          <w:sz w:val="32"/>
          <w:szCs w:val="32"/>
        </w:rPr>
        <w:t>第一章  总则</w:t>
      </w:r>
      <w:bookmarkEnd w:id="1230"/>
    </w:p>
    <w:p>
      <w:pPr>
        <w:spacing w:line="590" w:lineRule="exact"/>
        <w:ind w:firstLine="643" w:firstLineChars="200"/>
        <w:rPr>
          <w:rFonts w:ascii="仿宋_GB2312" w:eastAsia="仿宋_GB2312"/>
          <w:bCs/>
          <w:kern w:val="0"/>
          <w:sz w:val="32"/>
          <w:szCs w:val="32"/>
        </w:rPr>
      </w:pPr>
      <w:r>
        <w:rPr>
          <w:rFonts w:hint="eastAsia" w:ascii="仿宋_GB2312" w:eastAsia="仿宋_GB2312"/>
          <w:b/>
          <w:bCs/>
          <w:kern w:val="0"/>
          <w:sz w:val="32"/>
          <w:szCs w:val="32"/>
        </w:rPr>
        <w:t>第一条</w:t>
      </w:r>
      <w:r>
        <w:rPr>
          <w:rFonts w:hint="eastAsia" w:ascii="仿宋_GB2312" w:eastAsia="仿宋_GB2312"/>
          <w:bCs/>
          <w:kern w:val="0"/>
          <w:sz w:val="32"/>
          <w:szCs w:val="32"/>
        </w:rPr>
        <w:t>　</w:t>
      </w:r>
      <w:r>
        <w:rPr>
          <w:rFonts w:hint="eastAsia" w:ascii="仿宋_GB2312" w:eastAsia="仿宋_GB2312"/>
          <w:sz w:val="32"/>
          <w:szCs w:val="32"/>
        </w:rPr>
        <w:t>本办法所指的“科技成果”，是指学校所属各部门、二级学院（部）或者个人，履行本职岗位的工作，执行学校的工作任务，或者主要是利用学校的物质技术条件，所完成的职务科技成果。职务科技成果主要包括：发明、实用新型、外观设计专利，软件著作权，集成电路布图设计权，植物新品种，中药品种，农作物品种，国防专利，专有技术，各类创意设计作品等以及法律法规规定的其他科技成果</w:t>
      </w:r>
      <w:r>
        <w:rPr>
          <w:rFonts w:hint="eastAsia" w:ascii="仿宋_GB2312" w:eastAsia="仿宋_GB2312"/>
          <w:bCs/>
          <w:kern w:val="0"/>
          <w:sz w:val="32"/>
          <w:szCs w:val="32"/>
        </w:rPr>
        <w:t>。</w:t>
      </w:r>
      <w:r>
        <w:rPr>
          <w:rFonts w:hint="eastAsia" w:ascii="仿宋_GB2312" w:eastAsia="仿宋_GB2312"/>
          <w:sz w:val="32"/>
          <w:szCs w:val="32"/>
        </w:rPr>
        <w:t>职务科技成果所有权归属学校，学校拥有使用权、处置权和收益分配权。</w:t>
      </w:r>
      <w:r>
        <w:rPr>
          <w:rFonts w:hint="eastAsia" w:ascii="仿宋_GB2312" w:eastAsia="仿宋_GB2312"/>
          <w:bCs/>
          <w:kern w:val="0"/>
          <w:sz w:val="32"/>
          <w:szCs w:val="32"/>
        </w:rPr>
        <w:t>完成以上成果的项目（课题）组和个人在本办法中统称为成果完成人。</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有以下情形之一，即可视为完成职务科技成果：</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（一）师生员工在校期间，由学校安排的工作任务所取得的科技成果。如承担</w:t>
      </w:r>
      <w:r>
        <w:rPr>
          <w:rFonts w:hint="eastAsia" w:ascii="仿宋_GB2312" w:eastAsia="仿宋_GB2312"/>
          <w:bCs/>
          <w:kern w:val="0"/>
          <w:sz w:val="32"/>
          <w:szCs w:val="32"/>
        </w:rPr>
        <w:t>承担国家、地方、企业和</w:t>
      </w:r>
      <w:r>
        <w:rPr>
          <w:rFonts w:hint="eastAsia" w:ascii="仿宋_GB2312" w:eastAsia="仿宋_GB2312"/>
          <w:sz w:val="32"/>
          <w:szCs w:val="32"/>
        </w:rPr>
        <w:t>学校</w:t>
      </w:r>
      <w:r>
        <w:rPr>
          <w:rFonts w:hint="eastAsia" w:ascii="仿宋_GB2312" w:eastAsia="仿宋_GB2312"/>
          <w:bCs/>
          <w:kern w:val="0"/>
          <w:sz w:val="32"/>
          <w:szCs w:val="32"/>
        </w:rPr>
        <w:t>项目（课题）</w:t>
      </w:r>
      <w:r>
        <w:rPr>
          <w:rFonts w:hint="eastAsia" w:ascii="仿宋_GB2312" w:eastAsia="仿宋_GB2312"/>
          <w:sz w:val="32"/>
          <w:szCs w:val="32"/>
        </w:rPr>
        <w:t>的科学研究和技术开发课题所完成的成果；履行本岗位的职责所完成的技术成果；本岗位职责外，由学校安排的其他工作任务所取得的科研成果等。</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（二）毕业、调离、辞职或者其他原因离开学校的师生员工，包括退休后不再参与学校相关工作、任务的职工，自离校一年内作出的与其在学校期间承担的本职工作或者是学校分配的任务有关的科技成果。</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三）利用学校的物质技术条件所完成的技术成果。如免费利用学校的设备、零部件、原材料、实验条件、场地或者不对外公开的技术资料、技术基础，以及利用学校的名义筹集或获得的资金、设备、零部件、原材料、实验条件、场地等所完成的科技成果。</w:t>
      </w:r>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 xml:space="preserve">第二条  </w:t>
      </w:r>
      <w:r>
        <w:rPr>
          <w:rFonts w:hint="eastAsia" w:ascii="仿宋_GB2312" w:eastAsia="仿宋_GB2312"/>
          <w:sz w:val="32"/>
          <w:szCs w:val="32"/>
        </w:rPr>
        <w:t>本办法所称“科技成果转化”，主要是指为提高生产力水平，而对科学研究与技术开发所产生的具有实用价值的科技成果所进行的后续试验、开发、应用、推广直至形成新产品、新工艺、新材料，发展新产业等活动。学校积极鼓励各部门、二级学院（部）和个人开展多种形式的科技成果转化活动。</w:t>
      </w:r>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 xml:space="preserve">第三条  </w:t>
      </w:r>
      <w:r>
        <w:rPr>
          <w:rFonts w:hint="eastAsia" w:ascii="仿宋_GB2312" w:eastAsia="仿宋_GB2312"/>
          <w:sz w:val="32"/>
          <w:szCs w:val="32"/>
        </w:rPr>
        <w:t>本办法所称“为科技成果转移转化作出重要贡献的人员”，主要是指在科技成果的后续试验、开发、应用、推广直至产业化等活动中做出突出贡献的</w:t>
      </w:r>
      <w:r>
        <w:fldChar w:fldCharType="begin"/>
      </w:r>
      <w:r>
        <w:instrText xml:space="preserve"> HYPERLINK "http://baike.baidu.com/view/295133.htm" \t "_blank" </w:instrText>
      </w:r>
      <w:r>
        <w:fldChar w:fldCharType="separate"/>
      </w:r>
      <w:r>
        <w:rPr>
          <w:rFonts w:hint="eastAsia" w:ascii="仿宋_GB2312" w:eastAsia="仿宋_GB2312"/>
          <w:sz w:val="32"/>
          <w:szCs w:val="32"/>
        </w:rPr>
        <w:t>管理人员</w:t>
      </w:r>
      <w:r>
        <w:rPr>
          <w:rFonts w:hint="eastAsia" w:ascii="仿宋_GB2312" w:eastAsia="仿宋_GB2312"/>
          <w:sz w:val="32"/>
          <w:szCs w:val="32"/>
        </w:rPr>
        <w:fldChar w:fldCharType="end"/>
      </w:r>
      <w:r>
        <w:rPr>
          <w:rFonts w:hint="eastAsia" w:ascii="仿宋_GB2312" w:eastAsia="仿宋_GB2312"/>
          <w:sz w:val="32"/>
          <w:szCs w:val="32"/>
        </w:rPr>
        <w:t>。</w:t>
      </w:r>
    </w:p>
    <w:p>
      <w:pPr>
        <w:spacing w:line="590" w:lineRule="exact"/>
        <w:jc w:val="center"/>
        <w:outlineLvl w:val="9"/>
        <w:rPr>
          <w:rFonts w:ascii="黑体" w:hAnsi="黑体" w:eastAsia="黑体"/>
          <w:b/>
          <w:sz w:val="32"/>
          <w:szCs w:val="32"/>
        </w:rPr>
      </w:pPr>
      <w:bookmarkStart w:id="1231" w:name="_Toc12683_WPSOffice_Level1"/>
      <w:r>
        <w:rPr>
          <w:rFonts w:hint="eastAsia" w:ascii="黑体" w:hAnsi="黑体" w:eastAsia="黑体"/>
          <w:b/>
          <w:sz w:val="32"/>
          <w:szCs w:val="32"/>
        </w:rPr>
        <w:t>第二章  组织实施</w:t>
      </w:r>
      <w:bookmarkEnd w:id="1231"/>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 xml:space="preserve">第四条  </w:t>
      </w:r>
      <w:r>
        <w:rPr>
          <w:rFonts w:hint="eastAsia" w:ascii="仿宋_GB2312" w:eastAsia="仿宋_GB2312"/>
          <w:sz w:val="32"/>
          <w:szCs w:val="32"/>
        </w:rPr>
        <w:t>科技成果主要转化方式：</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自行投资；转让他人；许可使用；合作转化；作价投资；其他方式。</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学校鼓励采取转让、许可或者作价投资等方式，向企业或者其他组织转移科技成果。</w:t>
      </w:r>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第五条</w:t>
      </w:r>
      <w:r>
        <w:rPr>
          <w:rFonts w:hint="eastAsia" w:eastAsia="仿宋_GB2312"/>
          <w:sz w:val="32"/>
          <w:szCs w:val="32"/>
        </w:rPr>
        <w:t xml:space="preserve">   </w:t>
      </w:r>
      <w:r>
        <w:rPr>
          <w:rFonts w:hint="eastAsia" w:ascii="仿宋_GB2312" w:eastAsia="仿宋_GB2312"/>
          <w:sz w:val="32"/>
          <w:szCs w:val="32"/>
        </w:rPr>
        <w:t>科技成果转让、许可、合作和投资遵从市场定价，可以采用协议定价、市场挂牌交易、拍卖等方式确定市场价格。</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实行协议定价的流程：</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（一）由科技开发处牵头，召开科技成果转让估价会议，组织成果完成人以及相关部门人员形成议价意见和会议纪要，报学校审核批准。</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（二）经学校审批同意后，7个工作日内，成果完成人做好相关成果转让公示准备工作，公示主要内容有：科技成果名称、受让单位、拟交易价格、成果简介等，提交科技开发处。</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三）科技开发处组织公示，公示期为15日。如公示期内无异议的，所公示的价格、受让单位即为最终成交价格、最终受让单位，按学校分级审批管理的原则办理成果转让相关手续。如公示期内有异议的应中止交易，待核实相关情况后重新公示。</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以持有的科技成果合作实施、作价入股的，学校应当与受让方或者合作方签订投资协议，明确约定科技成果的权属、作价、折股数量或者出资比例等事项，明确无形资产投资退出方式。</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成果完成人向学校提出技术入股申请的，如学校接到申请之日起15个工作日内无明确答复，视为同意。</w:t>
      </w:r>
    </w:p>
    <w:p>
      <w:pPr>
        <w:spacing w:line="590" w:lineRule="exact"/>
        <w:ind w:firstLine="624" w:firstLineChars="200"/>
        <w:rPr>
          <w:rFonts w:ascii="仿宋_GB2312" w:eastAsia="仿宋_GB2312"/>
          <w:sz w:val="32"/>
          <w:szCs w:val="32"/>
        </w:rPr>
      </w:pPr>
      <w:r>
        <w:rPr>
          <w:rFonts w:hint="eastAsia" w:ascii="仿宋_GB2312" w:eastAsia="仿宋_GB2312"/>
          <w:spacing w:val="-4"/>
          <w:sz w:val="32"/>
          <w:szCs w:val="32"/>
        </w:rPr>
        <w:t>交易价格应充分考虑各方利益，综合参考前期成本投入与未来收益预期进行核定。</w:t>
      </w:r>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第六条</w:t>
      </w:r>
      <w:r>
        <w:rPr>
          <w:rFonts w:hint="eastAsia" w:ascii="仿宋_GB2312" w:eastAsia="仿宋_GB2312"/>
          <w:sz w:val="32"/>
          <w:szCs w:val="32"/>
        </w:rPr>
        <w:t>涉及国家安全、国家利益和重大社会公共利益的科技成果转移转化，依照相关法律规定管理和实施。与中国境外的企业、其他组织或者个人合作进行科技成果转化活动，须依法按照规定的程序进行。</w:t>
      </w:r>
    </w:p>
    <w:p>
      <w:pPr>
        <w:spacing w:line="590" w:lineRule="exact"/>
        <w:jc w:val="center"/>
        <w:outlineLvl w:val="9"/>
        <w:rPr>
          <w:rFonts w:ascii="黑体" w:hAnsi="黑体" w:eastAsia="黑体"/>
          <w:b/>
          <w:sz w:val="32"/>
          <w:szCs w:val="32"/>
        </w:rPr>
      </w:pPr>
      <w:bookmarkStart w:id="1232" w:name="_Toc11709_WPSOffice_Level1"/>
      <w:r>
        <w:rPr>
          <w:rFonts w:hint="eastAsia" w:ascii="黑体" w:hAnsi="黑体" w:eastAsia="黑体"/>
          <w:b/>
          <w:sz w:val="32"/>
          <w:szCs w:val="32"/>
        </w:rPr>
        <w:t>第三章  合同签订管理</w:t>
      </w:r>
      <w:bookmarkEnd w:id="1232"/>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 xml:space="preserve">第七条  </w:t>
      </w:r>
      <w:r>
        <w:rPr>
          <w:rFonts w:hint="eastAsia" w:eastAsia="仿宋_GB2312"/>
          <w:sz w:val="32"/>
          <w:szCs w:val="32"/>
        </w:rPr>
        <w:t> </w:t>
      </w:r>
      <w:r>
        <w:rPr>
          <w:rFonts w:hint="eastAsia" w:ascii="仿宋_GB2312" w:eastAsia="仿宋_GB2312"/>
          <w:sz w:val="32"/>
          <w:szCs w:val="32"/>
        </w:rPr>
        <w:t>科技成果转化合同签订的相关程序。</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（一）技术转让合同样本由科技开发处提供。</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（二）在公示结果的基础上，由成果完成人与成果需求单位在充分协商的基础上提出合同文本初稿。</w:t>
      </w:r>
    </w:p>
    <w:p>
      <w:pPr>
        <w:spacing w:line="590" w:lineRule="exact"/>
        <w:ind w:firstLine="640" w:firstLineChars="200"/>
        <w:rPr>
          <w:rFonts w:ascii="仿宋_GB2312" w:eastAsia="仿宋_GB2312"/>
          <w:strike/>
          <w:sz w:val="32"/>
          <w:szCs w:val="32"/>
        </w:rPr>
      </w:pPr>
      <w:r>
        <w:rPr>
          <w:rFonts w:hint="eastAsia" w:ascii="仿宋_GB2312" w:eastAsia="仿宋_GB2312"/>
          <w:sz w:val="32"/>
          <w:szCs w:val="32"/>
        </w:rPr>
        <w:t>（三）合同文本经学校审批同意后，报科技开发处备案。</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合同一式4份，即：受让单位1份，成果完成人2份，科技开发处1份。</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合同一经签订，即产生法律效力，成果完成人必须严格履行合同条款，以确保学校信誉和维护学校正当权益。</w:t>
      </w:r>
    </w:p>
    <w:p>
      <w:pPr>
        <w:spacing w:line="590" w:lineRule="exact"/>
        <w:jc w:val="center"/>
        <w:outlineLvl w:val="9"/>
        <w:rPr>
          <w:rFonts w:ascii="黑体" w:hAnsi="黑体" w:eastAsia="黑体"/>
          <w:b/>
          <w:sz w:val="32"/>
          <w:szCs w:val="32"/>
        </w:rPr>
      </w:pPr>
      <w:bookmarkStart w:id="1233" w:name="_Toc23337_WPSOffice_Level1"/>
      <w:r>
        <w:rPr>
          <w:rFonts w:hint="eastAsia" w:ascii="黑体" w:hAnsi="黑体" w:eastAsia="黑体"/>
          <w:b/>
          <w:sz w:val="32"/>
          <w:szCs w:val="32"/>
        </w:rPr>
        <w:t>第四章  收益分配管理</w:t>
      </w:r>
      <w:bookmarkEnd w:id="1233"/>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 xml:space="preserve">第八条  </w:t>
      </w:r>
      <w:r>
        <w:rPr>
          <w:rFonts w:hint="eastAsia" w:ascii="仿宋_GB2312" w:eastAsia="仿宋_GB2312"/>
          <w:sz w:val="32"/>
          <w:szCs w:val="32"/>
        </w:rPr>
        <w:t>属于学校的科技成果，学校拥有使用权、处置权和收益分配权。属于学校的科技成果转移转化，必须征得学校同意。成果所有权为学校与其他单位、个人共同所有的，须按照相关合同或者协议执行。</w:t>
      </w:r>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 xml:space="preserve">第九条  </w:t>
      </w:r>
      <w:r>
        <w:rPr>
          <w:rFonts w:hint="eastAsia" w:ascii="仿宋_GB2312" w:eastAsia="仿宋_GB2312"/>
          <w:sz w:val="32"/>
          <w:szCs w:val="32"/>
        </w:rPr>
        <w:t>本办法所指“收益”主要体现为根据合同实际到付学校财务账号的金额（简称合同到账金额）。</w:t>
      </w:r>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 xml:space="preserve">第十条  </w:t>
      </w:r>
      <w:r>
        <w:rPr>
          <w:rFonts w:hint="eastAsia" w:ascii="仿宋_GB2312" w:eastAsia="仿宋_GB2312"/>
          <w:sz w:val="32"/>
          <w:szCs w:val="32"/>
        </w:rPr>
        <w:t>在收益分配上，学校充分保障成果完成人的合法权益，同时兼顾学校利益。科技成果转移转化，所得收益的主要部分，用于对成果完成人，以及为科技成果转移转化作出重要贡献的相关人员、技术转移机构等相关方的奖励，奖励支出安排要与实际贡献挂钩。收益剩余部分学校留存使用，主要用于科学技术研究开发与成果转化等相关工作。</w:t>
      </w:r>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 xml:space="preserve">第十一条  </w:t>
      </w:r>
      <w:r>
        <w:rPr>
          <w:rFonts w:hint="eastAsia" w:ascii="仿宋_GB2312" w:eastAsia="仿宋_GB2312"/>
          <w:sz w:val="32"/>
          <w:szCs w:val="32"/>
        </w:rPr>
        <w:t>收益分配方案具体由成果完成人与相关人员及相关方协商确定，制定收益分配的过程、内容应当公开、公正、透明、协商一致。</w:t>
      </w:r>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 xml:space="preserve">第十二条  </w:t>
      </w:r>
      <w:r>
        <w:rPr>
          <w:rFonts w:hint="eastAsia" w:ascii="仿宋_GB2312" w:eastAsia="仿宋_GB2312"/>
          <w:sz w:val="32"/>
          <w:szCs w:val="32"/>
        </w:rPr>
        <w:t>根据科技成果转化的不同形式，收益按下列标准给予奖励与报酬：</w:t>
      </w:r>
    </w:p>
    <w:p>
      <w:pPr>
        <w:autoSpaceDE w:val="0"/>
        <w:autoSpaceDN w:val="0"/>
        <w:adjustRightInd w:val="0"/>
        <w:spacing w:line="590" w:lineRule="exact"/>
        <w:ind w:firstLine="640" w:firstLineChars="200"/>
        <w:jc w:val="left"/>
        <w:rPr>
          <w:rFonts w:ascii="仿宋_GB2312" w:eastAsia="仿宋_GB2312"/>
          <w:strike/>
          <w:sz w:val="32"/>
          <w:szCs w:val="32"/>
        </w:rPr>
      </w:pPr>
      <w:r>
        <w:rPr>
          <w:rFonts w:hint="eastAsia" w:ascii="仿宋_GB2312" w:eastAsia="仿宋_GB2312"/>
          <w:sz w:val="32"/>
          <w:szCs w:val="32"/>
        </w:rPr>
        <w:t>（一）以合同到账金额形式将该项科技成果转让、许可给他人实施的，收益总额按学校2%、成果完成人及为成果转化作出重要贡献的人98%的比例一次性分配；</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（二）利用该项科技成果作价投资的，其成果完成人和为成果转化作出重要贡献的人可享有科技成果入股时作价金额80%的股份，其余20%股份归学校；</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（三）成果完成人自行投资实施转化的，且该成果一次性转让给成果完成人的，成果完成人享有转让收益80%的奖励，其余20%归学校。</w:t>
      </w:r>
    </w:p>
    <w:p>
      <w:pPr>
        <w:spacing w:line="590" w:lineRule="exact"/>
        <w:jc w:val="center"/>
        <w:outlineLvl w:val="9"/>
        <w:rPr>
          <w:rFonts w:ascii="黑体" w:hAnsi="黑体" w:eastAsia="黑体"/>
          <w:b/>
          <w:sz w:val="32"/>
          <w:szCs w:val="32"/>
        </w:rPr>
      </w:pPr>
      <w:bookmarkStart w:id="1234" w:name="_Toc26209_WPSOffice_Level1"/>
      <w:r>
        <w:rPr>
          <w:rFonts w:hint="eastAsia" w:ascii="黑体" w:hAnsi="黑体" w:eastAsia="黑体"/>
          <w:b/>
          <w:sz w:val="32"/>
          <w:szCs w:val="32"/>
        </w:rPr>
        <w:t>第五章　收益发放</w:t>
      </w:r>
      <w:bookmarkEnd w:id="1234"/>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第十三条</w:t>
      </w:r>
      <w:r>
        <w:rPr>
          <w:rFonts w:hint="eastAsia" w:ascii="仿宋_GB2312" w:eastAsia="仿宋_GB2312"/>
          <w:sz w:val="32"/>
          <w:szCs w:val="32"/>
        </w:rPr>
        <w:t>　成果转化收益资金进入学校帐户后，成果完成人提交科技成果转化收益发放申请报告，经收益方所有成员签字，并根据财务处相关流程结算。</w:t>
      </w:r>
    </w:p>
    <w:p>
      <w:pPr>
        <w:spacing w:line="590" w:lineRule="exact"/>
        <w:jc w:val="center"/>
        <w:outlineLvl w:val="9"/>
        <w:rPr>
          <w:rFonts w:ascii="黑体" w:hAnsi="黑体" w:eastAsia="黑体"/>
          <w:b/>
          <w:sz w:val="32"/>
          <w:szCs w:val="32"/>
        </w:rPr>
      </w:pPr>
      <w:bookmarkStart w:id="1235" w:name="_Toc16534_WPSOffice_Level1"/>
      <w:r>
        <w:rPr>
          <w:rFonts w:hint="eastAsia" w:ascii="黑体" w:hAnsi="黑体" w:eastAsia="黑体"/>
          <w:b/>
          <w:sz w:val="32"/>
          <w:szCs w:val="32"/>
        </w:rPr>
        <w:t>第六章  政策措施</w:t>
      </w:r>
      <w:bookmarkEnd w:id="1235"/>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第十四条</w:t>
      </w:r>
      <w:r>
        <w:rPr>
          <w:rFonts w:hint="eastAsia" w:eastAsia="仿宋_GB2312"/>
          <w:sz w:val="32"/>
          <w:szCs w:val="32"/>
        </w:rPr>
        <w:t xml:space="preserve">  </w:t>
      </w:r>
      <w:r>
        <w:rPr>
          <w:rFonts w:hint="eastAsia" w:ascii="仿宋_GB2312" w:eastAsia="仿宋_GB2312"/>
          <w:sz w:val="32"/>
          <w:szCs w:val="32"/>
        </w:rPr>
        <w:t>学校以科技成果作价投资，如未与科技人员约定奖励、报酬的方式和数额，将该项科技成果作价投资股份或者出资比例的一部分，给予科技成果研发团队和完成人股权奖励的，其分配方式与比例方案应当经学校领导班子集体讨论决定。对担任学校领导职务的科技人员给予股权奖励的具体办法，由自治区另行规定。</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学校正职领导，是科技成果的主要完成人或对科技成果转化作出重要贡献的，可按照规定获得现金奖励，原则上不得获取股权激励。其他担任领导职务的科技人员，是科技成果的主要完成人或对科技成果转化作出重要贡献的，可按照规定获得现金奖励或股权激励，但获得股权激励的领导人员不得利用职权为所持股权的企业谋取利益。对领导干部违规获取科研成果转化相关权益的行为，按照有关规定严肃处理。对担任学校领导职务的科技人员的科技成果转化收益分配实行公开公示制度。</w:t>
      </w:r>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 xml:space="preserve">第十五条  </w:t>
      </w:r>
      <w:r>
        <w:rPr>
          <w:rFonts w:hint="eastAsia" w:ascii="仿宋_GB2312" w:eastAsia="仿宋_GB2312"/>
          <w:sz w:val="32"/>
          <w:szCs w:val="32"/>
        </w:rPr>
        <w:t>符合《财政部国家税务总局关于促进科技成果转化有关税收政策的通知》（财税字〔1999〕45号）规定的，转化职务科技成果后，以股份或出资比例等股权形式给予个人奖励，获奖人在取得股份、出资比例时，暂不缴纳个人所得税；取得按股份、出资比例分红或转让股权、出资比例所得时，应依法缴纳个人所得税。</w:t>
      </w:r>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 xml:space="preserve">第十六条  </w:t>
      </w:r>
      <w:r>
        <w:rPr>
          <w:rFonts w:hint="eastAsia" w:ascii="仿宋_GB2312" w:eastAsia="仿宋_GB2312"/>
          <w:sz w:val="32"/>
          <w:szCs w:val="32"/>
        </w:rPr>
        <w:t>对成果完成人，以及为科技成果转移转化作出重要贡献的人员、技术转移机构等相关方的奖励支出，计入事业单位绩效工资总量外项目管理，不受事业单位当年绩效工资总额限制，不作为绩效工资总额基数。</w:t>
      </w:r>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 xml:space="preserve">第十七条  </w:t>
      </w:r>
      <w:r>
        <w:rPr>
          <w:rFonts w:hint="eastAsia" w:ascii="仿宋_GB2312" w:eastAsia="仿宋_GB2312"/>
          <w:sz w:val="32"/>
          <w:szCs w:val="32"/>
        </w:rPr>
        <w:t>鼓励教职员工进行科技成果转化，将科技成果转化作为专业技术人员职称晋升、绩效考核和岗位聘任的业绩条件。</w:t>
      </w:r>
    </w:p>
    <w:p>
      <w:pPr>
        <w:spacing w:line="590" w:lineRule="exact"/>
        <w:jc w:val="center"/>
        <w:outlineLvl w:val="9"/>
        <w:rPr>
          <w:rFonts w:ascii="黑体" w:hAnsi="黑体" w:eastAsia="黑体"/>
          <w:b/>
          <w:sz w:val="32"/>
          <w:szCs w:val="32"/>
        </w:rPr>
      </w:pPr>
      <w:bookmarkStart w:id="1236" w:name="_Toc9671_WPSOffice_Level1"/>
      <w:r>
        <w:rPr>
          <w:rFonts w:hint="eastAsia" w:ascii="黑体" w:hAnsi="黑体" w:eastAsia="黑体"/>
          <w:b/>
          <w:sz w:val="32"/>
          <w:szCs w:val="32"/>
        </w:rPr>
        <w:t>第七章  相关人责任与义务</w:t>
      </w:r>
      <w:bookmarkEnd w:id="1236"/>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 xml:space="preserve">第十八条  </w:t>
      </w:r>
      <w:r>
        <w:rPr>
          <w:rFonts w:hint="eastAsia" w:ascii="仿宋_GB2312" w:eastAsia="仿宋_GB2312"/>
          <w:sz w:val="32"/>
          <w:szCs w:val="32"/>
        </w:rPr>
        <w:t>为做好科技成果宣传推广工作，促进成果转化，成果完成人在取得成果后，有义务及时按下列要求撰写详细成果介绍，并报送科技开发处。</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成果介绍包括该成果所属技术领域及主要用途；主要性能特点及与其他相关技术、产品的对比；市场调查和需求预测；成果的实施方案：投产条件、主要工艺、设计规模、经济效益和社会效益分析(包括生产成本和销售收入估算、年利润额及投资回收期)；环境保护与劳动安全；合作方式及转化价格等。</w:t>
      </w:r>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 xml:space="preserve">第十九条  </w:t>
      </w:r>
      <w:r>
        <w:rPr>
          <w:rFonts w:hint="eastAsia" w:ascii="仿宋_GB2312" w:eastAsia="仿宋_GB2312"/>
          <w:sz w:val="32"/>
          <w:szCs w:val="32"/>
        </w:rPr>
        <w:t>成果完成人应对成果的合法性、真实性、合理性、效益性及相关性负全部责任，承担直接经济和法律责任。</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转化过程中，存在下列情形之一的，学校将根据不同情况，对当事人给予批评、追究行政责任，直至移送司法机关，追究民事或刑事责任。</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（一）违反国家有关法律法规和学校相关规定，侵犯学校知识产权，擅自对外转化或者变相转化职务科技成果；</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（二）将职务科技成果及其技术资料据为己有，并阻碍学校科技成果转化；</w:t>
      </w:r>
    </w:p>
    <w:p>
      <w:pPr>
        <w:autoSpaceDE w:val="0"/>
        <w:autoSpaceDN w:val="0"/>
        <w:adjustRightInd w:val="0"/>
        <w:spacing w:line="590" w:lineRule="exact"/>
        <w:ind w:firstLine="640" w:firstLineChars="200"/>
        <w:jc w:val="left"/>
        <w:rPr>
          <w:rFonts w:ascii="仿宋_GB2312" w:eastAsia="仿宋_GB2312"/>
          <w:strike/>
          <w:sz w:val="32"/>
          <w:szCs w:val="32"/>
        </w:rPr>
      </w:pPr>
      <w:r>
        <w:rPr>
          <w:rFonts w:hint="eastAsia" w:ascii="仿宋_GB2312" w:eastAsia="仿宋_GB2312"/>
          <w:sz w:val="32"/>
          <w:szCs w:val="32"/>
        </w:rPr>
        <w:t>（三）在科技成果转化过程中，转化收入不入学校统一账户；</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（四）除所签订合同条款约定外，私自向受让方索取或接受现金和其他物品；</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（五）除不可抗拒因素，未能履行合同，造成合同纠纷，严重损害学校声誉和权益；</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（六）未经许可，向成果受让方提供超出合同规定的技术资料；</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（七）故意夸大技术成熟度和技术水平，或提供虚假技术资料，引起合作纠纷；</w:t>
      </w:r>
    </w:p>
    <w:p>
      <w:pPr>
        <w:autoSpaceDE w:val="0"/>
        <w:autoSpaceDN w:val="0"/>
        <w:adjustRightInd w:val="0"/>
        <w:spacing w:line="590" w:lineRule="exact"/>
        <w:ind w:firstLine="640" w:firstLineChars="200"/>
        <w:jc w:val="left"/>
        <w:rPr>
          <w:rFonts w:ascii="仿宋_GB2312" w:eastAsia="仿宋_GB2312"/>
          <w:sz w:val="32"/>
          <w:szCs w:val="32"/>
        </w:rPr>
      </w:pPr>
      <w:r>
        <w:rPr>
          <w:rFonts w:hint="eastAsia" w:ascii="仿宋_GB2312" w:eastAsia="仿宋_GB2312"/>
          <w:sz w:val="32"/>
          <w:szCs w:val="32"/>
        </w:rPr>
        <w:t>（八）科技人员提供非专有技术，造成知识产权纠纷；</w:t>
      </w:r>
    </w:p>
    <w:p>
      <w:pPr>
        <w:autoSpaceDE w:val="0"/>
        <w:autoSpaceDN w:val="0"/>
        <w:adjustRightInd w:val="0"/>
        <w:spacing w:line="590" w:lineRule="exact"/>
        <w:ind w:firstLine="643" w:firstLineChars="200"/>
        <w:jc w:val="left"/>
        <w:rPr>
          <w:rFonts w:ascii="仿宋_GB2312" w:eastAsia="仿宋_GB2312"/>
          <w:sz w:val="32"/>
          <w:szCs w:val="32"/>
        </w:rPr>
      </w:pPr>
      <w:r>
        <w:rPr>
          <w:rFonts w:hint="eastAsia" w:ascii="仿宋_GB2312" w:eastAsia="仿宋_GB2312"/>
          <w:b/>
          <w:sz w:val="32"/>
          <w:szCs w:val="32"/>
        </w:rPr>
        <w:t xml:space="preserve">第二十条  </w:t>
      </w:r>
      <w:r>
        <w:rPr>
          <w:rFonts w:hint="eastAsia" w:ascii="仿宋_GB2312" w:eastAsia="仿宋_GB2312"/>
          <w:sz w:val="32"/>
          <w:szCs w:val="32"/>
        </w:rPr>
        <w:t>科技成果转化中产生的经济赔偿（或补偿）等经济责任，结合成果转化进展程度，由获益各方按本办法第十三条规定的分配比例各自承担。</w:t>
      </w:r>
    </w:p>
    <w:p>
      <w:pPr>
        <w:spacing w:line="590" w:lineRule="exact"/>
        <w:jc w:val="center"/>
        <w:outlineLvl w:val="9"/>
        <w:rPr>
          <w:rFonts w:ascii="黑体" w:hAnsi="黑体" w:eastAsia="黑体"/>
          <w:b/>
          <w:sz w:val="32"/>
          <w:szCs w:val="32"/>
        </w:rPr>
      </w:pPr>
      <w:bookmarkStart w:id="1237" w:name="_Toc13876_WPSOffice_Level1"/>
      <w:r>
        <w:rPr>
          <w:rFonts w:hint="eastAsia" w:ascii="黑体" w:hAnsi="黑体" w:eastAsia="黑体"/>
          <w:b/>
          <w:sz w:val="32"/>
          <w:szCs w:val="32"/>
        </w:rPr>
        <w:t>第八章  附则</w:t>
      </w:r>
      <w:bookmarkEnd w:id="1237"/>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 xml:space="preserve">第二十一条  </w:t>
      </w:r>
      <w:r>
        <w:rPr>
          <w:rFonts w:hint="eastAsia" w:ascii="仿宋_GB2312" w:eastAsia="仿宋_GB2312"/>
          <w:sz w:val="32"/>
          <w:szCs w:val="32"/>
        </w:rPr>
        <w:t>本办法由科技开发处负责解释。如遇到本办法规定以外的其他情形，由科技开发处提出解决办法，经学校审批同意后执行。</w:t>
      </w:r>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 xml:space="preserve">第二十二条  </w:t>
      </w:r>
      <w:r>
        <w:rPr>
          <w:rFonts w:hint="eastAsia" w:ascii="仿宋_GB2312" w:eastAsia="仿宋_GB2312"/>
          <w:sz w:val="32"/>
          <w:szCs w:val="32"/>
        </w:rPr>
        <w:t>本办法自下文之日起实施。学校原有相关文件与本办法有抵触的，以本办法为准。</w:t>
      </w:r>
    </w:p>
    <w:p>
      <w:pPr>
        <w:widowControl/>
        <w:jc w:val="left"/>
      </w:pPr>
      <w: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238" w:name="_Toc31013"/>
      <w:bookmarkStart w:id="1239" w:name="_Toc12957_WPSOffice_Level1"/>
      <w:bookmarkStart w:id="1240" w:name="_Toc27533"/>
      <w:bookmarkStart w:id="1241" w:name="_Toc20737"/>
      <w:bookmarkStart w:id="1242" w:name="_Toc10171"/>
      <w:bookmarkStart w:id="1243" w:name="_Toc32546"/>
      <w:r>
        <w:rPr>
          <w:rFonts w:hint="eastAsia"/>
          <w:b/>
          <w:color w:val="000000"/>
          <w:sz w:val="36"/>
          <w:szCs w:val="36"/>
        </w:rPr>
        <w:t>柳州职业技术学院专职科研岗位管理办法</w:t>
      </w:r>
      <w:bookmarkEnd w:id="1238"/>
      <w:bookmarkEnd w:id="1239"/>
      <w:bookmarkEnd w:id="1240"/>
      <w:bookmarkEnd w:id="1241"/>
    </w:p>
    <w:p>
      <w:pPr>
        <w:adjustRightInd w:val="0"/>
        <w:snapToGrid w:val="0"/>
        <w:spacing w:line="360" w:lineRule="auto"/>
        <w:jc w:val="center"/>
        <w:outlineLvl w:val="9"/>
        <w:rPr>
          <w:rFonts w:hint="eastAsia" w:ascii="仿宋_GB2312" w:eastAsia="仿宋_GB2312"/>
          <w:sz w:val="32"/>
          <w:szCs w:val="32"/>
        </w:rPr>
      </w:pPr>
      <w:r>
        <w:rPr>
          <w:rFonts w:hint="eastAsia" w:ascii="仿宋_GB2312" w:eastAsia="仿宋_GB2312"/>
          <w:sz w:val="32"/>
          <w:szCs w:val="32"/>
        </w:rPr>
        <w:t xml:space="preserve"> (柳职院字〔2021〕48 号)</w:t>
      </w:r>
    </w:p>
    <w:p>
      <w:pPr>
        <w:spacing w:line="596" w:lineRule="exact"/>
        <w:rPr>
          <w:rFonts w:hint="eastAsia" w:ascii="黑体" w:hAnsi="黑体" w:eastAsia="黑体"/>
          <w:sz w:val="32"/>
          <w:szCs w:val="32"/>
          <w:lang w:bidi="ar"/>
        </w:rPr>
      </w:pPr>
    </w:p>
    <w:p>
      <w:pPr>
        <w:spacing w:line="596" w:lineRule="exact"/>
        <w:jc w:val="center"/>
        <w:outlineLvl w:val="9"/>
        <w:rPr>
          <w:rFonts w:hint="eastAsia" w:ascii="黑体" w:hAnsi="黑体" w:eastAsia="黑体"/>
          <w:b/>
          <w:sz w:val="32"/>
          <w:szCs w:val="32"/>
        </w:rPr>
      </w:pPr>
      <w:bookmarkStart w:id="1244" w:name="_Toc11072_WPSOffice_Level1"/>
      <w:r>
        <w:rPr>
          <w:rFonts w:hint="eastAsia" w:ascii="黑体" w:hAnsi="黑体" w:eastAsia="黑体"/>
          <w:sz w:val="32"/>
          <w:szCs w:val="32"/>
          <w:lang w:bidi="ar"/>
        </w:rPr>
        <w:t>第一章  总则</w:t>
      </w:r>
      <w:bookmarkEnd w:id="1244"/>
    </w:p>
    <w:p>
      <w:pPr>
        <w:widowControl/>
        <w:adjustRightInd w:val="0"/>
        <w:snapToGrid w:val="0"/>
        <w:spacing w:line="596" w:lineRule="exact"/>
        <w:ind w:firstLine="643" w:firstLineChars="200"/>
        <w:jc w:val="left"/>
        <w:rPr>
          <w:color w:val="000000"/>
          <w:sz w:val="32"/>
          <w:szCs w:val="32"/>
        </w:rPr>
      </w:pPr>
      <w:r>
        <w:rPr>
          <w:rStyle w:val="12"/>
          <w:rFonts w:ascii="仿宋_GB2312" w:hAnsi="宋体" w:eastAsia="仿宋_GB2312" w:cs="Arial"/>
          <w:color w:val="000000"/>
          <w:kern w:val="0"/>
          <w:sz w:val="32"/>
          <w:szCs w:val="32"/>
          <w:lang w:bidi="ar"/>
        </w:rPr>
        <w:t>第一条</w:t>
      </w:r>
      <w:r>
        <w:rPr>
          <w:rFonts w:ascii="仿宋_GB2312" w:hAnsi="宋体" w:eastAsia="仿宋_GB2312" w:cs="Arial"/>
          <w:color w:val="000000"/>
          <w:kern w:val="0"/>
          <w:sz w:val="32"/>
          <w:szCs w:val="32"/>
          <w:lang w:bidi="ar"/>
        </w:rPr>
        <w:t xml:space="preserve">  </w:t>
      </w:r>
      <w:r>
        <w:rPr>
          <w:rFonts w:ascii="仿宋_GB2312" w:hAnsi="宋体" w:eastAsia="仿宋_GB2312" w:cs="仿宋_GB2312"/>
          <w:color w:val="000000"/>
          <w:kern w:val="0"/>
          <w:sz w:val="32"/>
          <w:szCs w:val="32"/>
          <w:lang w:bidi="ar"/>
        </w:rPr>
        <w:t>为</w:t>
      </w:r>
      <w:r>
        <w:rPr>
          <w:rFonts w:hint="eastAsia" w:ascii="仿宋_GB2312" w:hAnsi="宋体" w:eastAsia="仿宋_GB2312" w:cs="仿宋_GB2312"/>
          <w:color w:val="000000"/>
          <w:kern w:val="0"/>
          <w:sz w:val="32"/>
          <w:szCs w:val="32"/>
          <w:lang w:bidi="ar"/>
        </w:rPr>
        <w:t>了</w:t>
      </w:r>
      <w:r>
        <w:rPr>
          <w:rFonts w:ascii="仿宋_GB2312" w:hAnsi="宋体" w:eastAsia="仿宋_GB2312" w:cs="仿宋_GB2312"/>
          <w:color w:val="000000"/>
          <w:kern w:val="0"/>
          <w:sz w:val="32"/>
          <w:szCs w:val="32"/>
          <w:lang w:bidi="ar"/>
        </w:rPr>
        <w:t>进一步合理配置和整合科研资源，</w:t>
      </w:r>
      <w:r>
        <w:rPr>
          <w:rFonts w:hint="eastAsia" w:ascii="仿宋_GB2312" w:hAnsi="宋体" w:eastAsia="仿宋_GB2312" w:cs="仿宋_GB2312"/>
          <w:color w:val="000000"/>
          <w:kern w:val="0"/>
          <w:sz w:val="32"/>
          <w:szCs w:val="32"/>
          <w:lang w:bidi="ar"/>
        </w:rPr>
        <w:t>推动教师分类发展，提高教师的科研及技术服务水平，促进专业服务产业发展的能力，实现高水平科研成果突破，</w:t>
      </w:r>
      <w:r>
        <w:rPr>
          <w:rFonts w:ascii="仿宋_GB2312" w:hAnsi="宋体" w:eastAsia="仿宋_GB2312" w:cs="仿宋_GB2312"/>
          <w:color w:val="000000"/>
          <w:kern w:val="0"/>
          <w:sz w:val="32"/>
          <w:szCs w:val="32"/>
          <w:lang w:bidi="ar"/>
        </w:rPr>
        <w:t>提升学校科研创新能力和竞争实力，结合学校实际，特制定本办法。</w:t>
      </w:r>
    </w:p>
    <w:p>
      <w:pPr>
        <w:spacing w:line="596" w:lineRule="exact"/>
        <w:jc w:val="center"/>
        <w:outlineLvl w:val="9"/>
        <w:rPr>
          <w:rFonts w:hint="eastAsia" w:ascii="黑体" w:hAnsi="黑体" w:eastAsia="黑体"/>
          <w:b/>
          <w:sz w:val="32"/>
          <w:szCs w:val="32"/>
        </w:rPr>
      </w:pPr>
      <w:bookmarkStart w:id="1245" w:name="_Toc21233_WPSOffice_Level1"/>
      <w:r>
        <w:rPr>
          <w:rFonts w:hint="eastAsia" w:ascii="黑体" w:hAnsi="黑体" w:eastAsia="黑体"/>
          <w:sz w:val="32"/>
          <w:szCs w:val="32"/>
          <w:lang w:bidi="ar"/>
        </w:rPr>
        <w:t>第二章  岗位设置</w:t>
      </w:r>
      <w:bookmarkEnd w:id="1245"/>
    </w:p>
    <w:p>
      <w:pPr>
        <w:widowControl/>
        <w:adjustRightInd w:val="0"/>
        <w:snapToGrid w:val="0"/>
        <w:spacing w:line="596" w:lineRule="exact"/>
        <w:ind w:firstLine="630" w:firstLineChars="196"/>
        <w:jc w:val="left"/>
        <w:rPr>
          <w:rFonts w:ascii="仿宋_GB2312" w:hAnsi="宋体" w:eastAsia="仿宋_GB2312" w:cs="仿宋_GB2312"/>
          <w:color w:val="000000"/>
          <w:kern w:val="0"/>
          <w:sz w:val="32"/>
          <w:szCs w:val="32"/>
          <w:lang w:bidi="ar"/>
        </w:rPr>
      </w:pPr>
      <w:r>
        <w:rPr>
          <w:rStyle w:val="12"/>
          <w:rFonts w:ascii="仿宋_GB2312" w:hAnsi="宋体" w:eastAsia="仿宋_GB2312" w:cs="宋体"/>
          <w:color w:val="000000"/>
          <w:kern w:val="0"/>
          <w:sz w:val="32"/>
          <w:szCs w:val="32"/>
          <w:lang w:bidi="ar"/>
        </w:rPr>
        <w:t>第二条</w:t>
      </w:r>
      <w:r>
        <w:rPr>
          <w:rFonts w:ascii="仿宋_GB2312" w:hAnsi="宋体" w:eastAsia="仿宋_GB2312" w:cs="宋体"/>
          <w:bCs/>
          <w:color w:val="000000"/>
          <w:kern w:val="0"/>
          <w:sz w:val="32"/>
          <w:szCs w:val="32"/>
          <w:lang w:bidi="ar"/>
        </w:rPr>
        <w:t xml:space="preserve">  </w:t>
      </w:r>
      <w:r>
        <w:rPr>
          <w:rFonts w:hint="eastAsia" w:ascii="仿宋_GB2312" w:hAnsi="宋体" w:eastAsia="仿宋_GB2312" w:cs="仿宋_GB2312"/>
          <w:color w:val="000000"/>
          <w:kern w:val="0"/>
          <w:sz w:val="32"/>
          <w:szCs w:val="32"/>
          <w:lang w:bidi="ar"/>
        </w:rPr>
        <w:t>专职科研岗是指根据</w:t>
      </w:r>
      <w:r>
        <w:rPr>
          <w:rFonts w:ascii="仿宋_GB2312" w:hAnsi="宋体" w:eastAsia="仿宋_GB2312" w:cs="仿宋_GB2312"/>
          <w:color w:val="000000"/>
          <w:kern w:val="0"/>
          <w:sz w:val="32"/>
          <w:szCs w:val="32"/>
          <w:lang w:bidi="ar"/>
        </w:rPr>
        <w:t>学校发展规划</w:t>
      </w:r>
      <w:r>
        <w:rPr>
          <w:rFonts w:hint="eastAsia" w:ascii="仿宋_GB2312" w:hAnsi="宋体" w:eastAsia="仿宋_GB2312" w:cs="仿宋_GB2312"/>
          <w:color w:val="000000"/>
          <w:kern w:val="0"/>
          <w:sz w:val="32"/>
          <w:szCs w:val="32"/>
          <w:lang w:bidi="ar"/>
        </w:rPr>
        <w:t>和科研工作</w:t>
      </w:r>
      <w:r>
        <w:rPr>
          <w:rFonts w:ascii="仿宋_GB2312" w:hAnsi="宋体" w:eastAsia="仿宋_GB2312" w:cs="仿宋_GB2312"/>
          <w:color w:val="000000"/>
          <w:kern w:val="0"/>
          <w:sz w:val="32"/>
          <w:szCs w:val="32"/>
          <w:lang w:bidi="ar"/>
        </w:rPr>
        <w:t>需要，</w:t>
      </w:r>
      <w:r>
        <w:rPr>
          <w:rFonts w:hint="eastAsia" w:ascii="仿宋_GB2312" w:hAnsi="宋体" w:eastAsia="仿宋_GB2312" w:cs="仿宋_GB2312"/>
          <w:color w:val="000000"/>
          <w:kern w:val="0"/>
          <w:sz w:val="32"/>
          <w:szCs w:val="32"/>
          <w:lang w:bidi="ar"/>
        </w:rPr>
        <w:t>由学校批准设置的专职科研岗位，聘期内主要承担科研工作，实行科研目标管理的岗位。</w:t>
      </w:r>
    </w:p>
    <w:p>
      <w:pPr>
        <w:spacing w:line="596" w:lineRule="exact"/>
        <w:jc w:val="center"/>
        <w:outlineLvl w:val="9"/>
        <w:rPr>
          <w:rFonts w:hint="eastAsia" w:ascii="黑体" w:hAnsi="黑体" w:eastAsia="黑体"/>
          <w:b/>
          <w:sz w:val="32"/>
          <w:szCs w:val="32"/>
        </w:rPr>
      </w:pPr>
      <w:bookmarkStart w:id="1246" w:name="_Toc21890_WPSOffice_Level1"/>
      <w:r>
        <w:rPr>
          <w:rFonts w:hint="eastAsia" w:ascii="黑体" w:hAnsi="黑体" w:eastAsia="黑体"/>
          <w:sz w:val="32"/>
          <w:szCs w:val="32"/>
          <w:lang w:bidi="ar"/>
        </w:rPr>
        <w:t>第三章  申请条件</w:t>
      </w:r>
      <w:bookmarkEnd w:id="1246"/>
    </w:p>
    <w:p>
      <w:pPr>
        <w:widowControl/>
        <w:adjustRightInd w:val="0"/>
        <w:snapToGrid w:val="0"/>
        <w:spacing w:line="596" w:lineRule="exact"/>
        <w:ind w:firstLine="630" w:firstLineChars="196"/>
        <w:jc w:val="left"/>
        <w:rPr>
          <w:rFonts w:hint="eastAsia" w:ascii="仿宋_GB2312" w:hAnsi="宋体" w:eastAsia="仿宋_GB2312" w:cs="仿宋_GB2312"/>
          <w:color w:val="000000"/>
          <w:kern w:val="0"/>
          <w:sz w:val="32"/>
          <w:szCs w:val="32"/>
          <w:lang w:bidi="ar"/>
        </w:rPr>
      </w:pPr>
      <w:r>
        <w:rPr>
          <w:rStyle w:val="12"/>
          <w:rFonts w:ascii="仿宋_GB2312" w:hAnsi="宋体" w:eastAsia="仿宋_GB2312" w:cs="宋体"/>
          <w:color w:val="000000"/>
          <w:kern w:val="0"/>
          <w:sz w:val="32"/>
          <w:szCs w:val="32"/>
          <w:lang w:bidi="ar"/>
        </w:rPr>
        <w:t>第三条</w:t>
      </w:r>
      <w:r>
        <w:rPr>
          <w:rStyle w:val="12"/>
          <w:sz w:val="32"/>
          <w:szCs w:val="32"/>
        </w:rPr>
        <w:t xml:space="preserve">  </w:t>
      </w:r>
      <w:r>
        <w:rPr>
          <w:rFonts w:hint="eastAsia" w:ascii="仿宋_GB2312" w:hAnsi="宋体" w:eastAsia="仿宋_GB2312" w:cs="仿宋_GB2312"/>
          <w:color w:val="000000"/>
          <w:kern w:val="0"/>
          <w:sz w:val="32"/>
          <w:szCs w:val="32"/>
          <w:lang w:bidi="ar"/>
        </w:rPr>
        <w:t>申请人应是我校在职教师，原则上具有副高级及以上专业技术资格或博士学位教师。</w:t>
      </w:r>
    </w:p>
    <w:p>
      <w:pPr>
        <w:snapToGrid w:val="0"/>
        <w:spacing w:line="596" w:lineRule="exact"/>
        <w:ind w:firstLine="643" w:firstLineChars="200"/>
        <w:jc w:val="left"/>
        <w:rPr>
          <w:rStyle w:val="12"/>
          <w:rFonts w:hint="eastAsia" w:ascii="仿宋_GB2312" w:hAnsi="宋体" w:eastAsia="仿宋_GB2312" w:cs="宋体"/>
          <w:color w:val="000000"/>
          <w:kern w:val="0"/>
          <w:sz w:val="32"/>
          <w:szCs w:val="32"/>
          <w:lang w:bidi="ar"/>
        </w:rPr>
      </w:pPr>
      <w:r>
        <w:rPr>
          <w:rStyle w:val="12"/>
          <w:rFonts w:hint="eastAsia" w:ascii="仿宋_GB2312" w:hAnsi="宋体" w:eastAsia="仿宋_GB2312" w:cs="宋体"/>
          <w:color w:val="000000"/>
          <w:kern w:val="0"/>
          <w:sz w:val="32"/>
          <w:szCs w:val="32"/>
          <w:lang w:bidi="ar"/>
        </w:rPr>
        <w:t xml:space="preserve">第四条  </w:t>
      </w:r>
      <w:r>
        <w:rPr>
          <w:rStyle w:val="12"/>
          <w:rFonts w:hint="eastAsia" w:ascii="仿宋_GB2312" w:hAnsi="宋体" w:eastAsia="仿宋_GB2312" w:cs="宋体"/>
          <w:bCs w:val="0"/>
          <w:color w:val="000000"/>
          <w:kern w:val="0"/>
          <w:sz w:val="32"/>
          <w:szCs w:val="32"/>
          <w:lang w:bidi="ar"/>
        </w:rPr>
        <w:t>申请人必须具有较高的科学研究基础和实力，申请人近5年内，应满足下列条件其中的1项。</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（一）以独立或第一作者身份，在中文核心及以上期刊，发表本学科学术论文不少于2篇或公开出版专著不少于1部；</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（二）取得授权的发明专利（第一发明人）不少于2件；或者研究成果获市厅级及以上领导的肯定性批示。</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（三）主持完成课题累计到学校账户经费：自然科学类30万元以上，人文社科类5万元以上。</w:t>
      </w:r>
    </w:p>
    <w:p>
      <w:pPr>
        <w:snapToGrid w:val="0"/>
        <w:spacing w:line="596" w:lineRule="exact"/>
        <w:ind w:firstLine="640" w:firstLineChars="200"/>
        <w:jc w:val="left"/>
        <w:rPr>
          <w:rFonts w:hint="eastAsia" w:eastAsia="仿宋_GB2312"/>
          <w:sz w:val="32"/>
          <w:szCs w:val="32"/>
        </w:rPr>
      </w:pPr>
      <w:r>
        <w:rPr>
          <w:rFonts w:hint="eastAsia" w:ascii="仿宋_GB2312" w:hAnsi="宋体" w:eastAsia="仿宋_GB2312" w:cs="仿宋_GB2312"/>
          <w:color w:val="000000"/>
          <w:kern w:val="0"/>
          <w:sz w:val="32"/>
          <w:szCs w:val="32"/>
          <w:lang w:bidi="ar"/>
        </w:rPr>
        <w:t>（四）成果获得省部级科研成果奖。</w:t>
      </w:r>
    </w:p>
    <w:p>
      <w:pPr>
        <w:spacing w:line="596" w:lineRule="exact"/>
        <w:jc w:val="center"/>
        <w:outlineLvl w:val="9"/>
        <w:rPr>
          <w:rFonts w:hint="eastAsia" w:ascii="黑体" w:hAnsi="黑体" w:eastAsia="黑体"/>
          <w:sz w:val="32"/>
          <w:szCs w:val="32"/>
          <w:lang w:bidi="ar"/>
        </w:rPr>
      </w:pPr>
      <w:bookmarkStart w:id="1247" w:name="_Toc5519_WPSOffice_Level1"/>
      <w:r>
        <w:rPr>
          <w:rFonts w:hint="eastAsia" w:ascii="黑体" w:hAnsi="黑体" w:eastAsia="黑体"/>
          <w:sz w:val="32"/>
          <w:szCs w:val="32"/>
          <w:lang w:bidi="ar"/>
        </w:rPr>
        <w:t>第四章  岗位聘任</w:t>
      </w:r>
      <w:bookmarkEnd w:id="1247"/>
    </w:p>
    <w:p>
      <w:pPr>
        <w:snapToGrid w:val="0"/>
        <w:spacing w:line="596" w:lineRule="exact"/>
        <w:ind w:firstLine="643" w:firstLineChars="200"/>
        <w:jc w:val="left"/>
        <w:rPr>
          <w:rFonts w:hint="eastAsia" w:ascii="仿宋_GB2312" w:hAnsi="宋体" w:eastAsia="仿宋_GB2312" w:cs="仿宋_GB2312"/>
          <w:color w:val="000000"/>
          <w:kern w:val="0"/>
          <w:sz w:val="32"/>
          <w:szCs w:val="32"/>
          <w:lang w:bidi="ar"/>
        </w:rPr>
      </w:pPr>
      <w:r>
        <w:rPr>
          <w:rStyle w:val="12"/>
          <w:rFonts w:ascii="仿宋_GB2312" w:hAnsi="宋体" w:eastAsia="仿宋_GB2312" w:cs="宋体"/>
          <w:color w:val="000000"/>
          <w:kern w:val="0"/>
          <w:sz w:val="32"/>
          <w:szCs w:val="32"/>
          <w:lang w:bidi="ar"/>
        </w:rPr>
        <w:t>第五条</w:t>
      </w:r>
      <w:r>
        <w:rPr>
          <w:rFonts w:ascii="仿宋_GB2312" w:hAnsi="宋体" w:eastAsia="仿宋_GB2312" w:cs="宋体"/>
          <w:bCs/>
          <w:color w:val="000000"/>
          <w:kern w:val="0"/>
          <w:sz w:val="32"/>
          <w:szCs w:val="32"/>
          <w:lang w:bidi="ar"/>
        </w:rPr>
        <w:t xml:space="preserve">  </w:t>
      </w:r>
      <w:r>
        <w:rPr>
          <w:rFonts w:ascii="仿宋_GB2312" w:hAnsi="宋体" w:eastAsia="仿宋_GB2312" w:cs="仿宋_GB2312"/>
          <w:color w:val="000000"/>
          <w:kern w:val="0"/>
          <w:sz w:val="32"/>
          <w:szCs w:val="32"/>
          <w:lang w:bidi="ar"/>
        </w:rPr>
        <w:t>专职科研岗位</w:t>
      </w:r>
      <w:r>
        <w:rPr>
          <w:rFonts w:hint="eastAsia" w:ascii="仿宋_GB2312" w:hAnsi="宋体" w:eastAsia="仿宋_GB2312" w:cs="仿宋_GB2312"/>
          <w:color w:val="000000"/>
          <w:kern w:val="0"/>
          <w:sz w:val="32"/>
          <w:szCs w:val="32"/>
          <w:lang w:bidi="ar"/>
        </w:rPr>
        <w:t>每年开展一次岗位申报。聘期</w:t>
      </w:r>
      <w:r>
        <w:rPr>
          <w:rFonts w:ascii="仿宋_GB2312" w:hAnsi="宋体" w:eastAsia="仿宋_GB2312" w:cs="仿宋_GB2312"/>
          <w:color w:val="000000"/>
          <w:kern w:val="0"/>
          <w:sz w:val="32"/>
          <w:szCs w:val="32"/>
          <w:lang w:bidi="ar"/>
        </w:rPr>
        <w:t>实行弹性聘期制，根据个人所承担的科研项目研究期限或研究需要确定聘任时间，聘期</w:t>
      </w:r>
      <w:r>
        <w:rPr>
          <w:rFonts w:hint="eastAsia" w:ascii="仿宋_GB2312" w:hAnsi="宋体" w:eastAsia="仿宋_GB2312" w:cs="仿宋_GB2312"/>
          <w:color w:val="000000"/>
          <w:kern w:val="0"/>
          <w:sz w:val="32"/>
          <w:szCs w:val="32"/>
          <w:lang w:bidi="ar"/>
        </w:rPr>
        <w:t>1-4</w:t>
      </w:r>
      <w:r>
        <w:rPr>
          <w:rFonts w:ascii="仿宋_GB2312" w:hAnsi="宋体" w:eastAsia="仿宋_GB2312" w:cs="仿宋_GB2312"/>
          <w:color w:val="000000"/>
          <w:kern w:val="0"/>
          <w:sz w:val="32"/>
          <w:szCs w:val="32"/>
          <w:lang w:bidi="ar"/>
        </w:rPr>
        <w:t>年，聘期期满</w:t>
      </w:r>
      <w:r>
        <w:rPr>
          <w:rFonts w:hint="eastAsia" w:ascii="仿宋_GB2312" w:hAnsi="宋体" w:eastAsia="仿宋_GB2312" w:cs="仿宋_GB2312"/>
          <w:color w:val="000000"/>
          <w:kern w:val="0"/>
          <w:sz w:val="32"/>
          <w:szCs w:val="32"/>
          <w:lang w:bidi="ar"/>
        </w:rPr>
        <w:t>，根据研究情况</w:t>
      </w:r>
      <w:r>
        <w:rPr>
          <w:rFonts w:ascii="仿宋_GB2312" w:hAnsi="宋体" w:eastAsia="仿宋_GB2312" w:cs="仿宋_GB2312"/>
          <w:color w:val="000000"/>
          <w:kern w:val="0"/>
          <w:sz w:val="32"/>
          <w:szCs w:val="32"/>
          <w:lang w:bidi="ar"/>
        </w:rPr>
        <w:t>可</w:t>
      </w:r>
      <w:r>
        <w:rPr>
          <w:rFonts w:hint="eastAsia" w:ascii="仿宋_GB2312" w:hAnsi="宋体" w:eastAsia="仿宋_GB2312" w:cs="仿宋_GB2312"/>
          <w:color w:val="000000"/>
          <w:kern w:val="0"/>
          <w:sz w:val="32"/>
          <w:szCs w:val="32"/>
          <w:lang w:bidi="ar"/>
        </w:rPr>
        <w:t>申请</w:t>
      </w:r>
      <w:r>
        <w:rPr>
          <w:rFonts w:ascii="仿宋_GB2312" w:hAnsi="宋体" w:eastAsia="仿宋_GB2312" w:cs="仿宋_GB2312"/>
          <w:color w:val="000000"/>
          <w:kern w:val="0"/>
          <w:sz w:val="32"/>
          <w:szCs w:val="32"/>
          <w:lang w:bidi="ar"/>
        </w:rPr>
        <w:t>续聘</w:t>
      </w:r>
      <w:r>
        <w:rPr>
          <w:rFonts w:hint="eastAsia" w:ascii="仿宋_GB2312" w:hAnsi="宋体" w:eastAsia="仿宋_GB2312" w:cs="仿宋_GB2312"/>
          <w:color w:val="000000"/>
          <w:kern w:val="0"/>
          <w:sz w:val="32"/>
          <w:szCs w:val="32"/>
          <w:lang w:bidi="ar"/>
        </w:rPr>
        <w:t>。</w:t>
      </w:r>
    </w:p>
    <w:p>
      <w:pPr>
        <w:snapToGrid w:val="0"/>
        <w:spacing w:line="596" w:lineRule="exact"/>
        <w:ind w:firstLine="643" w:firstLineChars="200"/>
        <w:jc w:val="left"/>
        <w:rPr>
          <w:rFonts w:hint="eastAsia" w:ascii="仿宋_GB2312" w:hAnsi="宋体" w:eastAsia="仿宋_GB2312" w:cs="仿宋_GB2312"/>
          <w:color w:val="000000"/>
          <w:kern w:val="0"/>
          <w:sz w:val="32"/>
          <w:szCs w:val="32"/>
          <w:lang w:bidi="ar"/>
        </w:rPr>
      </w:pPr>
      <w:r>
        <w:rPr>
          <w:rStyle w:val="12"/>
          <w:rFonts w:ascii="仿宋_GB2312" w:hAnsi="宋体" w:eastAsia="仿宋_GB2312" w:cs="宋体"/>
          <w:color w:val="000000"/>
          <w:kern w:val="0"/>
          <w:sz w:val="32"/>
          <w:szCs w:val="32"/>
          <w:lang w:bidi="ar"/>
        </w:rPr>
        <w:t>第</w:t>
      </w:r>
      <w:r>
        <w:rPr>
          <w:rStyle w:val="12"/>
          <w:rFonts w:hint="eastAsia" w:ascii="仿宋_GB2312" w:hAnsi="宋体" w:eastAsia="仿宋_GB2312" w:cs="宋体"/>
          <w:color w:val="000000"/>
          <w:kern w:val="0"/>
          <w:sz w:val="32"/>
          <w:szCs w:val="32"/>
          <w:lang w:bidi="ar"/>
        </w:rPr>
        <w:t>六</w:t>
      </w:r>
      <w:r>
        <w:rPr>
          <w:rStyle w:val="12"/>
          <w:rFonts w:ascii="仿宋_GB2312" w:hAnsi="宋体" w:eastAsia="仿宋_GB2312" w:cs="宋体"/>
          <w:color w:val="000000"/>
          <w:kern w:val="0"/>
          <w:sz w:val="32"/>
          <w:szCs w:val="32"/>
          <w:lang w:bidi="ar"/>
        </w:rPr>
        <w:t>条</w:t>
      </w:r>
      <w:r>
        <w:rPr>
          <w:rFonts w:ascii="仿宋_GB2312" w:hAnsi="宋体" w:eastAsia="仿宋_GB2312" w:cs="宋体"/>
          <w:bCs/>
          <w:color w:val="000000"/>
          <w:kern w:val="0"/>
          <w:sz w:val="32"/>
          <w:szCs w:val="32"/>
          <w:lang w:bidi="ar"/>
        </w:rPr>
        <w:t xml:space="preserve">  </w:t>
      </w:r>
      <w:r>
        <w:rPr>
          <w:rFonts w:hint="eastAsia" w:ascii="仿宋_GB2312" w:hAnsi="宋体" w:eastAsia="仿宋_GB2312" w:cs="仿宋_GB2312"/>
          <w:color w:val="000000"/>
          <w:kern w:val="0"/>
          <w:sz w:val="32"/>
          <w:szCs w:val="32"/>
          <w:lang w:bidi="ar"/>
        </w:rPr>
        <w:t>聘任程序</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（一）科技开</w:t>
      </w:r>
      <w:bookmarkStart w:id="1248" w:name="_Toc25543_WPSOffice_Level1"/>
      <w:r>
        <w:rPr>
          <w:rFonts w:hint="eastAsia" w:ascii="仿宋_GB2312" w:hAnsi="宋体" w:eastAsia="仿宋_GB2312" w:cs="仿宋_GB2312"/>
          <w:color w:val="000000"/>
          <w:kern w:val="0"/>
          <w:sz w:val="32"/>
          <w:szCs w:val="32"/>
          <w:lang w:bidi="ar"/>
        </w:rPr>
        <w:t>发与校企合作处组织申报；</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（二）申请人填</w:t>
      </w:r>
      <w:bookmarkEnd w:id="1248"/>
      <w:r>
        <w:rPr>
          <w:rFonts w:hint="eastAsia" w:ascii="仿宋_GB2312" w:hAnsi="宋体" w:eastAsia="仿宋_GB2312" w:cs="仿宋_GB2312"/>
          <w:color w:val="000000"/>
          <w:kern w:val="0"/>
          <w:sz w:val="32"/>
          <w:szCs w:val="32"/>
          <w:lang w:bidi="ar"/>
        </w:rPr>
        <w:t>写申报材料；</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（三）二级学院、部门初步审核，提交学校科技开发与校企合作处；</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（四）科技开发与校企合作处组织评审专家组评审，评审结果提交学校校长办公会及党委会审议；</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（五）人事处代表学校与申请人签订岗位责任书。</w:t>
      </w:r>
    </w:p>
    <w:p>
      <w:pPr>
        <w:spacing w:line="596" w:lineRule="exact"/>
        <w:jc w:val="center"/>
        <w:outlineLvl w:val="9"/>
        <w:rPr>
          <w:rFonts w:hint="eastAsia" w:ascii="黑体" w:hAnsi="黑体" w:eastAsia="黑体"/>
          <w:sz w:val="32"/>
          <w:szCs w:val="32"/>
          <w:lang w:bidi="ar"/>
        </w:rPr>
      </w:pPr>
      <w:bookmarkStart w:id="1249" w:name="_Toc8218_WPSOffice_Level1"/>
      <w:r>
        <w:rPr>
          <w:rFonts w:hint="eastAsia" w:ascii="黑体" w:hAnsi="黑体" w:eastAsia="黑体"/>
          <w:sz w:val="32"/>
          <w:szCs w:val="32"/>
          <w:lang w:bidi="ar"/>
        </w:rPr>
        <w:t>第五章  岗位职责</w:t>
      </w:r>
      <w:bookmarkEnd w:id="1249"/>
    </w:p>
    <w:p>
      <w:pPr>
        <w:snapToGrid w:val="0"/>
        <w:spacing w:line="596" w:lineRule="exact"/>
        <w:ind w:firstLine="643" w:firstLineChars="200"/>
        <w:jc w:val="left"/>
        <w:rPr>
          <w:rFonts w:hint="eastAsia" w:ascii="仿宋_GB2312" w:hAnsi="宋体" w:eastAsia="仿宋_GB2312" w:cs="仿宋_GB2312"/>
          <w:color w:val="000000"/>
          <w:kern w:val="0"/>
          <w:sz w:val="32"/>
          <w:szCs w:val="32"/>
          <w:lang w:bidi="ar"/>
        </w:rPr>
      </w:pPr>
      <w:r>
        <w:rPr>
          <w:rStyle w:val="12"/>
          <w:rFonts w:ascii="仿宋_GB2312" w:hAnsi="宋体" w:eastAsia="仿宋_GB2312" w:cs="宋体"/>
          <w:color w:val="000000"/>
          <w:kern w:val="0"/>
          <w:sz w:val="32"/>
          <w:szCs w:val="32"/>
          <w:lang w:bidi="ar"/>
        </w:rPr>
        <w:t>第</w:t>
      </w:r>
      <w:r>
        <w:rPr>
          <w:rStyle w:val="12"/>
          <w:rFonts w:hint="eastAsia" w:ascii="仿宋_GB2312" w:hAnsi="宋体" w:eastAsia="仿宋_GB2312" w:cs="宋体"/>
          <w:color w:val="000000"/>
          <w:kern w:val="0"/>
          <w:sz w:val="32"/>
          <w:szCs w:val="32"/>
          <w:lang w:bidi="ar"/>
        </w:rPr>
        <w:t>七</w:t>
      </w:r>
      <w:r>
        <w:rPr>
          <w:rStyle w:val="12"/>
          <w:rFonts w:ascii="仿宋_GB2312" w:hAnsi="宋体" w:eastAsia="仿宋_GB2312" w:cs="宋体"/>
          <w:color w:val="000000"/>
          <w:kern w:val="0"/>
          <w:sz w:val="32"/>
          <w:szCs w:val="32"/>
          <w:lang w:bidi="ar"/>
        </w:rPr>
        <w:t>条</w:t>
      </w:r>
      <w:r>
        <w:rPr>
          <w:rFonts w:ascii="仿宋_GB2312" w:hAnsi="宋体" w:eastAsia="仿宋_GB2312" w:cs="宋体"/>
          <w:bCs/>
          <w:color w:val="000000"/>
          <w:kern w:val="0"/>
          <w:sz w:val="32"/>
          <w:szCs w:val="32"/>
          <w:lang w:bidi="ar"/>
        </w:rPr>
        <w:t xml:space="preserve">  </w:t>
      </w:r>
      <w:r>
        <w:rPr>
          <w:rFonts w:hint="eastAsia" w:ascii="仿宋_GB2312" w:hAnsi="宋体" w:eastAsia="仿宋_GB2312" w:cs="仿宋_GB2312"/>
          <w:color w:val="000000"/>
          <w:kern w:val="0"/>
          <w:sz w:val="32"/>
          <w:szCs w:val="32"/>
          <w:lang w:bidi="ar"/>
        </w:rPr>
        <w:t>专职科研岗职责</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（一）遵守国家法律、法规和学校的规章制度，根据二级学院、部门工作需要，按时参加学校及所在二级学院、部门组织的政治、业务活动。</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（二）积极开展科学技术研究和技术服务，及时报告进展，接受学校管理和监督，按时完成约定的科研目标任务。</w:t>
      </w:r>
    </w:p>
    <w:p>
      <w:pPr>
        <w:snapToGrid w:val="0"/>
        <w:spacing w:line="596"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（三）主要承担科学技术研究的申请、研究和开发，或承担重要平台、重大工程建设任务，或承担高新技术转移、成果转化等工作。</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（四）举办专题讲座，指导教师提升科研能力。</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（五）聘任期间，以科研为主，原则上每周兼课不得超过4课时。</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（六）聘期内应完成以下科研任务中的任意2项。</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1.成果以柳州职业技术学院为第一署名单位。以独立或第一作者身份在中文核心及以上期刊发表学术论文或者取得授权的发明专利（第一发明人）不少于5篇/件；或者研究成果获省部级及以上领导的肯定性批示。</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2.主持完成省部级及以上科研项目2项；或主持完成省部级及以上科研项目1项，同时主要参与完成省部级及以上科研项目1项（个人排名前三，学校排名前二）。</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3.主持课题累计到学校账户经费：自然科学类200万元以上，人文社科类50万元以上。</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4.以柳州职业技术学院为承担单位，成果获得省部级及以上科研成果奖。</w:t>
      </w:r>
    </w:p>
    <w:p>
      <w:pPr>
        <w:spacing w:line="596" w:lineRule="exact"/>
        <w:jc w:val="center"/>
        <w:outlineLvl w:val="9"/>
        <w:rPr>
          <w:rFonts w:hint="eastAsia" w:ascii="黑体" w:hAnsi="黑体" w:eastAsia="黑体"/>
          <w:b/>
          <w:sz w:val="32"/>
          <w:szCs w:val="32"/>
        </w:rPr>
      </w:pPr>
      <w:bookmarkStart w:id="1250" w:name="_Toc31382_WPSOffice_Level1"/>
      <w:r>
        <w:rPr>
          <w:rFonts w:hint="eastAsia" w:ascii="黑体" w:hAnsi="黑体" w:eastAsia="黑体"/>
          <w:sz w:val="32"/>
          <w:szCs w:val="32"/>
          <w:lang w:bidi="ar"/>
        </w:rPr>
        <w:t>第六章  岗位考核与管理</w:t>
      </w:r>
      <w:bookmarkEnd w:id="1250"/>
    </w:p>
    <w:p>
      <w:pPr>
        <w:snapToGrid w:val="0"/>
        <w:spacing w:line="596" w:lineRule="exact"/>
        <w:ind w:firstLine="643" w:firstLineChars="200"/>
        <w:jc w:val="left"/>
        <w:rPr>
          <w:rFonts w:hint="eastAsia" w:ascii="仿宋_GB2312" w:hAnsi="宋体" w:eastAsia="仿宋_GB2312" w:cs="仿宋_GB2312"/>
          <w:color w:val="000000"/>
          <w:kern w:val="0"/>
          <w:sz w:val="32"/>
          <w:szCs w:val="32"/>
          <w:lang w:bidi="ar"/>
        </w:rPr>
      </w:pPr>
      <w:r>
        <w:rPr>
          <w:rStyle w:val="12"/>
          <w:rFonts w:ascii="仿宋_GB2312" w:hAnsi="宋体" w:eastAsia="仿宋_GB2312" w:cs="仿宋_GB2312"/>
          <w:color w:val="000000"/>
          <w:kern w:val="0"/>
          <w:sz w:val="32"/>
          <w:szCs w:val="32"/>
          <w:lang w:bidi="ar"/>
        </w:rPr>
        <w:t>第八条</w:t>
      </w:r>
      <w:r>
        <w:rPr>
          <w:rFonts w:ascii="仿宋_GB2312" w:hAnsi="宋体" w:eastAsia="仿宋_GB2312" w:cs="仿宋_GB2312"/>
          <w:color w:val="000000"/>
          <w:kern w:val="0"/>
          <w:sz w:val="32"/>
          <w:szCs w:val="32"/>
          <w:lang w:bidi="ar"/>
        </w:rPr>
        <w:t xml:space="preserve">  </w:t>
      </w:r>
      <w:r>
        <w:rPr>
          <w:rFonts w:hint="eastAsia" w:ascii="仿宋_GB2312" w:hAnsi="宋体" w:eastAsia="仿宋_GB2312" w:cs="仿宋_GB2312"/>
          <w:color w:val="000000"/>
          <w:kern w:val="0"/>
          <w:sz w:val="32"/>
          <w:szCs w:val="32"/>
          <w:lang w:bidi="ar"/>
        </w:rPr>
        <w:t>每学期科技开发与校企合作处开展专职科研岗工作质量检查。</w:t>
      </w:r>
    </w:p>
    <w:p>
      <w:pPr>
        <w:snapToGrid w:val="0"/>
        <w:spacing w:line="596" w:lineRule="exact"/>
        <w:ind w:firstLine="643" w:firstLineChars="200"/>
        <w:jc w:val="left"/>
        <w:rPr>
          <w:rFonts w:hint="eastAsia" w:ascii="仿宋_GB2312" w:hAnsi="宋体" w:eastAsia="仿宋_GB2312" w:cs="仿宋_GB2312"/>
          <w:color w:val="000000"/>
          <w:kern w:val="0"/>
          <w:sz w:val="32"/>
          <w:szCs w:val="32"/>
          <w:lang w:bidi="ar"/>
        </w:rPr>
      </w:pPr>
      <w:r>
        <w:rPr>
          <w:rStyle w:val="12"/>
          <w:rFonts w:hint="eastAsia" w:ascii="仿宋_GB2312" w:hAnsi="宋体" w:eastAsia="仿宋_GB2312" w:cs="仿宋_GB2312"/>
          <w:color w:val="000000"/>
          <w:kern w:val="0"/>
          <w:sz w:val="32"/>
          <w:szCs w:val="32"/>
          <w:lang w:bidi="ar"/>
        </w:rPr>
        <w:t xml:space="preserve">第九条  </w:t>
      </w:r>
      <w:r>
        <w:rPr>
          <w:rFonts w:hint="eastAsia" w:ascii="仿宋_GB2312" w:hAnsi="宋体" w:eastAsia="仿宋_GB2312" w:cs="仿宋_GB2312"/>
          <w:color w:val="000000"/>
          <w:kern w:val="0"/>
          <w:sz w:val="32"/>
          <w:szCs w:val="32"/>
          <w:lang w:bidi="ar"/>
        </w:rPr>
        <w:t>年度考核：专职科研岗人员应每年度向科技开发与校企合作处提交科研工作年度报告和支撑材料，由科技开发与校企合作处会同人事处、专职科研岗人员所在部门，组织专家组对专职科研岗人员评审，做出年度考核意见，考核结果分为合格、不合格等次。考核不合格者终止专职科研岗位，通报考核结果。</w:t>
      </w:r>
    </w:p>
    <w:p>
      <w:pPr>
        <w:snapToGrid w:val="0"/>
        <w:spacing w:line="596" w:lineRule="exact"/>
        <w:ind w:firstLine="643" w:firstLineChars="200"/>
        <w:jc w:val="left"/>
        <w:rPr>
          <w:rFonts w:hint="eastAsia" w:ascii="仿宋_GB2312" w:hAnsi="宋体" w:eastAsia="仿宋_GB2312" w:cs="仿宋_GB2312"/>
          <w:color w:val="000000"/>
          <w:kern w:val="0"/>
          <w:sz w:val="32"/>
          <w:szCs w:val="32"/>
          <w:lang w:bidi="ar"/>
        </w:rPr>
      </w:pPr>
      <w:r>
        <w:rPr>
          <w:rStyle w:val="12"/>
          <w:rFonts w:hint="eastAsia" w:ascii="仿宋_GB2312" w:hAnsi="宋体" w:eastAsia="仿宋_GB2312" w:cs="仿宋_GB2312"/>
          <w:color w:val="000000"/>
          <w:kern w:val="0"/>
          <w:sz w:val="32"/>
          <w:szCs w:val="32"/>
          <w:lang w:bidi="ar"/>
        </w:rPr>
        <w:t xml:space="preserve">第十条  </w:t>
      </w:r>
      <w:r>
        <w:rPr>
          <w:rFonts w:hint="eastAsia" w:ascii="仿宋_GB2312" w:hAnsi="宋体" w:eastAsia="仿宋_GB2312" w:cs="仿宋_GB2312"/>
          <w:color w:val="000000"/>
          <w:kern w:val="0"/>
          <w:sz w:val="32"/>
          <w:szCs w:val="32"/>
          <w:lang w:bidi="ar"/>
        </w:rPr>
        <w:t>聘期考核：专职科研岗人员在聘期结束前，向科技开发与校企合作处提交聘期报告和支撑材料，由科技开发与校企合作处会同人事处、专职科研岗人员所在部门，组织专家组对专职科研岗人员聘期内研究项目的完成情况进行总体评审，做出聘期考核意见。</w:t>
      </w:r>
    </w:p>
    <w:p>
      <w:pPr>
        <w:snapToGrid w:val="0"/>
        <w:spacing w:line="596" w:lineRule="exact"/>
        <w:ind w:firstLine="643" w:firstLineChars="200"/>
        <w:jc w:val="left"/>
        <w:rPr>
          <w:rFonts w:hint="eastAsia" w:ascii="仿宋_GB2312" w:hAnsi="宋体" w:eastAsia="仿宋_GB2312" w:cs="仿宋_GB2312"/>
          <w:color w:val="000000"/>
          <w:kern w:val="0"/>
          <w:sz w:val="32"/>
          <w:szCs w:val="32"/>
          <w:lang w:bidi="ar"/>
        </w:rPr>
      </w:pPr>
      <w:r>
        <w:rPr>
          <w:rStyle w:val="12"/>
          <w:rFonts w:hint="eastAsia" w:cs="仿宋_GB2312"/>
          <w:color w:val="000000"/>
          <w:kern w:val="0"/>
          <w:sz w:val="32"/>
          <w:szCs w:val="32"/>
          <w:lang w:bidi="ar"/>
        </w:rPr>
        <w:t xml:space="preserve">第十一条  </w:t>
      </w:r>
      <w:r>
        <w:rPr>
          <w:rFonts w:ascii="仿宋_GB2312" w:hAnsi="宋体" w:eastAsia="仿宋_GB2312" w:cs="仿宋_GB2312"/>
          <w:color w:val="000000"/>
          <w:kern w:val="0"/>
          <w:sz w:val="32"/>
          <w:szCs w:val="32"/>
          <w:lang w:bidi="ar"/>
        </w:rPr>
        <w:t>聘期内如</w:t>
      </w:r>
      <w:r>
        <w:rPr>
          <w:rFonts w:hint="eastAsia" w:ascii="仿宋_GB2312" w:hAnsi="宋体" w:eastAsia="仿宋_GB2312" w:cs="仿宋_GB2312"/>
          <w:color w:val="000000"/>
          <w:kern w:val="0"/>
          <w:sz w:val="32"/>
          <w:szCs w:val="32"/>
          <w:lang w:bidi="ar"/>
        </w:rPr>
        <w:t>有下列行为之一</w:t>
      </w:r>
      <w:r>
        <w:rPr>
          <w:rFonts w:ascii="仿宋_GB2312" w:hAnsi="宋体" w:eastAsia="仿宋_GB2312" w:cs="仿宋_GB2312"/>
          <w:color w:val="000000"/>
          <w:kern w:val="0"/>
          <w:sz w:val="32"/>
          <w:szCs w:val="32"/>
          <w:lang w:bidi="ar"/>
        </w:rPr>
        <w:t>，学校将提前予以解聘</w:t>
      </w:r>
      <w:r>
        <w:rPr>
          <w:rFonts w:hint="eastAsia" w:ascii="仿宋_GB2312" w:hAnsi="宋体" w:eastAsia="仿宋_GB2312" w:cs="仿宋_GB2312"/>
          <w:color w:val="000000"/>
          <w:kern w:val="0"/>
          <w:sz w:val="32"/>
          <w:szCs w:val="32"/>
          <w:lang w:bidi="ar"/>
        </w:rPr>
        <w:t>，3年内不得再次申请专职科研岗位</w:t>
      </w:r>
      <w:r>
        <w:rPr>
          <w:rFonts w:ascii="仿宋_GB2312" w:hAnsi="宋体" w:eastAsia="仿宋_GB2312" w:cs="仿宋_GB2312"/>
          <w:color w:val="000000"/>
          <w:kern w:val="0"/>
          <w:sz w:val="32"/>
          <w:szCs w:val="32"/>
          <w:lang w:bidi="ar"/>
        </w:rPr>
        <w:t>。</w:t>
      </w:r>
    </w:p>
    <w:p>
      <w:pPr>
        <w:snapToGrid w:val="0"/>
        <w:spacing w:line="596" w:lineRule="exact"/>
        <w:ind w:firstLine="640" w:firstLineChars="200"/>
        <w:jc w:val="left"/>
        <w:rPr>
          <w:rFonts w:hint="eastAsia" w:ascii="仿宋_GB2312" w:hAnsi="宋体" w:eastAsia="仿宋_GB2312" w:cs="仿宋_GB2312"/>
          <w:color w:val="000000"/>
          <w:kern w:val="0"/>
          <w:sz w:val="32"/>
          <w:szCs w:val="32"/>
          <w:highlight w:val="yellow"/>
          <w:lang w:bidi="ar"/>
        </w:rPr>
      </w:pPr>
      <w:r>
        <w:rPr>
          <w:rFonts w:hint="eastAsia" w:ascii="仿宋_GB2312" w:hAnsi="宋体" w:eastAsia="仿宋_GB2312" w:cs="仿宋_GB2312"/>
          <w:color w:val="000000"/>
          <w:kern w:val="0"/>
          <w:sz w:val="32"/>
          <w:szCs w:val="32"/>
          <w:lang w:bidi="ar"/>
        </w:rPr>
        <w:t>（一）</w:t>
      </w:r>
      <w:r>
        <w:rPr>
          <w:rFonts w:ascii="仿宋_GB2312" w:hAnsi="宋体" w:eastAsia="仿宋_GB2312" w:cs="仿宋_GB2312"/>
          <w:color w:val="000000"/>
          <w:kern w:val="0"/>
          <w:sz w:val="32"/>
          <w:szCs w:val="32"/>
          <w:lang w:bidi="ar"/>
        </w:rPr>
        <w:t>违背学术道德，或有其它违纪违规行为的</w:t>
      </w:r>
      <w:r>
        <w:rPr>
          <w:rFonts w:hint="eastAsia" w:ascii="仿宋_GB2312" w:hAnsi="宋体" w:eastAsia="仿宋_GB2312" w:cs="仿宋_GB2312"/>
          <w:color w:val="000000"/>
          <w:kern w:val="0"/>
          <w:sz w:val="32"/>
          <w:szCs w:val="32"/>
          <w:lang w:bidi="ar"/>
        </w:rPr>
        <w:t>；</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（二）研究进度严重滞后；</w:t>
      </w:r>
    </w:p>
    <w:p>
      <w:pPr>
        <w:snapToGrid w:val="0"/>
        <w:spacing w:line="596" w:lineRule="exact"/>
        <w:ind w:firstLine="640" w:firstLineChars="200"/>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（三）承担科技计划项目延期未结题，对学校造成不良影响。</w:t>
      </w:r>
    </w:p>
    <w:p>
      <w:pPr>
        <w:spacing w:line="596" w:lineRule="exact"/>
        <w:jc w:val="center"/>
        <w:outlineLvl w:val="9"/>
        <w:rPr>
          <w:rFonts w:hint="eastAsia" w:ascii="黑体" w:hAnsi="黑体" w:eastAsia="黑体"/>
          <w:b/>
          <w:sz w:val="32"/>
          <w:szCs w:val="32"/>
        </w:rPr>
      </w:pPr>
      <w:bookmarkStart w:id="1251" w:name="_Toc11834_WPSOffice_Level1"/>
      <w:r>
        <w:rPr>
          <w:rFonts w:hint="eastAsia" w:ascii="黑体" w:hAnsi="黑体" w:eastAsia="黑体"/>
          <w:sz w:val="32"/>
          <w:szCs w:val="32"/>
          <w:lang w:bidi="ar"/>
        </w:rPr>
        <w:t>第七章  岗位待遇</w:t>
      </w:r>
      <w:bookmarkEnd w:id="1251"/>
    </w:p>
    <w:p>
      <w:pPr>
        <w:snapToGrid w:val="0"/>
        <w:spacing w:line="596" w:lineRule="exact"/>
        <w:ind w:firstLine="643" w:firstLineChars="200"/>
        <w:jc w:val="left"/>
        <w:rPr>
          <w:rFonts w:hint="eastAsia" w:ascii="仿宋" w:hAnsi="仿宋" w:eastAsia="仿宋" w:cs="仿宋"/>
          <w:color w:val="000000"/>
          <w:sz w:val="32"/>
          <w:szCs w:val="32"/>
        </w:rPr>
      </w:pPr>
      <w:r>
        <w:rPr>
          <w:rStyle w:val="12"/>
          <w:rFonts w:hint="eastAsia" w:ascii="仿宋" w:hAnsi="仿宋" w:eastAsia="仿宋" w:cs="仿宋"/>
          <w:color w:val="000000"/>
          <w:kern w:val="0"/>
          <w:sz w:val="32"/>
          <w:szCs w:val="32"/>
          <w:lang w:bidi="ar"/>
        </w:rPr>
        <w:t xml:space="preserve">第十二条  </w:t>
      </w:r>
      <w:r>
        <w:rPr>
          <w:rFonts w:hint="eastAsia" w:ascii="仿宋" w:hAnsi="仿宋" w:eastAsia="仿宋" w:cs="仿宋"/>
          <w:color w:val="000000"/>
          <w:kern w:val="0"/>
          <w:sz w:val="32"/>
          <w:szCs w:val="32"/>
          <w:lang w:bidi="ar"/>
        </w:rPr>
        <w:t>专职科研岗人员工作量：聘期内认真履行岗位职责，按岗位责任书完成所承担的各项任务，专职科研岗人员的工作量（按学校全年两学期工作时间计）、学期绩效、社会服务奖励性绩效参照学校行政职能部门人员标准，按2.8系数计发。从学校经费统一支出，由人事处制单发放。</w:t>
      </w:r>
    </w:p>
    <w:p>
      <w:pPr>
        <w:spacing w:line="596" w:lineRule="exact"/>
        <w:jc w:val="center"/>
        <w:outlineLvl w:val="9"/>
        <w:rPr>
          <w:rFonts w:hint="eastAsia" w:ascii="黑体" w:hAnsi="黑体" w:eastAsia="黑体"/>
          <w:b/>
          <w:sz w:val="32"/>
          <w:szCs w:val="32"/>
        </w:rPr>
      </w:pPr>
      <w:bookmarkStart w:id="1252" w:name="_Toc30136_WPSOffice_Level1"/>
      <w:r>
        <w:rPr>
          <w:rFonts w:hint="eastAsia" w:ascii="黑体" w:hAnsi="黑体" w:eastAsia="黑体"/>
          <w:sz w:val="32"/>
          <w:szCs w:val="32"/>
          <w:lang w:bidi="ar"/>
        </w:rPr>
        <w:t>第八章  附则</w:t>
      </w:r>
      <w:bookmarkEnd w:id="1252"/>
    </w:p>
    <w:p>
      <w:pPr>
        <w:snapToGrid w:val="0"/>
        <w:spacing w:line="596" w:lineRule="exact"/>
        <w:ind w:firstLine="643" w:firstLineChars="200"/>
        <w:jc w:val="left"/>
        <w:rPr>
          <w:rFonts w:hint="eastAsia" w:ascii="仿宋" w:hAnsi="仿宋" w:eastAsia="仿宋" w:cs="仿宋"/>
          <w:color w:val="000000"/>
          <w:sz w:val="32"/>
          <w:szCs w:val="32"/>
        </w:rPr>
      </w:pPr>
      <w:r>
        <w:rPr>
          <w:rStyle w:val="12"/>
          <w:rFonts w:hint="eastAsia" w:ascii="仿宋" w:hAnsi="仿宋" w:eastAsia="仿宋" w:cs="仿宋"/>
          <w:color w:val="000000"/>
          <w:kern w:val="0"/>
          <w:sz w:val="32"/>
          <w:szCs w:val="32"/>
          <w:lang w:bidi="ar"/>
        </w:rPr>
        <w:t xml:space="preserve">第十三条  </w:t>
      </w:r>
      <w:r>
        <w:rPr>
          <w:rFonts w:hint="eastAsia" w:ascii="仿宋" w:hAnsi="仿宋" w:eastAsia="仿宋" w:cs="仿宋"/>
          <w:color w:val="000000"/>
          <w:kern w:val="0"/>
          <w:sz w:val="32"/>
          <w:szCs w:val="32"/>
          <w:lang w:bidi="ar"/>
        </w:rPr>
        <w:t>对于本办法中未涉及或未明了的特殊情况，由人事处或科技开发与校企合作处报校长办公会及党委会批准。</w:t>
      </w:r>
    </w:p>
    <w:p>
      <w:pPr>
        <w:snapToGrid w:val="0"/>
        <w:spacing w:line="596" w:lineRule="exact"/>
        <w:ind w:firstLine="643" w:firstLineChars="200"/>
        <w:jc w:val="left"/>
        <w:rPr>
          <w:rFonts w:hint="eastAsia" w:ascii="仿宋" w:hAnsi="仿宋" w:eastAsia="仿宋" w:cs="仿宋"/>
          <w:color w:val="000000"/>
          <w:kern w:val="0"/>
          <w:sz w:val="32"/>
          <w:szCs w:val="32"/>
          <w:lang w:bidi="ar"/>
        </w:rPr>
      </w:pPr>
      <w:r>
        <w:rPr>
          <w:rStyle w:val="12"/>
          <w:rFonts w:hint="eastAsia" w:ascii="仿宋" w:hAnsi="仿宋" w:eastAsia="仿宋" w:cs="仿宋"/>
          <w:color w:val="000000"/>
          <w:kern w:val="0"/>
          <w:sz w:val="32"/>
          <w:szCs w:val="32"/>
          <w:lang w:bidi="ar"/>
        </w:rPr>
        <w:t xml:space="preserve">第十四条  </w:t>
      </w:r>
      <w:r>
        <w:rPr>
          <w:rFonts w:hint="eastAsia" w:ascii="仿宋" w:hAnsi="仿宋" w:eastAsia="仿宋" w:cs="仿宋"/>
          <w:color w:val="000000"/>
          <w:kern w:val="0"/>
          <w:sz w:val="32"/>
          <w:szCs w:val="32"/>
          <w:lang w:bidi="ar"/>
        </w:rPr>
        <w:t>本办法由学校人事处、科技开发与校企合作处解释。</w:t>
      </w:r>
    </w:p>
    <w:p>
      <w:pPr>
        <w:snapToGrid w:val="0"/>
        <w:spacing w:line="596" w:lineRule="exact"/>
        <w:ind w:firstLine="643" w:firstLineChars="200"/>
        <w:jc w:val="left"/>
        <w:rPr>
          <w:rFonts w:hint="eastAsia" w:ascii="仿宋" w:hAnsi="仿宋" w:eastAsia="仿宋" w:cs="仿宋"/>
          <w:color w:val="000000"/>
          <w:kern w:val="0"/>
          <w:sz w:val="32"/>
          <w:szCs w:val="32"/>
          <w:lang w:bidi="ar"/>
        </w:rPr>
      </w:pPr>
      <w:r>
        <w:rPr>
          <w:rStyle w:val="12"/>
          <w:rFonts w:hint="eastAsia" w:ascii="仿宋" w:hAnsi="仿宋" w:eastAsia="仿宋" w:cs="仿宋"/>
          <w:color w:val="000000"/>
          <w:kern w:val="0"/>
          <w:sz w:val="32"/>
          <w:szCs w:val="32"/>
          <w:lang w:bidi="ar"/>
        </w:rPr>
        <w:t xml:space="preserve">第十五条  </w:t>
      </w:r>
      <w:r>
        <w:rPr>
          <w:rFonts w:hint="eastAsia" w:ascii="仿宋" w:hAnsi="仿宋" w:eastAsia="仿宋" w:cs="仿宋"/>
          <w:color w:val="000000"/>
          <w:kern w:val="0"/>
          <w:sz w:val="32"/>
          <w:szCs w:val="32"/>
          <w:lang w:bidi="ar"/>
        </w:rPr>
        <w:t>本办法自下文之日起执行。原《柳州职业技术学院专职科研岗位管理办法（试行）》（柳职院字〔2017〕36号）同时废止。</w:t>
      </w:r>
    </w:p>
    <w:p>
      <w:pPr>
        <w:snapToGrid w:val="0"/>
        <w:spacing w:line="596" w:lineRule="exact"/>
        <w:ind w:firstLine="643" w:firstLineChars="200"/>
        <w:jc w:val="left"/>
        <w:rPr>
          <w:rFonts w:hint="eastAsia" w:ascii="仿宋_GB2312" w:hAnsi="宋体" w:eastAsia="仿宋_GB2312"/>
          <w:b/>
          <w:color w:val="000000"/>
          <w:sz w:val="32"/>
          <w:szCs w:val="32"/>
        </w:rPr>
      </w:pPr>
    </w:p>
    <w:p>
      <w:pPr>
        <w:snapToGrid w:val="0"/>
        <w:spacing w:line="596" w:lineRule="exact"/>
        <w:ind w:firstLine="643" w:firstLineChars="200"/>
        <w:jc w:val="left"/>
        <w:rPr>
          <w:rFonts w:hint="eastAsia" w:ascii="仿宋_GB2312" w:hAnsi="宋体" w:eastAsia="仿宋_GB2312"/>
          <w:b/>
          <w:color w:val="000000"/>
          <w:sz w:val="32"/>
          <w:szCs w:val="32"/>
        </w:rPr>
      </w:pPr>
      <w:r>
        <w:rPr>
          <w:rFonts w:hint="eastAsia" w:ascii="仿宋_GB2312" w:hAnsi="宋体" w:eastAsia="仿宋_GB2312"/>
          <w:b/>
          <w:color w:val="000000"/>
          <w:sz w:val="32"/>
          <w:szCs w:val="32"/>
        </w:rPr>
        <w:t>附件：</w:t>
      </w:r>
    </w:p>
    <w:p>
      <w:pPr>
        <w:snapToGrid w:val="0"/>
        <w:spacing w:line="596"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t>1.柳州职业技术学院专职科研岗位申请书</w:t>
      </w:r>
    </w:p>
    <w:p>
      <w:pPr>
        <w:snapToGrid w:val="0"/>
        <w:spacing w:line="596"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t>2.柳州职业技术学院专职科研岗位责任书</w:t>
      </w:r>
    </w:p>
    <w:p>
      <w:pPr>
        <w:snapToGrid w:val="0"/>
        <w:spacing w:line="596"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t>3.柳州职业技术学院专职科研岗位年度考核表</w:t>
      </w:r>
    </w:p>
    <w:p>
      <w:pPr>
        <w:snapToGrid w:val="0"/>
        <w:spacing w:line="596"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t>4.柳州职业技术学院专职科研岗位聘期考核表</w:t>
      </w:r>
    </w:p>
    <w:p>
      <w:pPr>
        <w:snapToGrid w:val="0"/>
        <w:spacing w:line="596" w:lineRule="exact"/>
        <w:ind w:firstLine="640" w:firstLineChars="200"/>
        <w:jc w:val="left"/>
        <w:rPr>
          <w:rFonts w:ascii="仿宋_GB2312" w:hAnsi="宋体" w:eastAsia="仿宋_GB2312"/>
          <w:color w:val="000000"/>
          <w:sz w:val="32"/>
          <w:szCs w:val="32"/>
        </w:rPr>
      </w:pPr>
      <w:r>
        <w:rPr>
          <w:rFonts w:hint="eastAsia" w:ascii="仿宋_GB2312" w:hAnsi="宋体" w:eastAsia="仿宋_GB2312"/>
          <w:color w:val="000000"/>
          <w:sz w:val="32"/>
          <w:szCs w:val="32"/>
        </w:rPr>
        <w:t>5.柳州职业技术学院专职科研岗位聘任流程图</w:t>
      </w:r>
    </w:p>
    <w:p>
      <w:pPr>
        <w:widowControl/>
        <w:jc w:val="left"/>
        <w:rPr>
          <w:rFonts w:hint="eastAsia" w:ascii="仿宋_GB2312" w:hAnsi="宋体" w:eastAsia="仿宋_GB2312"/>
          <w:color w:val="000000"/>
          <w:sz w:val="32"/>
          <w:szCs w:val="32"/>
        </w:rPr>
      </w:pPr>
      <w:r>
        <w:rPr>
          <w:rFonts w:ascii="仿宋_GB2312" w:hAnsi="宋体" w:eastAsia="仿宋_GB2312"/>
          <w:color w:val="000000"/>
          <w:sz w:val="32"/>
          <w:szCs w:val="32"/>
        </w:rPr>
        <w:br w:type="page"/>
      </w:r>
    </w:p>
    <w:p>
      <w:pPr>
        <w:tabs>
          <w:tab w:val="left" w:pos="6220"/>
        </w:tabs>
        <w:outlineLvl w:val="9"/>
        <w:rPr>
          <w:rFonts w:hint="eastAsia" w:ascii="黑体" w:hAnsi="黑体" w:eastAsia="黑体"/>
          <w:sz w:val="32"/>
          <w:szCs w:val="32"/>
        </w:rPr>
      </w:pPr>
      <w:r>
        <w:rPr>
          <w:rFonts w:hint="eastAsia" w:ascii="黑体" w:hAnsi="黑体" w:eastAsia="黑体"/>
          <w:sz w:val="32"/>
          <w:szCs w:val="32"/>
        </w:rPr>
        <w:t>附件1：</w:t>
      </w:r>
    </w:p>
    <w:p>
      <w:pPr>
        <w:tabs>
          <w:tab w:val="left" w:pos="6220"/>
        </w:tabs>
        <w:jc w:val="center"/>
        <w:outlineLvl w:val="9"/>
        <w:rPr>
          <w:rFonts w:hint="eastAsia"/>
          <w:b/>
          <w:sz w:val="44"/>
          <w:szCs w:val="44"/>
        </w:rPr>
      </w:pPr>
      <w:r>
        <w:rPr>
          <w:rFonts w:hint="eastAsia"/>
          <w:b/>
          <w:sz w:val="44"/>
          <w:szCs w:val="44"/>
        </w:rPr>
        <w:t>柳州职业技术学院专职科研岗位申请书</w:t>
      </w:r>
    </w:p>
    <w:p>
      <w:pPr>
        <w:tabs>
          <w:tab w:val="left" w:pos="4220"/>
          <w:tab w:val="left" w:pos="8789"/>
        </w:tabs>
        <w:ind w:left="-481" w:leftChars="-229" w:right="40" w:rightChars="19" w:firstLine="751" w:firstLineChars="313"/>
        <w:outlineLvl w:val="9"/>
        <w:rPr>
          <w:rFonts w:hint="eastAsia" w:ascii="宋体" w:hAnsi="宋体"/>
          <w:sz w:val="24"/>
        </w:rPr>
      </w:pPr>
      <w:r>
        <w:rPr>
          <w:rFonts w:hint="eastAsia" w:ascii="宋体" w:hAnsi="宋体"/>
          <w:sz w:val="24"/>
        </w:rPr>
        <w:t xml:space="preserve">                                       </w:t>
      </w:r>
    </w:p>
    <w:p>
      <w:pPr>
        <w:tabs>
          <w:tab w:val="left" w:pos="4220"/>
          <w:tab w:val="left" w:pos="8789"/>
        </w:tabs>
        <w:ind w:left="-481" w:leftChars="-229" w:right="40" w:rightChars="19" w:firstLine="751" w:firstLineChars="313"/>
        <w:jc w:val="right"/>
        <w:outlineLvl w:val="9"/>
        <w:rPr>
          <w:rFonts w:hint="eastAsia" w:ascii="宋体" w:hAnsi="宋体"/>
          <w:b/>
          <w:sz w:val="24"/>
        </w:rPr>
      </w:pPr>
      <w:r>
        <w:rPr>
          <w:rFonts w:hint="eastAsia" w:ascii="宋体" w:hAnsi="宋体"/>
          <w:sz w:val="24"/>
        </w:rPr>
        <w:t xml:space="preserve">填表时间:      </w:t>
      </w:r>
      <w:r>
        <w:rPr>
          <w:rFonts w:hint="eastAsia"/>
          <w:sz w:val="24"/>
        </w:rPr>
        <w:t xml:space="preserve">年    月     日  </w:t>
      </w:r>
    </w:p>
    <w:tbl>
      <w:tblPr>
        <w:tblStyle w:val="14"/>
        <w:tblW w:w="93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00"/>
        <w:gridCol w:w="1272"/>
        <w:gridCol w:w="850"/>
        <w:gridCol w:w="729"/>
        <w:gridCol w:w="1275"/>
        <w:gridCol w:w="1276"/>
        <w:gridCol w:w="851"/>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7" w:hRule="atLeast"/>
          <w:jc w:val="center"/>
        </w:trPr>
        <w:tc>
          <w:tcPr>
            <w:tcW w:w="728" w:type="dxa"/>
            <w:vMerge w:val="restart"/>
            <w:vAlign w:val="center"/>
          </w:tcPr>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基</w:t>
            </w:r>
          </w:p>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本</w:t>
            </w:r>
          </w:p>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情</w:t>
            </w:r>
          </w:p>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况</w:t>
            </w:r>
          </w:p>
        </w:tc>
        <w:tc>
          <w:tcPr>
            <w:tcW w:w="1300" w:type="dxa"/>
            <w:vAlign w:val="center"/>
          </w:tcPr>
          <w:p>
            <w:pPr>
              <w:spacing w:line="340" w:lineRule="exact"/>
              <w:jc w:val="center"/>
              <w:outlineLvl w:val="9"/>
              <w:rPr>
                <w:rFonts w:ascii="宋体" w:hAnsi="宋体"/>
                <w:sz w:val="24"/>
              </w:rPr>
            </w:pPr>
            <w:r>
              <w:rPr>
                <w:rFonts w:hint="eastAsia" w:ascii="宋体" w:hAnsi="宋体"/>
                <w:sz w:val="24"/>
              </w:rPr>
              <w:t>姓名</w:t>
            </w:r>
          </w:p>
        </w:tc>
        <w:tc>
          <w:tcPr>
            <w:tcW w:w="1272" w:type="dxa"/>
            <w:vAlign w:val="center"/>
          </w:tcPr>
          <w:p>
            <w:pPr>
              <w:ind w:left="152"/>
              <w:jc w:val="center"/>
              <w:outlineLvl w:val="9"/>
              <w:rPr>
                <w:rFonts w:ascii="宋体" w:hAnsi="宋体"/>
                <w:sz w:val="24"/>
              </w:rPr>
            </w:pPr>
          </w:p>
        </w:tc>
        <w:tc>
          <w:tcPr>
            <w:tcW w:w="850" w:type="dxa"/>
            <w:vAlign w:val="center"/>
          </w:tcPr>
          <w:p>
            <w:pPr>
              <w:jc w:val="center"/>
              <w:outlineLvl w:val="9"/>
              <w:rPr>
                <w:rFonts w:hint="eastAsia" w:ascii="宋体" w:hAnsi="宋体"/>
                <w:sz w:val="24"/>
              </w:rPr>
            </w:pPr>
            <w:r>
              <w:rPr>
                <w:rFonts w:hint="eastAsia" w:ascii="宋体" w:hAnsi="宋体"/>
                <w:sz w:val="24"/>
              </w:rPr>
              <w:t>性别</w:t>
            </w:r>
          </w:p>
        </w:tc>
        <w:tc>
          <w:tcPr>
            <w:tcW w:w="729"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p>
        </w:tc>
        <w:tc>
          <w:tcPr>
            <w:tcW w:w="1275"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r>
              <w:rPr>
                <w:rFonts w:hint="eastAsia" w:ascii="宋体" w:hAnsi="宋体"/>
                <w:sz w:val="24"/>
              </w:rPr>
              <w:t>出生年月</w:t>
            </w:r>
          </w:p>
        </w:tc>
        <w:tc>
          <w:tcPr>
            <w:tcW w:w="1276"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p>
        </w:tc>
        <w:tc>
          <w:tcPr>
            <w:tcW w:w="851"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r>
              <w:rPr>
                <w:rFonts w:hint="eastAsia" w:ascii="宋体" w:hAnsi="宋体"/>
                <w:sz w:val="24"/>
              </w:rPr>
              <w:t>职称</w:t>
            </w:r>
          </w:p>
        </w:tc>
        <w:tc>
          <w:tcPr>
            <w:tcW w:w="1038" w:type="dxa"/>
            <w:vAlign w:val="center"/>
          </w:tcPr>
          <w:p>
            <w:pPr>
              <w:ind w:left="232"/>
              <w:jc w:val="center"/>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28" w:type="dxa"/>
            <w:vMerge w:val="continue"/>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1300" w:type="dxa"/>
            <w:tcBorders>
              <w:bottom w:val="nil"/>
            </w:tcBorders>
            <w:vAlign w:val="center"/>
          </w:tcPr>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学历/学位</w:t>
            </w:r>
          </w:p>
        </w:tc>
        <w:tc>
          <w:tcPr>
            <w:tcW w:w="1272" w:type="dxa"/>
            <w:tcBorders>
              <w:bottom w:val="nil"/>
            </w:tcBorders>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p>
        </w:tc>
        <w:tc>
          <w:tcPr>
            <w:tcW w:w="850" w:type="dxa"/>
            <w:tcBorders>
              <w:bottom w:val="nil"/>
            </w:tcBorders>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r>
              <w:rPr>
                <w:rFonts w:hint="eastAsia" w:ascii="宋体" w:hAnsi="宋体"/>
                <w:sz w:val="24"/>
              </w:rPr>
              <w:t>手机</w:t>
            </w:r>
          </w:p>
        </w:tc>
        <w:tc>
          <w:tcPr>
            <w:tcW w:w="5169" w:type="dxa"/>
            <w:gridSpan w:val="5"/>
            <w:tcBorders>
              <w:bottom w:val="nil"/>
            </w:tcBorders>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28" w:type="dxa"/>
            <w:vMerge w:val="continue"/>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2572" w:type="dxa"/>
            <w:gridSpan w:val="2"/>
            <w:tcBorders>
              <w:bottom w:val="nil"/>
            </w:tcBorders>
            <w:vAlign w:val="center"/>
          </w:tcPr>
          <w:p>
            <w:pPr>
              <w:tabs>
                <w:tab w:val="left" w:pos="675"/>
                <w:tab w:val="left" w:pos="1668"/>
                <w:tab w:val="left" w:pos="3510"/>
                <w:tab w:val="left" w:pos="4361"/>
                <w:tab w:val="left" w:pos="5495"/>
                <w:tab w:val="left" w:pos="6771"/>
                <w:tab w:val="left" w:pos="9322"/>
              </w:tabs>
              <w:spacing w:line="340" w:lineRule="exact"/>
              <w:jc w:val="center"/>
              <w:outlineLvl w:val="9"/>
              <w:rPr>
                <w:rFonts w:ascii="宋体" w:hAnsi="宋体"/>
                <w:sz w:val="24"/>
              </w:rPr>
            </w:pPr>
            <w:r>
              <w:rPr>
                <w:rFonts w:hint="eastAsia" w:ascii="宋体" w:hAnsi="宋体"/>
                <w:sz w:val="24"/>
              </w:rPr>
              <w:t>所在二级学院、部门</w:t>
            </w:r>
          </w:p>
        </w:tc>
        <w:tc>
          <w:tcPr>
            <w:tcW w:w="6019" w:type="dxa"/>
            <w:gridSpan w:val="6"/>
            <w:tcBorders>
              <w:bottom w:val="nil"/>
            </w:tcBorders>
            <w:vAlign w:val="center"/>
          </w:tcPr>
          <w:p>
            <w:pPr>
              <w:ind w:left="232"/>
              <w:jc w:val="center"/>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28" w:type="dxa"/>
            <w:vMerge w:val="continue"/>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2572" w:type="dxa"/>
            <w:gridSpan w:val="2"/>
            <w:tcBorders>
              <w:bottom w:val="nil"/>
            </w:tcBorders>
            <w:vAlign w:val="center"/>
          </w:tcPr>
          <w:p>
            <w:pPr>
              <w:tabs>
                <w:tab w:val="left" w:pos="675"/>
                <w:tab w:val="left" w:pos="1668"/>
                <w:tab w:val="left" w:pos="3510"/>
                <w:tab w:val="left" w:pos="4361"/>
                <w:tab w:val="left" w:pos="5495"/>
                <w:tab w:val="left" w:pos="6771"/>
                <w:tab w:val="left" w:pos="9322"/>
              </w:tabs>
              <w:spacing w:line="340" w:lineRule="exact"/>
              <w:jc w:val="center"/>
              <w:outlineLvl w:val="9"/>
              <w:rPr>
                <w:rFonts w:ascii="宋体" w:hAnsi="宋体"/>
                <w:sz w:val="24"/>
              </w:rPr>
            </w:pPr>
            <w:r>
              <w:rPr>
                <w:rFonts w:hint="eastAsia" w:ascii="宋体" w:hAnsi="宋体"/>
                <w:sz w:val="24"/>
              </w:rPr>
              <w:t>聘任时限</w:t>
            </w:r>
          </w:p>
        </w:tc>
        <w:tc>
          <w:tcPr>
            <w:tcW w:w="6019" w:type="dxa"/>
            <w:gridSpan w:val="6"/>
            <w:tcBorders>
              <w:bottom w:val="nil"/>
            </w:tcBorders>
            <w:vAlign w:val="center"/>
          </w:tcPr>
          <w:p>
            <w:pPr>
              <w:ind w:left="232"/>
              <w:jc w:val="center"/>
              <w:outlineLvl w:val="9"/>
              <w:rPr>
                <w:rFonts w:hint="eastAsia" w:ascii="宋体" w:hAnsi="宋体"/>
                <w:sz w:val="24"/>
              </w:rPr>
            </w:pPr>
            <w:r>
              <w:rPr>
                <w:rFonts w:hint="eastAsia" w:ascii="宋体" w:hAnsi="宋体"/>
                <w:sz w:val="24"/>
              </w:rPr>
              <w:t xml:space="preserve">        年   月   日 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96" w:hRule="atLeast"/>
          <w:jc w:val="center"/>
        </w:trPr>
        <w:tc>
          <w:tcPr>
            <w:tcW w:w="728" w:type="dxa"/>
            <w:vMerge w:val="restart"/>
            <w:vAlign w:val="center"/>
          </w:tcPr>
          <w:p>
            <w:pPr>
              <w:spacing w:line="340" w:lineRule="exact"/>
              <w:jc w:val="center"/>
              <w:outlineLvl w:val="9"/>
              <w:rPr>
                <w:rFonts w:hint="eastAsia" w:ascii="宋体" w:hAnsi="宋体"/>
                <w:sz w:val="24"/>
              </w:rPr>
            </w:pPr>
            <w:r>
              <w:rPr>
                <w:rFonts w:hint="eastAsia" w:ascii="宋体" w:hAnsi="宋体"/>
                <w:sz w:val="24"/>
              </w:rPr>
              <w:t>近五年主要</w:t>
            </w:r>
            <w:r>
              <w:rPr>
                <w:rFonts w:ascii="宋体" w:hAnsi="宋体"/>
                <w:sz w:val="24"/>
              </w:rPr>
              <w:t>科研和</w:t>
            </w:r>
            <w:r>
              <w:rPr>
                <w:rFonts w:hint="eastAsia" w:ascii="宋体" w:hAnsi="宋体"/>
                <w:sz w:val="24"/>
              </w:rPr>
              <w:t>技术</w:t>
            </w:r>
            <w:r>
              <w:rPr>
                <w:rFonts w:ascii="宋体" w:hAnsi="宋体"/>
                <w:sz w:val="24"/>
              </w:rPr>
              <w:t>服务业绩</w:t>
            </w:r>
          </w:p>
        </w:tc>
        <w:tc>
          <w:tcPr>
            <w:tcW w:w="8591" w:type="dxa"/>
            <w:gridSpan w:val="8"/>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申请人近5年内，应满足下列条件其中的1项:</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1.以独立或第一作者身份，在中文核心及以上期刊，发表本学科学术论文不少于2篇或公开出版专著不少于1部；</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2.取得授权的发明专利（第一发明人）不少于2件；或者研究成果获市厅级及以上领导的肯定性批示。</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3.主持完成课题累计到学校账户经费：自然科学类30万元以上，人文社科类5万元以上。</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4.成果获得省部级科研成果奖。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92" w:hRule="atLeast"/>
          <w:jc w:val="center"/>
        </w:trPr>
        <w:tc>
          <w:tcPr>
            <w:tcW w:w="728" w:type="dxa"/>
            <w:vMerge w:val="continue"/>
            <w:vAlign w:val="center"/>
          </w:tcPr>
          <w:p>
            <w:pPr>
              <w:spacing w:line="340" w:lineRule="exact"/>
              <w:jc w:val="center"/>
              <w:outlineLvl w:val="9"/>
              <w:rPr>
                <w:rFonts w:hint="eastAsia" w:ascii="宋体" w:hAnsi="宋体"/>
                <w:sz w:val="24"/>
              </w:rPr>
            </w:pPr>
          </w:p>
        </w:tc>
        <w:tc>
          <w:tcPr>
            <w:tcW w:w="8591" w:type="dxa"/>
            <w:gridSpan w:val="8"/>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2" w:hRule="atLeast"/>
          <w:jc w:val="center"/>
        </w:trPr>
        <w:tc>
          <w:tcPr>
            <w:tcW w:w="728" w:type="dxa"/>
            <w:vAlign w:val="center"/>
          </w:tcPr>
          <w:p>
            <w:pPr>
              <w:spacing w:line="340" w:lineRule="exact"/>
              <w:jc w:val="center"/>
              <w:outlineLvl w:val="9"/>
              <w:rPr>
                <w:rFonts w:hint="eastAsia" w:ascii="宋体" w:hAnsi="宋体"/>
                <w:sz w:val="24"/>
              </w:rPr>
            </w:pPr>
            <w:r>
              <w:rPr>
                <w:rFonts w:hint="eastAsia" w:ascii="宋体" w:hAnsi="宋体"/>
                <w:sz w:val="24"/>
              </w:rPr>
              <w:t>研究基础</w:t>
            </w:r>
          </w:p>
        </w:tc>
        <w:tc>
          <w:tcPr>
            <w:tcW w:w="8591" w:type="dxa"/>
            <w:gridSpan w:val="8"/>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前期成果，已经开展研究情况，依托团队、平台等。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28" w:type="dxa"/>
            <w:vAlign w:val="center"/>
          </w:tcPr>
          <w:p>
            <w:pPr>
              <w:spacing w:line="340" w:lineRule="exact"/>
              <w:jc w:val="center"/>
              <w:outlineLvl w:val="9"/>
              <w:rPr>
                <w:rFonts w:hint="eastAsia" w:ascii="宋体" w:hAnsi="宋体"/>
                <w:sz w:val="24"/>
              </w:rPr>
            </w:pPr>
            <w:r>
              <w:rPr>
                <w:rFonts w:hint="eastAsia" w:ascii="宋体" w:hAnsi="宋体"/>
                <w:sz w:val="24"/>
              </w:rPr>
              <w:t>聘任期内主要研究内容</w:t>
            </w:r>
          </w:p>
        </w:tc>
        <w:tc>
          <w:tcPr>
            <w:tcW w:w="8591" w:type="dxa"/>
            <w:gridSpan w:val="8"/>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1.总体目标</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2.主要研究内容及拟开展课题研究</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5" w:hRule="atLeast"/>
          <w:jc w:val="center"/>
        </w:trPr>
        <w:tc>
          <w:tcPr>
            <w:tcW w:w="728" w:type="dxa"/>
            <w:vMerge w:val="restart"/>
            <w:vAlign w:val="center"/>
          </w:tcPr>
          <w:p>
            <w:pPr>
              <w:spacing w:line="340" w:lineRule="exact"/>
              <w:jc w:val="center"/>
              <w:outlineLvl w:val="9"/>
              <w:rPr>
                <w:rFonts w:hint="eastAsia" w:ascii="宋体" w:hAnsi="宋体"/>
                <w:sz w:val="24"/>
              </w:rPr>
            </w:pPr>
            <w:r>
              <w:rPr>
                <w:rFonts w:hint="eastAsia" w:ascii="宋体" w:hAnsi="宋体"/>
                <w:sz w:val="24"/>
              </w:rPr>
              <w:t>聘任期内考核指标</w:t>
            </w:r>
          </w:p>
        </w:tc>
        <w:tc>
          <w:tcPr>
            <w:tcW w:w="8591" w:type="dxa"/>
            <w:gridSpan w:val="8"/>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聘期内应完成以下科研任务中的任意2项:</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1.成果以柳州职业技术学院为第一署名单位。以独立或第一作者身份在中文核心及以上期刊发表学术论文或者取得授权的发明专利（第一发明人）不少于5篇/件；或者研究成果获省部级及以上领导的肯定性批示。</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2.主持完成省部级及以上科研项目2项；或主持完成省部级及以上科研项目1项，同时主要参与完成省部级及以上科研项目1项（个人排名前三，学校排名前二）。</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3.主持课题累计到学校账户经费：自然科学类200万元以上，人文社科类50万元以上。</w:t>
            </w:r>
          </w:p>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r>
              <w:rPr>
                <w:rFonts w:hint="eastAsia" w:ascii="宋体" w:hAnsi="宋体"/>
                <w:sz w:val="24"/>
              </w:rPr>
              <w:t>4.以柳州职业技术学院为承担单位，成果获得省部级及以上科研成果奖。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4" w:hRule="atLeast"/>
          <w:jc w:val="center"/>
        </w:trPr>
        <w:tc>
          <w:tcPr>
            <w:tcW w:w="728" w:type="dxa"/>
            <w:vMerge w:val="continue"/>
            <w:vAlign w:val="center"/>
          </w:tcPr>
          <w:p>
            <w:pPr>
              <w:spacing w:line="340" w:lineRule="exact"/>
              <w:jc w:val="center"/>
              <w:outlineLvl w:val="9"/>
              <w:rPr>
                <w:rFonts w:hint="eastAsia" w:ascii="宋体" w:hAnsi="宋体"/>
                <w:sz w:val="24"/>
              </w:rPr>
            </w:pPr>
          </w:p>
        </w:tc>
        <w:tc>
          <w:tcPr>
            <w:tcW w:w="8591" w:type="dxa"/>
            <w:gridSpan w:val="8"/>
            <w:vAlign w:val="center"/>
          </w:tcPr>
          <w:p>
            <w:pPr>
              <w:tabs>
                <w:tab w:val="left" w:pos="675"/>
                <w:tab w:val="left" w:pos="1668"/>
                <w:tab w:val="left" w:pos="3510"/>
                <w:tab w:val="left" w:pos="4361"/>
                <w:tab w:val="left" w:pos="5495"/>
                <w:tab w:val="left" w:pos="6771"/>
                <w:tab w:val="left" w:pos="9322"/>
              </w:tabs>
              <w:spacing w:line="340" w:lineRule="exact"/>
              <w:ind w:firstLine="600" w:firstLineChars="250"/>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9319" w:type="dxa"/>
            <w:gridSpan w:val="9"/>
            <w:vAlign w:val="center"/>
          </w:tcPr>
          <w:p>
            <w:pPr>
              <w:tabs>
                <w:tab w:val="left" w:pos="675"/>
                <w:tab w:val="left" w:pos="1668"/>
                <w:tab w:val="left" w:pos="3510"/>
                <w:tab w:val="left" w:pos="4361"/>
                <w:tab w:val="left" w:pos="5495"/>
                <w:tab w:val="left" w:pos="6771"/>
                <w:tab w:val="left" w:pos="9322"/>
              </w:tabs>
              <w:spacing w:line="340" w:lineRule="exact"/>
              <w:ind w:firstLine="600" w:firstLineChars="250"/>
              <w:jc w:val="center"/>
              <w:outlineLvl w:val="9"/>
              <w:rPr>
                <w:rFonts w:hint="eastAsia" w:ascii="宋体" w:hAnsi="宋体"/>
                <w:sz w:val="24"/>
              </w:rPr>
            </w:pPr>
            <w:r>
              <w:rPr>
                <w:rFonts w:hint="eastAsia" w:ascii="宋体" w:hAnsi="宋体"/>
                <w:sz w:val="24"/>
              </w:rPr>
              <w:t>年度</w:t>
            </w:r>
            <w:r>
              <w:rPr>
                <w:rFonts w:ascii="宋体" w:hAnsi="宋体"/>
                <w:sz w:val="24"/>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28" w:type="dxa"/>
            <w:vAlign w:val="center"/>
          </w:tcPr>
          <w:p>
            <w:pPr>
              <w:spacing w:line="340" w:lineRule="exact"/>
              <w:jc w:val="center"/>
              <w:outlineLvl w:val="9"/>
              <w:rPr>
                <w:rFonts w:hint="eastAsia" w:ascii="仿宋_GB2312" w:eastAsia="仿宋_GB2312"/>
                <w:sz w:val="24"/>
              </w:rPr>
            </w:pPr>
            <w:r>
              <w:rPr>
                <w:rFonts w:hint="eastAsia" w:ascii="宋体" w:hAnsi="宋体"/>
                <w:sz w:val="24"/>
              </w:rPr>
              <w:t>年度（自然年）</w:t>
            </w:r>
          </w:p>
        </w:tc>
        <w:tc>
          <w:tcPr>
            <w:tcW w:w="8591" w:type="dxa"/>
            <w:gridSpan w:val="8"/>
            <w:vAlign w:val="center"/>
          </w:tcPr>
          <w:p>
            <w:pPr>
              <w:autoSpaceDE w:val="0"/>
              <w:autoSpaceDN w:val="0"/>
              <w:jc w:val="center"/>
              <w:outlineLvl w:val="9"/>
              <w:rPr>
                <w:rFonts w:hint="eastAsia" w:ascii="仿宋_GB2312" w:eastAsia="仿宋_GB2312"/>
                <w:sz w:val="24"/>
              </w:rPr>
            </w:pPr>
            <w:r>
              <w:rPr>
                <w:rFonts w:hint="eastAsia" w:ascii="宋体" w:hAnsi="宋体"/>
                <w:sz w:val="24"/>
              </w:rPr>
              <w:t>年度目标（用于年度进度管理与考核）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28" w:type="dxa"/>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8591" w:type="dxa"/>
            <w:gridSpan w:val="8"/>
            <w:vAlign w:val="center"/>
          </w:tcPr>
          <w:p>
            <w:pPr>
              <w:tabs>
                <w:tab w:val="left" w:pos="675"/>
                <w:tab w:val="left" w:pos="1668"/>
                <w:tab w:val="left" w:pos="3510"/>
                <w:tab w:val="left" w:pos="4361"/>
                <w:tab w:val="left" w:pos="5495"/>
                <w:tab w:val="left" w:pos="6771"/>
                <w:tab w:val="left" w:pos="9322"/>
              </w:tabs>
              <w:spacing w:line="340" w:lineRule="exact"/>
              <w:ind w:firstLine="600" w:firstLineChars="250"/>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28" w:type="dxa"/>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8591" w:type="dxa"/>
            <w:gridSpan w:val="8"/>
            <w:vAlign w:val="center"/>
          </w:tcPr>
          <w:p>
            <w:pPr>
              <w:tabs>
                <w:tab w:val="left" w:pos="675"/>
                <w:tab w:val="left" w:pos="1668"/>
                <w:tab w:val="left" w:pos="3510"/>
                <w:tab w:val="left" w:pos="4361"/>
                <w:tab w:val="left" w:pos="5495"/>
                <w:tab w:val="left" w:pos="6771"/>
                <w:tab w:val="left" w:pos="9322"/>
              </w:tabs>
              <w:spacing w:line="340" w:lineRule="exact"/>
              <w:ind w:firstLine="600" w:firstLineChars="250"/>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28" w:type="dxa"/>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8591" w:type="dxa"/>
            <w:gridSpan w:val="8"/>
            <w:vAlign w:val="center"/>
          </w:tcPr>
          <w:p>
            <w:pPr>
              <w:tabs>
                <w:tab w:val="left" w:pos="675"/>
                <w:tab w:val="left" w:pos="1668"/>
                <w:tab w:val="left" w:pos="3510"/>
                <w:tab w:val="left" w:pos="4361"/>
                <w:tab w:val="left" w:pos="5495"/>
                <w:tab w:val="left" w:pos="6771"/>
                <w:tab w:val="left" w:pos="9322"/>
              </w:tabs>
              <w:spacing w:line="340" w:lineRule="exact"/>
              <w:ind w:firstLine="600" w:firstLineChars="250"/>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728" w:type="dxa"/>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8591" w:type="dxa"/>
            <w:gridSpan w:val="8"/>
            <w:vAlign w:val="center"/>
          </w:tcPr>
          <w:p>
            <w:pPr>
              <w:tabs>
                <w:tab w:val="left" w:pos="675"/>
                <w:tab w:val="left" w:pos="1668"/>
                <w:tab w:val="left" w:pos="3510"/>
                <w:tab w:val="left" w:pos="4361"/>
                <w:tab w:val="left" w:pos="5495"/>
                <w:tab w:val="left" w:pos="6771"/>
                <w:tab w:val="left" w:pos="9322"/>
              </w:tabs>
              <w:spacing w:line="340" w:lineRule="exact"/>
              <w:ind w:firstLine="600" w:firstLineChars="250"/>
              <w:outlineLvl w:val="9"/>
              <w:rPr>
                <w:rFonts w:hint="eastAsia" w:ascii="宋体" w:hAnsi="宋体"/>
                <w:sz w:val="24"/>
              </w:rPr>
            </w:pPr>
          </w:p>
        </w:tc>
      </w:tr>
    </w:tbl>
    <w:p>
      <w:pPr>
        <w:tabs>
          <w:tab w:val="left" w:pos="671"/>
        </w:tabs>
        <w:spacing w:line="240" w:lineRule="exact"/>
        <w:ind w:firstLine="600" w:firstLineChars="250"/>
        <w:outlineLvl w:val="9"/>
        <w:rPr>
          <w:rFonts w:hint="eastAsia" w:ascii="宋体" w:hAnsi="宋体"/>
          <w:sz w:val="24"/>
        </w:rPr>
      </w:pPr>
    </w:p>
    <w:tbl>
      <w:tblPr>
        <w:tblStyle w:val="14"/>
        <w:tblW w:w="93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60" w:hRule="atLeast"/>
          <w:jc w:val="center"/>
        </w:trPr>
        <w:tc>
          <w:tcPr>
            <w:tcW w:w="9345" w:type="dxa"/>
          </w:tcPr>
          <w:p>
            <w:pPr>
              <w:spacing w:line="340" w:lineRule="exact"/>
              <w:outlineLvl w:val="9"/>
              <w:rPr>
                <w:rFonts w:hint="eastAsia"/>
                <w:sz w:val="24"/>
              </w:rPr>
            </w:pPr>
            <w:r>
              <w:rPr>
                <w:rFonts w:hint="eastAsia"/>
                <w:sz w:val="24"/>
              </w:rPr>
              <w:t>所在二级学院、部门意见</w:t>
            </w:r>
          </w:p>
          <w:p>
            <w:pPr>
              <w:spacing w:line="340" w:lineRule="exact"/>
              <w:outlineLvl w:val="9"/>
              <w:rPr>
                <w:rFonts w:hint="eastAsia"/>
                <w:sz w:val="24"/>
              </w:rPr>
            </w:pPr>
          </w:p>
          <w:p>
            <w:pPr>
              <w:spacing w:line="340" w:lineRule="exact"/>
              <w:outlineLvl w:val="9"/>
              <w:rPr>
                <w:rFonts w:hint="eastAsia"/>
                <w:sz w:val="24"/>
              </w:rPr>
            </w:pPr>
            <w:r>
              <w:rPr>
                <w:rFonts w:hint="eastAsia"/>
                <w:sz w:val="24"/>
              </w:rPr>
              <w:t xml:space="preserve">                                                     </w:t>
            </w:r>
          </w:p>
          <w:p>
            <w:pPr>
              <w:spacing w:line="340" w:lineRule="exact"/>
              <w:outlineLvl w:val="9"/>
              <w:rPr>
                <w:rFonts w:hint="eastAsia"/>
                <w:sz w:val="24"/>
              </w:rPr>
            </w:pPr>
          </w:p>
          <w:p>
            <w:pPr>
              <w:spacing w:line="340" w:lineRule="exact"/>
              <w:outlineLvl w:val="9"/>
              <w:rPr>
                <w:rFonts w:hint="eastAsia"/>
                <w:sz w:val="24"/>
              </w:rPr>
            </w:pPr>
            <w:r>
              <w:rPr>
                <w:rFonts w:hint="eastAsia"/>
                <w:sz w:val="24"/>
              </w:rPr>
              <w:t xml:space="preserve">   </w:t>
            </w:r>
          </w:p>
          <w:p>
            <w:pPr>
              <w:spacing w:line="340" w:lineRule="exact"/>
              <w:outlineLvl w:val="9"/>
              <w:rPr>
                <w:rFonts w:hint="eastAsia"/>
                <w:sz w:val="24"/>
              </w:rPr>
            </w:pPr>
            <w:r>
              <w:rPr>
                <w:rFonts w:hint="eastAsia"/>
                <w:sz w:val="24"/>
              </w:rPr>
              <w:t xml:space="preserve">                                      负责人签字： </w:t>
            </w:r>
          </w:p>
          <w:p>
            <w:pPr>
              <w:spacing w:line="340" w:lineRule="exact"/>
              <w:outlineLvl w:val="9"/>
              <w:rPr>
                <w:rFonts w:hint="eastAsia"/>
                <w:sz w:val="24"/>
              </w:rPr>
            </w:pPr>
            <w:r>
              <w:rPr>
                <w:rFonts w:hint="eastAsia"/>
                <w:sz w:val="24"/>
              </w:rPr>
              <w:t xml:space="preserve">                                                        （盖章）</w:t>
            </w:r>
          </w:p>
          <w:p>
            <w:pPr>
              <w:spacing w:line="340" w:lineRule="exact"/>
              <w:ind w:right="960"/>
              <w:jc w:val="center"/>
              <w:outlineLvl w:val="9"/>
              <w:rPr>
                <w:rFonts w:hint="eastAsia" w:ascii="宋体" w:hAnsi="宋体"/>
                <w:sz w:val="24"/>
              </w:rPr>
            </w:pPr>
            <w:r>
              <w:rPr>
                <w:rFonts w:hint="eastAsia"/>
                <w:sz w:val="24"/>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75" w:hRule="atLeast"/>
          <w:jc w:val="center"/>
        </w:trPr>
        <w:tc>
          <w:tcPr>
            <w:tcW w:w="9345" w:type="dxa"/>
          </w:tcPr>
          <w:p>
            <w:pPr>
              <w:spacing w:line="340" w:lineRule="exact"/>
              <w:outlineLvl w:val="9"/>
              <w:rPr>
                <w:rFonts w:hint="eastAsia"/>
                <w:sz w:val="24"/>
              </w:rPr>
            </w:pPr>
            <w:r>
              <w:rPr>
                <w:rFonts w:hint="eastAsia"/>
                <w:sz w:val="24"/>
              </w:rPr>
              <w:t xml:space="preserve">科技开发与校企合作处意见：                                                   </w:t>
            </w:r>
          </w:p>
          <w:p>
            <w:pPr>
              <w:spacing w:line="340" w:lineRule="exact"/>
              <w:outlineLvl w:val="9"/>
              <w:rPr>
                <w:rFonts w:hint="eastAsia"/>
                <w:sz w:val="24"/>
              </w:rPr>
            </w:pPr>
          </w:p>
          <w:p>
            <w:pPr>
              <w:spacing w:line="340" w:lineRule="exact"/>
              <w:outlineLvl w:val="9"/>
              <w:rPr>
                <w:rFonts w:hint="eastAsia"/>
                <w:sz w:val="24"/>
              </w:rPr>
            </w:pPr>
          </w:p>
          <w:p>
            <w:pPr>
              <w:spacing w:line="340" w:lineRule="exact"/>
              <w:ind w:firstLine="600" w:firstLineChars="250"/>
              <w:outlineLvl w:val="9"/>
              <w:rPr>
                <w:rFonts w:hint="eastAsia"/>
                <w:sz w:val="24"/>
              </w:rPr>
            </w:pPr>
            <w:r>
              <w:rPr>
                <w:rFonts w:hint="eastAsia"/>
                <w:sz w:val="24"/>
              </w:rPr>
              <w:t xml:space="preserve">                                              </w:t>
            </w:r>
          </w:p>
          <w:p>
            <w:pPr>
              <w:spacing w:line="340" w:lineRule="exact"/>
              <w:ind w:firstLine="600" w:firstLineChars="250"/>
              <w:outlineLvl w:val="9"/>
              <w:rPr>
                <w:rFonts w:hint="eastAsia"/>
                <w:sz w:val="24"/>
              </w:rPr>
            </w:pPr>
          </w:p>
          <w:p>
            <w:pPr>
              <w:spacing w:line="340" w:lineRule="exact"/>
              <w:ind w:firstLine="4440" w:firstLineChars="1850"/>
              <w:outlineLvl w:val="9"/>
              <w:rPr>
                <w:rFonts w:hint="eastAsia"/>
                <w:sz w:val="24"/>
              </w:rPr>
            </w:pPr>
            <w:r>
              <w:rPr>
                <w:rFonts w:hint="eastAsia"/>
                <w:sz w:val="24"/>
              </w:rPr>
              <w:t xml:space="preserve"> 负责人签字： </w:t>
            </w:r>
          </w:p>
          <w:p>
            <w:pPr>
              <w:spacing w:line="340" w:lineRule="exact"/>
              <w:outlineLvl w:val="9"/>
              <w:rPr>
                <w:rFonts w:hint="eastAsia"/>
                <w:sz w:val="24"/>
              </w:rPr>
            </w:pPr>
            <w:r>
              <w:rPr>
                <w:rFonts w:hint="eastAsia"/>
                <w:sz w:val="24"/>
              </w:rPr>
              <w:t xml:space="preserve">                                                      （盖章）</w:t>
            </w:r>
          </w:p>
          <w:p>
            <w:pPr>
              <w:spacing w:line="340" w:lineRule="exact"/>
              <w:ind w:right="960"/>
              <w:jc w:val="right"/>
              <w:outlineLvl w:val="9"/>
              <w:rPr>
                <w:rFonts w:hint="eastAsia"/>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10" w:hRule="atLeast"/>
          <w:jc w:val="center"/>
        </w:trPr>
        <w:tc>
          <w:tcPr>
            <w:tcW w:w="9345" w:type="dxa"/>
          </w:tcPr>
          <w:p>
            <w:pPr>
              <w:spacing w:line="340" w:lineRule="exact"/>
              <w:outlineLvl w:val="9"/>
              <w:rPr>
                <w:rFonts w:hint="eastAsia"/>
                <w:sz w:val="24"/>
              </w:rPr>
            </w:pPr>
            <w:r>
              <w:rPr>
                <w:rFonts w:hint="eastAsia"/>
                <w:sz w:val="24"/>
              </w:rPr>
              <w:t xml:space="preserve">人事处意见：                                                   </w:t>
            </w:r>
          </w:p>
          <w:p>
            <w:pPr>
              <w:spacing w:line="340" w:lineRule="exact"/>
              <w:outlineLvl w:val="9"/>
              <w:rPr>
                <w:rFonts w:hint="eastAsia"/>
                <w:sz w:val="24"/>
              </w:rPr>
            </w:pPr>
          </w:p>
          <w:p>
            <w:pPr>
              <w:spacing w:line="340" w:lineRule="exact"/>
              <w:outlineLvl w:val="9"/>
              <w:rPr>
                <w:rFonts w:hint="eastAsia"/>
                <w:sz w:val="24"/>
              </w:rPr>
            </w:pPr>
          </w:p>
          <w:p>
            <w:pPr>
              <w:spacing w:line="340" w:lineRule="exact"/>
              <w:outlineLvl w:val="9"/>
              <w:rPr>
                <w:rFonts w:hint="eastAsia"/>
                <w:sz w:val="24"/>
              </w:rPr>
            </w:pPr>
            <w:r>
              <w:rPr>
                <w:rFonts w:hint="eastAsia"/>
                <w:sz w:val="24"/>
              </w:rPr>
              <w:t xml:space="preserve">                                     负责人签字： </w:t>
            </w:r>
          </w:p>
          <w:p>
            <w:pPr>
              <w:spacing w:line="340" w:lineRule="exact"/>
              <w:outlineLvl w:val="9"/>
              <w:rPr>
                <w:rFonts w:hint="eastAsia"/>
                <w:sz w:val="24"/>
              </w:rPr>
            </w:pPr>
            <w:r>
              <w:rPr>
                <w:rFonts w:hint="eastAsia"/>
                <w:sz w:val="24"/>
              </w:rPr>
              <w:t xml:space="preserve">                                                     （盖章）</w:t>
            </w:r>
          </w:p>
          <w:p>
            <w:pPr>
              <w:spacing w:line="340" w:lineRule="exact"/>
              <w:ind w:firstLine="5640" w:firstLineChars="2350"/>
              <w:outlineLvl w:val="9"/>
              <w:rPr>
                <w:rFonts w:hint="eastAsia"/>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379" w:hRule="atLeast"/>
          <w:jc w:val="center"/>
        </w:trPr>
        <w:tc>
          <w:tcPr>
            <w:tcW w:w="9345" w:type="dxa"/>
          </w:tcPr>
          <w:p>
            <w:pPr>
              <w:spacing w:line="340" w:lineRule="exact"/>
              <w:outlineLvl w:val="9"/>
              <w:rPr>
                <w:rFonts w:hint="eastAsia"/>
                <w:sz w:val="24"/>
              </w:rPr>
            </w:pPr>
            <w:r>
              <w:rPr>
                <w:rFonts w:hint="eastAsia"/>
                <w:sz w:val="24"/>
              </w:rPr>
              <w:t>学校意见：</w:t>
            </w:r>
          </w:p>
          <w:p>
            <w:pPr>
              <w:spacing w:line="340" w:lineRule="exact"/>
              <w:outlineLvl w:val="9"/>
              <w:rPr>
                <w:rFonts w:hint="eastAsia"/>
                <w:sz w:val="24"/>
              </w:rPr>
            </w:pPr>
          </w:p>
          <w:p>
            <w:pPr>
              <w:spacing w:line="340" w:lineRule="exact"/>
              <w:outlineLvl w:val="9"/>
              <w:rPr>
                <w:rFonts w:hint="eastAsia"/>
                <w:sz w:val="24"/>
              </w:rPr>
            </w:pPr>
          </w:p>
          <w:p>
            <w:pPr>
              <w:spacing w:line="340" w:lineRule="exact"/>
              <w:ind w:firstLine="4560" w:firstLineChars="1900"/>
              <w:outlineLvl w:val="9"/>
              <w:rPr>
                <w:rFonts w:hint="eastAsia"/>
                <w:sz w:val="24"/>
              </w:rPr>
            </w:pPr>
            <w:r>
              <w:rPr>
                <w:rFonts w:hint="eastAsia"/>
                <w:sz w:val="24"/>
              </w:rPr>
              <w:t>校长签章：</w:t>
            </w:r>
          </w:p>
          <w:p>
            <w:pPr>
              <w:spacing w:line="340" w:lineRule="exact"/>
              <w:ind w:firstLine="4560" w:firstLineChars="1900"/>
              <w:outlineLvl w:val="9"/>
              <w:rPr>
                <w:rFonts w:hint="eastAsia"/>
                <w:sz w:val="24"/>
              </w:rPr>
            </w:pPr>
            <w:r>
              <w:rPr>
                <w:rFonts w:hint="eastAsia"/>
                <w:sz w:val="24"/>
              </w:rPr>
              <w:t xml:space="preserve">                （盖章）</w:t>
            </w:r>
          </w:p>
          <w:p>
            <w:pPr>
              <w:spacing w:line="340" w:lineRule="exact"/>
              <w:outlineLvl w:val="9"/>
              <w:rPr>
                <w:rFonts w:hint="eastAsia"/>
                <w:sz w:val="24"/>
              </w:rPr>
            </w:pPr>
            <w:r>
              <w:rPr>
                <w:rFonts w:hint="eastAsia"/>
                <w:sz w:val="24"/>
              </w:rPr>
              <w:t xml:space="preserve">                                               年      月        日                                                         </w:t>
            </w:r>
            <w:bookmarkStart w:id="1253" w:name="_Toc11817_WPSOffice_Level1"/>
            <w:r>
              <w:rPr>
                <w:rFonts w:hint="eastAsia"/>
                <w:sz w:val="24"/>
              </w:rPr>
              <w:t xml:space="preserve">              </w:t>
            </w:r>
          </w:p>
        </w:tc>
      </w:tr>
    </w:tbl>
    <w:p>
      <w:pPr>
        <w:spacing w:line="340" w:lineRule="exact"/>
        <w:outlineLvl w:val="9"/>
        <w:rPr>
          <w:sz w:val="24"/>
        </w:rPr>
      </w:pPr>
      <w:r>
        <w:rPr>
          <w:rFonts w:hint="eastAsia"/>
          <w:sz w:val="24"/>
        </w:rPr>
        <w:t>注：本表一式</w:t>
      </w:r>
      <w:bookmarkEnd w:id="1253"/>
      <w:r>
        <w:rPr>
          <w:rFonts w:hint="eastAsia"/>
          <w:sz w:val="24"/>
        </w:rPr>
        <w:t>四份，一份科技开发与校企合作处存档，一份所在二级学院、部门存档，一份人事处备案，</w:t>
      </w:r>
      <w:r>
        <w:rPr>
          <w:sz w:val="24"/>
        </w:rPr>
        <w:t>一份个人留存</w:t>
      </w:r>
      <w:r>
        <w:rPr>
          <w:rFonts w:hint="eastAsia"/>
          <w:sz w:val="24"/>
        </w:rPr>
        <w:t>。</w:t>
      </w:r>
    </w:p>
    <w:p>
      <w:pPr>
        <w:outlineLvl w:val="9"/>
        <w:rPr>
          <w:rFonts w:hint="eastAsia"/>
        </w:rPr>
      </w:pPr>
    </w:p>
    <w:p>
      <w:pPr>
        <w:tabs>
          <w:tab w:val="left" w:pos="6220"/>
        </w:tabs>
        <w:outlineLvl w:val="9"/>
        <w:rPr>
          <w:rFonts w:hint="eastAsia"/>
          <w:b/>
          <w:sz w:val="36"/>
          <w:szCs w:val="36"/>
        </w:rPr>
      </w:pPr>
      <w:r>
        <w:rPr>
          <w:rFonts w:hint="eastAsia" w:ascii="黑体" w:hAnsi="黑体" w:eastAsia="黑体"/>
          <w:sz w:val="32"/>
          <w:szCs w:val="32"/>
        </w:rPr>
        <w:t>附件2：</w:t>
      </w:r>
    </w:p>
    <w:p>
      <w:pPr>
        <w:pStyle w:val="22"/>
        <w:jc w:val="center"/>
        <w:outlineLvl w:val="9"/>
        <w:rPr>
          <w:rFonts w:ascii="宋体" w:eastAsia="宋体"/>
          <w:b/>
          <w:sz w:val="36"/>
        </w:rPr>
      </w:pPr>
      <w:bookmarkStart w:id="1254" w:name="_Toc13551_WPSOffice_Level1"/>
      <w:r>
        <w:rPr>
          <w:rFonts w:hint="eastAsia" w:ascii="宋体" w:eastAsia="宋体"/>
          <w:b/>
          <w:sz w:val="36"/>
        </w:rPr>
        <w:t>柳州职业技术学院专职科研岗位责任书</w:t>
      </w:r>
      <w:bookmarkEnd w:id="1254"/>
    </w:p>
    <w:p>
      <w:pPr>
        <w:pStyle w:val="22"/>
        <w:jc w:val="center"/>
        <w:outlineLvl w:val="9"/>
        <w:rPr>
          <w:rFonts w:hint="eastAsia" w:ascii="宋体" w:eastAsia="宋体"/>
          <w:b/>
          <w:sz w:val="36"/>
        </w:rPr>
      </w:pPr>
    </w:p>
    <w:p>
      <w:pPr>
        <w:spacing w:line="380" w:lineRule="exact"/>
        <w:ind w:firstLine="422" w:firstLineChars="200"/>
        <w:outlineLvl w:val="9"/>
        <w:rPr>
          <w:rFonts w:hint="eastAsia"/>
          <w:b/>
        </w:rPr>
      </w:pPr>
      <w:r>
        <w:rPr>
          <w:rFonts w:hint="eastAsia"/>
          <w:b/>
        </w:rPr>
        <w:t xml:space="preserve">一、基本信息  </w:t>
      </w:r>
    </w:p>
    <w:tbl>
      <w:tblPr>
        <w:tblStyle w:val="14"/>
        <w:tblW w:w="94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300"/>
        <w:gridCol w:w="1272"/>
        <w:gridCol w:w="850"/>
        <w:gridCol w:w="729"/>
        <w:gridCol w:w="1275"/>
        <w:gridCol w:w="1276"/>
        <w:gridCol w:w="851"/>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7" w:hRule="atLeast"/>
          <w:jc w:val="center"/>
        </w:trPr>
        <w:tc>
          <w:tcPr>
            <w:tcW w:w="867" w:type="dxa"/>
            <w:vMerge w:val="restart"/>
            <w:vAlign w:val="center"/>
          </w:tcPr>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基</w:t>
            </w:r>
          </w:p>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本</w:t>
            </w:r>
          </w:p>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情</w:t>
            </w:r>
          </w:p>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况</w:t>
            </w:r>
          </w:p>
        </w:tc>
        <w:tc>
          <w:tcPr>
            <w:tcW w:w="1300" w:type="dxa"/>
            <w:vAlign w:val="center"/>
          </w:tcPr>
          <w:p>
            <w:pPr>
              <w:spacing w:line="340" w:lineRule="exact"/>
              <w:jc w:val="center"/>
              <w:outlineLvl w:val="9"/>
              <w:rPr>
                <w:rFonts w:ascii="宋体" w:hAnsi="宋体"/>
                <w:sz w:val="24"/>
              </w:rPr>
            </w:pPr>
            <w:r>
              <w:rPr>
                <w:rFonts w:hint="eastAsia" w:ascii="宋体" w:hAnsi="宋体"/>
                <w:sz w:val="24"/>
              </w:rPr>
              <w:t>姓名</w:t>
            </w:r>
          </w:p>
        </w:tc>
        <w:tc>
          <w:tcPr>
            <w:tcW w:w="1272" w:type="dxa"/>
            <w:vAlign w:val="center"/>
          </w:tcPr>
          <w:p>
            <w:pPr>
              <w:ind w:left="152"/>
              <w:jc w:val="center"/>
              <w:outlineLvl w:val="9"/>
              <w:rPr>
                <w:rFonts w:ascii="宋体" w:hAnsi="宋体"/>
                <w:sz w:val="24"/>
              </w:rPr>
            </w:pPr>
          </w:p>
        </w:tc>
        <w:tc>
          <w:tcPr>
            <w:tcW w:w="850" w:type="dxa"/>
            <w:vAlign w:val="center"/>
          </w:tcPr>
          <w:p>
            <w:pPr>
              <w:jc w:val="center"/>
              <w:outlineLvl w:val="9"/>
              <w:rPr>
                <w:rFonts w:hint="eastAsia" w:ascii="宋体" w:hAnsi="宋体"/>
                <w:sz w:val="24"/>
              </w:rPr>
            </w:pPr>
            <w:r>
              <w:rPr>
                <w:rFonts w:hint="eastAsia" w:ascii="宋体" w:hAnsi="宋体"/>
                <w:sz w:val="24"/>
              </w:rPr>
              <w:t>性别</w:t>
            </w:r>
          </w:p>
        </w:tc>
        <w:tc>
          <w:tcPr>
            <w:tcW w:w="729"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p>
        </w:tc>
        <w:tc>
          <w:tcPr>
            <w:tcW w:w="1275"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r>
              <w:rPr>
                <w:rFonts w:hint="eastAsia" w:ascii="宋体" w:hAnsi="宋体"/>
                <w:sz w:val="24"/>
              </w:rPr>
              <w:t>出生年月</w:t>
            </w:r>
          </w:p>
        </w:tc>
        <w:tc>
          <w:tcPr>
            <w:tcW w:w="1276"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p>
        </w:tc>
        <w:tc>
          <w:tcPr>
            <w:tcW w:w="851"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r>
              <w:rPr>
                <w:rFonts w:hint="eastAsia" w:ascii="宋体" w:hAnsi="宋体"/>
                <w:sz w:val="24"/>
              </w:rPr>
              <w:t>职称</w:t>
            </w:r>
          </w:p>
        </w:tc>
        <w:tc>
          <w:tcPr>
            <w:tcW w:w="1038" w:type="dxa"/>
            <w:vAlign w:val="center"/>
          </w:tcPr>
          <w:p>
            <w:pPr>
              <w:ind w:left="232"/>
              <w:jc w:val="center"/>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867" w:type="dxa"/>
            <w:vMerge w:val="continue"/>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1300" w:type="dxa"/>
            <w:vAlign w:val="center"/>
          </w:tcPr>
          <w:p>
            <w:pPr>
              <w:tabs>
                <w:tab w:val="left" w:pos="675"/>
                <w:tab w:val="left" w:pos="1668"/>
                <w:tab w:val="left" w:pos="3510"/>
                <w:tab w:val="left" w:pos="4361"/>
                <w:tab w:val="left" w:pos="5495"/>
                <w:tab w:val="left" w:pos="6771"/>
                <w:tab w:val="left" w:pos="9322"/>
              </w:tabs>
              <w:spacing w:line="340" w:lineRule="exact"/>
              <w:jc w:val="center"/>
              <w:outlineLvl w:val="9"/>
              <w:rPr>
                <w:rFonts w:hint="eastAsia" w:ascii="宋体" w:hAnsi="宋体"/>
                <w:sz w:val="24"/>
              </w:rPr>
            </w:pPr>
            <w:r>
              <w:rPr>
                <w:rFonts w:hint="eastAsia" w:ascii="宋体" w:hAnsi="宋体"/>
                <w:sz w:val="24"/>
              </w:rPr>
              <w:t>学历/学位</w:t>
            </w:r>
          </w:p>
        </w:tc>
        <w:tc>
          <w:tcPr>
            <w:tcW w:w="1272"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p>
        </w:tc>
        <w:tc>
          <w:tcPr>
            <w:tcW w:w="850" w:type="dxa"/>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r>
              <w:rPr>
                <w:rFonts w:hint="eastAsia" w:ascii="宋体" w:hAnsi="宋体"/>
                <w:sz w:val="24"/>
              </w:rPr>
              <w:t>手机</w:t>
            </w:r>
          </w:p>
        </w:tc>
        <w:tc>
          <w:tcPr>
            <w:tcW w:w="5169" w:type="dxa"/>
            <w:gridSpan w:val="5"/>
            <w:vAlign w:val="center"/>
          </w:tcPr>
          <w:p>
            <w:pPr>
              <w:tabs>
                <w:tab w:val="left" w:pos="675"/>
                <w:tab w:val="left" w:pos="1668"/>
                <w:tab w:val="left" w:pos="3510"/>
                <w:tab w:val="left" w:pos="4361"/>
                <w:tab w:val="left" w:pos="5495"/>
                <w:tab w:val="left" w:pos="6771"/>
                <w:tab w:val="left" w:pos="9322"/>
              </w:tabs>
              <w:jc w:val="center"/>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867" w:type="dxa"/>
            <w:vMerge w:val="continue"/>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2572" w:type="dxa"/>
            <w:gridSpan w:val="2"/>
            <w:vAlign w:val="center"/>
          </w:tcPr>
          <w:p>
            <w:pPr>
              <w:tabs>
                <w:tab w:val="left" w:pos="675"/>
                <w:tab w:val="left" w:pos="1668"/>
                <w:tab w:val="left" w:pos="3510"/>
                <w:tab w:val="left" w:pos="4361"/>
                <w:tab w:val="left" w:pos="5495"/>
                <w:tab w:val="left" w:pos="6771"/>
                <w:tab w:val="left" w:pos="9322"/>
              </w:tabs>
              <w:spacing w:line="340" w:lineRule="exact"/>
              <w:jc w:val="center"/>
              <w:outlineLvl w:val="9"/>
              <w:rPr>
                <w:rFonts w:ascii="宋体" w:hAnsi="宋体"/>
                <w:sz w:val="24"/>
              </w:rPr>
            </w:pPr>
            <w:r>
              <w:rPr>
                <w:rFonts w:hint="eastAsia" w:ascii="宋体" w:hAnsi="宋体"/>
                <w:sz w:val="24"/>
              </w:rPr>
              <w:t>所在二级学院、部门</w:t>
            </w:r>
          </w:p>
        </w:tc>
        <w:tc>
          <w:tcPr>
            <w:tcW w:w="6019" w:type="dxa"/>
            <w:gridSpan w:val="6"/>
            <w:vAlign w:val="center"/>
          </w:tcPr>
          <w:p>
            <w:pPr>
              <w:ind w:left="232"/>
              <w:jc w:val="center"/>
              <w:outlineLvl w:val="9"/>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867" w:type="dxa"/>
            <w:vMerge w:val="continue"/>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sz w:val="24"/>
              </w:rPr>
            </w:pPr>
          </w:p>
        </w:tc>
        <w:tc>
          <w:tcPr>
            <w:tcW w:w="2572" w:type="dxa"/>
            <w:gridSpan w:val="2"/>
            <w:vAlign w:val="center"/>
          </w:tcPr>
          <w:p>
            <w:pPr>
              <w:tabs>
                <w:tab w:val="left" w:pos="675"/>
                <w:tab w:val="left" w:pos="1668"/>
                <w:tab w:val="left" w:pos="3510"/>
                <w:tab w:val="left" w:pos="4361"/>
                <w:tab w:val="left" w:pos="5495"/>
                <w:tab w:val="left" w:pos="6771"/>
                <w:tab w:val="left" w:pos="9322"/>
              </w:tabs>
              <w:spacing w:line="340" w:lineRule="exact"/>
              <w:jc w:val="center"/>
              <w:outlineLvl w:val="9"/>
              <w:rPr>
                <w:rFonts w:ascii="宋体" w:hAnsi="宋体"/>
                <w:sz w:val="24"/>
              </w:rPr>
            </w:pPr>
            <w:r>
              <w:rPr>
                <w:rFonts w:hint="eastAsia" w:ascii="宋体" w:hAnsi="宋体"/>
                <w:sz w:val="24"/>
              </w:rPr>
              <w:t>聘任时限</w:t>
            </w:r>
          </w:p>
        </w:tc>
        <w:tc>
          <w:tcPr>
            <w:tcW w:w="6019" w:type="dxa"/>
            <w:gridSpan w:val="6"/>
            <w:vAlign w:val="center"/>
          </w:tcPr>
          <w:p>
            <w:pPr>
              <w:ind w:left="232"/>
              <w:jc w:val="center"/>
              <w:outlineLvl w:val="9"/>
              <w:rPr>
                <w:rFonts w:hint="eastAsia" w:ascii="宋体" w:hAnsi="宋体"/>
                <w:sz w:val="24"/>
              </w:rPr>
            </w:pPr>
            <w:r>
              <w:rPr>
                <w:rFonts w:hint="eastAsia" w:ascii="宋体" w:hAnsi="宋体"/>
                <w:sz w:val="24"/>
              </w:rPr>
              <w:t xml:space="preserve">        年   月   日 至       年   月   日</w:t>
            </w:r>
          </w:p>
        </w:tc>
      </w:tr>
    </w:tbl>
    <w:p>
      <w:pPr>
        <w:spacing w:line="380" w:lineRule="exact"/>
        <w:ind w:firstLine="422" w:firstLineChars="200"/>
        <w:outlineLvl w:val="9"/>
        <w:rPr>
          <w:rFonts w:hint="eastAsia"/>
        </w:rPr>
      </w:pPr>
      <w:r>
        <w:rPr>
          <w:rFonts w:hint="eastAsia"/>
          <w:b/>
        </w:rPr>
        <w:t>二、年度考核指标</w:t>
      </w:r>
    </w:p>
    <w:tbl>
      <w:tblPr>
        <w:tblStyle w:val="14"/>
        <w:tblW w:w="94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567" w:hRule="atLeast"/>
          <w:jc w:val="center"/>
        </w:trPr>
        <w:tc>
          <w:tcPr>
            <w:tcW w:w="825" w:type="dxa"/>
            <w:vAlign w:val="center"/>
          </w:tcPr>
          <w:p>
            <w:pPr>
              <w:spacing w:line="340" w:lineRule="exact"/>
              <w:jc w:val="center"/>
              <w:outlineLvl w:val="9"/>
              <w:rPr>
                <w:rFonts w:hint="eastAsia" w:ascii="宋体" w:hAnsi="宋体" w:cs="宋体"/>
                <w:sz w:val="24"/>
              </w:rPr>
            </w:pPr>
            <w:r>
              <w:rPr>
                <w:rFonts w:hint="eastAsia" w:ascii="宋体" w:hAnsi="宋体" w:cs="宋体"/>
                <w:sz w:val="24"/>
              </w:rPr>
              <w:t>年度（自然年）</w:t>
            </w:r>
          </w:p>
        </w:tc>
        <w:tc>
          <w:tcPr>
            <w:tcW w:w="8659" w:type="dxa"/>
            <w:vAlign w:val="center"/>
          </w:tcPr>
          <w:p>
            <w:pPr>
              <w:autoSpaceDE w:val="0"/>
              <w:autoSpaceDN w:val="0"/>
              <w:jc w:val="center"/>
              <w:outlineLvl w:val="9"/>
              <w:rPr>
                <w:rFonts w:hint="eastAsia" w:ascii="宋体" w:hAnsi="宋体" w:cs="宋体"/>
                <w:sz w:val="24"/>
              </w:rPr>
            </w:pPr>
            <w:r>
              <w:rPr>
                <w:rFonts w:hint="eastAsia" w:ascii="宋体" w:hAnsi="宋体"/>
                <w:sz w:val="24"/>
              </w:rPr>
              <w:t>考核指标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825" w:type="dxa"/>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cs="宋体"/>
                <w:sz w:val="24"/>
              </w:rPr>
            </w:pPr>
          </w:p>
        </w:tc>
        <w:tc>
          <w:tcPr>
            <w:tcW w:w="8659" w:type="dxa"/>
            <w:vAlign w:val="center"/>
          </w:tcPr>
          <w:p>
            <w:pPr>
              <w:tabs>
                <w:tab w:val="left" w:pos="675"/>
                <w:tab w:val="left" w:pos="1668"/>
                <w:tab w:val="left" w:pos="3510"/>
                <w:tab w:val="left" w:pos="4361"/>
                <w:tab w:val="left" w:pos="5495"/>
                <w:tab w:val="left" w:pos="6771"/>
                <w:tab w:val="left" w:pos="9322"/>
              </w:tabs>
              <w:spacing w:line="340" w:lineRule="exact"/>
              <w:ind w:firstLine="600" w:firstLineChars="250"/>
              <w:outlineLvl w:val="9"/>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825" w:type="dxa"/>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cs="宋体"/>
                <w:sz w:val="24"/>
              </w:rPr>
            </w:pPr>
          </w:p>
        </w:tc>
        <w:tc>
          <w:tcPr>
            <w:tcW w:w="8659" w:type="dxa"/>
            <w:vAlign w:val="center"/>
          </w:tcPr>
          <w:p>
            <w:pPr>
              <w:tabs>
                <w:tab w:val="left" w:pos="675"/>
                <w:tab w:val="left" w:pos="1668"/>
                <w:tab w:val="left" w:pos="3510"/>
                <w:tab w:val="left" w:pos="4361"/>
                <w:tab w:val="left" w:pos="5495"/>
                <w:tab w:val="left" w:pos="6771"/>
                <w:tab w:val="left" w:pos="9322"/>
              </w:tabs>
              <w:spacing w:line="340" w:lineRule="exact"/>
              <w:ind w:firstLine="600" w:firstLineChars="250"/>
              <w:outlineLvl w:val="9"/>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825" w:type="dxa"/>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cs="宋体"/>
                <w:sz w:val="24"/>
              </w:rPr>
            </w:pPr>
          </w:p>
        </w:tc>
        <w:tc>
          <w:tcPr>
            <w:tcW w:w="8659" w:type="dxa"/>
            <w:vAlign w:val="center"/>
          </w:tcPr>
          <w:p>
            <w:pPr>
              <w:tabs>
                <w:tab w:val="left" w:pos="675"/>
                <w:tab w:val="left" w:pos="1668"/>
                <w:tab w:val="left" w:pos="3510"/>
                <w:tab w:val="left" w:pos="4361"/>
                <w:tab w:val="left" w:pos="5495"/>
                <w:tab w:val="left" w:pos="6771"/>
                <w:tab w:val="left" w:pos="9322"/>
              </w:tabs>
              <w:spacing w:line="340" w:lineRule="exact"/>
              <w:ind w:firstLine="600" w:firstLineChars="250"/>
              <w:outlineLvl w:val="9"/>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825" w:type="dxa"/>
            <w:vAlign w:val="center"/>
          </w:tcPr>
          <w:p>
            <w:pPr>
              <w:tabs>
                <w:tab w:val="left" w:pos="675"/>
                <w:tab w:val="left" w:pos="1668"/>
                <w:tab w:val="left" w:pos="3510"/>
                <w:tab w:val="left" w:pos="4361"/>
                <w:tab w:val="left" w:pos="5495"/>
                <w:tab w:val="left" w:pos="6771"/>
                <w:tab w:val="left" w:pos="9322"/>
              </w:tabs>
              <w:spacing w:line="340" w:lineRule="exact"/>
              <w:outlineLvl w:val="9"/>
              <w:rPr>
                <w:rFonts w:hint="eastAsia" w:ascii="宋体" w:hAnsi="宋体" w:cs="宋体"/>
                <w:sz w:val="24"/>
              </w:rPr>
            </w:pPr>
          </w:p>
        </w:tc>
        <w:tc>
          <w:tcPr>
            <w:tcW w:w="8659" w:type="dxa"/>
            <w:vAlign w:val="center"/>
          </w:tcPr>
          <w:p>
            <w:pPr>
              <w:tabs>
                <w:tab w:val="left" w:pos="675"/>
                <w:tab w:val="left" w:pos="1668"/>
                <w:tab w:val="left" w:pos="3510"/>
                <w:tab w:val="left" w:pos="4361"/>
                <w:tab w:val="left" w:pos="5495"/>
                <w:tab w:val="left" w:pos="6771"/>
                <w:tab w:val="left" w:pos="9322"/>
              </w:tabs>
              <w:spacing w:line="340" w:lineRule="exact"/>
              <w:ind w:firstLine="600" w:firstLineChars="250"/>
              <w:outlineLvl w:val="9"/>
              <w:rPr>
                <w:rFonts w:hint="eastAsia" w:ascii="宋体" w:hAnsi="宋体" w:cs="宋体"/>
                <w:sz w:val="24"/>
              </w:rPr>
            </w:pPr>
          </w:p>
        </w:tc>
      </w:tr>
    </w:tbl>
    <w:p>
      <w:pPr>
        <w:spacing w:line="380" w:lineRule="exact"/>
        <w:ind w:firstLine="422" w:firstLineChars="200"/>
        <w:outlineLvl w:val="9"/>
        <w:rPr>
          <w:rFonts w:hint="eastAsia"/>
          <w:b/>
        </w:rPr>
      </w:pPr>
      <w:r>
        <w:rPr>
          <w:rFonts w:hint="eastAsia"/>
          <w:b/>
        </w:rPr>
        <w:t>三、岗位考核指标</w:t>
      </w:r>
    </w:p>
    <w:tbl>
      <w:tblPr>
        <w:tblStyle w:val="14"/>
        <w:tblW w:w="9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3544"/>
        <w:gridCol w:w="2975"/>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651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成果形式</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科研项目(项)</w:t>
            </w: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国家级</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省部级</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vMerge w:val="restart"/>
            <w:tcBorders>
              <w:top w:val="single" w:color="auto" w:sz="4" w:space="0"/>
              <w:left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论文论著(篇)</w:t>
            </w: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中文核心及以上</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vMerge w:val="continue"/>
            <w:tcBorders>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hint="eastAsia" w:ascii="宋体" w:hAnsi="宋体"/>
                <w:sz w:val="24"/>
              </w:rPr>
            </w:pPr>
            <w:r>
              <w:rPr>
                <w:rFonts w:hint="eastAsia" w:ascii="宋体" w:hAnsi="宋体"/>
                <w:sz w:val="24"/>
              </w:rPr>
              <w:t>学术专著</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tcBorders>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发明专利(项)</w:t>
            </w: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hint="eastAsia" w:ascii="宋体" w:hAnsi="宋体"/>
                <w:sz w:val="24"/>
              </w:rPr>
            </w:pPr>
            <w:r>
              <w:rPr>
                <w:rFonts w:ascii="宋体" w:hAnsi="宋体"/>
                <w:sz w:val="24"/>
              </w:rPr>
              <w:t>授权</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vMerge w:val="restart"/>
            <w:tcBorders>
              <w:top w:val="single" w:color="auto" w:sz="4" w:space="0"/>
              <w:left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经费到账金额（万元）</w:t>
            </w: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ascii="宋体" w:hAnsi="宋体"/>
                <w:sz w:val="24"/>
              </w:rPr>
              <w:t>纵向</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vMerge w:val="continue"/>
            <w:tcBorders>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ascii="宋体" w:hAnsi="宋体"/>
                <w:sz w:val="24"/>
              </w:rPr>
              <w:t>横向</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vMerge w:val="restart"/>
            <w:tcBorders>
              <w:top w:val="single" w:color="auto" w:sz="4" w:space="0"/>
              <w:left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科技成果奖（项）</w:t>
            </w: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国家级</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vMerge w:val="continue"/>
            <w:tcBorders>
              <w:left w:val="single" w:color="auto" w:sz="4" w:space="0"/>
              <w:right w:val="single" w:color="auto" w:sz="4" w:space="0"/>
            </w:tcBorders>
            <w:vAlign w:val="center"/>
          </w:tcPr>
          <w:p>
            <w:pPr>
              <w:autoSpaceDE w:val="0"/>
              <w:autoSpaceDN w:val="0"/>
              <w:jc w:val="center"/>
              <w:outlineLvl w:val="9"/>
              <w:rPr>
                <w:rFonts w:hint="eastAsia" w:ascii="宋体" w:hAnsi="宋体"/>
                <w:sz w:val="24"/>
              </w:rPr>
            </w:pP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r>
              <w:rPr>
                <w:rFonts w:hint="eastAsia" w:ascii="宋体" w:hAnsi="宋体"/>
                <w:sz w:val="24"/>
              </w:rPr>
              <w:t>省部级</w:t>
            </w: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544" w:type="dxa"/>
            <w:tcBorders>
              <w:left w:val="single" w:color="auto" w:sz="4" w:space="0"/>
              <w:right w:val="single" w:color="auto" w:sz="4" w:space="0"/>
            </w:tcBorders>
            <w:vAlign w:val="center"/>
          </w:tcPr>
          <w:p>
            <w:pPr>
              <w:autoSpaceDE w:val="0"/>
              <w:autoSpaceDN w:val="0"/>
              <w:jc w:val="center"/>
              <w:outlineLvl w:val="9"/>
              <w:rPr>
                <w:rFonts w:hint="eastAsia" w:ascii="宋体" w:hAnsi="宋体"/>
                <w:sz w:val="24"/>
              </w:rPr>
            </w:pPr>
            <w:r>
              <w:rPr>
                <w:rFonts w:hint="eastAsia" w:ascii="宋体" w:hAnsi="宋体"/>
                <w:sz w:val="24"/>
              </w:rPr>
              <w:t>其他省部级及以上成果</w:t>
            </w:r>
          </w:p>
        </w:tc>
        <w:tc>
          <w:tcPr>
            <w:tcW w:w="2975"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hint="eastAsia" w:ascii="宋体" w:hAnsi="宋体"/>
                <w:sz w:val="24"/>
              </w:rPr>
            </w:pPr>
          </w:p>
        </w:tc>
        <w:tc>
          <w:tcPr>
            <w:tcW w:w="300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outlineLvl w:val="9"/>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9523" w:type="dxa"/>
            <w:gridSpan w:val="3"/>
            <w:tcBorders>
              <w:left w:val="single" w:color="auto" w:sz="4" w:space="0"/>
              <w:bottom w:val="single" w:color="auto" w:sz="4" w:space="0"/>
              <w:right w:val="single" w:color="auto" w:sz="4" w:space="0"/>
            </w:tcBorders>
            <w:vAlign w:val="center"/>
          </w:tcPr>
          <w:p>
            <w:pPr>
              <w:autoSpaceDE w:val="0"/>
              <w:autoSpaceDN w:val="0"/>
              <w:jc w:val="left"/>
              <w:outlineLvl w:val="9"/>
              <w:rPr>
                <w:rFonts w:hint="eastAsia" w:ascii="宋体" w:hAnsi="宋体"/>
                <w:sz w:val="24"/>
              </w:rPr>
            </w:pPr>
            <w:r>
              <w:rPr>
                <w:rFonts w:hint="eastAsia" w:ascii="宋体" w:hAnsi="宋体"/>
                <w:sz w:val="24"/>
              </w:rPr>
              <w:t>需要补充说明的内容：</w:t>
            </w:r>
          </w:p>
          <w:p>
            <w:pPr>
              <w:autoSpaceDE w:val="0"/>
              <w:autoSpaceDN w:val="0"/>
              <w:jc w:val="center"/>
              <w:outlineLvl w:val="9"/>
              <w:rPr>
                <w:rFonts w:ascii="宋体" w:hAnsi="宋体"/>
                <w:sz w:val="24"/>
              </w:rPr>
            </w:pPr>
          </w:p>
        </w:tc>
      </w:tr>
    </w:tbl>
    <w:p>
      <w:pPr>
        <w:spacing w:line="380" w:lineRule="exact"/>
        <w:outlineLvl w:val="9"/>
        <w:rPr>
          <w:rFonts w:hint="eastAsia"/>
          <w:b/>
        </w:rPr>
      </w:pPr>
    </w:p>
    <w:p>
      <w:pPr>
        <w:spacing w:line="380" w:lineRule="exact"/>
        <w:ind w:firstLine="422" w:firstLineChars="200"/>
        <w:outlineLvl w:val="9"/>
        <w:rPr>
          <w:rFonts w:hint="eastAsia"/>
          <w:b/>
        </w:rPr>
      </w:pPr>
      <w:r>
        <w:rPr>
          <w:rFonts w:hint="eastAsia"/>
          <w:b/>
        </w:rPr>
        <w:t>四、考核和待遇</w:t>
      </w:r>
    </w:p>
    <w:p>
      <w:pPr>
        <w:spacing w:line="380" w:lineRule="exact"/>
        <w:ind w:firstLine="420" w:firstLineChars="200"/>
        <w:outlineLvl w:val="9"/>
      </w:pPr>
      <w:r>
        <w:rPr>
          <w:rFonts w:hint="eastAsia"/>
        </w:rPr>
        <w:t>按照</w:t>
      </w:r>
      <w:r>
        <w:t>学校《</w:t>
      </w:r>
      <w:r>
        <w:rPr>
          <w:rFonts w:hint="eastAsia"/>
        </w:rPr>
        <w:t>柳州职业技术学院专职科研岗位管理办法</w:t>
      </w:r>
      <w:r>
        <w:t>》</w:t>
      </w:r>
      <w:r>
        <w:rPr>
          <w:rFonts w:hint="eastAsia"/>
        </w:rPr>
        <w:t>（柳职院字〔2021〕48号）文件</w:t>
      </w:r>
      <w:r>
        <w:t>执行。</w:t>
      </w:r>
    </w:p>
    <w:p>
      <w:pPr>
        <w:spacing w:line="380" w:lineRule="exact"/>
        <w:ind w:firstLine="422" w:firstLineChars="200"/>
        <w:outlineLvl w:val="9"/>
        <w:rPr>
          <w:rFonts w:hint="eastAsia"/>
          <w:b/>
        </w:rPr>
      </w:pPr>
      <w:r>
        <w:rPr>
          <w:rFonts w:hint="eastAsia"/>
          <w:b/>
        </w:rPr>
        <w:t>五、其他约定</w:t>
      </w:r>
    </w:p>
    <w:p>
      <w:pPr>
        <w:spacing w:line="380" w:lineRule="exact"/>
        <w:outlineLvl w:val="9"/>
        <w:rPr>
          <w:rFonts w:hint="eastAsia"/>
        </w:rPr>
      </w:pPr>
      <w:r>
        <w:rPr>
          <w:rFonts w:hint="eastAsia"/>
        </w:rPr>
        <w:t xml:space="preserve">    本岗位责任书自双方签字盖章之日起生效，与聘用合同具有相同效力，双方均应遵照执行。</w:t>
      </w:r>
    </w:p>
    <w:p>
      <w:pPr>
        <w:spacing w:line="380" w:lineRule="exact"/>
        <w:ind w:firstLine="420" w:firstLineChars="200"/>
        <w:outlineLvl w:val="9"/>
      </w:pPr>
      <w:r>
        <w:rPr>
          <w:rFonts w:hint="eastAsia"/>
        </w:rPr>
        <w:t>本岗位责任书一式四份，科技开发与校企合作处一份</w:t>
      </w:r>
      <w:r>
        <w:t>，人事处</w:t>
      </w:r>
      <w:r>
        <w:rPr>
          <w:rFonts w:hint="eastAsia"/>
        </w:rPr>
        <w:t>一份</w:t>
      </w:r>
      <w:r>
        <w:t>，</w:t>
      </w:r>
      <w:r>
        <w:rPr>
          <w:rFonts w:hint="eastAsia"/>
        </w:rPr>
        <w:t>受聘人员、受聘人员所属部门各持一份。</w:t>
      </w:r>
    </w:p>
    <w:p>
      <w:pPr>
        <w:spacing w:line="380" w:lineRule="exact"/>
        <w:outlineLvl w:val="9"/>
        <w:rPr>
          <w:rFonts w:hint="eastAsia"/>
        </w:rPr>
      </w:pPr>
      <w:r>
        <w:rPr>
          <w:rFonts w:hint="eastAsia"/>
        </w:rPr>
        <w:t xml:space="preserve">    </w:t>
      </w:r>
    </w:p>
    <w:p>
      <w:pPr>
        <w:spacing w:line="380" w:lineRule="exact"/>
        <w:outlineLvl w:val="9"/>
        <w:rPr>
          <w:rFonts w:hint="eastAsia"/>
        </w:rPr>
      </w:pPr>
      <w:r>
        <w:rPr>
          <w:rFonts w:hint="eastAsia"/>
        </w:rPr>
        <w:t xml:space="preserve">   （签名）：                             </w:t>
      </w:r>
      <w:r>
        <w:rPr>
          <w:rFonts w:hint="eastAsia"/>
          <w:u w:val="single"/>
        </w:rPr>
        <w:t xml:space="preserve">     </w:t>
      </w:r>
      <w:r>
        <w:rPr>
          <w:rFonts w:hint="eastAsia"/>
        </w:rPr>
        <w:t xml:space="preserve"> 年</w:t>
      </w:r>
      <w:r>
        <w:rPr>
          <w:rFonts w:hint="eastAsia"/>
          <w:u w:val="single"/>
        </w:rPr>
        <w:t xml:space="preserve">     </w:t>
      </w:r>
      <w:r>
        <w:rPr>
          <w:rFonts w:hint="eastAsia"/>
        </w:rPr>
        <w:t>月</w:t>
      </w:r>
      <w:r>
        <w:rPr>
          <w:rFonts w:hint="eastAsia"/>
          <w:u w:val="single"/>
        </w:rPr>
        <w:t xml:space="preserve">     </w:t>
      </w:r>
      <w:r>
        <w:rPr>
          <w:rFonts w:hint="eastAsia"/>
        </w:rPr>
        <w:t>日</w:t>
      </w:r>
    </w:p>
    <w:p>
      <w:pPr>
        <w:spacing w:line="380" w:lineRule="exact"/>
        <w:outlineLvl w:val="9"/>
        <w:rPr>
          <w:rFonts w:hint="eastAsia"/>
          <w:u w:val="single"/>
        </w:rPr>
      </w:pPr>
    </w:p>
    <w:p>
      <w:pPr>
        <w:spacing w:line="380" w:lineRule="exact"/>
        <w:outlineLvl w:val="9"/>
      </w:pPr>
      <w:r>
        <w:rPr>
          <w:rFonts w:hint="eastAsia"/>
          <w:u w:val="single"/>
        </w:rPr>
        <w:t xml:space="preserve">     </w:t>
      </w:r>
      <w:r>
        <w:rPr>
          <w:rFonts w:hint="eastAsia"/>
        </w:rPr>
        <w:t>（科技开发与校企合作处负责人签名、单位盖章）</w:t>
      </w:r>
      <w:r>
        <w:rPr>
          <w:rFonts w:hint="eastAsia"/>
          <w:u w:val="single"/>
        </w:rPr>
        <w:t xml:space="preserve">   </w:t>
      </w:r>
      <w:r>
        <w:rPr>
          <w:rFonts w:hint="eastAsia"/>
        </w:rPr>
        <w:t xml:space="preserve">年 </w:t>
      </w:r>
      <w:r>
        <w:rPr>
          <w:rFonts w:hint="eastAsia"/>
          <w:u w:val="single"/>
        </w:rPr>
        <w:t xml:space="preserve">  </w:t>
      </w:r>
      <w:r>
        <w:rPr>
          <w:rFonts w:hint="eastAsia"/>
        </w:rPr>
        <w:t>月</w:t>
      </w:r>
      <w:r>
        <w:rPr>
          <w:rFonts w:hint="eastAsia"/>
          <w:u w:val="single"/>
        </w:rPr>
        <w:t xml:space="preserve">   </w:t>
      </w:r>
      <w:r>
        <w:rPr>
          <w:rFonts w:hint="eastAsia"/>
        </w:rPr>
        <w:t>日</w:t>
      </w:r>
    </w:p>
    <w:p>
      <w:pPr>
        <w:spacing w:line="380" w:lineRule="exact"/>
        <w:outlineLvl w:val="9"/>
      </w:pPr>
    </w:p>
    <w:p>
      <w:pPr>
        <w:spacing w:line="380" w:lineRule="exact"/>
        <w:outlineLvl w:val="9"/>
        <w:rPr>
          <w:rFonts w:hint="eastAsia"/>
        </w:rPr>
      </w:pPr>
    </w:p>
    <w:p>
      <w:pPr>
        <w:spacing w:line="380" w:lineRule="exact"/>
        <w:outlineLvl w:val="9"/>
      </w:pPr>
      <w:r>
        <w:rPr>
          <w:rFonts w:hint="eastAsia"/>
        </w:rPr>
        <w:t xml:space="preserve">   </w:t>
      </w:r>
      <w:r>
        <w:rPr>
          <w:rFonts w:hint="eastAsia"/>
          <w:u w:val="single"/>
        </w:rPr>
        <w:t xml:space="preserve">          </w:t>
      </w:r>
      <w:r>
        <w:rPr>
          <w:rFonts w:hint="eastAsia"/>
        </w:rPr>
        <w:t>（人事处负责人签名、单位盖章）</w:t>
      </w:r>
      <w:r>
        <w:rPr>
          <w:rFonts w:hint="eastAsia"/>
          <w:u w:val="single"/>
        </w:rPr>
        <w:t xml:space="preserve">     </w:t>
      </w:r>
      <w:r>
        <w:rPr>
          <w:rFonts w:hint="eastAsia"/>
        </w:rPr>
        <w:t xml:space="preserve"> 年 </w:t>
      </w:r>
      <w:r>
        <w:rPr>
          <w:rFonts w:hint="eastAsia"/>
          <w:u w:val="single"/>
        </w:rPr>
        <w:t xml:space="preserve">   </w:t>
      </w:r>
      <w:r>
        <w:rPr>
          <w:rFonts w:hint="eastAsia"/>
        </w:rPr>
        <w:t xml:space="preserve">月 </w:t>
      </w:r>
      <w:r>
        <w:rPr>
          <w:rFonts w:hint="eastAsia"/>
          <w:u w:val="single"/>
        </w:rPr>
        <w:t xml:space="preserve">   </w:t>
      </w:r>
      <w:r>
        <w:rPr>
          <w:rFonts w:hint="eastAsia"/>
        </w:rPr>
        <w:t>日</w:t>
      </w:r>
    </w:p>
    <w:p>
      <w:pPr>
        <w:spacing w:line="380" w:lineRule="exact"/>
        <w:outlineLvl w:val="9"/>
      </w:pPr>
    </w:p>
    <w:p>
      <w:pPr>
        <w:spacing w:line="380" w:lineRule="exact"/>
        <w:outlineLvl w:val="9"/>
      </w:pPr>
      <w:r>
        <w:rPr>
          <w:rFonts w:hint="eastAsia"/>
        </w:rPr>
        <w:t xml:space="preserve"> </w:t>
      </w:r>
    </w:p>
    <w:p>
      <w:pPr>
        <w:spacing w:line="380" w:lineRule="exact"/>
        <w:outlineLvl w:val="9"/>
        <w:rPr>
          <w:rFonts w:hint="eastAsia"/>
        </w:rPr>
      </w:pPr>
      <w:r>
        <w:rPr>
          <w:rFonts w:hint="eastAsia"/>
        </w:rPr>
        <w:t xml:space="preserve">   </w:t>
      </w:r>
      <w:r>
        <w:rPr>
          <w:rFonts w:hint="eastAsia"/>
          <w:u w:val="single"/>
        </w:rPr>
        <w:t xml:space="preserve">                    </w:t>
      </w:r>
      <w:r>
        <w:rPr>
          <w:rFonts w:hint="eastAsia"/>
        </w:rPr>
        <w:t>（学校盖章）</w:t>
      </w:r>
      <w:r>
        <w:rPr>
          <w:rFonts w:hint="eastAsia"/>
          <w:u w:val="single"/>
        </w:rPr>
        <w:t xml:space="preserve">         </w:t>
      </w:r>
      <w:r>
        <w:rPr>
          <w:rFonts w:hint="eastAsia"/>
        </w:rPr>
        <w:t xml:space="preserve"> 年 </w:t>
      </w:r>
      <w:r>
        <w:rPr>
          <w:rFonts w:hint="eastAsia"/>
          <w:u w:val="single"/>
        </w:rPr>
        <w:t xml:space="preserve">     </w:t>
      </w:r>
      <w:r>
        <w:rPr>
          <w:rFonts w:hint="eastAsia"/>
        </w:rPr>
        <w:t xml:space="preserve">月 </w:t>
      </w:r>
      <w:r>
        <w:rPr>
          <w:rFonts w:hint="eastAsia"/>
          <w:u w:val="single"/>
        </w:rPr>
        <w:t xml:space="preserve">    </w:t>
      </w:r>
      <w:r>
        <w:rPr>
          <w:rFonts w:hint="eastAsia"/>
        </w:rPr>
        <w:t>日</w:t>
      </w:r>
    </w:p>
    <w:p>
      <w:pPr>
        <w:outlineLvl w:val="9"/>
        <w:rPr>
          <w:rFonts w:hint="eastAsia"/>
        </w:rPr>
      </w:pPr>
    </w:p>
    <w:p>
      <w:pPr>
        <w:outlineLvl w:val="9"/>
        <w:rPr>
          <w:rFonts w:hint="eastAsia"/>
        </w:rPr>
      </w:pPr>
    </w:p>
    <w:p>
      <w:pPr>
        <w:outlineLvl w:val="9"/>
        <w:rPr>
          <w:rFonts w:hint="eastAsia"/>
        </w:rPr>
      </w:pPr>
    </w:p>
    <w:p>
      <w:pPr>
        <w:outlineLvl w:val="9"/>
        <w:rPr>
          <w:rFonts w:hint="eastAsia"/>
        </w:rPr>
      </w:pPr>
    </w:p>
    <w:p>
      <w:pPr>
        <w:spacing w:line="560" w:lineRule="exact"/>
        <w:jc w:val="left"/>
        <w:outlineLvl w:val="9"/>
        <w:rPr>
          <w:rFonts w:eastAsia="黑体"/>
          <w:sz w:val="36"/>
        </w:rPr>
      </w:pPr>
      <w:r>
        <w:rPr>
          <w:rFonts w:eastAsia="黑体"/>
          <w:sz w:val="36"/>
        </w:rPr>
        <w:t>附件3：</w:t>
      </w:r>
    </w:p>
    <w:p>
      <w:pPr>
        <w:spacing w:line="560" w:lineRule="exact"/>
        <w:jc w:val="center"/>
        <w:outlineLvl w:val="9"/>
        <w:rPr>
          <w:rFonts w:ascii="方正小标宋简体" w:eastAsia="方正小标宋简体"/>
          <w:sz w:val="44"/>
          <w:szCs w:val="44"/>
        </w:rPr>
      </w:pPr>
    </w:p>
    <w:p>
      <w:pPr>
        <w:spacing w:line="560" w:lineRule="exact"/>
        <w:jc w:val="center"/>
        <w:outlineLvl w:val="9"/>
        <w:rPr>
          <w:rFonts w:ascii="方正小标宋简体" w:eastAsia="方正小标宋简体"/>
          <w:sz w:val="44"/>
          <w:szCs w:val="44"/>
        </w:rPr>
      </w:pPr>
    </w:p>
    <w:p>
      <w:pPr>
        <w:spacing w:before="312" w:beforeLines="100" w:after="312" w:afterLines="100" w:line="480" w:lineRule="auto"/>
        <w:jc w:val="center"/>
        <w:outlineLvl w:val="9"/>
        <w:rPr>
          <w:rFonts w:ascii="方正小标宋简体" w:eastAsia="方正小标宋简体"/>
          <w:b/>
          <w:bCs/>
          <w:spacing w:val="85"/>
          <w:sz w:val="44"/>
          <w:szCs w:val="44"/>
        </w:rPr>
      </w:pPr>
      <w:r>
        <w:rPr>
          <w:rFonts w:hint="eastAsia" w:ascii="方正小标宋简体" w:eastAsia="方正小标宋简体"/>
          <w:b/>
          <w:bCs/>
          <w:spacing w:val="85"/>
          <w:sz w:val="44"/>
          <w:szCs w:val="44"/>
        </w:rPr>
        <w:t>柳州职业技术学院专职科研岗位</w:t>
      </w:r>
    </w:p>
    <w:p>
      <w:pPr>
        <w:spacing w:before="312" w:beforeLines="100" w:after="312" w:afterLines="100" w:line="480" w:lineRule="auto"/>
        <w:jc w:val="center"/>
        <w:outlineLvl w:val="9"/>
        <w:rPr>
          <w:rFonts w:hint="eastAsia" w:ascii="方正小标宋简体" w:eastAsia="方正小标宋简体"/>
          <w:b/>
          <w:bCs/>
          <w:spacing w:val="85"/>
          <w:sz w:val="44"/>
          <w:szCs w:val="44"/>
        </w:rPr>
      </w:pPr>
      <w:r>
        <w:rPr>
          <w:rFonts w:hint="eastAsia" w:ascii="方正小标宋简体" w:eastAsia="方正小标宋简体"/>
          <w:b/>
          <w:bCs/>
          <w:spacing w:val="85"/>
          <w:sz w:val="44"/>
          <w:szCs w:val="44"/>
        </w:rPr>
        <w:t>（）年度考核表</w:t>
      </w:r>
    </w:p>
    <w:p>
      <w:pPr>
        <w:spacing w:line="480" w:lineRule="auto"/>
        <w:outlineLvl w:val="9"/>
        <w:rPr>
          <w:rFonts w:ascii="方正小标宋简体" w:eastAsia="方正小标宋简体"/>
          <w:sz w:val="36"/>
        </w:rPr>
      </w:pPr>
    </w:p>
    <w:p>
      <w:pPr>
        <w:spacing w:line="1000" w:lineRule="exact"/>
        <w:ind w:left="840" w:leftChars="400"/>
        <w:outlineLvl w:val="9"/>
        <w:rPr>
          <w:rFonts w:ascii="楷体_GB2312" w:hAnsi="楷体_GB2312" w:eastAsia="楷体_GB2312" w:cs="楷体_GB2312"/>
          <w:sz w:val="32"/>
          <w:szCs w:val="32"/>
          <w:u w:val="single"/>
        </w:rPr>
      </w:pPr>
      <w:r>
        <w:rPr>
          <w:rFonts w:hint="eastAsia" w:ascii="楷体_GB2312" w:hAnsi="楷体_GB2312" w:eastAsia="楷体_GB2312" w:cs="楷体_GB2312"/>
          <w:sz w:val="32"/>
          <w:szCs w:val="32"/>
        </w:rPr>
        <w:t>聘任人员：</w:t>
      </w:r>
      <w:r>
        <w:rPr>
          <w:rFonts w:hint="eastAsia" w:ascii="楷体_GB2312" w:hAnsi="楷体_GB2312" w:eastAsia="楷体_GB2312" w:cs="楷体_GB2312"/>
          <w:sz w:val="32"/>
          <w:szCs w:val="32"/>
          <w:u w:val="single"/>
        </w:rPr>
        <w:t xml:space="preserve">                            </w:t>
      </w:r>
    </w:p>
    <w:p>
      <w:pPr>
        <w:spacing w:line="1000" w:lineRule="exact"/>
        <w:ind w:left="840" w:leftChars="400"/>
        <w:outlineLvl w:val="9"/>
        <w:rPr>
          <w:rFonts w:ascii="楷体_GB2312" w:hAnsi="楷体_GB2312" w:eastAsia="楷体_GB2312" w:cs="楷体_GB2312"/>
          <w:sz w:val="32"/>
          <w:szCs w:val="32"/>
        </w:rPr>
      </w:pPr>
      <w:r>
        <w:rPr>
          <w:rFonts w:hint="eastAsia" w:ascii="楷体_GB2312" w:hAnsi="楷体_GB2312" w:eastAsia="楷体_GB2312" w:cs="楷体_GB2312"/>
          <w:sz w:val="32"/>
          <w:szCs w:val="32"/>
        </w:rPr>
        <w:t>所在部门：</w:t>
      </w:r>
      <w:r>
        <w:rPr>
          <w:rFonts w:hint="eastAsia" w:ascii="楷体_GB2312" w:hAnsi="楷体_GB2312" w:eastAsia="楷体_GB2312" w:cs="楷体_GB2312"/>
          <w:sz w:val="32"/>
          <w:szCs w:val="32"/>
          <w:u w:val="single"/>
        </w:rPr>
        <w:t xml:space="preserve">                             </w:t>
      </w:r>
    </w:p>
    <w:p>
      <w:pPr>
        <w:spacing w:line="1000" w:lineRule="exact"/>
        <w:ind w:left="840" w:leftChars="400"/>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聘任起止时间：</w:t>
      </w:r>
      <w:r>
        <w:rPr>
          <w:rFonts w:hint="eastAsia" w:ascii="楷体_GB2312" w:hAnsi="楷体_GB2312" w:eastAsia="楷体_GB2312" w:cs="楷体_GB2312"/>
          <w:sz w:val="32"/>
          <w:szCs w:val="32"/>
          <w:u w:val="single"/>
        </w:rPr>
        <w:t xml:space="preserve">       </w:t>
      </w:r>
      <w:r>
        <w:rPr>
          <w:rFonts w:hint="eastAsia" w:ascii="楷体_GB2312" w:hAnsi="楷体_GB2312" w:eastAsia="楷体_GB2312" w:cs="楷体_GB2312"/>
          <w:sz w:val="32"/>
          <w:szCs w:val="32"/>
        </w:rPr>
        <w:t>年</w:t>
      </w:r>
      <w:r>
        <w:rPr>
          <w:rFonts w:hint="eastAsia" w:ascii="楷体_GB2312" w:hAnsi="楷体_GB2312" w:eastAsia="楷体_GB2312" w:cs="楷体_GB2312"/>
          <w:sz w:val="32"/>
          <w:szCs w:val="32"/>
          <w:u w:val="single"/>
        </w:rPr>
        <w:t xml:space="preserve">    </w:t>
      </w:r>
      <w:r>
        <w:rPr>
          <w:rFonts w:hint="eastAsia" w:ascii="楷体_GB2312" w:hAnsi="楷体_GB2312" w:eastAsia="楷体_GB2312" w:cs="楷体_GB2312"/>
          <w:sz w:val="32"/>
          <w:szCs w:val="32"/>
        </w:rPr>
        <w:t>月至</w:t>
      </w:r>
      <w:r>
        <w:rPr>
          <w:rFonts w:hint="eastAsia" w:ascii="楷体_GB2312" w:hAnsi="楷体_GB2312" w:eastAsia="楷体_GB2312" w:cs="楷体_GB2312"/>
          <w:sz w:val="32"/>
          <w:szCs w:val="32"/>
          <w:u w:val="single"/>
        </w:rPr>
        <w:t xml:space="preserve">    </w:t>
      </w:r>
      <w:r>
        <w:rPr>
          <w:rFonts w:hint="eastAsia" w:ascii="楷体_GB2312" w:hAnsi="楷体_GB2312" w:eastAsia="楷体_GB2312" w:cs="楷体_GB2312"/>
          <w:sz w:val="32"/>
          <w:szCs w:val="32"/>
        </w:rPr>
        <w:t>年</w:t>
      </w:r>
      <w:r>
        <w:rPr>
          <w:rFonts w:hint="eastAsia" w:ascii="楷体_GB2312" w:hAnsi="楷体_GB2312" w:eastAsia="楷体_GB2312" w:cs="楷体_GB2312"/>
          <w:sz w:val="32"/>
          <w:szCs w:val="32"/>
          <w:u w:val="single"/>
        </w:rPr>
        <w:t xml:space="preserve">    </w:t>
      </w:r>
      <w:r>
        <w:rPr>
          <w:rFonts w:hint="eastAsia" w:ascii="楷体_GB2312" w:hAnsi="楷体_GB2312" w:eastAsia="楷体_GB2312" w:cs="楷体_GB2312"/>
          <w:sz w:val="32"/>
          <w:szCs w:val="32"/>
        </w:rPr>
        <w:t>月</w:t>
      </w:r>
    </w:p>
    <w:p>
      <w:pPr>
        <w:outlineLvl w:val="9"/>
        <w:rPr>
          <w:rFonts w:hint="eastAsia" w:ascii="楷体_GB2312" w:hAnsi="楷体_GB2312" w:eastAsia="楷体_GB2312" w:cs="楷体_GB2312"/>
          <w:sz w:val="32"/>
          <w:szCs w:val="32"/>
        </w:rPr>
      </w:pPr>
    </w:p>
    <w:p>
      <w:pPr>
        <w:outlineLvl w:val="9"/>
        <w:rPr>
          <w:rFonts w:hint="eastAsia" w:ascii="楷体_GB2312" w:hAnsi="楷体_GB2312" w:eastAsia="楷体_GB2312" w:cs="楷体_GB2312"/>
          <w:sz w:val="32"/>
          <w:szCs w:val="32"/>
        </w:rPr>
      </w:pPr>
    </w:p>
    <w:p>
      <w:pPr>
        <w:outlineLvl w:val="9"/>
        <w:rPr>
          <w:rFonts w:hint="eastAsia" w:ascii="楷体_GB2312" w:hAnsi="楷体_GB2312" w:eastAsia="楷体_GB2312" w:cs="楷体_GB2312"/>
          <w:sz w:val="32"/>
          <w:szCs w:val="32"/>
        </w:rPr>
      </w:pPr>
    </w:p>
    <w:p>
      <w:pPr>
        <w:outlineLvl w:val="9"/>
        <w:rPr>
          <w:rFonts w:hint="eastAsia" w:ascii="楷体_GB2312" w:hAnsi="楷体_GB2312" w:eastAsia="楷体_GB2312" w:cs="楷体_GB2312"/>
          <w:sz w:val="32"/>
          <w:szCs w:val="32"/>
        </w:rPr>
      </w:pPr>
    </w:p>
    <w:p>
      <w:pPr>
        <w:spacing w:before="156" w:beforeLines="50" w:after="156" w:afterLines="50" w:line="560" w:lineRule="exact"/>
        <w:outlineLvl w:val="9"/>
        <w:rPr>
          <w:rFonts w:hint="eastAsia" w:ascii="黑体" w:hAnsi="黑体" w:eastAsia="黑体" w:cs="黑体"/>
          <w:b/>
          <w:bCs/>
          <w:sz w:val="32"/>
          <w:szCs w:val="32"/>
        </w:rPr>
      </w:pPr>
    </w:p>
    <w:p>
      <w:pPr>
        <w:spacing w:before="156" w:beforeLines="50" w:after="156" w:afterLines="50" w:line="560" w:lineRule="exact"/>
        <w:outlineLvl w:val="9"/>
        <w:rPr>
          <w:rFonts w:hint="eastAsia" w:ascii="黑体" w:hAnsi="黑体" w:eastAsia="黑体" w:cs="黑体"/>
          <w:b/>
          <w:bCs/>
          <w:sz w:val="32"/>
          <w:szCs w:val="32"/>
        </w:rPr>
      </w:pPr>
    </w:p>
    <w:p>
      <w:pPr>
        <w:spacing w:before="156" w:beforeLines="50" w:after="156" w:afterLines="50" w:line="560" w:lineRule="exact"/>
        <w:outlineLvl w:val="9"/>
        <w:rPr>
          <w:rFonts w:ascii="仿宋_GB2312" w:hAnsi="仿宋_GB2312" w:eastAsia="仿宋_GB2312" w:cs="仿宋_GB2312"/>
          <w:sz w:val="36"/>
        </w:rPr>
      </w:pPr>
      <w:bookmarkStart w:id="1255" w:name="_Toc16231_WPSOffice_Level1"/>
      <w:r>
        <w:rPr>
          <w:rFonts w:hint="eastAsia" w:ascii="黑体" w:hAnsi="黑体" w:eastAsia="黑体" w:cs="黑体"/>
          <w:b/>
          <w:bCs/>
          <w:sz w:val="32"/>
          <w:szCs w:val="32"/>
        </w:rPr>
        <w:t>一、项目基本情况</w:t>
      </w:r>
      <w:bookmarkEnd w:id="1255"/>
    </w:p>
    <w:tbl>
      <w:tblPr>
        <w:tblStyle w:val="14"/>
        <w:tblW w:w="87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6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 w:hRule="atLeast"/>
          <w:jc w:val="center"/>
        </w:trPr>
        <w:tc>
          <w:tcPr>
            <w:tcW w:w="1796" w:type="dxa"/>
            <w:vAlign w:val="center"/>
          </w:tcPr>
          <w:p>
            <w:pPr>
              <w:spacing w:line="400" w:lineRule="exact"/>
              <w:jc w:val="center"/>
              <w:outlineLvl w:val="9"/>
              <w:rPr>
                <w:rFonts w:ascii="宋体" w:hAnsi="宋体" w:cs="仿宋_GB2312"/>
                <w:sz w:val="24"/>
              </w:rPr>
            </w:pPr>
            <w:r>
              <w:rPr>
                <w:rFonts w:hint="eastAsia" w:ascii="宋体" w:hAnsi="宋体" w:cs="仿宋_GB2312"/>
                <w:sz w:val="24"/>
              </w:rPr>
              <w:t>聘期总体目标</w:t>
            </w:r>
          </w:p>
          <w:p>
            <w:pPr>
              <w:spacing w:line="400" w:lineRule="exact"/>
              <w:jc w:val="center"/>
              <w:outlineLvl w:val="9"/>
              <w:rPr>
                <w:rFonts w:ascii="宋体" w:hAnsi="宋体" w:cs="仿宋_GB2312"/>
                <w:sz w:val="24"/>
              </w:rPr>
            </w:pPr>
          </w:p>
        </w:tc>
        <w:tc>
          <w:tcPr>
            <w:tcW w:w="6908" w:type="dxa"/>
            <w:vAlign w:val="center"/>
          </w:tcPr>
          <w:p>
            <w:pPr>
              <w:spacing w:line="400" w:lineRule="exact"/>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1" w:hRule="atLeast"/>
          <w:jc w:val="center"/>
        </w:trPr>
        <w:tc>
          <w:tcPr>
            <w:tcW w:w="1796" w:type="dxa"/>
            <w:vAlign w:val="center"/>
          </w:tcPr>
          <w:p>
            <w:pPr>
              <w:spacing w:line="400" w:lineRule="exact"/>
              <w:jc w:val="center"/>
              <w:outlineLvl w:val="9"/>
              <w:rPr>
                <w:rFonts w:ascii="宋体" w:hAnsi="宋体" w:cs="仿宋_GB2312"/>
                <w:sz w:val="24"/>
              </w:rPr>
            </w:pPr>
            <w:r>
              <w:rPr>
                <w:rFonts w:hint="eastAsia" w:ascii="宋体" w:hAnsi="宋体" w:cs="仿宋_GB2312"/>
                <w:sz w:val="24"/>
              </w:rPr>
              <w:t>年度考核计划指标</w:t>
            </w:r>
          </w:p>
          <w:p>
            <w:pPr>
              <w:spacing w:line="400" w:lineRule="exact"/>
              <w:jc w:val="center"/>
              <w:outlineLvl w:val="9"/>
              <w:rPr>
                <w:rFonts w:ascii="宋体" w:hAnsi="宋体" w:cs="仿宋_GB2312"/>
                <w:sz w:val="24"/>
              </w:rPr>
            </w:pPr>
          </w:p>
        </w:tc>
        <w:tc>
          <w:tcPr>
            <w:tcW w:w="6908" w:type="dxa"/>
            <w:vAlign w:val="center"/>
          </w:tcPr>
          <w:p>
            <w:pPr>
              <w:spacing w:line="400" w:lineRule="exact"/>
              <w:jc w:val="center"/>
              <w:outlineLvl w:val="9"/>
              <w:rPr>
                <w:rFonts w:ascii="宋体" w:hAnsi="宋体" w:cs="仿宋_GB2312"/>
                <w:sz w:val="24"/>
              </w:rPr>
            </w:pPr>
          </w:p>
        </w:tc>
      </w:tr>
    </w:tbl>
    <w:p>
      <w:pPr>
        <w:spacing w:before="156" w:beforeLines="50" w:after="156" w:afterLines="50" w:line="560" w:lineRule="exact"/>
        <w:outlineLvl w:val="9"/>
        <w:rPr>
          <w:rFonts w:ascii="黑体" w:hAnsi="黑体" w:eastAsia="黑体" w:cs="黑体"/>
          <w:b/>
          <w:bCs/>
          <w:sz w:val="32"/>
          <w:szCs w:val="32"/>
        </w:rPr>
      </w:pPr>
      <w:bookmarkStart w:id="1256" w:name="_Toc27667_WPSOffice_Level1"/>
      <w:r>
        <w:rPr>
          <w:rFonts w:hint="eastAsia" w:ascii="黑体" w:hAnsi="黑体" w:eastAsia="黑体" w:cs="黑体"/>
          <w:b/>
          <w:bCs/>
          <w:sz w:val="32"/>
          <w:szCs w:val="32"/>
        </w:rPr>
        <w:t>二、研究实施进度</w:t>
      </w:r>
      <w:bookmarkEnd w:id="1256"/>
    </w:p>
    <w:p>
      <w:pPr>
        <w:outlineLvl w:val="9"/>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1.年度任务目标完成进度</w:t>
      </w:r>
    </w:p>
    <w:tbl>
      <w:tblPr>
        <w:tblStyle w:val="14"/>
        <w:tblW w:w="88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6"/>
        <w:gridCol w:w="5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446" w:type="dxa"/>
            <w:vAlign w:val="center"/>
          </w:tcPr>
          <w:p>
            <w:pPr>
              <w:spacing w:line="400" w:lineRule="exact"/>
              <w:jc w:val="center"/>
              <w:outlineLvl w:val="9"/>
              <w:rPr>
                <w:rFonts w:ascii="宋体" w:hAnsi="宋体" w:cs="仿宋_GB2312"/>
                <w:sz w:val="24"/>
              </w:rPr>
            </w:pPr>
            <w:r>
              <w:rPr>
                <w:rFonts w:hint="eastAsia" w:ascii="宋体" w:hAnsi="宋体" w:cs="仿宋_GB2312"/>
                <w:sz w:val="24"/>
              </w:rPr>
              <w:t>计划进度</w:t>
            </w:r>
          </w:p>
        </w:tc>
        <w:tc>
          <w:tcPr>
            <w:tcW w:w="5421" w:type="dxa"/>
            <w:vAlign w:val="center"/>
          </w:tcPr>
          <w:p>
            <w:pPr>
              <w:spacing w:line="400" w:lineRule="exact"/>
              <w:jc w:val="center"/>
              <w:outlineLvl w:val="9"/>
              <w:rPr>
                <w:rFonts w:ascii="宋体" w:hAnsi="宋体" w:cs="仿宋_GB2312"/>
                <w:sz w:val="24"/>
              </w:rPr>
            </w:pPr>
            <w:r>
              <w:rPr>
                <w:rFonts w:hint="eastAsia" w:ascii="宋体" w:hAnsi="宋体" w:cs="仿宋_GB2312"/>
                <w:sz w:val="24"/>
              </w:rPr>
              <w:t>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7" w:hRule="atLeast"/>
          <w:jc w:val="center"/>
        </w:trPr>
        <w:tc>
          <w:tcPr>
            <w:tcW w:w="3446" w:type="dxa"/>
            <w:vAlign w:val="center"/>
          </w:tcPr>
          <w:p>
            <w:pPr>
              <w:spacing w:line="400" w:lineRule="exact"/>
              <w:outlineLvl w:val="9"/>
              <w:rPr>
                <w:rFonts w:ascii="仿宋_GB2312" w:hAnsi="仿宋_GB2312" w:eastAsia="仿宋_GB2312" w:cs="仿宋_GB2312"/>
                <w:i/>
                <w:sz w:val="24"/>
              </w:rPr>
            </w:pPr>
          </w:p>
          <w:p>
            <w:pPr>
              <w:spacing w:line="400" w:lineRule="exact"/>
              <w:outlineLvl w:val="9"/>
              <w:rPr>
                <w:rFonts w:ascii="仿宋_GB2312" w:hAnsi="仿宋_GB2312" w:eastAsia="仿宋_GB2312" w:cs="仿宋_GB2312"/>
                <w:i/>
                <w:sz w:val="24"/>
              </w:rPr>
            </w:pPr>
          </w:p>
        </w:tc>
        <w:tc>
          <w:tcPr>
            <w:tcW w:w="5421" w:type="dxa"/>
            <w:vAlign w:val="center"/>
          </w:tcPr>
          <w:p>
            <w:pPr>
              <w:spacing w:line="400" w:lineRule="exact"/>
              <w:outlineLvl w:val="9"/>
              <w:rPr>
                <w:rFonts w:ascii="仿宋_GB2312" w:hAnsi="仿宋_GB2312" w:eastAsia="仿宋_GB2312" w:cs="仿宋_GB2312"/>
                <w:sz w:val="24"/>
              </w:rPr>
            </w:pPr>
          </w:p>
        </w:tc>
      </w:tr>
    </w:tbl>
    <w:p>
      <w:pPr>
        <w:outlineLvl w:val="9"/>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2.考核指标完成进度</w:t>
      </w:r>
    </w:p>
    <w:tbl>
      <w:tblPr>
        <w:tblStyle w:val="14"/>
        <w:tblW w:w="89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1"/>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481" w:type="dxa"/>
            <w:vAlign w:val="center"/>
          </w:tcPr>
          <w:p>
            <w:pPr>
              <w:spacing w:line="400" w:lineRule="exact"/>
              <w:jc w:val="center"/>
              <w:outlineLvl w:val="9"/>
              <w:rPr>
                <w:rFonts w:ascii="宋体" w:hAnsi="宋体" w:cs="仿宋_GB2312"/>
                <w:sz w:val="24"/>
              </w:rPr>
            </w:pPr>
            <w:r>
              <w:rPr>
                <w:rFonts w:hint="eastAsia" w:ascii="宋体" w:hAnsi="宋体" w:cs="仿宋_GB2312"/>
                <w:sz w:val="24"/>
              </w:rPr>
              <w:t>约定的考核指标</w:t>
            </w:r>
          </w:p>
        </w:tc>
        <w:tc>
          <w:tcPr>
            <w:tcW w:w="4473" w:type="dxa"/>
            <w:vAlign w:val="center"/>
          </w:tcPr>
          <w:p>
            <w:pPr>
              <w:adjustRightInd w:val="0"/>
              <w:snapToGrid w:val="0"/>
              <w:jc w:val="center"/>
              <w:outlineLvl w:val="9"/>
              <w:rPr>
                <w:rFonts w:ascii="宋体" w:hAnsi="宋体" w:cs="仿宋_GB2312"/>
                <w:sz w:val="24"/>
              </w:rPr>
            </w:pPr>
            <w:r>
              <w:rPr>
                <w:rFonts w:hint="eastAsia" w:ascii="宋体" w:hAnsi="宋体" w:cs="仿宋_GB2312"/>
                <w:sz w:val="24"/>
              </w:rPr>
              <w:t>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4481" w:type="dxa"/>
            <w:vAlign w:val="center"/>
          </w:tcPr>
          <w:p>
            <w:pPr>
              <w:spacing w:line="400" w:lineRule="exact"/>
              <w:outlineLvl w:val="9"/>
              <w:rPr>
                <w:rFonts w:ascii="宋体" w:hAnsi="宋体" w:cs="仿宋_GB2312"/>
                <w:sz w:val="24"/>
              </w:rPr>
            </w:pPr>
            <w:r>
              <w:rPr>
                <w:rFonts w:hint="eastAsia" w:ascii="宋体" w:hAnsi="宋体" w:cs="仿宋_GB2312"/>
                <w:sz w:val="24"/>
              </w:rPr>
              <w:t>1.</w:t>
            </w:r>
          </w:p>
        </w:tc>
        <w:tc>
          <w:tcPr>
            <w:tcW w:w="4473" w:type="dxa"/>
            <w:vAlign w:val="center"/>
          </w:tcPr>
          <w:p>
            <w:pPr>
              <w:spacing w:line="400" w:lineRule="exact"/>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4481" w:type="dxa"/>
            <w:vAlign w:val="center"/>
          </w:tcPr>
          <w:p>
            <w:pPr>
              <w:spacing w:line="400" w:lineRule="exact"/>
              <w:outlineLvl w:val="9"/>
              <w:rPr>
                <w:rFonts w:ascii="宋体" w:hAnsi="宋体" w:cs="仿宋_GB2312"/>
                <w:sz w:val="24"/>
              </w:rPr>
            </w:pPr>
            <w:r>
              <w:rPr>
                <w:rFonts w:hint="eastAsia" w:ascii="宋体" w:hAnsi="宋体" w:cs="仿宋_GB2312"/>
                <w:sz w:val="24"/>
              </w:rPr>
              <w:t>2.…（行数请自行增减）</w:t>
            </w:r>
          </w:p>
        </w:tc>
        <w:tc>
          <w:tcPr>
            <w:tcW w:w="4473" w:type="dxa"/>
            <w:vAlign w:val="center"/>
          </w:tcPr>
          <w:p>
            <w:pPr>
              <w:spacing w:line="400" w:lineRule="exact"/>
              <w:outlineLvl w:val="9"/>
              <w:rPr>
                <w:rFonts w:ascii="宋体" w:hAnsi="宋体" w:cs="仿宋_GB2312"/>
                <w:sz w:val="24"/>
              </w:rPr>
            </w:pPr>
          </w:p>
        </w:tc>
      </w:tr>
    </w:tbl>
    <w:p>
      <w:pPr>
        <w:outlineLvl w:val="9"/>
        <w:rPr>
          <w:rFonts w:ascii="黑体" w:hAnsi="黑体" w:eastAsia="黑体" w:cs="黑体"/>
          <w:b/>
          <w:bCs/>
          <w:sz w:val="32"/>
          <w:szCs w:val="32"/>
        </w:rPr>
        <w:sectPr>
          <w:footerReference r:id="rId30" w:type="default"/>
          <w:footerReference r:id="rId31" w:type="even"/>
          <w:pgSz w:w="11906" w:h="16838"/>
          <w:pgMar w:top="2098" w:right="1474" w:bottom="1984" w:left="1587" w:header="851" w:footer="680" w:gutter="0"/>
          <w:pgNumType w:fmt="decimal"/>
          <w:cols w:space="720" w:num="1"/>
          <w:docGrid w:type="lines" w:linePitch="312" w:charSpace="0"/>
        </w:sectPr>
      </w:pPr>
    </w:p>
    <w:p>
      <w:pPr>
        <w:spacing w:before="156" w:beforeLines="50" w:after="156" w:afterLines="50" w:line="560" w:lineRule="exact"/>
        <w:outlineLvl w:val="9"/>
        <w:rPr>
          <w:rFonts w:ascii="黑体" w:hAnsi="黑体" w:eastAsia="黑体" w:cs="黑体"/>
          <w:b/>
          <w:bCs/>
          <w:sz w:val="32"/>
          <w:szCs w:val="32"/>
        </w:rPr>
      </w:pPr>
      <w:bookmarkStart w:id="1257" w:name="_Toc21632_WPSOffice_Level1"/>
      <w:r>
        <w:rPr>
          <w:rFonts w:hint="eastAsia" w:ascii="黑体" w:hAnsi="黑体" w:eastAsia="黑体" w:cs="黑体"/>
          <w:b/>
          <w:bCs/>
          <w:sz w:val="32"/>
          <w:szCs w:val="32"/>
        </w:rPr>
        <w:t>三、存在的问题和拟解决措施</w:t>
      </w:r>
      <w:bookmarkEnd w:id="1257"/>
    </w:p>
    <w:tbl>
      <w:tblPr>
        <w:tblStyle w:val="14"/>
        <w:tblW w:w="8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6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8" w:hRule="atLeast"/>
          <w:jc w:val="center"/>
        </w:trPr>
        <w:tc>
          <w:tcPr>
            <w:tcW w:w="1798" w:type="dxa"/>
            <w:vAlign w:val="center"/>
          </w:tcPr>
          <w:p>
            <w:pPr>
              <w:spacing w:line="400" w:lineRule="exact"/>
              <w:jc w:val="center"/>
              <w:outlineLvl w:val="9"/>
              <w:rPr>
                <w:rFonts w:ascii="宋体" w:hAnsi="宋体" w:cs="仿宋_GB2312"/>
                <w:sz w:val="24"/>
              </w:rPr>
            </w:pPr>
            <w:r>
              <w:rPr>
                <w:rFonts w:hint="eastAsia" w:ascii="宋体" w:hAnsi="宋体" w:cs="仿宋_GB2312"/>
                <w:sz w:val="24"/>
              </w:rPr>
              <w:t>存在的问题</w:t>
            </w:r>
          </w:p>
        </w:tc>
        <w:tc>
          <w:tcPr>
            <w:tcW w:w="6506" w:type="dxa"/>
            <w:vAlign w:val="center"/>
          </w:tcPr>
          <w:p>
            <w:pPr>
              <w:spacing w:line="440" w:lineRule="exact"/>
              <w:ind w:firstLine="340" w:firstLineChars="200"/>
              <w:outlineLvl w:val="9"/>
              <w:rPr>
                <w:rFonts w:ascii="仿宋_GB2312" w:eastAsia="仿宋_GB2312"/>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4" w:hRule="atLeast"/>
          <w:jc w:val="center"/>
        </w:trPr>
        <w:tc>
          <w:tcPr>
            <w:tcW w:w="1798" w:type="dxa"/>
            <w:vAlign w:val="center"/>
          </w:tcPr>
          <w:p>
            <w:pPr>
              <w:spacing w:line="400" w:lineRule="exact"/>
              <w:jc w:val="center"/>
              <w:outlineLvl w:val="9"/>
              <w:rPr>
                <w:rFonts w:ascii="宋体" w:hAnsi="宋体" w:cs="仿宋_GB2312"/>
                <w:sz w:val="24"/>
              </w:rPr>
            </w:pPr>
            <w:r>
              <w:rPr>
                <w:rFonts w:hint="eastAsia" w:ascii="宋体" w:hAnsi="宋体" w:cs="仿宋_GB2312"/>
                <w:sz w:val="24"/>
              </w:rPr>
              <w:t>拟解决措施</w:t>
            </w:r>
          </w:p>
        </w:tc>
        <w:tc>
          <w:tcPr>
            <w:tcW w:w="6506" w:type="dxa"/>
            <w:vAlign w:val="center"/>
          </w:tcPr>
          <w:p>
            <w:pPr>
              <w:spacing w:line="440" w:lineRule="exact"/>
              <w:ind w:firstLine="480" w:firstLineChars="200"/>
              <w:outlineLvl w:val="9"/>
              <w:rPr>
                <w:rFonts w:ascii="黑体" w:hAnsi="宋体" w:eastAsia="黑体"/>
                <w:sz w:val="24"/>
              </w:rPr>
            </w:pPr>
          </w:p>
        </w:tc>
      </w:tr>
    </w:tbl>
    <w:p>
      <w:pPr>
        <w:outlineLvl w:val="9"/>
        <w:rPr>
          <w:rFonts w:ascii="黑体" w:hAnsi="黑体" w:eastAsia="黑体" w:cs="黑体"/>
          <w:b/>
          <w:bCs/>
          <w:sz w:val="32"/>
          <w:szCs w:val="32"/>
        </w:rPr>
      </w:pPr>
      <w:r>
        <w:rPr>
          <w:rFonts w:hint="eastAsia" w:ascii="黑体" w:hAnsi="黑体" w:eastAsia="黑体" w:cs="黑体"/>
          <w:b/>
          <w:bCs/>
          <w:sz w:val="32"/>
          <w:szCs w:val="32"/>
        </w:rPr>
        <w:br w:type="page"/>
      </w:r>
      <w:bookmarkStart w:id="1258" w:name="_Toc6102_WPSOffice_Level1"/>
      <w:r>
        <w:rPr>
          <w:rFonts w:hint="eastAsia" w:ascii="黑体" w:hAnsi="黑体" w:eastAsia="黑体" w:cs="黑体"/>
          <w:b/>
          <w:bCs/>
          <w:sz w:val="32"/>
          <w:szCs w:val="32"/>
        </w:rPr>
        <w:t>四、聘任人员承诺及所在单位审查意见</w:t>
      </w:r>
      <w:bookmarkEnd w:id="1258"/>
    </w:p>
    <w:tbl>
      <w:tblPr>
        <w:tblStyle w:val="14"/>
        <w:tblW w:w="87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8" w:hRule="atLeast"/>
          <w:jc w:val="center"/>
        </w:trPr>
        <w:tc>
          <w:tcPr>
            <w:tcW w:w="8721" w:type="dxa"/>
          </w:tcPr>
          <w:p>
            <w:pPr>
              <w:spacing w:line="400" w:lineRule="exact"/>
              <w:jc w:val="center"/>
              <w:outlineLvl w:val="9"/>
              <w:rPr>
                <w:rFonts w:ascii="宋体" w:hAnsi="宋体" w:cs="仿宋_GB2312"/>
                <w:sz w:val="24"/>
              </w:rPr>
            </w:pPr>
            <w:r>
              <w:rPr>
                <w:rFonts w:hint="eastAsia" w:ascii="宋体" w:hAnsi="宋体" w:cs="仿宋_GB2312"/>
                <w:sz w:val="24"/>
              </w:rPr>
              <w:t>承诺：</w:t>
            </w:r>
          </w:p>
          <w:p>
            <w:pPr>
              <w:spacing w:line="400" w:lineRule="exact"/>
              <w:ind w:firstLine="480" w:firstLineChars="200"/>
              <w:jc w:val="center"/>
              <w:outlineLvl w:val="9"/>
              <w:rPr>
                <w:rFonts w:ascii="宋体" w:hAnsi="宋体" w:cs="仿宋_GB2312"/>
                <w:sz w:val="24"/>
              </w:rPr>
            </w:pPr>
            <w:r>
              <w:rPr>
                <w:rFonts w:hint="eastAsia" w:ascii="宋体" w:hAnsi="宋体" w:cs="仿宋_GB2312"/>
                <w:sz w:val="24"/>
              </w:rPr>
              <w:t>《年度执行情况报告》及附件的内容、数据信息和佐证材料真实可靠；如有失实，本人愿承担相关责任。</w:t>
            </w:r>
          </w:p>
          <w:p>
            <w:pPr>
              <w:spacing w:line="400" w:lineRule="exact"/>
              <w:ind w:firstLine="480" w:firstLineChars="200"/>
              <w:jc w:val="center"/>
              <w:outlineLvl w:val="9"/>
              <w:rPr>
                <w:rFonts w:ascii="宋体" w:hAnsi="宋体" w:cs="仿宋_GB2312"/>
                <w:sz w:val="24"/>
              </w:rPr>
            </w:pPr>
          </w:p>
          <w:p>
            <w:pPr>
              <w:spacing w:line="400" w:lineRule="exact"/>
              <w:ind w:firstLine="480" w:firstLineChars="200"/>
              <w:jc w:val="center"/>
              <w:outlineLvl w:val="9"/>
              <w:rPr>
                <w:rFonts w:ascii="宋体" w:hAnsi="宋体" w:cs="仿宋_GB2312"/>
                <w:sz w:val="24"/>
              </w:rPr>
            </w:pPr>
          </w:p>
          <w:p>
            <w:pPr>
              <w:spacing w:line="400" w:lineRule="exact"/>
              <w:ind w:firstLine="480" w:firstLineChars="200"/>
              <w:jc w:val="center"/>
              <w:outlineLvl w:val="9"/>
              <w:rPr>
                <w:rFonts w:ascii="宋体" w:hAnsi="宋体" w:cs="仿宋_GB2312"/>
                <w:sz w:val="24"/>
              </w:rPr>
            </w:pPr>
          </w:p>
          <w:p>
            <w:pPr>
              <w:spacing w:line="400" w:lineRule="exact"/>
              <w:jc w:val="center"/>
              <w:outlineLvl w:val="9"/>
              <w:rPr>
                <w:rFonts w:ascii="宋体" w:hAnsi="宋体" w:cs="仿宋_GB2312"/>
                <w:sz w:val="24"/>
              </w:rPr>
            </w:pPr>
            <w:r>
              <w:rPr>
                <w:rFonts w:hint="eastAsia" w:ascii="宋体" w:hAnsi="宋体" w:cs="仿宋_GB2312"/>
                <w:sz w:val="24"/>
              </w:rPr>
              <w:t xml:space="preserve">                                             聘任人签字：</w:t>
            </w:r>
          </w:p>
          <w:p>
            <w:pPr>
              <w:spacing w:line="400" w:lineRule="exact"/>
              <w:ind w:firstLine="7200" w:firstLineChars="3000"/>
              <w:jc w:val="center"/>
              <w:outlineLvl w:val="9"/>
              <w:rPr>
                <w:rFonts w:ascii="宋体" w:hAnsi="宋体" w:cs="仿宋_GB2312"/>
                <w:sz w:val="24"/>
              </w:rPr>
            </w:pPr>
            <w:r>
              <w:rPr>
                <w:rFonts w:hint="eastAsia" w:ascii="宋体" w:hAnsi="宋体" w:cs="仿宋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8" w:hRule="atLeast"/>
          <w:jc w:val="center"/>
        </w:trPr>
        <w:tc>
          <w:tcPr>
            <w:tcW w:w="8721" w:type="dxa"/>
          </w:tcPr>
          <w:p>
            <w:pPr>
              <w:spacing w:line="400" w:lineRule="exact"/>
              <w:jc w:val="center"/>
              <w:outlineLvl w:val="9"/>
              <w:rPr>
                <w:rFonts w:ascii="宋体" w:hAnsi="宋体" w:cs="仿宋_GB2312"/>
                <w:sz w:val="24"/>
              </w:rPr>
            </w:pPr>
            <w:r>
              <w:rPr>
                <w:rFonts w:hint="eastAsia" w:ascii="宋体" w:hAnsi="宋体" w:cs="仿宋_GB2312"/>
                <w:sz w:val="24"/>
              </w:rPr>
              <w:t>所在单位审查意见：</w:t>
            </w:r>
          </w:p>
          <w:p>
            <w:pPr>
              <w:spacing w:line="400" w:lineRule="exact"/>
              <w:jc w:val="center"/>
              <w:outlineLvl w:val="9"/>
              <w:rPr>
                <w:rFonts w:ascii="宋体" w:hAnsi="宋体" w:cs="仿宋_GB2312"/>
                <w:sz w:val="24"/>
              </w:rPr>
            </w:pPr>
          </w:p>
          <w:p>
            <w:pPr>
              <w:spacing w:line="400" w:lineRule="exact"/>
              <w:jc w:val="center"/>
              <w:outlineLvl w:val="9"/>
              <w:rPr>
                <w:rFonts w:ascii="宋体" w:hAnsi="宋体" w:cs="仿宋_GB2312"/>
                <w:sz w:val="24"/>
              </w:rPr>
            </w:pPr>
          </w:p>
          <w:p>
            <w:pPr>
              <w:spacing w:line="400" w:lineRule="exact"/>
              <w:jc w:val="center"/>
              <w:outlineLvl w:val="9"/>
              <w:rPr>
                <w:rFonts w:ascii="宋体" w:hAnsi="宋体" w:cs="仿宋_GB2312"/>
                <w:sz w:val="24"/>
              </w:rPr>
            </w:pPr>
          </w:p>
          <w:p>
            <w:pPr>
              <w:spacing w:line="400" w:lineRule="exact"/>
              <w:jc w:val="center"/>
              <w:outlineLvl w:val="9"/>
              <w:rPr>
                <w:rFonts w:ascii="宋体" w:hAnsi="宋体" w:cs="仿宋_GB2312"/>
                <w:sz w:val="24"/>
              </w:rPr>
            </w:pPr>
          </w:p>
          <w:p>
            <w:pPr>
              <w:spacing w:line="400" w:lineRule="exact"/>
              <w:jc w:val="center"/>
              <w:outlineLvl w:val="9"/>
              <w:rPr>
                <w:rFonts w:ascii="宋体" w:hAnsi="宋体" w:cs="仿宋_GB2312"/>
                <w:sz w:val="24"/>
              </w:rPr>
            </w:pPr>
          </w:p>
          <w:p>
            <w:pPr>
              <w:spacing w:line="400" w:lineRule="exact"/>
              <w:jc w:val="center"/>
              <w:outlineLvl w:val="9"/>
              <w:rPr>
                <w:rFonts w:ascii="宋体" w:hAnsi="宋体" w:cs="仿宋_GB2312"/>
                <w:sz w:val="24"/>
              </w:rPr>
            </w:pPr>
          </w:p>
          <w:p>
            <w:pPr>
              <w:spacing w:line="400" w:lineRule="exact"/>
              <w:ind w:right="720"/>
              <w:jc w:val="center"/>
              <w:outlineLvl w:val="9"/>
              <w:rPr>
                <w:rFonts w:ascii="宋体" w:hAnsi="宋体" w:cs="仿宋_GB2312"/>
                <w:sz w:val="24"/>
              </w:rPr>
            </w:pPr>
            <w:r>
              <w:rPr>
                <w:rFonts w:hint="eastAsia" w:ascii="宋体" w:hAnsi="宋体" w:cs="仿宋_GB2312"/>
                <w:sz w:val="24"/>
              </w:rPr>
              <w:t xml:space="preserve">                                             （项目所在单位盖章）</w:t>
            </w:r>
          </w:p>
          <w:p>
            <w:pPr>
              <w:spacing w:line="400" w:lineRule="exact"/>
              <w:ind w:firstLine="6360" w:firstLineChars="2650"/>
              <w:jc w:val="center"/>
              <w:outlineLvl w:val="9"/>
              <w:rPr>
                <w:rFonts w:ascii="宋体" w:hAnsi="宋体" w:cs="仿宋_GB2312"/>
                <w:sz w:val="24"/>
              </w:rPr>
            </w:pPr>
            <w:r>
              <w:rPr>
                <w:rFonts w:hint="eastAsia" w:ascii="宋体" w:hAnsi="宋体" w:cs="仿宋_GB2312"/>
                <w:sz w:val="24"/>
              </w:rPr>
              <w:t>年    月    日</w:t>
            </w:r>
          </w:p>
        </w:tc>
      </w:tr>
    </w:tbl>
    <w:p>
      <w:pPr>
        <w:widowControl/>
        <w:jc w:val="left"/>
        <w:outlineLvl w:val="9"/>
        <w:rPr>
          <w:rFonts w:ascii="黑体" w:hAnsi="黑体" w:eastAsia="黑体"/>
          <w:b/>
          <w:sz w:val="32"/>
          <w:szCs w:val="32"/>
        </w:rPr>
      </w:pPr>
    </w:p>
    <w:p>
      <w:pPr>
        <w:outlineLvl w:val="9"/>
        <w:rPr>
          <w:rFonts w:ascii="黑体" w:hAnsi="黑体" w:eastAsia="黑体" w:cs="黑体"/>
          <w:b/>
          <w:bCs/>
          <w:sz w:val="32"/>
          <w:szCs w:val="32"/>
        </w:rPr>
      </w:pPr>
    </w:p>
    <w:p>
      <w:pPr>
        <w:spacing w:before="156" w:beforeLines="50" w:after="156" w:afterLines="50" w:line="560" w:lineRule="exact"/>
        <w:outlineLvl w:val="9"/>
        <w:rPr>
          <w:rFonts w:ascii="黑体" w:hAnsi="黑体" w:eastAsia="黑体" w:cs="黑体"/>
          <w:b/>
          <w:bCs/>
          <w:sz w:val="32"/>
          <w:szCs w:val="32"/>
        </w:rPr>
      </w:pPr>
      <w:bookmarkStart w:id="1259" w:name="_Toc16433_WPSOffice_Level1"/>
      <w:r>
        <w:rPr>
          <w:rFonts w:hint="eastAsia" w:ascii="黑体" w:hAnsi="黑体" w:eastAsia="黑体" w:cs="黑体"/>
          <w:b/>
          <w:bCs/>
          <w:sz w:val="32"/>
          <w:szCs w:val="32"/>
        </w:rPr>
        <w:t>五、附件</w:t>
      </w:r>
      <w:r>
        <w:rPr>
          <w:rFonts w:hint="eastAsia" w:ascii="宋体" w:hAnsi="宋体" w:cs="仿宋_GB2312"/>
          <w:sz w:val="24"/>
        </w:rPr>
        <w:t>（有多项材料的需列目录）</w:t>
      </w:r>
      <w:bookmarkEnd w:id="1259"/>
    </w:p>
    <w:p>
      <w:pPr>
        <w:spacing w:line="480" w:lineRule="auto"/>
        <w:outlineLvl w:val="9"/>
        <w:rPr>
          <w:rFonts w:hint="eastAsia" w:ascii="仿宋_GB2312" w:eastAsia="仿宋_GB2312"/>
          <w:sz w:val="32"/>
          <w:szCs w:val="32"/>
        </w:rPr>
      </w:pPr>
      <w:r>
        <w:rPr>
          <w:rFonts w:eastAsia="黑体"/>
          <w:sz w:val="36"/>
        </w:rPr>
        <w:t>附件4：</w:t>
      </w:r>
    </w:p>
    <w:p>
      <w:pPr>
        <w:spacing w:line="480" w:lineRule="auto"/>
        <w:outlineLvl w:val="9"/>
        <w:rPr>
          <w:rFonts w:hint="eastAsia" w:eastAsia="仿宋_GB2312"/>
          <w:b/>
        </w:rPr>
      </w:pPr>
    </w:p>
    <w:p>
      <w:pPr>
        <w:spacing w:before="312" w:beforeLines="100" w:after="312" w:afterLines="100" w:line="480" w:lineRule="auto"/>
        <w:jc w:val="center"/>
        <w:outlineLvl w:val="9"/>
        <w:rPr>
          <w:rFonts w:hint="eastAsia" w:ascii="方正小标宋简体" w:eastAsia="方正小标宋简体"/>
          <w:b/>
          <w:bCs/>
          <w:spacing w:val="85"/>
          <w:sz w:val="44"/>
          <w:szCs w:val="44"/>
        </w:rPr>
      </w:pPr>
      <w:r>
        <w:rPr>
          <w:rFonts w:hint="eastAsia" w:ascii="方正小标宋简体" w:eastAsia="方正小标宋简体"/>
          <w:b/>
          <w:bCs/>
          <w:spacing w:val="85"/>
          <w:sz w:val="44"/>
          <w:szCs w:val="44"/>
        </w:rPr>
        <w:t>柳州职业技术学院专职科研</w:t>
      </w:r>
    </w:p>
    <w:p>
      <w:pPr>
        <w:spacing w:before="312" w:beforeLines="100" w:after="312" w:afterLines="100" w:line="480" w:lineRule="auto"/>
        <w:jc w:val="center"/>
        <w:outlineLvl w:val="9"/>
        <w:rPr>
          <w:rFonts w:ascii="方正小标宋简体" w:eastAsia="方正小标宋简体"/>
          <w:b/>
          <w:bCs/>
          <w:spacing w:val="85"/>
          <w:sz w:val="44"/>
          <w:szCs w:val="44"/>
        </w:rPr>
      </w:pPr>
      <w:r>
        <w:rPr>
          <w:rFonts w:hint="eastAsia" w:ascii="方正小标宋简体" w:eastAsia="方正小标宋简体"/>
          <w:b/>
          <w:bCs/>
          <w:spacing w:val="85"/>
          <w:sz w:val="44"/>
          <w:szCs w:val="44"/>
        </w:rPr>
        <w:t>岗位聘期考核表</w:t>
      </w:r>
    </w:p>
    <w:p>
      <w:pPr>
        <w:outlineLvl w:val="9"/>
        <w:rPr>
          <w:rFonts w:ascii="方正小标宋简体" w:eastAsia="方正小标宋简体"/>
          <w:sz w:val="36"/>
        </w:rPr>
      </w:pPr>
    </w:p>
    <w:p>
      <w:pPr>
        <w:spacing w:line="480" w:lineRule="auto"/>
        <w:outlineLvl w:val="9"/>
        <w:rPr>
          <w:rFonts w:ascii="方正小标宋简体" w:eastAsia="方正小标宋简体"/>
          <w:sz w:val="36"/>
        </w:rPr>
      </w:pPr>
    </w:p>
    <w:p>
      <w:pPr>
        <w:spacing w:line="1000" w:lineRule="exact"/>
        <w:ind w:left="840" w:leftChars="400"/>
        <w:outlineLvl w:val="9"/>
        <w:rPr>
          <w:rFonts w:ascii="楷体_GB2312" w:hAnsi="楷体_GB2312" w:eastAsia="楷体_GB2312" w:cs="楷体_GB2312"/>
          <w:sz w:val="32"/>
          <w:szCs w:val="32"/>
          <w:u w:val="single"/>
        </w:rPr>
      </w:pPr>
      <w:r>
        <w:rPr>
          <w:rFonts w:hint="eastAsia" w:ascii="楷体_GB2312" w:hAnsi="楷体_GB2312" w:eastAsia="楷体_GB2312" w:cs="楷体_GB2312"/>
          <w:sz w:val="32"/>
          <w:szCs w:val="32"/>
        </w:rPr>
        <w:t>聘任人员：</w:t>
      </w:r>
      <w:r>
        <w:rPr>
          <w:rFonts w:hint="eastAsia" w:ascii="楷体_GB2312" w:hAnsi="楷体_GB2312" w:eastAsia="楷体_GB2312" w:cs="楷体_GB2312"/>
          <w:sz w:val="32"/>
          <w:szCs w:val="32"/>
          <w:u w:val="single"/>
        </w:rPr>
        <w:t xml:space="preserve">                            </w:t>
      </w:r>
    </w:p>
    <w:p>
      <w:pPr>
        <w:spacing w:line="1000" w:lineRule="exact"/>
        <w:ind w:left="840" w:leftChars="400"/>
        <w:outlineLvl w:val="9"/>
        <w:rPr>
          <w:rFonts w:ascii="楷体_GB2312" w:hAnsi="楷体_GB2312" w:eastAsia="楷体_GB2312" w:cs="楷体_GB2312"/>
          <w:sz w:val="32"/>
          <w:szCs w:val="32"/>
        </w:rPr>
      </w:pPr>
      <w:r>
        <w:rPr>
          <w:rFonts w:hint="eastAsia" w:ascii="楷体_GB2312" w:hAnsi="楷体_GB2312" w:eastAsia="楷体_GB2312" w:cs="楷体_GB2312"/>
          <w:sz w:val="32"/>
          <w:szCs w:val="32"/>
        </w:rPr>
        <w:t>所在部门：</w:t>
      </w:r>
      <w:r>
        <w:rPr>
          <w:rFonts w:hint="eastAsia" w:ascii="楷体_GB2312" w:hAnsi="楷体_GB2312" w:eastAsia="楷体_GB2312" w:cs="楷体_GB2312"/>
          <w:sz w:val="32"/>
          <w:szCs w:val="32"/>
          <w:u w:val="single"/>
        </w:rPr>
        <w:t xml:space="preserve">                             </w:t>
      </w:r>
    </w:p>
    <w:p>
      <w:pPr>
        <w:spacing w:line="1000" w:lineRule="exact"/>
        <w:ind w:left="840" w:leftChars="400"/>
        <w:outlineLvl w:val="9"/>
        <w:rPr>
          <w:rFonts w:ascii="楷体_GB2312" w:hAnsi="楷体_GB2312" w:eastAsia="楷体_GB2312" w:cs="楷体_GB2312"/>
          <w:sz w:val="32"/>
          <w:szCs w:val="32"/>
        </w:rPr>
      </w:pPr>
      <w:r>
        <w:rPr>
          <w:rFonts w:hint="eastAsia" w:ascii="楷体_GB2312" w:hAnsi="楷体_GB2312" w:eastAsia="楷体_GB2312" w:cs="楷体_GB2312"/>
          <w:sz w:val="32"/>
          <w:szCs w:val="32"/>
        </w:rPr>
        <w:t>聘任起止时间：</w:t>
      </w:r>
      <w:r>
        <w:rPr>
          <w:rFonts w:hint="eastAsia" w:ascii="楷体_GB2312" w:hAnsi="楷体_GB2312" w:eastAsia="楷体_GB2312" w:cs="楷体_GB2312"/>
          <w:sz w:val="32"/>
          <w:szCs w:val="32"/>
          <w:u w:val="single"/>
        </w:rPr>
        <w:t xml:space="preserve">     年   月至      年    月</w:t>
      </w:r>
    </w:p>
    <w:p>
      <w:pPr>
        <w:spacing w:before="156" w:beforeLines="50" w:after="156" w:afterLines="50" w:line="560" w:lineRule="exact"/>
        <w:outlineLvl w:val="9"/>
        <w:rPr>
          <w:rFonts w:ascii="黑体" w:hAnsi="黑体" w:eastAsia="黑体" w:cs="黑体"/>
          <w:b/>
          <w:bCs/>
          <w:sz w:val="32"/>
          <w:szCs w:val="32"/>
        </w:rPr>
        <w:sectPr>
          <w:footerReference r:id="rId32" w:type="default"/>
          <w:pgSz w:w="11906" w:h="16838"/>
          <w:pgMar w:top="1440" w:right="1800" w:bottom="1440" w:left="1800" w:header="851" w:footer="992" w:gutter="0"/>
          <w:pgNumType w:fmt="decimal"/>
          <w:cols w:space="720" w:num="1"/>
          <w:docGrid w:type="lines" w:linePitch="312" w:charSpace="0"/>
        </w:sectPr>
      </w:pPr>
    </w:p>
    <w:tbl>
      <w:tblPr>
        <w:tblStyle w:val="14"/>
        <w:tblW w:w="92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3"/>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jc w:val="center"/>
        </w:trPr>
        <w:tc>
          <w:tcPr>
            <w:tcW w:w="5583" w:type="dxa"/>
            <w:vAlign w:val="center"/>
          </w:tcPr>
          <w:p>
            <w:pPr>
              <w:outlineLvl w:val="9"/>
              <w:rPr>
                <w:rFonts w:hint="eastAsia" w:ascii="宋体" w:hAnsi="宋体"/>
                <w:sz w:val="24"/>
              </w:rPr>
            </w:pPr>
            <w:r>
              <w:rPr>
                <w:rFonts w:hint="eastAsia" w:ascii="宋体" w:hAnsi="宋体"/>
                <w:sz w:val="24"/>
              </w:rPr>
              <w:t>约定的项目实施起止时间</w:t>
            </w:r>
          </w:p>
        </w:tc>
        <w:tc>
          <w:tcPr>
            <w:tcW w:w="3653" w:type="dxa"/>
            <w:vAlign w:val="center"/>
          </w:tcPr>
          <w:p>
            <w:pPr>
              <w:outlineLvl w:val="9"/>
              <w:rPr>
                <w:rFonts w:hint="eastAsia" w:ascii="宋体" w:hAnsi="宋体"/>
                <w:sz w:val="24"/>
              </w:rPr>
            </w:pPr>
            <w:r>
              <w:rPr>
                <w:rFonts w:hint="eastAsia" w:ascii="宋体" w:hAnsi="宋体"/>
                <w:sz w:val="24"/>
              </w:rPr>
              <w:t>　　年　月  －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236" w:type="dxa"/>
            <w:gridSpan w:val="2"/>
            <w:vAlign w:val="center"/>
          </w:tcPr>
          <w:p>
            <w:pPr>
              <w:jc w:val="center"/>
              <w:outlineLvl w:val="9"/>
              <w:rPr>
                <w:rFonts w:hint="eastAsia" w:ascii="宋体" w:hAnsi="宋体"/>
                <w:sz w:val="24"/>
              </w:rPr>
            </w:pPr>
            <w:r>
              <w:rPr>
                <w:rFonts w:hint="eastAsia" w:ascii="宋体" w:hAnsi="宋体"/>
                <w:sz w:val="24"/>
              </w:rPr>
              <w:t>约定的目标任务与技术经济指标完成情况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42" w:hRule="atLeast"/>
          <w:jc w:val="center"/>
        </w:trPr>
        <w:tc>
          <w:tcPr>
            <w:tcW w:w="9236" w:type="dxa"/>
            <w:gridSpan w:val="2"/>
          </w:tcPr>
          <w:p>
            <w:pPr>
              <w:spacing w:line="400" w:lineRule="exact"/>
              <w:jc w:val="left"/>
              <w:outlineLvl w:val="9"/>
              <w:rPr>
                <w:rFonts w:hint="eastAsia" w:ascii="宋体" w:hAnsi="宋体" w:cs="仿宋_GB2312"/>
                <w:sz w:val="24"/>
              </w:rPr>
            </w:pPr>
            <w:r>
              <w:rPr>
                <w:rFonts w:hint="eastAsia" w:ascii="宋体" w:hAnsi="宋体" w:cs="仿宋_GB2312"/>
                <w:sz w:val="24"/>
              </w:rPr>
              <w:t>一、总体目标和主要任务完成情况概述（不超过800字）</w:t>
            </w:r>
          </w:p>
          <w:p>
            <w:pPr>
              <w:spacing w:line="400" w:lineRule="exact"/>
              <w:jc w:val="left"/>
              <w:outlineLvl w:val="9"/>
              <w:rPr>
                <w:rFonts w:hint="eastAsia" w:ascii="宋体" w:hAnsi="宋体" w:cs="仿宋_GB2312"/>
                <w:sz w:val="24"/>
              </w:rPr>
            </w:pPr>
          </w:p>
          <w:p>
            <w:pPr>
              <w:spacing w:line="400" w:lineRule="exact"/>
              <w:jc w:val="left"/>
              <w:outlineLvl w:val="9"/>
              <w:rPr>
                <w:rFonts w:hint="eastAsia" w:ascii="宋体" w:hAnsi="宋体" w:cs="仿宋_GB2312"/>
                <w:sz w:val="24"/>
              </w:rPr>
            </w:pPr>
          </w:p>
          <w:p>
            <w:pPr>
              <w:spacing w:line="400" w:lineRule="exact"/>
              <w:jc w:val="left"/>
              <w:outlineLvl w:val="9"/>
              <w:rPr>
                <w:rFonts w:hint="eastAsia" w:ascii="宋体" w:hAnsi="宋体" w:cs="仿宋_GB2312"/>
                <w:sz w:val="24"/>
              </w:rPr>
            </w:pPr>
          </w:p>
          <w:p>
            <w:pPr>
              <w:spacing w:line="400" w:lineRule="exact"/>
              <w:jc w:val="left"/>
              <w:outlineLvl w:val="9"/>
              <w:rPr>
                <w:rFonts w:hint="eastAsia" w:ascii="宋体" w:hAnsi="宋体" w:cs="仿宋_GB2312"/>
                <w:sz w:val="24"/>
              </w:rPr>
            </w:pPr>
            <w:r>
              <w:rPr>
                <w:rFonts w:hint="eastAsia" w:ascii="宋体" w:hAnsi="宋体" w:cs="仿宋_GB2312"/>
                <w:sz w:val="24"/>
              </w:rPr>
              <w:t>二、考核指标完成情况</w:t>
            </w:r>
          </w:p>
          <w:tbl>
            <w:tblPr>
              <w:tblStyle w:val="14"/>
              <w:tblW w:w="90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3351"/>
              <w:gridCol w:w="2814"/>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616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outlineLvl w:val="9"/>
                    <w:rPr>
                      <w:rFonts w:ascii="宋体" w:hAnsi="宋体" w:cs="仿宋_GB2312"/>
                      <w:sz w:val="24"/>
                    </w:rPr>
                  </w:pPr>
                  <w:r>
                    <w:rPr>
                      <w:rFonts w:hint="eastAsia" w:ascii="宋体" w:hAnsi="宋体" w:cs="仿宋_GB2312"/>
                      <w:sz w:val="24"/>
                    </w:rPr>
                    <w:t>成果形式</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center"/>
                    <w:outlineLvl w:val="9"/>
                    <w:rPr>
                      <w:rFonts w:ascii="宋体" w:hAnsi="宋体" w:cs="仿宋_GB2312"/>
                      <w:sz w:val="24"/>
                    </w:rPr>
                  </w:pPr>
                  <w:r>
                    <w:rPr>
                      <w:rFonts w:hint="eastAsia" w:ascii="宋体" w:hAnsi="宋体" w:cs="仿宋_GB2312"/>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r>
                    <w:rPr>
                      <w:rFonts w:hint="eastAsia" w:ascii="宋体" w:hAnsi="宋体" w:cs="仿宋_GB2312"/>
                      <w:sz w:val="24"/>
                    </w:rPr>
                    <w:t>科研项目(项)</w:t>
                  </w: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pacing w:val="-4"/>
                      <w:sz w:val="24"/>
                    </w:rPr>
                  </w:pPr>
                  <w:r>
                    <w:rPr>
                      <w:rFonts w:hint="eastAsia" w:ascii="宋体" w:hAnsi="宋体" w:cs="仿宋_GB2312"/>
                      <w:sz w:val="24"/>
                    </w:rPr>
                    <w:t>国家级</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outlineLvl w:val="9"/>
                    <w:rPr>
                      <w:rFonts w:ascii="宋体" w:hAnsi="宋体" w:cs="仿宋_GB2312"/>
                      <w:sz w:val="24"/>
                    </w:rPr>
                  </w:pP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r>
                    <w:rPr>
                      <w:rFonts w:hint="eastAsia" w:ascii="宋体" w:hAnsi="宋体" w:cs="仿宋_GB2312"/>
                      <w:sz w:val="24"/>
                    </w:rPr>
                    <w:t>省部级</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vMerge w:val="restart"/>
                  <w:tcBorders>
                    <w:top w:val="single" w:color="auto" w:sz="4" w:space="0"/>
                    <w:left w:val="single" w:color="auto" w:sz="4" w:space="0"/>
                    <w:right w:val="single" w:color="auto" w:sz="4" w:space="0"/>
                  </w:tcBorders>
                  <w:vAlign w:val="center"/>
                </w:tcPr>
                <w:p>
                  <w:pPr>
                    <w:snapToGrid w:val="0"/>
                    <w:jc w:val="left"/>
                    <w:outlineLvl w:val="9"/>
                    <w:rPr>
                      <w:rFonts w:ascii="宋体" w:hAnsi="宋体" w:cs="仿宋_GB2312"/>
                      <w:sz w:val="24"/>
                    </w:rPr>
                  </w:pPr>
                  <w:r>
                    <w:rPr>
                      <w:rFonts w:hint="eastAsia" w:ascii="宋体" w:hAnsi="宋体" w:cs="仿宋_GB2312"/>
                      <w:spacing w:val="-4"/>
                      <w:sz w:val="24"/>
                    </w:rPr>
                    <w:t>论文论著(篇)</w:t>
                  </w: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r>
                    <w:rPr>
                      <w:rFonts w:hint="eastAsia" w:ascii="宋体" w:hAnsi="宋体" w:cs="仿宋_GB2312"/>
                      <w:sz w:val="24"/>
                    </w:rPr>
                    <w:t>中文核心及以上</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vMerge w:val="continue"/>
                  <w:tcBorders>
                    <w:left w:val="single" w:color="auto" w:sz="4" w:space="0"/>
                    <w:bottom w:val="single" w:color="auto" w:sz="4" w:space="0"/>
                    <w:right w:val="single" w:color="auto" w:sz="4" w:space="0"/>
                  </w:tcBorders>
                  <w:vAlign w:val="center"/>
                </w:tcPr>
                <w:p>
                  <w:pPr>
                    <w:widowControl/>
                    <w:snapToGrid w:val="0"/>
                    <w:jc w:val="left"/>
                    <w:outlineLvl w:val="9"/>
                    <w:rPr>
                      <w:rFonts w:ascii="宋体" w:hAnsi="宋体" w:cs="仿宋_GB2312"/>
                      <w:sz w:val="24"/>
                    </w:rPr>
                  </w:pP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hint="eastAsia" w:ascii="宋体" w:hAnsi="宋体" w:cs="仿宋_GB2312"/>
                      <w:sz w:val="24"/>
                    </w:rPr>
                  </w:pPr>
                  <w:r>
                    <w:rPr>
                      <w:rFonts w:hint="eastAsia" w:ascii="宋体" w:hAnsi="宋体" w:cs="仿宋_GB2312"/>
                      <w:sz w:val="24"/>
                    </w:rPr>
                    <w:t>学术专著</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tcBorders>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r>
                    <w:rPr>
                      <w:rFonts w:hint="eastAsia" w:ascii="宋体" w:hAnsi="宋体" w:cs="仿宋_GB2312"/>
                      <w:sz w:val="24"/>
                    </w:rPr>
                    <w:t>发明专利(项)</w:t>
                  </w: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hint="eastAsia" w:ascii="宋体" w:hAnsi="宋体" w:cs="仿宋_GB2312"/>
                      <w:sz w:val="24"/>
                    </w:rPr>
                  </w:pPr>
                  <w:r>
                    <w:rPr>
                      <w:rFonts w:ascii="宋体" w:hAnsi="宋体" w:cs="仿宋_GB2312"/>
                      <w:sz w:val="24"/>
                    </w:rPr>
                    <w:t>授权</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vMerge w:val="restart"/>
                  <w:tcBorders>
                    <w:top w:val="single" w:color="auto" w:sz="4" w:space="0"/>
                    <w:left w:val="single" w:color="auto" w:sz="4" w:space="0"/>
                    <w:right w:val="single" w:color="auto" w:sz="4" w:space="0"/>
                  </w:tcBorders>
                  <w:vAlign w:val="center"/>
                </w:tcPr>
                <w:p>
                  <w:pPr>
                    <w:autoSpaceDE w:val="0"/>
                    <w:autoSpaceDN w:val="0"/>
                    <w:snapToGrid w:val="0"/>
                    <w:outlineLvl w:val="9"/>
                    <w:rPr>
                      <w:rFonts w:ascii="宋体" w:hAnsi="宋体" w:cs="仿宋_GB2312"/>
                      <w:sz w:val="24"/>
                    </w:rPr>
                  </w:pPr>
                  <w:r>
                    <w:rPr>
                      <w:rFonts w:hint="eastAsia" w:ascii="宋体" w:hAnsi="宋体" w:cs="仿宋_GB2312"/>
                      <w:sz w:val="24"/>
                    </w:rPr>
                    <w:t>经费到账金额（万元）</w:t>
                  </w: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r>
                    <w:rPr>
                      <w:rFonts w:ascii="宋体" w:hAnsi="宋体" w:cs="仿宋_GB2312"/>
                      <w:sz w:val="24"/>
                    </w:rPr>
                    <w:t>纵向</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vMerge w:val="continue"/>
                  <w:tcBorders>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r>
                    <w:rPr>
                      <w:rFonts w:ascii="宋体" w:hAnsi="宋体" w:cs="仿宋_GB2312"/>
                      <w:sz w:val="24"/>
                    </w:rPr>
                    <w:t>横向</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vMerge w:val="restart"/>
                  <w:tcBorders>
                    <w:top w:val="single" w:color="auto" w:sz="4" w:space="0"/>
                    <w:left w:val="single" w:color="auto" w:sz="4" w:space="0"/>
                    <w:right w:val="single" w:color="auto" w:sz="4" w:space="0"/>
                  </w:tcBorders>
                  <w:vAlign w:val="center"/>
                </w:tcPr>
                <w:p>
                  <w:pPr>
                    <w:autoSpaceDE w:val="0"/>
                    <w:autoSpaceDN w:val="0"/>
                    <w:snapToGrid w:val="0"/>
                    <w:outlineLvl w:val="9"/>
                    <w:rPr>
                      <w:rFonts w:ascii="宋体" w:hAnsi="宋体" w:cs="仿宋_GB2312"/>
                      <w:sz w:val="24"/>
                    </w:rPr>
                  </w:pPr>
                  <w:r>
                    <w:rPr>
                      <w:rFonts w:hint="eastAsia" w:ascii="宋体" w:hAnsi="宋体" w:cs="仿宋_GB2312"/>
                      <w:sz w:val="24"/>
                    </w:rPr>
                    <w:t>科技成果奖（项）</w:t>
                  </w: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pacing w:val="-4"/>
                      <w:sz w:val="24"/>
                    </w:rPr>
                  </w:pPr>
                  <w:r>
                    <w:rPr>
                      <w:rFonts w:hint="eastAsia" w:ascii="宋体" w:hAnsi="宋体" w:cs="仿宋_GB2312"/>
                      <w:sz w:val="24"/>
                    </w:rPr>
                    <w:t>国家级</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vMerge w:val="continue"/>
                  <w:tcBorders>
                    <w:left w:val="single" w:color="auto" w:sz="4" w:space="0"/>
                    <w:right w:val="single" w:color="auto" w:sz="4" w:space="0"/>
                  </w:tcBorders>
                  <w:vAlign w:val="center"/>
                </w:tcPr>
                <w:p>
                  <w:pPr>
                    <w:autoSpaceDE w:val="0"/>
                    <w:autoSpaceDN w:val="0"/>
                    <w:snapToGrid w:val="0"/>
                    <w:outlineLvl w:val="9"/>
                    <w:rPr>
                      <w:rFonts w:hint="eastAsia" w:ascii="宋体" w:hAnsi="宋体" w:cs="仿宋_GB2312"/>
                      <w:sz w:val="24"/>
                    </w:rPr>
                  </w:pP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r>
                    <w:rPr>
                      <w:rFonts w:hint="eastAsia" w:ascii="宋体" w:hAnsi="宋体" w:cs="仿宋_GB2312"/>
                      <w:sz w:val="24"/>
                    </w:rPr>
                    <w:t>省部级</w:t>
                  </w: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3351" w:type="dxa"/>
                  <w:tcBorders>
                    <w:left w:val="single" w:color="auto" w:sz="4" w:space="0"/>
                    <w:right w:val="single" w:color="auto" w:sz="4" w:space="0"/>
                  </w:tcBorders>
                  <w:vAlign w:val="center"/>
                </w:tcPr>
                <w:p>
                  <w:pPr>
                    <w:autoSpaceDE w:val="0"/>
                    <w:autoSpaceDN w:val="0"/>
                    <w:snapToGrid w:val="0"/>
                    <w:outlineLvl w:val="9"/>
                    <w:rPr>
                      <w:rFonts w:hint="eastAsia" w:ascii="宋体" w:hAnsi="宋体" w:cs="仿宋_GB2312"/>
                      <w:sz w:val="24"/>
                    </w:rPr>
                  </w:pPr>
                  <w:r>
                    <w:rPr>
                      <w:rFonts w:hint="eastAsia" w:ascii="宋体" w:hAnsi="宋体" w:cs="仿宋_GB2312"/>
                      <w:sz w:val="24"/>
                    </w:rPr>
                    <w:t>其他省部级及以上成果</w:t>
                  </w:r>
                </w:p>
              </w:tc>
              <w:tc>
                <w:tcPr>
                  <w:tcW w:w="281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hint="eastAsia" w:ascii="宋体" w:hAnsi="宋体" w:cs="仿宋_GB2312"/>
                      <w:sz w:val="24"/>
                    </w:rPr>
                  </w:pPr>
                </w:p>
              </w:tc>
              <w:tc>
                <w:tcPr>
                  <w:tcW w:w="2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outlineLvl w:val="9"/>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Ex>
              <w:trPr>
                <w:cantSplit/>
                <w:trHeight w:val="486" w:hRule="atLeast"/>
                <w:jc w:val="center"/>
              </w:trPr>
              <w:tc>
                <w:tcPr>
                  <w:tcW w:w="9008" w:type="dxa"/>
                  <w:gridSpan w:val="3"/>
                  <w:tcBorders>
                    <w:left w:val="single" w:color="auto" w:sz="4" w:space="0"/>
                    <w:bottom w:val="single" w:color="auto" w:sz="4" w:space="0"/>
                    <w:right w:val="single" w:color="auto" w:sz="4" w:space="0"/>
                  </w:tcBorders>
                  <w:vAlign w:val="center"/>
                </w:tcPr>
                <w:p>
                  <w:pPr>
                    <w:snapToGrid w:val="0"/>
                    <w:outlineLvl w:val="9"/>
                    <w:rPr>
                      <w:rFonts w:hint="eastAsia" w:ascii="宋体" w:hAnsi="宋体" w:cs="仿宋_GB2312"/>
                      <w:sz w:val="24"/>
                    </w:rPr>
                  </w:pPr>
                  <w:r>
                    <w:rPr>
                      <w:rFonts w:hint="eastAsia" w:ascii="宋体" w:hAnsi="宋体" w:cs="仿宋_GB2312"/>
                      <w:sz w:val="24"/>
                    </w:rPr>
                    <w:t>需要补充说明的内容：</w:t>
                  </w:r>
                </w:p>
                <w:p>
                  <w:pPr>
                    <w:autoSpaceDE w:val="0"/>
                    <w:autoSpaceDN w:val="0"/>
                    <w:snapToGrid w:val="0"/>
                    <w:outlineLvl w:val="9"/>
                    <w:rPr>
                      <w:rFonts w:ascii="宋体" w:hAnsi="宋体" w:cs="仿宋_GB2312"/>
                      <w:sz w:val="24"/>
                    </w:rPr>
                  </w:pPr>
                </w:p>
              </w:tc>
            </w:tr>
          </w:tbl>
          <w:p>
            <w:pPr>
              <w:outlineLvl w:val="9"/>
              <w:rPr>
                <w:rFonts w:hint="eastAsia" w:eastAsia="仿宋_GB2312"/>
                <w:szCs w:val="28"/>
              </w:rPr>
            </w:pPr>
          </w:p>
        </w:tc>
      </w:tr>
    </w:tbl>
    <w:p>
      <w:pPr>
        <w:jc w:val="center"/>
        <w:outlineLvl w:val="9"/>
        <w:rPr>
          <w:rFonts w:eastAsia="仿宋_GB2312"/>
        </w:rPr>
        <w:sectPr>
          <w:footerReference r:id="rId33" w:type="default"/>
          <w:footerReference r:id="rId34" w:type="even"/>
          <w:pgSz w:w="11907" w:h="16840"/>
          <w:pgMar w:top="1418" w:right="1418" w:bottom="1418" w:left="1418" w:header="851" w:footer="992" w:gutter="0"/>
          <w:paperSrc w:first="7"/>
          <w:pgNumType w:fmt="decimal"/>
          <w:cols w:space="720" w:num="1"/>
          <w:titlePg/>
          <w:docGrid w:linePitch="312" w:charSpace="0"/>
        </w:sectPr>
      </w:pPr>
    </w:p>
    <w:tbl>
      <w:tblPr>
        <w:tblStyle w:val="14"/>
        <w:tblW w:w="9246"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9246" w:type="dxa"/>
            <w:vAlign w:val="center"/>
          </w:tcPr>
          <w:p>
            <w:pPr>
              <w:jc w:val="center"/>
              <w:outlineLvl w:val="9"/>
              <w:rPr>
                <w:rFonts w:hint="eastAsia" w:ascii="CG Times" w:hAnsi="CG Times"/>
                <w:spacing w:val="140"/>
              </w:rPr>
            </w:pPr>
            <w:r>
              <w:rPr>
                <w:rFonts w:hint="eastAsia" w:ascii="CG Times" w:hAnsi="CG Times"/>
                <w:spacing w:val="140"/>
              </w:rPr>
              <w:t>提交的考核文件和资料目录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5" w:hRule="atLeast"/>
        </w:trPr>
        <w:tc>
          <w:tcPr>
            <w:tcW w:w="9246" w:type="dxa"/>
          </w:tcPr>
          <w:p>
            <w:pPr>
              <w:outlineLvl w:val="9"/>
              <w:rPr>
                <w:rFonts w:hint="eastAsia" w:ascii="CG Times" w:hAnsi="CG Times"/>
              </w:rPr>
            </w:pPr>
          </w:p>
        </w:tc>
      </w:tr>
    </w:tbl>
    <w:p>
      <w:pPr>
        <w:outlineLvl w:val="9"/>
        <w:rPr>
          <w:rFonts w:eastAsia="仿宋_GB2312"/>
          <w:b/>
          <w:sz w:val="32"/>
        </w:rPr>
        <w:sectPr>
          <w:pgSz w:w="11907" w:h="16840"/>
          <w:pgMar w:top="1418" w:right="1418" w:bottom="1418" w:left="1701" w:header="851" w:footer="992" w:gutter="0"/>
          <w:paperSrc w:first="35780"/>
          <w:pgNumType w:fmt="decimal"/>
          <w:cols w:space="720" w:num="1"/>
          <w:docGrid w:linePitch="312" w:charSpace="0"/>
        </w:sectPr>
      </w:pPr>
    </w:p>
    <w:tbl>
      <w:tblPr>
        <w:tblStyle w:val="14"/>
        <w:tblW w:w="92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jc w:val="center"/>
        </w:trPr>
        <w:tc>
          <w:tcPr>
            <w:tcW w:w="9250" w:type="dxa"/>
            <w:vAlign w:val="center"/>
          </w:tcPr>
          <w:p>
            <w:pPr>
              <w:jc w:val="center"/>
              <w:outlineLvl w:val="9"/>
              <w:rPr>
                <w:rFonts w:hint="eastAsia" w:ascii="宋体" w:hAnsi="宋体"/>
                <w:szCs w:val="28"/>
              </w:rPr>
            </w:pPr>
            <w:r>
              <w:rPr>
                <w:rFonts w:hint="eastAsia" w:ascii="宋体" w:hAnsi="宋体"/>
                <w:szCs w:val="28"/>
              </w:rPr>
              <w:t>所在二级学院、部门意见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3" w:hRule="atLeast"/>
          <w:jc w:val="center"/>
        </w:trPr>
        <w:tc>
          <w:tcPr>
            <w:tcW w:w="9250" w:type="dxa"/>
          </w:tcPr>
          <w:p>
            <w:pPr>
              <w:outlineLvl w:val="9"/>
              <w:rPr>
                <w:rFonts w:hint="eastAsia" w:ascii="宋体" w:hAnsi="宋体"/>
              </w:rPr>
            </w:pPr>
          </w:p>
          <w:p>
            <w:pPr>
              <w:tabs>
                <w:tab w:val="left" w:pos="5355"/>
                <w:tab w:val="left" w:pos="5670"/>
              </w:tabs>
              <w:ind w:firstLine="3840" w:firstLineChars="1600"/>
              <w:outlineLvl w:val="9"/>
              <w:rPr>
                <w:rFonts w:hint="eastAsia" w:ascii="宋体" w:hAnsi="宋体"/>
                <w:sz w:val="24"/>
              </w:rPr>
            </w:pPr>
          </w:p>
          <w:p>
            <w:pPr>
              <w:tabs>
                <w:tab w:val="left" w:pos="5355"/>
                <w:tab w:val="left" w:pos="5670"/>
              </w:tabs>
              <w:ind w:firstLine="3840" w:firstLineChars="1600"/>
              <w:outlineLvl w:val="9"/>
              <w:rPr>
                <w:rFonts w:hint="eastAsia" w:ascii="宋体" w:hAnsi="宋体"/>
                <w:sz w:val="24"/>
              </w:rPr>
            </w:pPr>
            <w:r>
              <w:rPr>
                <w:rFonts w:hint="eastAsia" w:ascii="宋体" w:hAnsi="宋体"/>
                <w:sz w:val="24"/>
              </w:rPr>
              <w:t xml:space="preserve">负责人签名: </w:t>
            </w:r>
            <w:r>
              <w:rPr>
                <w:rFonts w:hint="eastAsia" w:ascii="宋体" w:hAnsi="宋体"/>
                <w:sz w:val="24"/>
                <w:u w:val="single"/>
              </w:rPr>
              <w:t>　　　　　　</w:t>
            </w:r>
            <w:r>
              <w:rPr>
                <w:rFonts w:hint="eastAsia" w:ascii="宋体" w:hAnsi="宋体"/>
                <w:sz w:val="24"/>
              </w:rPr>
              <w:t xml:space="preserve"> (盖章)</w:t>
            </w:r>
          </w:p>
          <w:p>
            <w:pPr>
              <w:tabs>
                <w:tab w:val="left" w:pos="5355"/>
                <w:tab w:val="left" w:pos="5670"/>
              </w:tabs>
              <w:outlineLvl w:val="9"/>
              <w:rPr>
                <w:rFonts w:hint="eastAsia"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9" w:hRule="atLeast"/>
          <w:jc w:val="center"/>
        </w:trPr>
        <w:tc>
          <w:tcPr>
            <w:tcW w:w="9250" w:type="dxa"/>
            <w:vAlign w:val="center"/>
          </w:tcPr>
          <w:p>
            <w:pPr>
              <w:jc w:val="center"/>
              <w:outlineLvl w:val="9"/>
              <w:rPr>
                <w:rFonts w:hint="eastAsia" w:ascii="宋体" w:hAnsi="宋体"/>
              </w:rPr>
            </w:pPr>
            <w:r>
              <w:rPr>
                <w:rFonts w:hint="eastAsia" w:ascii="宋体" w:hAnsi="宋体"/>
                <w:szCs w:val="28"/>
              </w:rPr>
              <w:t>科技开发与校企合作处意见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7" w:hRule="atLeast"/>
          <w:jc w:val="center"/>
        </w:trPr>
        <w:tc>
          <w:tcPr>
            <w:tcW w:w="9250" w:type="dxa"/>
          </w:tcPr>
          <w:p>
            <w:pPr>
              <w:tabs>
                <w:tab w:val="left" w:pos="2730"/>
              </w:tabs>
              <w:spacing w:line="360" w:lineRule="auto"/>
              <w:ind w:firstLine="4680" w:firstLineChars="1950"/>
              <w:outlineLvl w:val="9"/>
              <w:rPr>
                <w:rFonts w:hint="eastAsia" w:ascii="宋体" w:hAnsi="宋体"/>
                <w:sz w:val="24"/>
              </w:rPr>
            </w:pPr>
          </w:p>
          <w:p>
            <w:pPr>
              <w:tabs>
                <w:tab w:val="left" w:pos="2730"/>
              </w:tabs>
              <w:ind w:firstLine="4680" w:firstLineChars="1950"/>
              <w:outlineLvl w:val="9"/>
              <w:rPr>
                <w:rFonts w:hint="eastAsia" w:ascii="宋体" w:hAnsi="宋体"/>
                <w:sz w:val="24"/>
              </w:rPr>
            </w:pPr>
            <w:r>
              <w:rPr>
                <w:rFonts w:hint="eastAsia" w:ascii="宋体" w:hAnsi="宋体"/>
                <w:sz w:val="24"/>
              </w:rPr>
              <w:t xml:space="preserve">负责人签章:　　　　   (盖章) </w:t>
            </w:r>
          </w:p>
          <w:p>
            <w:pPr>
              <w:tabs>
                <w:tab w:val="left" w:pos="2730"/>
              </w:tabs>
              <w:ind w:firstLine="240" w:firstLineChars="100"/>
              <w:outlineLvl w:val="9"/>
              <w:rPr>
                <w:rFonts w:hint="eastAsia"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6" w:hRule="atLeast"/>
          <w:jc w:val="center"/>
        </w:trPr>
        <w:tc>
          <w:tcPr>
            <w:tcW w:w="9250" w:type="dxa"/>
            <w:vAlign w:val="center"/>
          </w:tcPr>
          <w:p>
            <w:pPr>
              <w:jc w:val="center"/>
              <w:outlineLvl w:val="9"/>
              <w:rPr>
                <w:rFonts w:hint="eastAsia" w:ascii="宋体" w:hAnsi="宋体"/>
                <w:sz w:val="24"/>
              </w:rPr>
            </w:pPr>
            <w:r>
              <w:rPr>
                <w:rFonts w:hint="eastAsia" w:ascii="宋体" w:hAnsi="宋体"/>
                <w:szCs w:val="28"/>
              </w:rPr>
              <w:t>人事处意见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90" w:hRule="atLeast"/>
          <w:jc w:val="center"/>
        </w:trPr>
        <w:tc>
          <w:tcPr>
            <w:tcW w:w="9250" w:type="dxa"/>
          </w:tcPr>
          <w:p>
            <w:pPr>
              <w:tabs>
                <w:tab w:val="left" w:pos="2730"/>
              </w:tabs>
              <w:spacing w:line="360" w:lineRule="auto"/>
              <w:ind w:firstLine="4680" w:firstLineChars="1950"/>
              <w:outlineLvl w:val="9"/>
              <w:rPr>
                <w:rFonts w:hint="eastAsia" w:ascii="宋体" w:hAnsi="宋体"/>
                <w:sz w:val="24"/>
              </w:rPr>
            </w:pPr>
          </w:p>
          <w:p>
            <w:pPr>
              <w:tabs>
                <w:tab w:val="left" w:pos="2730"/>
              </w:tabs>
              <w:ind w:firstLine="4680" w:firstLineChars="1950"/>
              <w:outlineLvl w:val="9"/>
              <w:rPr>
                <w:rFonts w:hint="eastAsia" w:ascii="宋体" w:hAnsi="宋体"/>
                <w:sz w:val="24"/>
              </w:rPr>
            </w:pPr>
            <w:r>
              <w:rPr>
                <w:rFonts w:hint="eastAsia" w:ascii="宋体" w:hAnsi="宋体"/>
                <w:sz w:val="24"/>
              </w:rPr>
              <w:t>负责人签章:</w:t>
            </w:r>
            <w:r>
              <w:rPr>
                <w:rFonts w:hint="eastAsia" w:ascii="宋体" w:hAnsi="宋体"/>
                <w:sz w:val="24"/>
                <w:u w:val="single"/>
              </w:rPr>
              <w:t xml:space="preserve">　　　　   </w:t>
            </w:r>
            <w:r>
              <w:rPr>
                <w:rFonts w:hint="eastAsia" w:ascii="宋体" w:hAnsi="宋体"/>
                <w:sz w:val="24"/>
              </w:rPr>
              <w:t xml:space="preserve">(盖章) </w:t>
            </w:r>
          </w:p>
          <w:p>
            <w:pPr>
              <w:outlineLvl w:val="9"/>
              <w:rPr>
                <w:rFonts w:hint="eastAsia"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jc w:val="center"/>
        </w:trPr>
        <w:tc>
          <w:tcPr>
            <w:tcW w:w="9250" w:type="dxa"/>
            <w:vAlign w:val="center"/>
          </w:tcPr>
          <w:p>
            <w:pPr>
              <w:jc w:val="center"/>
              <w:outlineLvl w:val="9"/>
              <w:rPr>
                <w:rFonts w:hint="eastAsia" w:ascii="宋体" w:hAnsi="宋体"/>
                <w:szCs w:val="28"/>
              </w:rPr>
            </w:pPr>
            <w:r>
              <w:rPr>
                <w:rFonts w:hint="eastAsia" w:ascii="宋体" w:hAnsi="宋体"/>
                <w:szCs w:val="28"/>
              </w:rPr>
              <w:t>学校审核意见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5" w:hRule="atLeast"/>
          <w:jc w:val="center"/>
        </w:trPr>
        <w:tc>
          <w:tcPr>
            <w:tcW w:w="9250" w:type="dxa"/>
          </w:tcPr>
          <w:p>
            <w:pPr>
              <w:outlineLvl w:val="9"/>
              <w:rPr>
                <w:rFonts w:hint="eastAsia" w:ascii="宋体" w:hAnsi="宋体"/>
              </w:rPr>
            </w:pPr>
          </w:p>
          <w:p>
            <w:pPr>
              <w:tabs>
                <w:tab w:val="left" w:pos="2730"/>
              </w:tabs>
              <w:spacing w:line="360" w:lineRule="auto"/>
              <w:ind w:firstLine="3840" w:firstLineChars="1600"/>
              <w:outlineLvl w:val="9"/>
              <w:rPr>
                <w:rFonts w:hint="eastAsia" w:ascii="宋体" w:hAnsi="宋体"/>
                <w:sz w:val="24"/>
              </w:rPr>
            </w:pPr>
            <w:r>
              <w:rPr>
                <w:rFonts w:hint="eastAsia" w:ascii="宋体" w:hAnsi="宋体"/>
                <w:sz w:val="24"/>
              </w:rPr>
              <w:t>校长签章:</w:t>
            </w:r>
            <w:r>
              <w:rPr>
                <w:rFonts w:hint="eastAsia" w:ascii="宋体" w:hAnsi="宋体"/>
                <w:sz w:val="24"/>
                <w:u w:val="single"/>
              </w:rPr>
              <w:t>　　　　　　</w:t>
            </w:r>
            <w:r>
              <w:rPr>
                <w:rFonts w:hint="eastAsia" w:ascii="宋体" w:hAnsi="宋体"/>
                <w:sz w:val="24"/>
              </w:rPr>
              <w:t>（单位盖章）</w:t>
            </w:r>
          </w:p>
          <w:p>
            <w:pPr>
              <w:tabs>
                <w:tab w:val="left" w:pos="2730"/>
                <w:tab w:val="left" w:pos="5460"/>
              </w:tabs>
              <w:spacing w:line="360" w:lineRule="auto"/>
              <w:outlineLvl w:val="9"/>
              <w:rPr>
                <w:rFonts w:hint="eastAsia" w:ascii="宋体" w:hAnsi="宋体"/>
              </w:rPr>
            </w:pPr>
            <w:r>
              <w:rPr>
                <w:rFonts w:hint="eastAsia" w:ascii="宋体" w:hAnsi="宋体"/>
                <w:sz w:val="24"/>
              </w:rPr>
              <w:t xml:space="preserve">                                                     年   月   日</w:t>
            </w:r>
          </w:p>
        </w:tc>
      </w:tr>
    </w:tbl>
    <w:p>
      <w:pPr>
        <w:tabs>
          <w:tab w:val="left" w:pos="6220"/>
        </w:tabs>
        <w:outlineLvl w:val="9"/>
        <w:rPr>
          <w:rFonts w:hint="eastAsia" w:ascii="黑体" w:hAnsi="黑体" w:eastAsia="黑体"/>
          <w:sz w:val="32"/>
          <w:szCs w:val="32"/>
        </w:rPr>
      </w:pPr>
      <w:r>
        <w:rPr>
          <w:rFonts w:hint="eastAsia" w:ascii="黑体" w:hAnsi="黑体" w:eastAsia="黑体"/>
          <w:sz w:val="32"/>
          <w:szCs w:val="32"/>
        </w:rPr>
        <w:br w:type="page"/>
      </w:r>
      <w:r>
        <w:rPr>
          <w:rFonts w:hint="eastAsia" w:ascii="黑体" w:hAnsi="黑体" w:eastAsia="黑体"/>
          <w:sz w:val="32"/>
          <w:szCs w:val="32"/>
        </w:rPr>
        <w:t>附件5：</w:t>
      </w:r>
    </w:p>
    <w:p>
      <w:pPr>
        <w:spacing w:line="400" w:lineRule="atLeast"/>
        <w:jc w:val="center"/>
        <w:outlineLvl w:val="9"/>
        <w:rPr>
          <w:b/>
        </w:rPr>
      </w:pPr>
      <w:r>
        <w:rPr>
          <w:rFonts w:hint="eastAsia" w:ascii="仿宋_GB2312" w:eastAsia="仿宋_GB2312" w:cs="仿宋_GB2312"/>
          <w:b/>
          <w:bCs/>
          <w:sz w:val="32"/>
          <w:szCs w:val="32"/>
        </w:rPr>
        <w:t>柳州职业技术学院专职科研岗聘任流程图</w:t>
      </w:r>
    </w:p>
    <w:tbl>
      <w:tblPr>
        <w:tblStyle w:val="14"/>
        <w:tblW w:w="935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2811"/>
        <w:gridCol w:w="1462"/>
        <w:gridCol w:w="1133"/>
        <w:gridCol w:w="2849"/>
        <w:gridCol w:w="1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501" w:hRule="atLeast"/>
          <w:jc w:val="center"/>
        </w:trPr>
        <w:tc>
          <w:tcPr>
            <w:tcW w:w="2811" w:type="dxa"/>
            <w:vAlign w:val="center"/>
          </w:tcPr>
          <w:p>
            <w:pPr>
              <w:pStyle w:val="16"/>
              <w:spacing w:line="400" w:lineRule="exact"/>
              <w:jc w:val="center"/>
              <w:outlineLvl w:val="9"/>
              <w:rPr>
                <w:rFonts w:ascii="宋体" w:eastAsia="宋体" w:cs="Times New Roman"/>
                <w:b/>
              </w:rPr>
            </w:pPr>
            <w:r>
              <w:rPr>
                <w:rFonts w:hint="eastAsia" w:ascii="宋体" w:eastAsia="宋体" w:cs="宋体"/>
                <w:b/>
              </w:rPr>
              <w:t>流程</w:t>
            </w:r>
          </w:p>
        </w:tc>
        <w:tc>
          <w:tcPr>
            <w:tcW w:w="1462" w:type="dxa"/>
            <w:tcBorders>
              <w:bottom w:val="single" w:color="auto" w:sz="4" w:space="0"/>
            </w:tcBorders>
            <w:vAlign w:val="center"/>
          </w:tcPr>
          <w:p>
            <w:pPr>
              <w:pStyle w:val="16"/>
              <w:spacing w:line="400" w:lineRule="exact"/>
              <w:jc w:val="center"/>
              <w:outlineLvl w:val="9"/>
              <w:rPr>
                <w:rFonts w:ascii="宋体" w:eastAsia="宋体" w:cs="Times New Roman"/>
                <w:b/>
              </w:rPr>
            </w:pPr>
            <w:r>
              <w:rPr>
                <w:rFonts w:hint="eastAsia" w:ascii="宋体" w:eastAsia="宋体" w:cs="宋体"/>
                <w:b/>
              </w:rPr>
              <w:t>实施部门</w:t>
            </w:r>
          </w:p>
        </w:tc>
        <w:tc>
          <w:tcPr>
            <w:tcW w:w="1133" w:type="dxa"/>
            <w:vAlign w:val="center"/>
          </w:tcPr>
          <w:p>
            <w:pPr>
              <w:pStyle w:val="16"/>
              <w:spacing w:line="400" w:lineRule="exact"/>
              <w:jc w:val="center"/>
              <w:outlineLvl w:val="9"/>
              <w:rPr>
                <w:rFonts w:ascii="宋体" w:eastAsia="宋体" w:cs="Times New Roman"/>
                <w:b/>
              </w:rPr>
            </w:pPr>
            <w:r>
              <w:rPr>
                <w:rFonts w:hint="eastAsia" w:ascii="宋体" w:eastAsia="宋体" w:cs="宋体"/>
                <w:b/>
              </w:rPr>
              <w:t>责任人</w:t>
            </w:r>
          </w:p>
        </w:tc>
        <w:tc>
          <w:tcPr>
            <w:tcW w:w="2849" w:type="dxa"/>
            <w:vAlign w:val="center"/>
          </w:tcPr>
          <w:p>
            <w:pPr>
              <w:pStyle w:val="16"/>
              <w:spacing w:line="400" w:lineRule="exact"/>
              <w:jc w:val="center"/>
              <w:outlineLvl w:val="9"/>
              <w:rPr>
                <w:rFonts w:ascii="宋体" w:eastAsia="宋体" w:cs="Times New Roman"/>
                <w:b/>
              </w:rPr>
            </w:pPr>
            <w:r>
              <w:rPr>
                <w:rFonts w:hint="eastAsia" w:ascii="宋体" w:eastAsia="宋体" w:cs="宋体"/>
                <w:b/>
              </w:rPr>
              <w:t>过程描述及注意事项</w:t>
            </w:r>
          </w:p>
        </w:tc>
        <w:tc>
          <w:tcPr>
            <w:tcW w:w="1102" w:type="dxa"/>
            <w:vAlign w:val="center"/>
          </w:tcPr>
          <w:p>
            <w:pPr>
              <w:pStyle w:val="16"/>
              <w:spacing w:line="400" w:lineRule="exact"/>
              <w:jc w:val="center"/>
              <w:outlineLvl w:val="9"/>
              <w:rPr>
                <w:rFonts w:ascii="宋体" w:eastAsia="宋体" w:cs="Times New Roman"/>
                <w:b/>
              </w:rPr>
            </w:pPr>
            <w:r>
              <w:rPr>
                <w:rFonts w:hint="eastAsia" w:ascii="宋体" w:eastAsia="宋体" w:cs="宋体"/>
                <w:b/>
              </w:rPr>
              <w:t>支持性文件及记录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892" w:hRule="atLeast"/>
          <w:jc w:val="center"/>
        </w:trPr>
        <w:tc>
          <w:tcPr>
            <w:tcW w:w="2811" w:type="dxa"/>
            <w:vMerge w:val="restart"/>
            <w:vAlign w:val="center"/>
          </w:tcPr>
          <w:p>
            <w:pPr>
              <w:pStyle w:val="16"/>
              <w:spacing w:line="360" w:lineRule="exact"/>
              <w:outlineLvl w:val="9"/>
              <w:rPr>
                <w:rFonts w:ascii="宋体" w:eastAsia="宋体" w:cs="Times New Roman"/>
                <w:b/>
                <w:sz w:val="28"/>
                <w:szCs w:val="28"/>
              </w:rPr>
            </w:pPr>
            <w:r>
              <w:rPr>
                <w:rFonts w:ascii="仿宋_GB2312" w:eastAsia="仿宋_GB2312" w:cs="仿宋_GB2312"/>
                <w:b/>
              </w:rPr>
              <mc:AlternateContent>
                <mc:Choice Requires="wps">
                  <w:drawing>
                    <wp:anchor distT="0" distB="0" distL="114300" distR="114300" simplePos="0" relativeHeight="251824128" behindDoc="0" locked="0" layoutInCell="1" allowOverlap="1">
                      <wp:simplePos x="0" y="0"/>
                      <wp:positionH relativeFrom="column">
                        <wp:posOffset>271145</wp:posOffset>
                      </wp:positionH>
                      <wp:positionV relativeFrom="paragraph">
                        <wp:posOffset>181610</wp:posOffset>
                      </wp:positionV>
                      <wp:extent cx="1228725" cy="438150"/>
                      <wp:effectExtent l="8255" t="4445" r="20320" b="14605"/>
                      <wp:wrapNone/>
                      <wp:docPr id="285" name="六边形 285"/>
                      <wp:cNvGraphicFramePr/>
                      <a:graphic xmlns:a="http://schemas.openxmlformats.org/drawingml/2006/main">
                        <a:graphicData uri="http://schemas.microsoft.com/office/word/2010/wordprocessingShape">
                          <wps:wsp>
                            <wps:cNvSpPr>
                              <a:spLocks noChangeArrowheads="1"/>
                            </wps:cNvSpPr>
                            <wps:spPr bwMode="auto">
                              <a:xfrm>
                                <a:off x="0" y="0"/>
                                <a:ext cx="1228725" cy="438150"/>
                              </a:xfrm>
                              <a:prstGeom prst="hexagon">
                                <a:avLst>
                                  <a:gd name="adj" fmla="val 70109"/>
                                  <a:gd name="vf" fmla="val 115470"/>
                                </a:avLst>
                              </a:prstGeom>
                              <a:solidFill>
                                <a:srgbClr val="FFFFFF"/>
                              </a:solidFill>
                              <a:ln w="9525">
                                <a:solidFill>
                                  <a:srgbClr val="000000"/>
                                </a:solidFill>
                                <a:miter lim="800000"/>
                              </a:ln>
                            </wps:spPr>
                            <wps:txbx>
                              <w:txbxContent>
                                <w:p>
                                  <w:pPr>
                                    <w:spacing w:line="300" w:lineRule="exact"/>
                                    <w:jc w:val="center"/>
                                    <w:rPr>
                                      <w:sz w:val="21"/>
                                      <w:szCs w:val="21"/>
                                    </w:rPr>
                                  </w:pPr>
                                  <w:r>
                                    <w:rPr>
                                      <w:rFonts w:hint="eastAsia" w:ascii="宋体" w:hAnsi="宋体" w:cs="宋体"/>
                                      <w:sz w:val="21"/>
                                      <w:szCs w:val="21"/>
                                    </w:rPr>
                                    <w:t>申请</w:t>
                                  </w:r>
                                </w:p>
                              </w:txbxContent>
                            </wps:txbx>
                            <wps:bodyPr rot="0" vert="horz" wrap="square" lIns="91440" tIns="45720" rIns="91440" bIns="45720" anchor="t" anchorCtr="0" upright="1">
                              <a:noAutofit/>
                            </wps:bodyPr>
                          </wps:wsp>
                        </a:graphicData>
                      </a:graphic>
                    </wp:anchor>
                  </w:drawing>
                </mc:Choice>
                <mc:Fallback>
                  <w:pict>
                    <v:shape id="_x0000_s1026" o:spid="_x0000_s1026" o:spt="9" type="#_x0000_t9" style="position:absolute;left:0pt;margin-left:21.35pt;margin-top:14.3pt;height:34.5pt;width:96.75pt;z-index:251824128;mso-width-relative:page;mso-height-relative:page;" fillcolor="#FFFFFF" filled="t" stroked="t" coordsize="21600,21600" o:gfxdata="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8PpePXAAAACAEAAA8AAAAAAAAAAQAgAAAAIgAA&#10;AGRycy9kb3ducmV2LnhtbFBLAQIUABQAAAAIAIdO4kBR3F5iQgIAAIUEAAAOAAAAAAAAAAEAIAAA&#10;ACYBAABkcnMvZTJvRG9jLnhtbFBLBQYAAAAABgAGAFkBAADaBQAAAAA=&#10;" adj="5400">
                      <v:fill on="t" focussize="0,0"/>
                      <v:stroke color="#000000" miterlimit="8" joinstyle="miter"/>
                      <v:imagedata o:title=""/>
                      <o:lock v:ext="edit" aspectratio="f"/>
                      <v:textbox>
                        <w:txbxContent>
                          <w:p>
                            <w:pPr>
                              <w:spacing w:line="300" w:lineRule="exact"/>
                              <w:jc w:val="center"/>
                              <w:rPr>
                                <w:sz w:val="21"/>
                                <w:szCs w:val="21"/>
                              </w:rPr>
                            </w:pPr>
                            <w:r>
                              <w:rPr>
                                <w:rFonts w:hint="eastAsia" w:ascii="宋体" w:hAnsi="宋体" w:cs="宋体"/>
                                <w:sz w:val="21"/>
                                <w:szCs w:val="21"/>
                              </w:rPr>
                              <w:t>申请</w:t>
                            </w:r>
                          </w:p>
                        </w:txbxContent>
                      </v:textbox>
                    </v:shape>
                  </w:pict>
                </mc:Fallback>
              </mc:AlternateContent>
            </w:r>
          </w:p>
          <w:p>
            <w:pPr>
              <w:pStyle w:val="16"/>
              <w:outlineLvl w:val="9"/>
              <w:rPr>
                <w:rFonts w:ascii="宋体" w:eastAsia="宋体" w:cs="Times New Roman"/>
                <w:b/>
                <w:sz w:val="28"/>
                <w:szCs w:val="28"/>
              </w:rPr>
            </w:pPr>
            <w:r>
              <w:rPr>
                <w:rFonts w:ascii="仿宋_GB2312" w:eastAsia="仿宋_GB2312" w:cs="仿宋_GB2312"/>
                <w:b/>
              </w:rPr>
              <mc:AlternateContent>
                <mc:Choice Requires="wps">
                  <w:drawing>
                    <wp:anchor distT="0" distB="0" distL="114300" distR="114300" simplePos="0" relativeHeight="251838464" behindDoc="0" locked="0" layoutInCell="1" allowOverlap="1">
                      <wp:simplePos x="0" y="0"/>
                      <wp:positionH relativeFrom="column">
                        <wp:posOffset>-1905</wp:posOffset>
                      </wp:positionH>
                      <wp:positionV relativeFrom="paragraph">
                        <wp:posOffset>3147060</wp:posOffset>
                      </wp:positionV>
                      <wp:extent cx="210185" cy="3175"/>
                      <wp:effectExtent l="0" t="36195" r="18415" b="36830"/>
                      <wp:wrapNone/>
                      <wp:docPr id="284" name="直线箭头连接符 284"/>
                      <wp:cNvGraphicFramePr/>
                      <a:graphic xmlns:a="http://schemas.openxmlformats.org/drawingml/2006/main">
                        <a:graphicData uri="http://schemas.microsoft.com/office/word/2010/wordprocessingShape">
                          <wps:wsp>
                            <wps:cNvCnPr>
                              <a:cxnSpLocks noChangeShapeType="1"/>
                            </wps:cNvCnPr>
                            <wps:spPr bwMode="auto">
                              <a:xfrm flipH="1">
                                <a:off x="0" y="0"/>
                                <a:ext cx="210185" cy="3175"/>
                              </a:xfrm>
                              <a:prstGeom prst="straightConnector1">
                                <a:avLst/>
                              </a:prstGeom>
                              <a:noFill/>
                              <a:ln w="9525">
                                <a:solidFill>
                                  <a:srgbClr val="000000"/>
                                </a:solidFill>
                                <a:round/>
                                <a:tailEnd type="triangle" w="med" len="med"/>
                              </a:ln>
                              <a:effectLst/>
                            </wps:spPr>
                            <wps:bodyPr/>
                          </wps:wsp>
                        </a:graphicData>
                      </a:graphic>
                    </wp:anchor>
                  </w:drawing>
                </mc:Choice>
                <mc:Fallback>
                  <w:pict>
                    <v:shape id="直线箭头连接符 284" o:spid="_x0000_s1026" o:spt="32" type="#_x0000_t32" style="position:absolute;left:0pt;flip:x;margin-left:-0.15pt;margin-top:247.8pt;height:0.25pt;width:16.55pt;z-index:251838464;mso-width-relative:page;mso-height-relative:page;" filled="f" stroked="t" coordsize="21600,21600" o:gfxdata="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1Trj2AAAAAgBAAAPAAAAAAAAAAEAIAAAACIAAABk&#10;cnMvZG93bnJldi54bWxQSwECFAAUAAAACACHTuJA8iLNCAYCAAC8AwAADgAAAAAAAAABACAAAAAn&#10;AQAAZHJzL2Uyb0RvYy54bWxQSwUGAAAAAAYABgBZAQAAnwUAAAAA&#10;">
                      <v:fill on="f" focussize="0,0"/>
                      <v:stroke color="#000000" joinstyle="round" endarrow="block"/>
                      <v:imagedata o:title=""/>
                      <o:lock v:ext="edit" aspectratio="f"/>
                    </v:shape>
                  </w:pict>
                </mc:Fallback>
              </mc:AlternateContent>
            </w:r>
            <w:r>
              <w:rPr>
                <w:rFonts w:ascii="仿宋_GB2312" w:eastAsia="仿宋_GB2312" w:cs="仿宋_GB2312"/>
                <w:b/>
              </w:rPr>
              <mc:AlternateContent>
                <mc:Choice Requires="wps">
                  <w:drawing>
                    <wp:anchor distT="0" distB="0" distL="114300" distR="114300" simplePos="0" relativeHeight="251839488" behindDoc="0" locked="0" layoutInCell="1" allowOverlap="1">
                      <wp:simplePos x="0" y="0"/>
                      <wp:positionH relativeFrom="column">
                        <wp:posOffset>175895</wp:posOffset>
                      </wp:positionH>
                      <wp:positionV relativeFrom="paragraph">
                        <wp:posOffset>2819400</wp:posOffset>
                      </wp:positionV>
                      <wp:extent cx="1466850" cy="653415"/>
                      <wp:effectExtent l="11430" t="5080" r="26670" b="8255"/>
                      <wp:wrapNone/>
                      <wp:docPr id="283" name="菱形 283"/>
                      <wp:cNvGraphicFramePr/>
                      <a:graphic xmlns:a="http://schemas.openxmlformats.org/drawingml/2006/main">
                        <a:graphicData uri="http://schemas.microsoft.com/office/word/2010/wordprocessingShape">
                          <wps:wsp>
                            <wps:cNvSpPr>
                              <a:spLocks noChangeArrowheads="1"/>
                            </wps:cNvSpPr>
                            <wps:spPr bwMode="auto">
                              <a:xfrm>
                                <a:off x="0" y="0"/>
                                <a:ext cx="1466850" cy="653415"/>
                              </a:xfrm>
                              <a:prstGeom prst="diamond">
                                <a:avLst/>
                              </a:prstGeom>
                              <a:solidFill>
                                <a:srgbClr val="FFFFFF"/>
                              </a:solidFill>
                              <a:ln w="9525">
                                <a:solidFill>
                                  <a:srgbClr val="000000"/>
                                </a:solidFill>
                                <a:miter lim="800000"/>
                              </a:ln>
                            </wps:spPr>
                            <wps:txbx>
                              <w:txbxContent>
                                <w:p>
                                  <w:pPr>
                                    <w:rPr>
                                      <w:sz w:val="21"/>
                                      <w:szCs w:val="21"/>
                                    </w:rPr>
                                  </w:pPr>
                                  <w:r>
                                    <w:rPr>
                                      <w:rFonts w:hint="eastAsia" w:cs="宋体"/>
                                      <w:sz w:val="21"/>
                                      <w:szCs w:val="21"/>
                                    </w:rPr>
                                    <w:t>学校审批</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3.85pt;margin-top:222pt;height:51.45pt;width:115.5pt;z-index:251839488;mso-width-relative:page;mso-height-relative:page;" fillcolor="#FFFFFF" filled="t" stroked="t" coordsize="21600,21600" o:gfxdata="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n&#10;6Q7U2QAAAAoBAAAPAAAAAAAAAAEAIAAAACIAAABkcnMvZG93bnJldi54bWxQSwECFAAUAAAACACH&#10;TuJAsVMxuiMCAAAzBAAADgAAAAAAAAABACAAAAAoAQAAZHJzL2Uyb0RvYy54bWxQSwUGAAAAAAYA&#10;BgBZAQAAvQUAAAAA&#10;">
                      <v:fill on="t" focussize="0,0"/>
                      <v:stroke color="#000000" miterlimit="8" joinstyle="miter"/>
                      <v:imagedata o:title=""/>
                      <o:lock v:ext="edit" aspectratio="f"/>
                      <v:textbox>
                        <w:txbxContent>
                          <w:p>
                            <w:pPr>
                              <w:rPr>
                                <w:sz w:val="21"/>
                                <w:szCs w:val="21"/>
                              </w:rPr>
                            </w:pPr>
                            <w:r>
                              <w:rPr>
                                <w:rFonts w:hint="eastAsia" w:cs="宋体"/>
                                <w:sz w:val="21"/>
                                <w:szCs w:val="21"/>
                              </w:rPr>
                              <w:t>学校审批</w:t>
                            </w:r>
                          </w:p>
                        </w:txbxContent>
                      </v:textbox>
                    </v:shape>
                  </w:pict>
                </mc:Fallback>
              </mc:AlternateContent>
            </w:r>
            <w:r>
              <w:rPr>
                <w:rFonts w:ascii="仿宋_GB2312" w:eastAsia="仿宋_GB2312" w:cs="仿宋_GB2312"/>
                <w:b/>
              </w:rPr>
              <mc:AlternateContent>
                <mc:Choice Requires="wps">
                  <w:drawing>
                    <wp:anchor distT="0" distB="0" distL="114300" distR="114300" simplePos="0" relativeHeight="251835392" behindDoc="0" locked="0" layoutInCell="1" allowOverlap="1">
                      <wp:simplePos x="0" y="0"/>
                      <wp:positionH relativeFrom="column">
                        <wp:posOffset>-20955</wp:posOffset>
                      </wp:positionH>
                      <wp:positionV relativeFrom="paragraph">
                        <wp:posOffset>2047875</wp:posOffset>
                      </wp:positionV>
                      <wp:extent cx="228600" cy="0"/>
                      <wp:effectExtent l="0" t="38100" r="0" b="38100"/>
                      <wp:wrapNone/>
                      <wp:docPr id="282" name="直线箭头连接符 282"/>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直线箭头连接符 282" o:spid="_x0000_s1026" o:spt="32" type="#_x0000_t32" style="position:absolute;left:0pt;margin-left:-1.65pt;margin-top:161.25pt;height:0pt;width:18pt;z-index:251835392;mso-width-relative:page;mso-height-relative:page;" filled="f" stroked="t" coordsize="21600,21600" o:gfxdata="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guTVAAAACQEAAA8AAAAAAAAAAQAgAAAAIgAAAGRy&#10;cy9kb3ducmV2LnhtbFBLAQIUABQAAAAIAIdO4kC8omZgCAIAAMcDAAAOAAAAAAAAAAEAIAAAACQB&#10;AABkcnMvZTJvRG9jLnhtbFBLBQYAAAAABgAGAFkBAACeBQAAAAA=&#10;">
                      <v:fill on="f" focussize="0,0"/>
                      <v:stroke color="#000000" joinstyle="round" dashstyle="dash" endarrow="block"/>
                      <v:imagedata o:title=""/>
                      <o:lock v:ext="edit" aspectratio="f"/>
                    </v:shape>
                  </w:pict>
                </mc:Fallback>
              </mc:AlternateContent>
            </w:r>
            <w:r>
              <w:rPr>
                <w:rFonts w:ascii="仿宋_GB2312" w:eastAsia="仿宋_GB2312" w:cs="仿宋_GB2312"/>
                <w:b/>
              </w:rPr>
              <mc:AlternateContent>
                <mc:Choice Requires="wps">
                  <w:drawing>
                    <wp:anchor distT="0" distB="0" distL="114300" distR="114300" simplePos="0" relativeHeight="251832320" behindDoc="0" locked="0" layoutInCell="1" allowOverlap="1">
                      <wp:simplePos x="0" y="0"/>
                      <wp:positionH relativeFrom="column">
                        <wp:posOffset>137795</wp:posOffset>
                      </wp:positionH>
                      <wp:positionV relativeFrom="paragraph">
                        <wp:posOffset>1723390</wp:posOffset>
                      </wp:positionV>
                      <wp:extent cx="1498600" cy="653415"/>
                      <wp:effectExtent l="12065" t="5080" r="13335" b="8255"/>
                      <wp:wrapNone/>
                      <wp:docPr id="281" name="菱形 281"/>
                      <wp:cNvGraphicFramePr/>
                      <a:graphic xmlns:a="http://schemas.openxmlformats.org/drawingml/2006/main">
                        <a:graphicData uri="http://schemas.microsoft.com/office/word/2010/wordprocessingShape">
                          <wps:wsp>
                            <wps:cNvSpPr>
                              <a:spLocks noChangeArrowheads="1"/>
                            </wps:cNvSpPr>
                            <wps:spPr bwMode="auto">
                              <a:xfrm>
                                <a:off x="0" y="0"/>
                                <a:ext cx="1498600" cy="653415"/>
                              </a:xfrm>
                              <a:prstGeom prst="diamond">
                                <a:avLst/>
                              </a:prstGeom>
                              <a:solidFill>
                                <a:srgbClr val="FFFFFF"/>
                              </a:solidFill>
                              <a:ln w="9525">
                                <a:solidFill>
                                  <a:srgbClr val="000000"/>
                                </a:solidFill>
                                <a:miter lim="800000"/>
                              </a:ln>
                            </wps:spPr>
                            <wps:txbx>
                              <w:txbxContent>
                                <w:p>
                                  <w:pPr>
                                    <w:rPr>
                                      <w:sz w:val="21"/>
                                      <w:szCs w:val="21"/>
                                    </w:rPr>
                                  </w:pPr>
                                  <w:r>
                                    <w:rPr>
                                      <w:rFonts w:hint="eastAsia" w:cs="宋体"/>
                                      <w:sz w:val="21"/>
                                      <w:szCs w:val="21"/>
                                    </w:rPr>
                                    <w:t>专家评审</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0.85pt;margin-top:135.7pt;height:51.45pt;width:118pt;z-index:251832320;mso-width-relative:page;mso-height-relative:page;" fillcolor="#FFFFFF" filled="t" stroked="t" coordsize="21600,21600" o:gfxdata="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GGbqTY&#10;AAAACgEAAA8AAAAAAAAAAQAgAAAAIgAAAGRycy9kb3ducmV2LnhtbFBLAQIUABQAAAAIAIdO4kAz&#10;2nmBIAIAADMEAAAOAAAAAAAAAAEAIAAAACcBAABkcnMvZTJvRG9jLnhtbFBLBQYAAAAABgAGAFkB&#10;AAC5BQAAAAA=&#10;">
                      <v:fill on="t" focussize="0,0"/>
                      <v:stroke color="#000000" miterlimit="8" joinstyle="miter"/>
                      <v:imagedata o:title=""/>
                      <o:lock v:ext="edit" aspectratio="f"/>
                      <v:textbox>
                        <w:txbxContent>
                          <w:p>
                            <w:pPr>
                              <w:rPr>
                                <w:sz w:val="21"/>
                                <w:szCs w:val="21"/>
                              </w:rPr>
                            </w:pPr>
                            <w:r>
                              <w:rPr>
                                <w:rFonts w:hint="eastAsia" w:cs="宋体"/>
                                <w:sz w:val="21"/>
                                <w:szCs w:val="21"/>
                              </w:rPr>
                              <w:t>专家评审</w:t>
                            </w:r>
                          </w:p>
                        </w:txbxContent>
                      </v:textbox>
                    </v:shape>
                  </w:pict>
                </mc:Fallback>
              </mc:AlternateContent>
            </w:r>
            <w:r>
              <w:rPr>
                <w:rFonts w:ascii="仿宋_GB2312" w:eastAsia="仿宋_GB2312" w:cs="仿宋_GB2312"/>
                <w:b/>
              </w:rPr>
              <mc:AlternateContent>
                <mc:Choice Requires="wps">
                  <w:drawing>
                    <wp:anchor distT="0" distB="0" distL="114300" distR="114300" simplePos="0" relativeHeight="251825152" behindDoc="0" locked="0" layoutInCell="1" allowOverlap="1">
                      <wp:simplePos x="0" y="0"/>
                      <wp:positionH relativeFrom="column">
                        <wp:posOffset>233680</wp:posOffset>
                      </wp:positionH>
                      <wp:positionV relativeFrom="paragraph">
                        <wp:posOffset>673100</wp:posOffset>
                      </wp:positionV>
                      <wp:extent cx="1318260" cy="654050"/>
                      <wp:effectExtent l="10795" t="5080" r="23495" b="7620"/>
                      <wp:wrapNone/>
                      <wp:docPr id="280" name="菱形 280"/>
                      <wp:cNvGraphicFramePr/>
                      <a:graphic xmlns:a="http://schemas.openxmlformats.org/drawingml/2006/main">
                        <a:graphicData uri="http://schemas.microsoft.com/office/word/2010/wordprocessingShape">
                          <wps:wsp>
                            <wps:cNvSpPr>
                              <a:spLocks noChangeArrowheads="1"/>
                            </wps:cNvSpPr>
                            <wps:spPr bwMode="auto">
                              <a:xfrm>
                                <a:off x="0" y="0"/>
                                <a:ext cx="1318260" cy="654050"/>
                              </a:xfrm>
                              <a:prstGeom prst="diamond">
                                <a:avLst/>
                              </a:prstGeom>
                              <a:solidFill>
                                <a:srgbClr val="FFFFFF"/>
                              </a:solidFill>
                              <a:ln w="9525">
                                <a:solidFill>
                                  <a:srgbClr val="000000"/>
                                </a:solidFill>
                                <a:miter lim="800000"/>
                              </a:ln>
                            </wps:spPr>
                            <wps:txbx>
                              <w:txbxContent>
                                <w:p>
                                  <w:pPr>
                                    <w:jc w:val="center"/>
                                    <w:rPr>
                                      <w:sz w:val="21"/>
                                      <w:szCs w:val="21"/>
                                    </w:rPr>
                                  </w:pPr>
                                  <w:r>
                                    <w:rPr>
                                      <w:rFonts w:hint="eastAsia" w:cs="宋体"/>
                                      <w:sz w:val="21"/>
                                      <w:szCs w:val="21"/>
                                    </w:rPr>
                                    <w:t>初审</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8.4pt;margin-top:53pt;height:51.5pt;width:103.8pt;z-index:251825152;mso-width-relative:page;mso-height-relative:page;" fillcolor="#FFFFFF" filled="t" stroked="t" coordsize="21600,21600" o:gfxdata="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fimUg&#10;1wAAAAoBAAAPAAAAAAAAAAEAIAAAACIAAABkcnMvZG93bnJldi54bWxQSwECFAAUAAAACACHTuJA&#10;3XG1uSICAAAzBAAADgAAAAAAAAABACAAAAAmAQAAZHJzL2Uyb0RvYy54bWxQSwUGAAAAAAYABgBZ&#10;AQAAugUAAAAA&#10;">
                      <v:fill on="t" focussize="0,0"/>
                      <v:stroke color="#000000" miterlimit="8" joinstyle="miter"/>
                      <v:imagedata o:title=""/>
                      <o:lock v:ext="edit" aspectratio="f"/>
                      <v:textbox>
                        <w:txbxContent>
                          <w:p>
                            <w:pPr>
                              <w:jc w:val="center"/>
                              <w:rPr>
                                <w:sz w:val="21"/>
                                <w:szCs w:val="21"/>
                              </w:rPr>
                            </w:pPr>
                            <w:r>
                              <w:rPr>
                                <w:rFonts w:hint="eastAsia" w:cs="宋体"/>
                                <w:sz w:val="21"/>
                                <w:szCs w:val="21"/>
                              </w:rPr>
                              <w:t>初审</w:t>
                            </w:r>
                          </w:p>
                        </w:txbxContent>
                      </v:textbox>
                    </v:shape>
                  </w:pict>
                </mc:Fallback>
              </mc:AlternateContent>
            </w:r>
            <w:r>
              <w:rPr>
                <w:rFonts w:ascii="仿宋_GB2312" w:eastAsia="仿宋_GB2312" w:cs="仿宋_GB2312"/>
                <w:b/>
              </w:rPr>
              <mc:AlternateContent>
                <mc:Choice Requires="wps">
                  <w:drawing>
                    <wp:anchor distT="0" distB="0" distL="114300" distR="114300" simplePos="0" relativeHeight="251829248" behindDoc="0" locked="0" layoutInCell="1" allowOverlap="1">
                      <wp:simplePos x="0" y="0"/>
                      <wp:positionH relativeFrom="column">
                        <wp:posOffset>889635</wp:posOffset>
                      </wp:positionH>
                      <wp:positionV relativeFrom="paragraph">
                        <wp:posOffset>1346200</wp:posOffset>
                      </wp:positionV>
                      <wp:extent cx="5080" cy="390525"/>
                      <wp:effectExtent l="36830" t="0" r="34290" b="9525"/>
                      <wp:wrapNone/>
                      <wp:docPr id="279" name="直线箭头连接符 279"/>
                      <wp:cNvGraphicFramePr/>
                      <a:graphic xmlns:a="http://schemas.openxmlformats.org/drawingml/2006/main">
                        <a:graphicData uri="http://schemas.microsoft.com/office/word/2010/wordprocessingShape">
                          <wps:wsp>
                            <wps:cNvCnPr>
                              <a:cxnSpLocks noChangeShapeType="1"/>
                            </wps:cNvCnPr>
                            <wps:spPr bwMode="auto">
                              <a:xfrm flipH="1">
                                <a:off x="0" y="0"/>
                                <a:ext cx="5080" cy="390525"/>
                              </a:xfrm>
                              <a:prstGeom prst="straightConnector1">
                                <a:avLst/>
                              </a:prstGeom>
                              <a:noFill/>
                              <a:ln w="9525">
                                <a:solidFill>
                                  <a:srgbClr val="000000"/>
                                </a:solidFill>
                                <a:round/>
                                <a:tailEnd type="triangle" w="med" len="med"/>
                              </a:ln>
                              <a:effectLst/>
                            </wps:spPr>
                            <wps:bodyPr/>
                          </wps:wsp>
                        </a:graphicData>
                      </a:graphic>
                    </wp:anchor>
                  </w:drawing>
                </mc:Choice>
                <mc:Fallback>
                  <w:pict>
                    <v:shape id="直线箭头连接符 279" o:spid="_x0000_s1026" o:spt="32" type="#_x0000_t32" style="position:absolute;left:0pt;flip:x;margin-left:70.05pt;margin-top:106pt;height:30.75pt;width:0.4pt;z-index:251829248;mso-width-relative:page;mso-height-relative:page;" filled="f" stroked="t" coordsize="21600,21600" o:gfxdata="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dX02zZAAAACwEAAA8AAAAAAAAAAQAgAAAAIgAAAGRy&#10;cy9kb3ducmV2LnhtbFBLAQIUABQAAAAIAIdO4kBbKESVBAIAALwDAAAOAAAAAAAAAAEAIAAAACgB&#10;AABkcnMvZTJvRG9jLnhtbFBLBQYAAAAABgAGAFkBAACeBQAAAAA=&#10;">
                      <v:fill on="f" focussize="0,0"/>
                      <v:stroke color="#000000" joinstyle="round" endarrow="block"/>
                      <v:imagedata o:title=""/>
                      <o:lock v:ext="edit" aspectratio="f"/>
                    </v:shape>
                  </w:pict>
                </mc:Fallback>
              </mc:AlternateContent>
            </w:r>
            <w:r>
              <w:rPr>
                <w:rFonts w:ascii="仿宋_GB2312" w:eastAsia="仿宋_GB2312" w:cs="仿宋_GB2312"/>
                <w:b/>
              </w:rPr>
              <mc:AlternateContent>
                <mc:Choice Requires="wps">
                  <w:drawing>
                    <wp:anchor distT="0" distB="0" distL="114300" distR="114300" simplePos="0" relativeHeight="251836416" behindDoc="0" locked="0" layoutInCell="1" allowOverlap="1">
                      <wp:simplePos x="0" y="0"/>
                      <wp:positionH relativeFrom="column">
                        <wp:posOffset>311785</wp:posOffset>
                      </wp:positionH>
                      <wp:positionV relativeFrom="paragraph">
                        <wp:posOffset>4503420</wp:posOffset>
                      </wp:positionV>
                      <wp:extent cx="1182370" cy="277495"/>
                      <wp:effectExtent l="5080" t="5080" r="12700" b="22225"/>
                      <wp:wrapNone/>
                      <wp:docPr id="278" name="矩形 278"/>
                      <wp:cNvGraphicFramePr/>
                      <a:graphic xmlns:a="http://schemas.openxmlformats.org/drawingml/2006/main">
                        <a:graphicData uri="http://schemas.microsoft.com/office/word/2010/wordprocessingShape">
                          <wps:wsp>
                            <wps:cNvSpPr>
                              <a:spLocks noChangeArrowheads="1"/>
                            </wps:cNvSpPr>
                            <wps:spPr bwMode="auto">
                              <a:xfrm>
                                <a:off x="0" y="0"/>
                                <a:ext cx="1182370" cy="277495"/>
                              </a:xfrm>
                              <a:prstGeom prst="rect">
                                <a:avLst/>
                              </a:prstGeom>
                              <a:solidFill>
                                <a:srgbClr val="FFFFFF"/>
                              </a:solidFill>
                              <a:ln w="9525">
                                <a:solidFill>
                                  <a:srgbClr val="000000"/>
                                </a:solidFill>
                                <a:miter lim="800000"/>
                              </a:ln>
                            </wps:spPr>
                            <wps:txbx>
                              <w:txbxContent>
                                <w:p>
                                  <w:pPr>
                                    <w:spacing w:line="300" w:lineRule="exact"/>
                                    <w:jc w:val="center"/>
                                    <w:rPr>
                                      <w:sz w:val="21"/>
                                      <w:szCs w:val="21"/>
                                    </w:rPr>
                                  </w:pPr>
                                  <w:r>
                                    <w:rPr>
                                      <w:rFonts w:hint="eastAsia"/>
                                      <w:sz w:val="21"/>
                                      <w:szCs w:val="21"/>
                                    </w:rPr>
                                    <w:t>备案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5pt;margin-top:354.6pt;height:21.85pt;width:93.1pt;z-index:251836416;mso-width-relative:page;mso-height-relative:page;" fillcolor="#FFFFFF" filled="t" stroked="t" coordsize="21600,21600" o:gfxdata="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jtTVrYAAAA&#10;CgEAAA8AAAAAAAAAAQAgAAAAIgAAAGRycy9kb3ducmV2LnhtbFBLAQIUABQAAAAIAIdO4kDc0FIr&#10;HQIAADAEAAAOAAAAAAAAAAEAIAAAACcBAABkcnMvZTJvRG9jLnhtbFBLBQYAAAAABgAGAFkBAAC2&#10;BQAAAAA=&#10;">
                      <v:fill on="t" focussize="0,0"/>
                      <v:stroke color="#000000" miterlimit="8" joinstyle="miter"/>
                      <v:imagedata o:title=""/>
                      <o:lock v:ext="edit" aspectratio="f"/>
                      <v:textbox>
                        <w:txbxContent>
                          <w:p>
                            <w:pPr>
                              <w:spacing w:line="300" w:lineRule="exact"/>
                              <w:jc w:val="center"/>
                              <w:rPr>
                                <w:sz w:val="21"/>
                                <w:szCs w:val="21"/>
                              </w:rPr>
                            </w:pPr>
                            <w:r>
                              <w:rPr>
                                <w:rFonts w:hint="eastAsia"/>
                                <w:sz w:val="21"/>
                                <w:szCs w:val="21"/>
                              </w:rPr>
                              <w:t>备案</w:t>
                            </w:r>
                          </w:p>
                        </w:txbxContent>
                      </v:textbox>
                    </v:rect>
                  </w:pict>
                </mc:Fallback>
              </mc:AlternateContent>
            </w:r>
            <w:r>
              <w:rPr>
                <w:rFonts w:ascii="仿宋_GB2312" w:eastAsia="仿宋_GB2312" w:cs="仿宋_GB2312"/>
                <w:b/>
              </w:rPr>
              <mc:AlternateContent>
                <mc:Choice Requires="wps">
                  <w:drawing>
                    <wp:anchor distT="0" distB="0" distL="114300" distR="114300" simplePos="0" relativeHeight="251837440" behindDoc="0" locked="0" layoutInCell="1" allowOverlap="1">
                      <wp:simplePos x="0" y="0"/>
                      <wp:positionH relativeFrom="column">
                        <wp:posOffset>893445</wp:posOffset>
                      </wp:positionH>
                      <wp:positionV relativeFrom="paragraph">
                        <wp:posOffset>4104005</wp:posOffset>
                      </wp:positionV>
                      <wp:extent cx="5080" cy="378460"/>
                      <wp:effectExtent l="36830" t="0" r="34290" b="2540"/>
                      <wp:wrapNone/>
                      <wp:docPr id="277" name="直线箭头连接符 277"/>
                      <wp:cNvGraphicFramePr/>
                      <a:graphic xmlns:a="http://schemas.openxmlformats.org/drawingml/2006/main">
                        <a:graphicData uri="http://schemas.microsoft.com/office/word/2010/wordprocessingShape">
                          <wps:wsp>
                            <wps:cNvCnPr>
                              <a:cxnSpLocks noChangeShapeType="1"/>
                            </wps:cNvCnPr>
                            <wps:spPr bwMode="auto">
                              <a:xfrm flipH="1">
                                <a:off x="0" y="0"/>
                                <a:ext cx="5080" cy="378460"/>
                              </a:xfrm>
                              <a:prstGeom prst="straightConnector1">
                                <a:avLst/>
                              </a:prstGeom>
                              <a:noFill/>
                              <a:ln w="9525">
                                <a:solidFill>
                                  <a:srgbClr val="000000"/>
                                </a:solidFill>
                                <a:round/>
                                <a:tailEnd type="triangle" w="med" len="med"/>
                              </a:ln>
                              <a:effectLst/>
                            </wps:spPr>
                            <wps:bodyPr/>
                          </wps:wsp>
                        </a:graphicData>
                      </a:graphic>
                    </wp:anchor>
                  </w:drawing>
                </mc:Choice>
                <mc:Fallback>
                  <w:pict>
                    <v:shape id="直线箭头连接符 277" o:spid="_x0000_s1026" o:spt="32" type="#_x0000_t32" style="position:absolute;left:0pt;flip:x;margin-left:70.35pt;margin-top:323.15pt;height:29.8pt;width:0.4pt;z-index:251837440;mso-width-relative:page;mso-height-relative:page;" filled="f" stroked="t" coordsize="21600,21600" o:gfxdata="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pNg59oAAAALAQAADwAAAAAAAAABACAAAAAi&#10;AAAAZHJzL2Rvd25yZXYueG1sUEsBAhQAFAAAAAgAh07iQNzm9QYIAgAAvAMAAA4AAAAAAAAAAQAg&#10;AAAAKQEAAGRycy9lMm9Eb2MueG1sUEsFBgAAAAAGAAYAWQEAAKMFAAAAAA==&#10;">
                      <v:fill on="f" focussize="0,0"/>
                      <v:stroke color="#000000" joinstyle="round" endarrow="block"/>
                      <v:imagedata o:title=""/>
                      <o:lock v:ext="edit" aspectratio="f"/>
                    </v:shape>
                  </w:pict>
                </mc:Fallback>
              </mc:AlternateContent>
            </w:r>
            <w:r>
              <w:rPr>
                <w:rFonts w:ascii="仿宋_GB2312" w:eastAsia="仿宋_GB2312" w:cs="仿宋_GB2312"/>
                <w:b/>
              </w:rPr>
              <mc:AlternateContent>
                <mc:Choice Requires="wps">
                  <w:drawing>
                    <wp:anchor distT="0" distB="0" distL="114300" distR="114300" simplePos="0" relativeHeight="251827200" behindDoc="0" locked="0" layoutInCell="1" allowOverlap="1">
                      <wp:simplePos x="0" y="0"/>
                      <wp:positionH relativeFrom="column">
                        <wp:posOffset>283210</wp:posOffset>
                      </wp:positionH>
                      <wp:positionV relativeFrom="paragraph">
                        <wp:posOffset>3827145</wp:posOffset>
                      </wp:positionV>
                      <wp:extent cx="1230630" cy="276860"/>
                      <wp:effectExtent l="4445" t="4445" r="22225" b="23495"/>
                      <wp:wrapNone/>
                      <wp:docPr id="276" name="矩形 276"/>
                      <wp:cNvGraphicFramePr/>
                      <a:graphic xmlns:a="http://schemas.openxmlformats.org/drawingml/2006/main">
                        <a:graphicData uri="http://schemas.microsoft.com/office/word/2010/wordprocessingShape">
                          <wps:wsp>
                            <wps:cNvSpPr>
                              <a:spLocks noChangeArrowheads="1"/>
                            </wps:cNvSpPr>
                            <wps:spPr bwMode="auto">
                              <a:xfrm>
                                <a:off x="0" y="0"/>
                                <a:ext cx="1230630" cy="276860"/>
                              </a:xfrm>
                              <a:prstGeom prst="rect">
                                <a:avLst/>
                              </a:prstGeom>
                              <a:solidFill>
                                <a:srgbClr val="FFFFFF"/>
                              </a:solidFill>
                              <a:ln w="9525">
                                <a:solidFill>
                                  <a:srgbClr val="000000"/>
                                </a:solidFill>
                                <a:miter lim="800000"/>
                              </a:ln>
                            </wps:spPr>
                            <wps:txbx>
                              <w:txbxContent>
                                <w:p>
                                  <w:pPr>
                                    <w:spacing w:line="300" w:lineRule="exact"/>
                                    <w:jc w:val="center"/>
                                    <w:rPr>
                                      <w:sz w:val="21"/>
                                      <w:szCs w:val="21"/>
                                    </w:rPr>
                                  </w:pPr>
                                  <w:r>
                                    <w:rPr>
                                      <w:rFonts w:hint="eastAsia"/>
                                      <w:sz w:val="21"/>
                                      <w:szCs w:val="21"/>
                                    </w:rPr>
                                    <w:t>签订责任书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3pt;margin-top:301.35pt;height:21.8pt;width:96.9pt;z-index:251827200;mso-width-relative:page;mso-height-relative:page;" fillcolor="#FFFFFF" filled="t" stroked="t" coordsize="21600,21600" o:gfxdata="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1eitgA&#10;AAAKAQAADwAAAAAAAAABACAAAAAiAAAAZHJzL2Rvd25yZXYueG1sUEsBAhQAFAAAAAgAh07iQNs1&#10;XmAfAgAAMAQAAA4AAAAAAAAAAQAgAAAAJwEAAGRycy9lMm9Eb2MueG1sUEsFBgAAAAAGAAYAWQEA&#10;ALgFAAAAAA==&#10;">
                      <v:fill on="t" focussize="0,0"/>
                      <v:stroke color="#000000" miterlimit="8" joinstyle="miter"/>
                      <v:imagedata o:title=""/>
                      <o:lock v:ext="edit" aspectratio="f"/>
                      <v:textbox>
                        <w:txbxContent>
                          <w:p>
                            <w:pPr>
                              <w:spacing w:line="300" w:lineRule="exact"/>
                              <w:jc w:val="center"/>
                              <w:rPr>
                                <w:sz w:val="21"/>
                                <w:szCs w:val="21"/>
                              </w:rPr>
                            </w:pPr>
                            <w:r>
                              <w:rPr>
                                <w:rFonts w:hint="eastAsia"/>
                                <w:sz w:val="21"/>
                                <w:szCs w:val="21"/>
                              </w:rPr>
                              <w:t>签订责任书</w:t>
                            </w:r>
                          </w:p>
                        </w:txbxContent>
                      </v:textbox>
                    </v:rect>
                  </w:pict>
                </mc:Fallback>
              </mc:AlternateContent>
            </w:r>
            <w:r>
              <w:rPr>
                <w:rFonts w:ascii="仿宋_GB2312" w:eastAsia="仿宋_GB2312" w:cs="仿宋_GB2312"/>
                <w:b/>
              </w:rPr>
              <mc:AlternateContent>
                <mc:Choice Requires="wps">
                  <w:drawing>
                    <wp:anchor distT="0" distB="0" distL="114300" distR="114300" simplePos="0" relativeHeight="251831296" behindDoc="0" locked="0" layoutInCell="1" allowOverlap="1">
                      <wp:simplePos x="0" y="0"/>
                      <wp:positionH relativeFrom="column">
                        <wp:posOffset>895985</wp:posOffset>
                      </wp:positionH>
                      <wp:positionV relativeFrom="paragraph">
                        <wp:posOffset>3491230</wp:posOffset>
                      </wp:positionV>
                      <wp:extent cx="2540" cy="335915"/>
                      <wp:effectExtent l="36195" t="0" r="37465" b="6985"/>
                      <wp:wrapNone/>
                      <wp:docPr id="275" name="直线箭头连接符 275"/>
                      <wp:cNvGraphicFramePr/>
                      <a:graphic xmlns:a="http://schemas.openxmlformats.org/drawingml/2006/main">
                        <a:graphicData uri="http://schemas.microsoft.com/office/word/2010/wordprocessingShape">
                          <wps:wsp>
                            <wps:cNvCnPr>
                              <a:cxnSpLocks noChangeShapeType="1"/>
                            </wps:cNvCnPr>
                            <wps:spPr bwMode="auto">
                              <a:xfrm>
                                <a:off x="0" y="0"/>
                                <a:ext cx="2540" cy="335915"/>
                              </a:xfrm>
                              <a:prstGeom prst="straightConnector1">
                                <a:avLst/>
                              </a:prstGeom>
                              <a:noFill/>
                              <a:ln w="9525">
                                <a:solidFill>
                                  <a:srgbClr val="000000"/>
                                </a:solidFill>
                                <a:round/>
                                <a:tailEnd type="triangle" w="med" len="med"/>
                              </a:ln>
                              <a:effectLst/>
                            </wps:spPr>
                            <wps:bodyPr/>
                          </wps:wsp>
                        </a:graphicData>
                      </a:graphic>
                    </wp:anchor>
                  </w:drawing>
                </mc:Choice>
                <mc:Fallback>
                  <w:pict>
                    <v:shape id="直线箭头连接符 275" o:spid="_x0000_s1026" o:spt="32" type="#_x0000_t32" style="position:absolute;left:0pt;margin-left:70.55pt;margin-top:274.9pt;height:26.45pt;width:0.2pt;z-index:251831296;mso-width-relative:page;mso-height-relative:page;" filled="f" stroked="t" coordsize="21600,21600" o:gfxdata="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Y56xHbAAAACwEAAA8AAAAAAAAAAQAgAAAAIgAAAGRy&#10;cy9kb3ducmV2LnhtbFBLAQIUABQAAAAIAIdO4kCRUFqAAgIAALIDAAAOAAAAAAAAAAEAIAAAACoB&#10;AABkcnMvZTJvRG9jLnhtbFBLBQYAAAAABgAGAFkBAACeBQAAAAA=&#10;">
                      <v:fill on="f" focussize="0,0"/>
                      <v:stroke color="#000000" joinstyle="round" endarrow="block"/>
                      <v:imagedata o:title=""/>
                      <o:lock v:ext="edit" aspectratio="f"/>
                    </v:shape>
                  </w:pict>
                </mc:Fallback>
              </mc:AlternateContent>
            </w:r>
            <w:r>
              <w:rPr>
                <w:rFonts w:ascii="仿宋_GB2312" w:eastAsia="仿宋_GB2312" w:cs="仿宋_GB2312"/>
                <w:b/>
              </w:rPr>
              <mc:AlternateContent>
                <mc:Choice Requires="wps">
                  <w:drawing>
                    <wp:anchor distT="0" distB="0" distL="114300" distR="114300" simplePos="0" relativeHeight="251834368" behindDoc="0" locked="0" layoutInCell="1" allowOverlap="1">
                      <wp:simplePos x="0" y="0"/>
                      <wp:positionH relativeFrom="column">
                        <wp:posOffset>-40005</wp:posOffset>
                      </wp:positionH>
                      <wp:positionV relativeFrom="paragraph">
                        <wp:posOffset>986155</wp:posOffset>
                      </wp:positionV>
                      <wp:extent cx="311785" cy="13970"/>
                      <wp:effectExtent l="0" t="27305" r="12065" b="34925"/>
                      <wp:wrapNone/>
                      <wp:docPr id="274" name="直线箭头连接符 274"/>
                      <wp:cNvGraphicFramePr/>
                      <a:graphic xmlns:a="http://schemas.openxmlformats.org/drawingml/2006/main">
                        <a:graphicData uri="http://schemas.microsoft.com/office/word/2010/wordprocessingShape">
                          <wps:wsp>
                            <wps:cNvCnPr>
                              <a:cxnSpLocks noChangeShapeType="1"/>
                            </wps:cNvCnPr>
                            <wps:spPr bwMode="auto">
                              <a:xfrm>
                                <a:off x="0" y="0"/>
                                <a:ext cx="311785" cy="1397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直线箭头连接符 274" o:spid="_x0000_s1026" o:spt="32" type="#_x0000_t32" style="position:absolute;left:0pt;margin-left:-3.15pt;margin-top:77.65pt;height:1.1pt;width:24.55pt;z-index:251834368;mso-width-relative:page;mso-height-relative:page;" filled="f" stroked="t" coordsize="21600,21600" o:gfxdata="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h0Z1QAAAAkBAAAPAAAAAAAAAAEAIAAA&#10;ACIAAABkcnMvZG93bnJldi54bWxQSwECFAAUAAAACACHTuJA7FM9yQ8CAADLAwAADgAAAAAAAAAB&#10;ACAAAAAkAQAAZHJzL2Uyb0RvYy54bWxQSwUGAAAAAAYABgBZAQAApQUAAAAA&#10;">
                      <v:fill on="f" focussize="0,0"/>
                      <v:stroke color="#000000" joinstyle="round" dashstyle="dash" endarrow="block"/>
                      <v:imagedata o:title=""/>
                      <o:lock v:ext="edit" aspectratio="f"/>
                    </v:shape>
                  </w:pict>
                </mc:Fallback>
              </mc:AlternateContent>
            </w:r>
            <w:r>
              <w:rPr>
                <w:rFonts w:ascii="仿宋_GB2312" w:eastAsia="仿宋_GB2312" w:cs="仿宋_GB2312"/>
                <w:b/>
              </w:rPr>
              <mc:AlternateContent>
                <mc:Choice Requires="wps">
                  <w:drawing>
                    <wp:anchor distT="0" distB="0" distL="113665" distR="113665" simplePos="0" relativeHeight="251830272" behindDoc="0" locked="0" layoutInCell="1" allowOverlap="1">
                      <wp:simplePos x="0" y="0"/>
                      <wp:positionH relativeFrom="column">
                        <wp:posOffset>889000</wp:posOffset>
                      </wp:positionH>
                      <wp:positionV relativeFrom="paragraph">
                        <wp:posOffset>2232660</wp:posOffset>
                      </wp:positionV>
                      <wp:extent cx="0" cy="593090"/>
                      <wp:effectExtent l="38100" t="0" r="38100" b="16510"/>
                      <wp:wrapNone/>
                      <wp:docPr id="273" name="直线箭头连接符 273"/>
                      <wp:cNvGraphicFramePr/>
                      <a:graphic xmlns:a="http://schemas.openxmlformats.org/drawingml/2006/main">
                        <a:graphicData uri="http://schemas.microsoft.com/office/word/2010/wordprocessingShape">
                          <wps:wsp>
                            <wps:cNvCnPr>
                              <a:cxnSpLocks noChangeShapeType="1"/>
                            </wps:cNvCnPr>
                            <wps:spPr bwMode="auto">
                              <a:xfrm>
                                <a:off x="0" y="0"/>
                                <a:ext cx="0" cy="593090"/>
                              </a:xfrm>
                              <a:prstGeom prst="straightConnector1">
                                <a:avLst/>
                              </a:prstGeom>
                              <a:noFill/>
                              <a:ln w="9525">
                                <a:solidFill>
                                  <a:srgbClr val="000000"/>
                                </a:solidFill>
                                <a:round/>
                                <a:tailEnd type="triangle" w="med" len="med"/>
                              </a:ln>
                              <a:effectLst/>
                            </wps:spPr>
                            <wps:bodyPr/>
                          </wps:wsp>
                        </a:graphicData>
                      </a:graphic>
                    </wp:anchor>
                  </w:drawing>
                </mc:Choice>
                <mc:Fallback>
                  <w:pict>
                    <v:shape id="直线箭头连接符 273" o:spid="_x0000_s1026" o:spt="32" type="#_x0000_t32" style="position:absolute;left:0pt;margin-left:70pt;margin-top:175.8pt;height:46.7pt;width:0pt;z-index:251830272;mso-width-relative:page;mso-height-relative:page;" filled="f" stroked="t" coordsize="21600,21600" o:gfxdata="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aGDDZAAAACwEAAA8AAAAAAAAAAQAgAAAAIgAAAGRycy9kb3du&#10;cmV2LnhtbFBLAQIUABQAAAAIAIdO4kDsIuP1/gEAAK8DAAAOAAAAAAAAAAEAIAAAACgBAABkcnMv&#10;ZTJvRG9jLnhtbFBLBQYAAAAABgAGAFkBAACYBQAAAAA=&#10;">
                      <v:fill on="f" focussize="0,0"/>
                      <v:stroke color="#000000" joinstyle="round" endarrow="block"/>
                      <v:imagedata o:title=""/>
                      <o:lock v:ext="edit" aspectratio="f"/>
                    </v:shape>
                  </w:pict>
                </mc:Fallback>
              </mc:AlternateContent>
            </w:r>
            <w:r>
              <w:rPr>
                <w:rFonts w:ascii="仿宋_GB2312" w:eastAsia="仿宋_GB2312" w:cs="仿宋_GB2312"/>
                <w:b/>
              </w:rPr>
              <mc:AlternateContent>
                <mc:Choice Requires="wps">
                  <w:drawing>
                    <wp:anchor distT="0" distB="0" distL="114300" distR="114300" simplePos="0" relativeHeight="251833344" behindDoc="0" locked="0" layoutInCell="1" allowOverlap="1">
                      <wp:simplePos x="0" y="0"/>
                      <wp:positionH relativeFrom="column">
                        <wp:posOffset>-30480</wp:posOffset>
                      </wp:positionH>
                      <wp:positionV relativeFrom="paragraph">
                        <wp:posOffset>167005</wp:posOffset>
                      </wp:positionV>
                      <wp:extent cx="19050" cy="2997200"/>
                      <wp:effectExtent l="4445" t="0" r="14605" b="12700"/>
                      <wp:wrapNone/>
                      <wp:docPr id="272" name="直线连接符 272"/>
                      <wp:cNvGraphicFramePr/>
                      <a:graphic xmlns:a="http://schemas.openxmlformats.org/drawingml/2006/main">
                        <a:graphicData uri="http://schemas.microsoft.com/office/word/2010/wordprocessingShape">
                          <wps:wsp>
                            <wps:cNvCnPr>
                              <a:cxnSpLocks noChangeShapeType="1"/>
                            </wps:cNvCnPr>
                            <wps:spPr bwMode="auto">
                              <a:xfrm>
                                <a:off x="0" y="0"/>
                                <a:ext cx="19050" cy="2997200"/>
                              </a:xfrm>
                              <a:prstGeom prst="line">
                                <a:avLst/>
                              </a:prstGeom>
                              <a:noFill/>
                              <a:ln w="9525">
                                <a:solidFill>
                                  <a:srgbClr val="000000"/>
                                </a:solidFill>
                                <a:round/>
                              </a:ln>
                            </wps:spPr>
                            <wps:bodyPr/>
                          </wps:wsp>
                        </a:graphicData>
                      </a:graphic>
                    </wp:anchor>
                  </w:drawing>
                </mc:Choice>
                <mc:Fallback>
                  <w:pict>
                    <v:line id="直线连接符 272" o:spid="_x0000_s1026" o:spt="20" style="position:absolute;left:0pt;margin-left:-2.4pt;margin-top:13.15pt;height:236pt;width:1.5pt;z-index:251833344;mso-width-relative:page;mso-height-relative:page;" filled="f" stroked="t" coordsize="21600,21600" o:gfxdata="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dphc9cAAAAIAQAADwAAAAAAAAABACAAAAAi&#10;AAAAZHJzL2Rvd25yZXYueG1sUEsBAhQAFAAAAAgAh07iQOwKgcDSAQAAZAMAAA4AAAAAAAAAAQAg&#10;AAAAJgEAAGRycy9lMm9Eb2MueG1sUEsFBgAAAAAGAAYAWQEAAGoFAAAAAA==&#10;">
                      <v:fill on="f" focussize="0,0"/>
                      <v:stroke color="#000000" joinstyle="round"/>
                      <v:imagedata o:title=""/>
                      <o:lock v:ext="edit" aspectratio="f"/>
                    </v:line>
                  </w:pict>
                </mc:Fallback>
              </mc:AlternateContent>
            </w:r>
            <w:r>
              <w:rPr>
                <w:rFonts w:ascii="仿宋_GB2312" w:eastAsia="仿宋_GB2312" w:cs="仿宋_GB2312"/>
                <w:b/>
              </w:rPr>
              <mc:AlternateContent>
                <mc:Choice Requires="wps">
                  <w:drawing>
                    <wp:anchor distT="0" distB="0" distL="114300" distR="114300" simplePos="0" relativeHeight="251826176" behindDoc="0" locked="0" layoutInCell="1" allowOverlap="1">
                      <wp:simplePos x="0" y="0"/>
                      <wp:positionH relativeFrom="column">
                        <wp:posOffset>886460</wp:posOffset>
                      </wp:positionH>
                      <wp:positionV relativeFrom="paragraph">
                        <wp:posOffset>391795</wp:posOffset>
                      </wp:positionV>
                      <wp:extent cx="5080" cy="270510"/>
                      <wp:effectExtent l="36830" t="0" r="34290" b="15240"/>
                      <wp:wrapNone/>
                      <wp:docPr id="271" name="直线箭头连接符 271"/>
                      <wp:cNvGraphicFramePr/>
                      <a:graphic xmlns:a="http://schemas.openxmlformats.org/drawingml/2006/main">
                        <a:graphicData uri="http://schemas.microsoft.com/office/word/2010/wordprocessingShape">
                          <wps:wsp>
                            <wps:cNvCnPr>
                              <a:cxnSpLocks noChangeShapeType="1"/>
                            </wps:cNvCnPr>
                            <wps:spPr bwMode="auto">
                              <a:xfrm flipH="1">
                                <a:off x="0" y="0"/>
                                <a:ext cx="5080" cy="270510"/>
                              </a:xfrm>
                              <a:prstGeom prst="straightConnector1">
                                <a:avLst/>
                              </a:prstGeom>
                              <a:noFill/>
                              <a:ln w="9525">
                                <a:solidFill>
                                  <a:srgbClr val="000000"/>
                                </a:solidFill>
                                <a:round/>
                                <a:tailEnd type="triangle" w="med" len="med"/>
                              </a:ln>
                              <a:effectLst/>
                            </wps:spPr>
                            <wps:bodyPr/>
                          </wps:wsp>
                        </a:graphicData>
                      </a:graphic>
                    </wp:anchor>
                  </w:drawing>
                </mc:Choice>
                <mc:Fallback>
                  <w:pict>
                    <v:shape id="直线箭头连接符 271" o:spid="_x0000_s1026" o:spt="32" type="#_x0000_t32" style="position:absolute;left:0pt;flip:x;margin-left:69.8pt;margin-top:30.85pt;height:21.3pt;width:0.4pt;z-index:251826176;mso-width-relative:page;mso-height-relative:page;" filled="f" stroked="t" coordsize="21600,21600" o:gfxdata="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LIdL2QAAAAoBAAAPAAAAAAAAAAEAIAAAACIA&#10;AABkcnMvZG93bnJldi54bWxQSwECFAAUAAAACACHTuJAPNJK0AgCAAC8AwAADgAAAAAAAAABACAA&#10;AAAoAQAAZHJzL2Uyb0RvYy54bWxQSwUGAAAAAAYABgBZAQAAogUAAAAA&#10;">
                      <v:fill on="f" focussize="0,0"/>
                      <v:stroke color="#000000" joinstyle="round" endarrow="block"/>
                      <v:imagedata o:title=""/>
                      <o:lock v:ext="edit" aspectratio="f"/>
                    </v:shape>
                  </w:pict>
                </mc:Fallback>
              </mc:AlternateContent>
            </w:r>
            <w:r>
              <w:rPr>
                <w:rFonts w:ascii="仿宋_GB2312" w:eastAsia="仿宋_GB2312" w:cs="仿宋_GB2312"/>
                <w:b/>
              </w:rPr>
              <mc:AlternateContent>
                <mc:Choice Requires="wps">
                  <w:drawing>
                    <wp:anchor distT="0" distB="0" distL="114300" distR="114300" simplePos="0" relativeHeight="251828224" behindDoc="0" locked="0" layoutInCell="1" allowOverlap="1">
                      <wp:simplePos x="0" y="0"/>
                      <wp:positionH relativeFrom="column">
                        <wp:posOffset>-30480</wp:posOffset>
                      </wp:positionH>
                      <wp:positionV relativeFrom="paragraph">
                        <wp:posOffset>167005</wp:posOffset>
                      </wp:positionV>
                      <wp:extent cx="311785" cy="13970"/>
                      <wp:effectExtent l="0" t="27305" r="12065" b="34925"/>
                      <wp:wrapNone/>
                      <wp:docPr id="270" name="直线箭头连接符 270"/>
                      <wp:cNvGraphicFramePr/>
                      <a:graphic xmlns:a="http://schemas.openxmlformats.org/drawingml/2006/main">
                        <a:graphicData uri="http://schemas.microsoft.com/office/word/2010/wordprocessingShape">
                          <wps:wsp>
                            <wps:cNvCnPr>
                              <a:cxnSpLocks noChangeShapeType="1"/>
                            </wps:cNvCnPr>
                            <wps:spPr bwMode="auto">
                              <a:xfrm>
                                <a:off x="0" y="0"/>
                                <a:ext cx="311785" cy="1397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直线箭头连接符 270" o:spid="_x0000_s1026" o:spt="32" type="#_x0000_t32" style="position:absolute;left:0pt;margin-left:-2.4pt;margin-top:13.15pt;height:1.1pt;width:24.55pt;z-index:251828224;mso-width-relative:page;mso-height-relative:page;" filled="f" stroked="t" coordsize="21600,21600" o:gfxdata="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XOmG1AAAAAcBAAAPAAAAAAAAAAEAIAAAACIA&#10;AABkcnMvZG93bnJldi54bWxQSwECFAAUAAAACACHTuJAcClZ+g0CAADLAwAADgAAAAAAAAABACAA&#10;AAAjAQAAZHJzL2Uyb0RvYy54bWxQSwUGAAAAAAYABgBZAQAAogUAAAAA&#10;">
                      <v:fill on="f" focussize="0,0"/>
                      <v:stroke color="#000000" joinstyle="round" dashstyle="dash" endarrow="block"/>
                      <v:imagedata o:title=""/>
                      <o:lock v:ext="edit" aspectratio="f"/>
                    </v:shape>
                  </w:pict>
                </mc:Fallback>
              </mc:AlternateContent>
            </w:r>
          </w:p>
        </w:tc>
        <w:tc>
          <w:tcPr>
            <w:tcW w:w="1462" w:type="dxa"/>
            <w:tcBorders>
              <w:top w:val="single" w:color="auto" w:sz="4" w:space="0"/>
              <w:bottom w:val="single" w:color="auto" w:sz="4" w:space="0"/>
            </w:tcBorders>
            <w:vAlign w:val="center"/>
          </w:tcPr>
          <w:p>
            <w:pPr>
              <w:pStyle w:val="16"/>
              <w:spacing w:line="360" w:lineRule="exact"/>
              <w:jc w:val="center"/>
              <w:outlineLvl w:val="9"/>
              <w:rPr>
                <w:rFonts w:ascii="宋体" w:eastAsia="宋体" w:cs="Times New Roman"/>
                <w:sz w:val="21"/>
                <w:szCs w:val="21"/>
              </w:rPr>
            </w:pPr>
          </w:p>
        </w:tc>
        <w:tc>
          <w:tcPr>
            <w:tcW w:w="1133" w:type="dxa"/>
            <w:tcBorders>
              <w:bottom w:val="single" w:color="auto" w:sz="4" w:space="0"/>
            </w:tcBorders>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申请人</w:t>
            </w:r>
          </w:p>
        </w:tc>
        <w:tc>
          <w:tcPr>
            <w:tcW w:w="2849" w:type="dxa"/>
            <w:vAlign w:val="center"/>
          </w:tcPr>
          <w:p>
            <w:pPr>
              <w:pStyle w:val="16"/>
              <w:spacing w:line="360" w:lineRule="exact"/>
              <w:jc w:val="both"/>
              <w:outlineLvl w:val="9"/>
              <w:rPr>
                <w:rFonts w:ascii="宋体" w:eastAsia="宋体" w:cs="Times New Roman"/>
                <w:sz w:val="21"/>
                <w:szCs w:val="21"/>
              </w:rPr>
            </w:pPr>
            <w:r>
              <w:rPr>
                <w:rFonts w:hint="eastAsia" w:ascii="宋体" w:eastAsia="宋体" w:cs="Times New Roman"/>
                <w:sz w:val="21"/>
                <w:szCs w:val="21"/>
              </w:rPr>
              <w:t>申请人提出申请</w:t>
            </w:r>
          </w:p>
        </w:tc>
        <w:tc>
          <w:tcPr>
            <w:tcW w:w="1102" w:type="dxa"/>
            <w:vMerge w:val="restart"/>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《柳州职业技术学院专职科研岗位管理办法》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05" w:hRule="atLeast"/>
          <w:jc w:val="center"/>
        </w:trPr>
        <w:tc>
          <w:tcPr>
            <w:tcW w:w="2811" w:type="dxa"/>
            <w:vMerge w:val="continue"/>
            <w:vAlign w:val="center"/>
          </w:tcPr>
          <w:p>
            <w:pPr>
              <w:pStyle w:val="16"/>
              <w:outlineLvl w:val="9"/>
              <w:rPr>
                <w:rFonts w:ascii="宋体" w:eastAsia="宋体" w:cs="Times New Roman"/>
                <w:b/>
                <w:sz w:val="28"/>
                <w:szCs w:val="28"/>
              </w:rPr>
            </w:pPr>
          </w:p>
        </w:tc>
        <w:tc>
          <w:tcPr>
            <w:tcW w:w="1462" w:type="dxa"/>
            <w:tcBorders>
              <w:top w:val="single" w:color="auto" w:sz="4" w:space="0"/>
              <w:bottom w:val="single" w:color="auto" w:sz="4" w:space="0"/>
            </w:tcBorders>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二级学院(部门)</w:t>
            </w:r>
          </w:p>
        </w:tc>
        <w:tc>
          <w:tcPr>
            <w:tcW w:w="1133" w:type="dxa"/>
            <w:tcBorders>
              <w:top w:val="single" w:color="auto" w:sz="4" w:space="0"/>
            </w:tcBorders>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负责人</w:t>
            </w:r>
          </w:p>
        </w:tc>
        <w:tc>
          <w:tcPr>
            <w:tcW w:w="2849" w:type="dxa"/>
            <w:vAlign w:val="center"/>
          </w:tcPr>
          <w:p>
            <w:pPr>
              <w:pStyle w:val="16"/>
              <w:spacing w:line="360" w:lineRule="exact"/>
              <w:jc w:val="both"/>
              <w:outlineLvl w:val="9"/>
              <w:rPr>
                <w:rFonts w:hint="eastAsia" w:ascii="宋体" w:eastAsia="宋体" w:cs="Times New Roman"/>
                <w:sz w:val="21"/>
                <w:szCs w:val="21"/>
              </w:rPr>
            </w:pPr>
            <w:r>
              <w:rPr>
                <w:rFonts w:hint="eastAsia" w:ascii="宋体" w:eastAsia="宋体" w:cs="Times New Roman"/>
                <w:sz w:val="21"/>
                <w:szCs w:val="21"/>
              </w:rPr>
              <w:t>审核推荐</w:t>
            </w:r>
          </w:p>
        </w:tc>
        <w:tc>
          <w:tcPr>
            <w:tcW w:w="1102" w:type="dxa"/>
            <w:vMerge w:val="continue"/>
            <w:vAlign w:val="center"/>
          </w:tcPr>
          <w:p>
            <w:pPr>
              <w:pStyle w:val="16"/>
              <w:spacing w:line="360" w:lineRule="exact"/>
              <w:jc w:val="center"/>
              <w:outlineLvl w:val="9"/>
              <w:rPr>
                <w:rFonts w:ascii="宋体"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513" w:hRule="atLeast"/>
          <w:jc w:val="center"/>
        </w:trPr>
        <w:tc>
          <w:tcPr>
            <w:tcW w:w="2811" w:type="dxa"/>
            <w:vMerge w:val="continue"/>
            <w:vAlign w:val="center"/>
          </w:tcPr>
          <w:p>
            <w:pPr>
              <w:pStyle w:val="16"/>
              <w:outlineLvl w:val="9"/>
              <w:rPr>
                <w:rFonts w:ascii="宋体" w:eastAsia="宋体" w:cs="Times New Roman"/>
                <w:b/>
                <w:sz w:val="28"/>
                <w:szCs w:val="28"/>
              </w:rPr>
            </w:pPr>
          </w:p>
        </w:tc>
        <w:tc>
          <w:tcPr>
            <w:tcW w:w="1462" w:type="dxa"/>
            <w:tcBorders>
              <w:top w:val="single" w:color="auto" w:sz="4" w:space="0"/>
              <w:bottom w:val="single" w:color="auto" w:sz="4" w:space="0"/>
            </w:tcBorders>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科技开发与校企合作处</w:t>
            </w:r>
          </w:p>
        </w:tc>
        <w:tc>
          <w:tcPr>
            <w:tcW w:w="1133" w:type="dxa"/>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负责人</w:t>
            </w:r>
          </w:p>
        </w:tc>
        <w:tc>
          <w:tcPr>
            <w:tcW w:w="2849" w:type="dxa"/>
            <w:vAlign w:val="center"/>
          </w:tcPr>
          <w:p>
            <w:pPr>
              <w:pStyle w:val="16"/>
              <w:spacing w:line="360" w:lineRule="exact"/>
              <w:outlineLvl w:val="9"/>
              <w:rPr>
                <w:rFonts w:hint="eastAsia" w:ascii="宋体" w:eastAsia="宋体" w:cs="Times New Roman"/>
                <w:sz w:val="21"/>
                <w:szCs w:val="21"/>
              </w:rPr>
            </w:pPr>
            <w:r>
              <w:rPr>
                <w:rFonts w:hint="eastAsia" w:ascii="宋体" w:eastAsia="宋体" w:cs="Times New Roman"/>
                <w:sz w:val="21"/>
                <w:szCs w:val="21"/>
              </w:rPr>
              <w:t>组织专家评审</w:t>
            </w:r>
          </w:p>
        </w:tc>
        <w:tc>
          <w:tcPr>
            <w:tcW w:w="1102" w:type="dxa"/>
            <w:vMerge w:val="continue"/>
            <w:vAlign w:val="center"/>
          </w:tcPr>
          <w:p>
            <w:pPr>
              <w:pStyle w:val="16"/>
              <w:spacing w:line="360" w:lineRule="exact"/>
              <w:jc w:val="center"/>
              <w:outlineLvl w:val="9"/>
              <w:rPr>
                <w:rFonts w:ascii="宋体"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460" w:hRule="atLeast"/>
          <w:jc w:val="center"/>
        </w:trPr>
        <w:tc>
          <w:tcPr>
            <w:tcW w:w="2811" w:type="dxa"/>
            <w:vMerge w:val="continue"/>
            <w:vAlign w:val="center"/>
          </w:tcPr>
          <w:p>
            <w:pPr>
              <w:pStyle w:val="16"/>
              <w:outlineLvl w:val="9"/>
              <w:rPr>
                <w:rFonts w:ascii="宋体" w:eastAsia="宋体" w:cs="Times New Roman"/>
                <w:b/>
                <w:sz w:val="28"/>
                <w:szCs w:val="28"/>
              </w:rPr>
            </w:pPr>
          </w:p>
        </w:tc>
        <w:tc>
          <w:tcPr>
            <w:tcW w:w="1462" w:type="dxa"/>
            <w:tcBorders>
              <w:top w:val="single" w:color="auto" w:sz="4" w:space="0"/>
            </w:tcBorders>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人事处</w:t>
            </w:r>
          </w:p>
        </w:tc>
        <w:tc>
          <w:tcPr>
            <w:tcW w:w="1133" w:type="dxa"/>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负责人</w:t>
            </w:r>
          </w:p>
        </w:tc>
        <w:tc>
          <w:tcPr>
            <w:tcW w:w="2849" w:type="dxa"/>
            <w:vAlign w:val="center"/>
          </w:tcPr>
          <w:p>
            <w:pPr>
              <w:pStyle w:val="16"/>
              <w:spacing w:line="360" w:lineRule="exact"/>
              <w:jc w:val="both"/>
              <w:outlineLvl w:val="9"/>
              <w:rPr>
                <w:rFonts w:hint="eastAsia" w:ascii="宋体" w:eastAsia="宋体" w:cs="Times New Roman"/>
                <w:sz w:val="21"/>
                <w:szCs w:val="21"/>
              </w:rPr>
            </w:pPr>
            <w:r>
              <w:rPr>
                <w:rFonts w:hint="eastAsia" w:ascii="宋体" w:eastAsia="宋体" w:cs="Times New Roman"/>
                <w:sz w:val="21"/>
                <w:szCs w:val="21"/>
              </w:rPr>
              <w:t>提交校长办公会及党委会审议</w:t>
            </w:r>
          </w:p>
        </w:tc>
        <w:tc>
          <w:tcPr>
            <w:tcW w:w="1102" w:type="dxa"/>
            <w:vMerge w:val="continue"/>
            <w:vAlign w:val="center"/>
          </w:tcPr>
          <w:p>
            <w:pPr>
              <w:pStyle w:val="16"/>
              <w:spacing w:line="360" w:lineRule="exact"/>
              <w:jc w:val="center"/>
              <w:outlineLvl w:val="9"/>
              <w:rPr>
                <w:rFonts w:ascii="宋体"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397" w:hRule="atLeast"/>
          <w:jc w:val="center"/>
        </w:trPr>
        <w:tc>
          <w:tcPr>
            <w:tcW w:w="2811" w:type="dxa"/>
            <w:vMerge w:val="continue"/>
            <w:vAlign w:val="center"/>
          </w:tcPr>
          <w:p>
            <w:pPr>
              <w:pStyle w:val="16"/>
              <w:outlineLvl w:val="9"/>
              <w:rPr>
                <w:rFonts w:ascii="宋体" w:eastAsia="宋体" w:cs="Times New Roman"/>
                <w:b/>
                <w:sz w:val="28"/>
                <w:szCs w:val="28"/>
              </w:rPr>
            </w:pPr>
          </w:p>
        </w:tc>
        <w:tc>
          <w:tcPr>
            <w:tcW w:w="1462" w:type="dxa"/>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人事处</w:t>
            </w:r>
          </w:p>
        </w:tc>
        <w:tc>
          <w:tcPr>
            <w:tcW w:w="1133" w:type="dxa"/>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负责人</w:t>
            </w:r>
          </w:p>
        </w:tc>
        <w:tc>
          <w:tcPr>
            <w:tcW w:w="2849" w:type="dxa"/>
            <w:vAlign w:val="center"/>
          </w:tcPr>
          <w:p>
            <w:pPr>
              <w:pStyle w:val="16"/>
              <w:spacing w:line="360" w:lineRule="exact"/>
              <w:jc w:val="both"/>
              <w:outlineLvl w:val="9"/>
              <w:rPr>
                <w:rFonts w:ascii="宋体" w:eastAsia="宋体" w:cs="Times New Roman"/>
                <w:sz w:val="21"/>
                <w:szCs w:val="21"/>
              </w:rPr>
            </w:pPr>
            <w:r>
              <w:rPr>
                <w:rFonts w:hint="eastAsia" w:ascii="宋体" w:eastAsia="宋体" w:cs="Times New Roman"/>
                <w:sz w:val="21"/>
                <w:szCs w:val="21"/>
              </w:rPr>
              <w:t>组织签订岗位责任书</w:t>
            </w:r>
          </w:p>
        </w:tc>
        <w:tc>
          <w:tcPr>
            <w:tcW w:w="1102" w:type="dxa"/>
            <w:vMerge w:val="continue"/>
            <w:vAlign w:val="center"/>
          </w:tcPr>
          <w:p>
            <w:pPr>
              <w:pStyle w:val="16"/>
              <w:spacing w:line="360" w:lineRule="exact"/>
              <w:jc w:val="center"/>
              <w:outlineLvl w:val="9"/>
              <w:rPr>
                <w:rFonts w:ascii="宋体"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Ex>
        <w:trPr>
          <w:trHeight w:val="1068" w:hRule="atLeast"/>
          <w:jc w:val="center"/>
        </w:trPr>
        <w:tc>
          <w:tcPr>
            <w:tcW w:w="2811" w:type="dxa"/>
            <w:vMerge w:val="continue"/>
            <w:vAlign w:val="center"/>
          </w:tcPr>
          <w:p>
            <w:pPr>
              <w:pStyle w:val="16"/>
              <w:outlineLvl w:val="9"/>
              <w:rPr>
                <w:rFonts w:ascii="宋体" w:eastAsia="宋体" w:cs="Times New Roman"/>
                <w:b/>
                <w:sz w:val="28"/>
                <w:szCs w:val="28"/>
              </w:rPr>
            </w:pPr>
          </w:p>
        </w:tc>
        <w:tc>
          <w:tcPr>
            <w:tcW w:w="1462" w:type="dxa"/>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二级学院(部门)</w:t>
            </w:r>
          </w:p>
        </w:tc>
        <w:tc>
          <w:tcPr>
            <w:tcW w:w="1133" w:type="dxa"/>
            <w:vAlign w:val="center"/>
          </w:tcPr>
          <w:p>
            <w:pPr>
              <w:pStyle w:val="16"/>
              <w:spacing w:line="360" w:lineRule="exact"/>
              <w:jc w:val="center"/>
              <w:outlineLvl w:val="9"/>
              <w:rPr>
                <w:rFonts w:ascii="宋体" w:eastAsia="宋体" w:cs="Times New Roman"/>
                <w:sz w:val="21"/>
                <w:szCs w:val="21"/>
              </w:rPr>
            </w:pPr>
            <w:r>
              <w:rPr>
                <w:rFonts w:hint="eastAsia" w:ascii="宋体" w:eastAsia="宋体" w:cs="Times New Roman"/>
                <w:sz w:val="21"/>
                <w:szCs w:val="21"/>
              </w:rPr>
              <w:t>负责人</w:t>
            </w:r>
          </w:p>
        </w:tc>
        <w:tc>
          <w:tcPr>
            <w:tcW w:w="2849" w:type="dxa"/>
            <w:vAlign w:val="center"/>
          </w:tcPr>
          <w:p>
            <w:pPr>
              <w:pStyle w:val="16"/>
              <w:spacing w:line="360" w:lineRule="exact"/>
              <w:jc w:val="both"/>
              <w:outlineLvl w:val="9"/>
              <w:rPr>
                <w:rFonts w:ascii="宋体" w:eastAsia="宋体" w:cs="Times New Roman"/>
                <w:sz w:val="21"/>
                <w:szCs w:val="21"/>
              </w:rPr>
            </w:pPr>
            <w:r>
              <w:rPr>
                <w:rFonts w:hint="eastAsia" w:ascii="宋体" w:eastAsia="宋体" w:cs="Times New Roman"/>
                <w:sz w:val="21"/>
                <w:szCs w:val="21"/>
              </w:rPr>
              <w:t>申请人、二级学院(部门)、科技开发与校企合作处、人事处备案，按管理办法、责任书进行管理、考核</w:t>
            </w:r>
          </w:p>
        </w:tc>
        <w:tc>
          <w:tcPr>
            <w:tcW w:w="1102" w:type="dxa"/>
            <w:vMerge w:val="continue"/>
            <w:vAlign w:val="center"/>
          </w:tcPr>
          <w:p>
            <w:pPr>
              <w:pStyle w:val="16"/>
              <w:spacing w:line="360" w:lineRule="exact"/>
              <w:jc w:val="center"/>
              <w:outlineLvl w:val="9"/>
              <w:rPr>
                <w:rFonts w:ascii="宋体" w:eastAsia="宋体" w:cs="Times New Roman"/>
                <w:b/>
                <w:sz w:val="18"/>
                <w:szCs w:val="18"/>
              </w:rPr>
            </w:pPr>
          </w:p>
        </w:tc>
      </w:tr>
    </w:tbl>
    <w:p>
      <w:pPr>
        <w:spacing w:line="590" w:lineRule="exact"/>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bookmarkEnd w:id="1242"/>
    <w:bookmarkEnd w:id="1243"/>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default" w:ascii="仿宋_GB2312" w:eastAsia="仿宋_GB2312"/>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260" w:name="_Toc32741"/>
      <w:bookmarkStart w:id="1261" w:name="_Toc30590_WPSOffice_Level1"/>
      <w:bookmarkStart w:id="1262" w:name="_Toc8209"/>
      <w:bookmarkStart w:id="1263" w:name="_Toc15113"/>
      <w:r>
        <w:rPr>
          <w:rFonts w:hint="eastAsia"/>
          <w:b/>
          <w:color w:val="000000"/>
          <w:sz w:val="36"/>
          <w:szCs w:val="36"/>
        </w:rPr>
        <w:t>柳州职业技术学院科研平台管理办法(试行)</w:t>
      </w:r>
      <w:bookmarkEnd w:id="1260"/>
      <w:bookmarkEnd w:id="1261"/>
      <w:bookmarkEnd w:id="1262"/>
      <w:bookmarkEnd w:id="1263"/>
    </w:p>
    <w:p>
      <w:pPr>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（柳职院字〔2021〕62 号）</w:t>
      </w:r>
    </w:p>
    <w:p>
      <w:pPr>
        <w:spacing w:line="596" w:lineRule="exact"/>
        <w:jc w:val="center"/>
        <w:rPr>
          <w:b/>
          <w:color w:val="000000"/>
          <w:sz w:val="36"/>
          <w:szCs w:val="36"/>
        </w:rPr>
      </w:pPr>
    </w:p>
    <w:p>
      <w:pPr>
        <w:spacing w:line="596" w:lineRule="exact"/>
        <w:jc w:val="center"/>
        <w:outlineLvl w:val="9"/>
        <w:rPr>
          <w:rFonts w:hint="eastAsia" w:ascii="仿宋_GB2312" w:eastAsia="仿宋_GB2312"/>
          <w:sz w:val="32"/>
          <w:szCs w:val="32"/>
        </w:rPr>
      </w:pPr>
      <w:bookmarkStart w:id="1264" w:name="_Toc27180_WPSOffice_Level1"/>
      <w:r>
        <w:rPr>
          <w:rFonts w:hint="eastAsia" w:ascii="黑体" w:hAnsi="黑体" w:eastAsia="黑体"/>
          <w:b/>
          <w:sz w:val="32"/>
          <w:szCs w:val="32"/>
        </w:rPr>
        <w:t>第一章  总  则</w:t>
      </w:r>
      <w:bookmarkEnd w:id="1264"/>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为规范和加强我校各级各类科研平台的建设和管理，提高科研平台建设质量及其服务地方经济社会发展的能力，推动我校科研事业发展，结合学校实际，制定本办法。</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本办法所指科研平台是指由政府部门或学校批准设立、以开展科学研究、技术开发、科技服务等为主要任务的专门科研机构,包括实验室、研究中心、工程中心、研究所、协同创新中心、研究基地等。</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科研平台的主要任务是创造良好的科研条件和学术环境，吸引和培育科研人才和科研团队，针对科技发展前沿、国民经济和区域发展重大问题，开展科学研究，获取科技创新成果和自主知识产权，促进科技成果转移转化。</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根据批复单位的不同，将科研平台分为国家级、省部级、市级和校级科研平台。  </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科研平台的设置应遵循“公开遴选、统筹协调、定期考核”的原则,依托我校二级学院和部门进行建设，按专业建设需要进行布局。</w:t>
      </w:r>
    </w:p>
    <w:p>
      <w:pPr>
        <w:spacing w:line="596" w:lineRule="exact"/>
        <w:jc w:val="center"/>
        <w:outlineLvl w:val="9"/>
        <w:rPr>
          <w:rFonts w:hint="eastAsia" w:ascii="仿宋_GB2312" w:eastAsia="仿宋_GB2312"/>
          <w:sz w:val="32"/>
          <w:szCs w:val="32"/>
        </w:rPr>
      </w:pPr>
      <w:bookmarkStart w:id="1265" w:name="_Toc2902_WPSOffice_Level1"/>
      <w:r>
        <w:rPr>
          <w:rFonts w:hint="eastAsia" w:ascii="黑体" w:hAnsi="黑体" w:eastAsia="黑体"/>
          <w:b/>
          <w:sz w:val="32"/>
          <w:szCs w:val="32"/>
        </w:rPr>
        <w:t>第二章  管理职责</w:t>
      </w:r>
      <w:bookmarkEnd w:id="1265"/>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科技开发与校企合作处是学校科研平台的管理机构，负责：</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1.组织制定学校科研平台整体发展规划；</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2.组织科研平台的立项论证、检查评估和验收；</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3.遴选、推荐国家、省部级、市厅级科研平台；</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4.服务、指导和监督科研平台建设；</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5.协调解决科研平台建设和运行中出现的重大问题。</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二级学院和部门是科研平台的具体依托单位，主要职能有：</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1.组织科研平台的立项申请；</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2.提供科研平台建设的配套条件和后勤保障；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3.遴选、推荐科研平台负责人，落实科研平台的人员配备；</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4.做好科研平台检查评估和验收相关工作；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5.支持、协调科研平台负责人科学研究、学术交流、人才培养等工作。</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科研平台负责人的主要职责是：</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1.制定科研平台的建设规划、实施方案；</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2.建立健全组织机构，制定管理办法和规章制度，保障科研平台的正常运行；</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3.组织实施科研平台各类科研工作的开展，凝炼研究方向，承担与国家和地方经济建设、社会发展密切相关的科研项目，同时积极组织各级科技成果奖励的申报；</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4.以学校专业群为依托，吸引优秀人</w:t>
      </w:r>
      <w:bookmarkStart w:id="1266" w:name="_Toc6636_WPSOffice_Level1"/>
      <w:r>
        <w:rPr>
          <w:rFonts w:hint="eastAsia" w:ascii="仿宋_GB2312" w:eastAsia="仿宋_GB2312"/>
          <w:sz w:val="32"/>
          <w:szCs w:val="32"/>
        </w:rPr>
        <w:t>才干进入平台进行高水平科学研究，建设具有创</w:t>
      </w:r>
      <w:bookmarkEnd w:id="1266"/>
      <w:r>
        <w:rPr>
          <w:rFonts w:hint="eastAsia" w:ascii="仿宋_GB2312" w:eastAsia="仿宋_GB2312"/>
          <w:sz w:val="32"/>
          <w:szCs w:val="32"/>
        </w:rPr>
        <w:t>新意识和团队精神，知识结构和年龄结构合理的科研团队；</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5.积极开展国内外学术交流活动，承办重要学术会议，扩大科研平台的学术影响力；</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6.接受上级主管部门和学校对平台的考核、检查和评估。</w:t>
      </w:r>
    </w:p>
    <w:p>
      <w:pPr>
        <w:spacing w:line="596" w:lineRule="exact"/>
        <w:jc w:val="center"/>
        <w:outlineLvl w:val="9"/>
        <w:rPr>
          <w:rFonts w:hint="eastAsia" w:ascii="仿宋_GB2312" w:eastAsia="仿宋_GB2312"/>
          <w:sz w:val="32"/>
          <w:szCs w:val="32"/>
        </w:rPr>
      </w:pPr>
      <w:bookmarkStart w:id="1267" w:name="_Toc13162_WPSOffice_Level1"/>
      <w:r>
        <w:rPr>
          <w:rFonts w:hint="eastAsia" w:ascii="黑体" w:hAnsi="黑体" w:eastAsia="黑体"/>
          <w:b/>
          <w:sz w:val="32"/>
          <w:szCs w:val="32"/>
        </w:rPr>
        <w:t>第三章  设立条件</w:t>
      </w:r>
      <w:bookmarkEnd w:id="1267"/>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科研平台的设立须符合以下要求：</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（一）有确定的名称。科研平台须有统一、明确的中文名称，其名称应体现主要研究领域。原则上命名为柳州职业技术学院×××实验室、研究中心、工程中心、研究所、协同创新中心、研究基地等。</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（二）有主要的</w:t>
      </w:r>
      <w:bookmarkStart w:id="1268" w:name="_Toc6296_WPSOffice_Level1"/>
      <w:r>
        <w:rPr>
          <w:rFonts w:hint="eastAsia" w:ascii="仿宋_GB2312" w:eastAsia="仿宋_GB2312"/>
          <w:sz w:val="32"/>
          <w:szCs w:val="32"/>
        </w:rPr>
        <w:t>依托部门。科</w:t>
      </w:r>
      <w:bookmarkEnd w:id="1268"/>
      <w:r>
        <w:rPr>
          <w:rFonts w:hint="eastAsia" w:ascii="仿宋_GB2312" w:eastAsia="仿宋_GB2312"/>
          <w:sz w:val="32"/>
          <w:szCs w:val="32"/>
        </w:rPr>
        <w:t>研平台应依托校内二级学院或部门设立。依托部门须对设立研究机构给予实质性的支持，负责解决团队组建、集中办公场地、实验场地和科研设备等问题。</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（三）有明确的研究方向。应有明确、稳定且聚焦于区域经济社会发展的研究领域和研究方向，研究方向具有前瞻性和坚实的研究基础。</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（四）有稳定的研究团队。需要有学术造诣较深、富有开拓精神、组织能力强的负责人，以及</w:t>
      </w:r>
      <w:bookmarkStart w:id="1269" w:name="_Toc11941_WPSOffice_Level1"/>
      <w:r>
        <w:rPr>
          <w:rFonts w:hint="eastAsia" w:ascii="仿宋_GB2312" w:eastAsia="仿宋_GB2312"/>
          <w:sz w:val="32"/>
          <w:szCs w:val="32"/>
        </w:rPr>
        <w:t>学科、职称、</w:t>
      </w:r>
      <w:bookmarkEnd w:id="1269"/>
      <w:r>
        <w:rPr>
          <w:rFonts w:hint="eastAsia" w:ascii="仿宋_GB2312" w:eastAsia="仿宋_GB2312"/>
          <w:sz w:val="32"/>
          <w:szCs w:val="32"/>
        </w:rPr>
        <w:t>学历、年龄结构合理的团队。</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（五）有相关的研究场所和设备。科研平台须在校内有相对独立的办公场所，有支持科研工作所需要的相关硬件设备。</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（六）有一定的研究基础。近五年来，团队主要成员在研究方向上有市厅级科研项目，或有横向科研项目，或有相关的论文和知识产权等研究成果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（七）有明确的科研平台负责人。科研平台设负责人1名，由校内教职工兼任，原则上须有与研究方向相符的高级职称或博士学位，有较强的组织协调能力和管理能力。负责人原则上不得兼任其他科研平台成员。</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（八）新设的科研平台不得与已有的科研平台存在重合。</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除满足第十条要求外，国家级、省部级和市厅级科研平台还应满足相关管理部门的要求。</w:t>
      </w:r>
    </w:p>
    <w:p>
      <w:pPr>
        <w:spacing w:line="596" w:lineRule="exact"/>
        <w:ind w:firstLine="643" w:firstLineChars="200"/>
        <w:jc w:val="center"/>
        <w:outlineLvl w:val="9"/>
        <w:rPr>
          <w:rFonts w:hint="eastAsia" w:ascii="仿宋_GB2312" w:eastAsia="仿宋_GB2312"/>
          <w:sz w:val="32"/>
          <w:szCs w:val="32"/>
        </w:rPr>
      </w:pPr>
      <w:bookmarkStart w:id="1270" w:name="_Toc29411_WPSOffice_Level1"/>
      <w:r>
        <w:rPr>
          <w:rFonts w:hint="eastAsia" w:ascii="黑体" w:hAnsi="黑体" w:eastAsia="黑体"/>
          <w:b/>
          <w:sz w:val="32"/>
          <w:szCs w:val="32"/>
        </w:rPr>
        <w:t>第四章  运行与日常管理</w:t>
      </w:r>
      <w:bookmarkEnd w:id="1270"/>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科研平台应按要求接受上级主管部门和学校的评估和考核，每年年终进行工作总结，并按规定分别向上级主管部门和学校提交年度工作报</w:t>
      </w:r>
      <w:bookmarkStart w:id="1271" w:name="_Toc28286_WPSOffice_Level1"/>
      <w:r>
        <w:rPr>
          <w:rFonts w:hint="eastAsia" w:ascii="仿宋_GB2312" w:eastAsia="仿宋_GB2312"/>
          <w:sz w:val="32"/>
          <w:szCs w:val="32"/>
        </w:rPr>
        <w:t>告。  </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w:t>
      </w:r>
      <w:bookmarkEnd w:id="1271"/>
      <w:r>
        <w:rPr>
          <w:rFonts w:hint="eastAsia" w:ascii="仿宋_GB2312" w:eastAsia="仿宋_GB2312"/>
          <w:b/>
          <w:bCs/>
          <w:sz w:val="32"/>
          <w:szCs w:val="32"/>
        </w:rPr>
        <w:t>十二条</w:t>
      </w:r>
      <w:r>
        <w:rPr>
          <w:rFonts w:hint="eastAsia" w:ascii="仿宋_GB2312" w:eastAsia="仿宋_GB2312"/>
          <w:sz w:val="32"/>
          <w:szCs w:val="32"/>
        </w:rPr>
        <w:t xml:space="preserve">  科研平台运行管理实行平台负责人负责制，对科研平台的日常工作全面负责，组织各项有关业务的开展。</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科研平台应做好人员、科技项目、科技成果等的管理和信息归档工作。科研平台信息及团队成员变更，应及时在科技开发与校企合作处备案。</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学校科技开发与校企合作处每年组织科研平台的评估考核。评估考核结果分</w:t>
      </w:r>
      <w:bookmarkStart w:id="1272" w:name="_Toc16487_WPSOffice_Level1"/>
      <w:r>
        <w:rPr>
          <w:rFonts w:hint="eastAsia" w:ascii="仿宋_GB2312" w:eastAsia="仿宋_GB2312"/>
          <w:sz w:val="32"/>
          <w:szCs w:val="32"/>
        </w:rPr>
        <w:t>为合格、不合格。对</w:t>
      </w:r>
      <w:bookmarkEnd w:id="1272"/>
      <w:r>
        <w:rPr>
          <w:rFonts w:hint="eastAsia" w:ascii="仿宋_GB2312" w:eastAsia="仿宋_GB2312"/>
          <w:sz w:val="32"/>
          <w:szCs w:val="32"/>
        </w:rPr>
        <w:t>评估考核结果为不合格的科研平台，学校将进行通报并限期整改。</w:t>
      </w:r>
    </w:p>
    <w:p>
      <w:pPr>
        <w:spacing w:line="596" w:lineRule="exact"/>
        <w:ind w:firstLine="643" w:firstLineChars="200"/>
        <w:jc w:val="center"/>
        <w:outlineLvl w:val="9"/>
        <w:rPr>
          <w:rFonts w:hint="eastAsia" w:ascii="仿宋_GB2312" w:eastAsia="仿宋_GB2312"/>
          <w:sz w:val="32"/>
          <w:szCs w:val="32"/>
        </w:rPr>
      </w:pPr>
      <w:bookmarkStart w:id="1273" w:name="_Toc15882_WPSOffice_Level1"/>
      <w:r>
        <w:rPr>
          <w:rFonts w:hint="eastAsia" w:ascii="黑体" w:hAnsi="黑体" w:eastAsia="黑体"/>
          <w:b/>
          <w:sz w:val="32"/>
          <w:szCs w:val="32"/>
        </w:rPr>
        <w:t>第五章  设立、变更与撤销</w:t>
      </w:r>
      <w:bookmarkEnd w:id="1273"/>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符合科研平台申请基本条件的二级学院或部门，提交科研平台设立申请，报送到学校科技开发与校企合作处。</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由科技开发与校企合作处组织专家对科研平台的申请进行论证，报校长办公会议审定同意后发文公布。  </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科研平台的名称、研究方向等重大事项变更，须提交书面申请报科技开发与校企合作处核准，经分管科研的校领导审定并发文公布。</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科研平台的撤销、合并或分立，须先向科技开发与校企合作处提交申请，报校长办公会议审定同意后发文公布。</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第十九条</w:t>
      </w:r>
      <w:r>
        <w:rPr>
          <w:rFonts w:hint="eastAsia" w:ascii="仿宋_GB2312" w:eastAsia="仿宋_GB2312"/>
          <w:sz w:val="32"/>
          <w:szCs w:val="32"/>
        </w:rPr>
        <w:t xml:space="preserve">  其它相关程序按照上级管理部门相关要求执行。</w:t>
      </w:r>
    </w:p>
    <w:p>
      <w:pPr>
        <w:spacing w:line="596" w:lineRule="exact"/>
        <w:ind w:firstLine="643" w:firstLineChars="200"/>
        <w:jc w:val="center"/>
        <w:outlineLvl w:val="9"/>
        <w:rPr>
          <w:rFonts w:hint="eastAsia" w:ascii="黑体" w:hAnsi="黑体" w:eastAsia="黑体"/>
          <w:b/>
          <w:sz w:val="32"/>
          <w:szCs w:val="32"/>
        </w:rPr>
      </w:pPr>
      <w:bookmarkStart w:id="1274" w:name="_Toc28110_WPSOffice_Level1"/>
      <w:r>
        <w:rPr>
          <w:rFonts w:hint="eastAsia" w:ascii="黑体" w:hAnsi="黑体" w:eastAsia="黑体"/>
          <w:b/>
          <w:sz w:val="32"/>
          <w:szCs w:val="32"/>
        </w:rPr>
        <w:t>第六章  附  则</w:t>
      </w:r>
      <w:bookmarkEnd w:id="1274"/>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本办法自发文日起实施，由科技开发与校企合作处负责最终解释。</w:t>
      </w:r>
    </w:p>
    <w:p>
      <w:pPr>
        <w:spacing w:line="596" w:lineRule="exact"/>
        <w:ind w:firstLine="643" w:firstLineChars="200"/>
        <w:rPr>
          <w:rFonts w:hint="eastAsia" w:eastAsia="黑体"/>
          <w:color w:val="000000"/>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如有与上级部门管理办法不符的，按上级相关管理办法执行。</w:t>
      </w:r>
    </w:p>
    <w:p>
      <w:pPr>
        <w:pStyle w:val="3"/>
        <w:outlineLvl w:val="9"/>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275" w:name="_Toc706"/>
      <w:bookmarkStart w:id="1276" w:name="_Toc24842_WPSOffice_Level1"/>
      <w:bookmarkStart w:id="1277" w:name="_Toc168"/>
      <w:bookmarkStart w:id="1278" w:name="_Toc7932"/>
      <w:r>
        <w:rPr>
          <w:rFonts w:hint="eastAsia"/>
          <w:b/>
          <w:color w:val="000000"/>
          <w:sz w:val="36"/>
          <w:szCs w:val="36"/>
        </w:rPr>
        <w:t>柳州职业技术学院学术委员会章程</w:t>
      </w:r>
      <w:bookmarkEnd w:id="1275"/>
      <w:bookmarkEnd w:id="1276"/>
      <w:bookmarkEnd w:id="1277"/>
      <w:bookmarkEnd w:id="1278"/>
    </w:p>
    <w:p>
      <w:pPr>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（柳职院字〔2021〕63 号）</w:t>
      </w:r>
    </w:p>
    <w:p>
      <w:pPr>
        <w:spacing w:line="596" w:lineRule="exact"/>
        <w:jc w:val="center"/>
        <w:rPr>
          <w:b/>
          <w:color w:val="000000"/>
          <w:sz w:val="36"/>
          <w:szCs w:val="36"/>
        </w:rPr>
      </w:pPr>
    </w:p>
    <w:p>
      <w:pPr>
        <w:spacing w:line="596" w:lineRule="exact"/>
        <w:ind w:left="640" w:hanging="643" w:hangingChars="200"/>
        <w:jc w:val="center"/>
        <w:outlineLvl w:val="9"/>
        <w:rPr>
          <w:rFonts w:hint="eastAsia" w:ascii="黑体" w:hAnsi="黑体" w:eastAsia="黑体"/>
          <w:b/>
          <w:color w:val="000000"/>
          <w:sz w:val="32"/>
          <w:szCs w:val="32"/>
        </w:rPr>
      </w:pPr>
      <w:bookmarkStart w:id="1279" w:name="_Toc7470_WPSOffice_Level1"/>
      <w:r>
        <w:rPr>
          <w:rFonts w:hint="eastAsia" w:ascii="黑体" w:hAnsi="黑体" w:eastAsia="黑体"/>
          <w:b/>
          <w:color w:val="000000"/>
          <w:sz w:val="32"/>
          <w:szCs w:val="32"/>
        </w:rPr>
        <w:t>第一章 总  则</w:t>
      </w:r>
      <w:bookmarkEnd w:id="1279"/>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促进学校规范和加强学术委员会建设，完善内部治理结构，保障学术委员会在科研学术事务中有效发挥作用，根据《中华人民共和国高等教育法》、教育部《高等学校学术委员会规程》(中华人民共和国教育部令第35号)、《柳州职业技术学院章程》等法律、法规和规章，制定本章程。</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学术委员会是学校的最高学术机构，依照国家有关法律、规章产生和行使职权，统筹行使学术事务的决策、审议、评定和咨询等职权。</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第三条</w:t>
      </w:r>
      <w:r>
        <w:rPr>
          <w:rFonts w:hint="eastAsia" w:ascii="仿宋_GB2312" w:eastAsia="仿宋_GB2312"/>
          <w:sz w:val="32"/>
          <w:szCs w:val="32"/>
          <w:lang w:eastAsia="zh-Hans"/>
        </w:rPr>
        <w:t xml:space="preserve"> </w:t>
      </w:r>
      <w:r>
        <w:rPr>
          <w:rFonts w:hint="eastAsia" w:ascii="仿宋_GB2312" w:eastAsia="仿宋_GB2312"/>
          <w:sz w:val="32"/>
          <w:szCs w:val="32"/>
        </w:rPr>
        <w:t>学术委员会应当遵循学术规律，尊重学术自由、学术平等，鼓励学术创新，促进学术发展和人才培养，提高学术质量；应当公平、公正、公开地履行职责，保障教师、科研人员和学生在教学、科研和学术事务管理中充分发挥主体作用，促进学校科学发展。</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w:t>
      </w:r>
      <w:r>
        <w:rPr>
          <w:rFonts w:hint="eastAsia" w:ascii="仿宋_GB2312" w:eastAsia="仿宋_GB2312"/>
          <w:b/>
          <w:bCs/>
          <w:sz w:val="32"/>
          <w:szCs w:val="32"/>
          <w:lang w:eastAsia="zh-Hans"/>
        </w:rPr>
        <w:t>四</w:t>
      </w:r>
      <w:r>
        <w:rPr>
          <w:rFonts w:hint="eastAsia" w:ascii="仿宋_GB2312" w:eastAsia="仿宋_GB2312"/>
          <w:b/>
          <w:bCs/>
          <w:sz w:val="32"/>
          <w:szCs w:val="32"/>
        </w:rPr>
        <w:t>条</w:t>
      </w:r>
      <w:r>
        <w:rPr>
          <w:rFonts w:hint="eastAsia" w:ascii="仿宋_GB2312" w:eastAsia="仿宋_GB2312"/>
          <w:sz w:val="32"/>
          <w:szCs w:val="32"/>
        </w:rPr>
        <w:t xml:space="preserve"> 学术委员会致力于促进学校的人才培养、学术研究与社会服务，在</w:t>
      </w:r>
      <w:r>
        <w:rPr>
          <w:rFonts w:hint="eastAsia" w:ascii="仿宋_GB2312" w:eastAsia="仿宋_GB2312"/>
          <w:sz w:val="32"/>
          <w:szCs w:val="32"/>
          <w:lang w:eastAsia="zh-Hans"/>
        </w:rPr>
        <w:t>专业</w:t>
      </w:r>
      <w:r>
        <w:rPr>
          <w:rFonts w:hint="eastAsia" w:ascii="仿宋_GB2312" w:eastAsia="仿宋_GB2312"/>
          <w:sz w:val="32"/>
          <w:szCs w:val="32"/>
        </w:rPr>
        <w:t>建设、学术评价、学术发展和学风建设等事项上发挥重要作用，积极探索教授治学，发扬学术民主，推动学术创新，维护学术道德。</w:t>
      </w:r>
    </w:p>
    <w:p>
      <w:pPr>
        <w:spacing w:line="596" w:lineRule="exact"/>
        <w:ind w:left="640" w:hanging="643" w:hangingChars="200"/>
        <w:jc w:val="center"/>
        <w:outlineLvl w:val="9"/>
        <w:rPr>
          <w:rFonts w:hint="eastAsia" w:ascii="黑体" w:hAnsi="黑体" w:eastAsia="黑体"/>
          <w:b/>
          <w:color w:val="000000"/>
          <w:sz w:val="32"/>
          <w:szCs w:val="32"/>
        </w:rPr>
      </w:pPr>
      <w:bookmarkStart w:id="1280" w:name="_Toc3822_WPSOffice_Level1"/>
      <w:r>
        <w:rPr>
          <w:rFonts w:hint="eastAsia" w:ascii="黑体" w:hAnsi="黑体" w:eastAsia="黑体"/>
          <w:b/>
          <w:color w:val="000000"/>
          <w:sz w:val="32"/>
          <w:szCs w:val="32"/>
        </w:rPr>
        <w:t>第二章 组成</w:t>
      </w:r>
      <w:r>
        <w:rPr>
          <w:rFonts w:hint="eastAsia" w:ascii="黑体" w:hAnsi="黑体" w:eastAsia="黑体"/>
          <w:b/>
          <w:color w:val="000000"/>
          <w:sz w:val="32"/>
          <w:szCs w:val="32"/>
          <w:lang w:eastAsia="zh-Hans"/>
        </w:rPr>
        <w:t>规则</w:t>
      </w:r>
      <w:bookmarkEnd w:id="1280"/>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学术委员会一般应当由学校不同专业的教授及具有</w:t>
      </w:r>
      <w:r>
        <w:rPr>
          <w:rFonts w:hint="eastAsia" w:ascii="仿宋_GB2312" w:eastAsia="仿宋_GB2312"/>
          <w:sz w:val="32"/>
          <w:szCs w:val="32"/>
          <w:lang w:eastAsia="zh-Hans"/>
        </w:rPr>
        <w:t>副</w:t>
      </w:r>
      <w:r>
        <w:rPr>
          <w:rFonts w:hint="eastAsia" w:ascii="仿宋_GB2312" w:eastAsia="仿宋_GB2312"/>
          <w:sz w:val="32"/>
          <w:szCs w:val="32"/>
        </w:rPr>
        <w:t>高级以上专业技术职务的人员组成，并应当有一定比例的青年教师。</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rPr>
        <w:t>学术委员会人数应当与学校的专业设置相匹配，并为不低于15人的单数。其中，担任学校及职能部门党政领导职务的委员，不超过委员总人数的1/4；不担任党政领导职务及二级学院主要负责人的教授或副教授，不少于委员总人数的1/2。</w:t>
      </w:r>
      <w:r>
        <w:rPr>
          <w:rFonts w:hint="eastAsia" w:ascii="仿宋_GB2312" w:eastAsia="仿宋_GB2312"/>
          <w:sz w:val="32"/>
          <w:szCs w:val="32"/>
          <w:lang w:eastAsia="zh-Hans"/>
        </w:rPr>
        <w:t>学术委员会主任委员由校长提名，全体委</w:t>
      </w:r>
      <w:r>
        <w:rPr>
          <w:rFonts w:hint="eastAsia" w:ascii="仿宋_GB2312" w:eastAsia="仿宋_GB2312"/>
          <w:sz w:val="32"/>
          <w:szCs w:val="32"/>
        </w:rPr>
        <w:t>员</w:t>
      </w:r>
      <w:r>
        <w:rPr>
          <w:rFonts w:hint="eastAsia" w:ascii="仿宋_GB2312" w:eastAsia="仿宋_GB2312"/>
          <w:sz w:val="32"/>
          <w:szCs w:val="32"/>
          <w:lang w:eastAsia="zh-Hans"/>
        </w:rPr>
        <w:t>选举产生</w:t>
      </w:r>
      <w:r>
        <w:rPr>
          <w:rFonts w:hint="eastAsia" w:ascii="仿宋_GB2312" w:eastAsia="仿宋_GB2312"/>
          <w:sz w:val="32"/>
          <w:szCs w:val="32"/>
        </w:rPr>
        <w:t>；也可以采取直接由全体委员选举等方式产生</w:t>
      </w:r>
      <w:r>
        <w:rPr>
          <w:rFonts w:hint="eastAsia" w:ascii="仿宋_GB2312" w:eastAsia="仿宋_GB2312"/>
          <w:sz w:val="32"/>
          <w:szCs w:val="32"/>
          <w:lang w:eastAsia="zh-Hans"/>
        </w:rPr>
        <w:t>。</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学校可以根据需要聘请校外专家及有关方面代表，担任专门学术事项的特邀委员。</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学术委员会委员应当具备以下条件：</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（一）遵守宪法法律和学校章程，学风端正、治学严谨、公道正派；</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（二）学术造诣高，在本学科或者专业领域具有良好的学术声誉和公认的学术成果；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（三）关心学校建设和发展，有参与学术议事的意愿和能力，能够正常履行职责；</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（四）受聘副高级以上专业技术职务。</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第七条 </w:t>
      </w:r>
      <w:r>
        <w:rPr>
          <w:rFonts w:hint="eastAsia" w:ascii="仿宋_GB2312" w:eastAsia="仿宋_GB2312"/>
          <w:sz w:val="32"/>
          <w:szCs w:val="32"/>
        </w:rPr>
        <w:t>学校应当根据学科、专业构成情况，合理确定</w:t>
      </w:r>
      <w:r>
        <w:rPr>
          <w:rFonts w:hint="eastAsia" w:ascii="仿宋_GB2312" w:eastAsia="仿宋_GB2312"/>
          <w:sz w:val="32"/>
          <w:szCs w:val="32"/>
          <w:lang w:eastAsia="zh-Hans"/>
        </w:rPr>
        <w:t>二级学院</w:t>
      </w:r>
      <w:r>
        <w:rPr>
          <w:rFonts w:hint="eastAsia" w:ascii="仿宋_GB2312" w:eastAsia="仿宋_GB2312"/>
          <w:sz w:val="32"/>
          <w:szCs w:val="32"/>
        </w:rPr>
        <w:t>（</w:t>
      </w:r>
      <w:r>
        <w:rPr>
          <w:rFonts w:hint="eastAsia" w:ascii="仿宋_GB2312" w:eastAsia="仿宋_GB2312"/>
          <w:sz w:val="32"/>
          <w:szCs w:val="32"/>
          <w:lang w:eastAsia="zh-Hans"/>
        </w:rPr>
        <w:t>部门</w:t>
      </w:r>
      <w:r>
        <w:rPr>
          <w:rFonts w:hint="eastAsia" w:ascii="仿宋_GB2312" w:eastAsia="仿宋_GB2312"/>
          <w:sz w:val="32"/>
          <w:szCs w:val="32"/>
        </w:rPr>
        <w:t>）的委员名额，保证学术委员会的组成具有广泛的学科代表性和公平性。</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学术委员会委员的产生，应当经自下而上的民主推荐、公开公正的遴选等方式产生候选人，由民主选举等程序确定，充分反映基层学术组</w:t>
      </w:r>
      <w:bookmarkStart w:id="1281" w:name="_Toc4099_WPSOffice_Level1"/>
      <w:r>
        <w:rPr>
          <w:rFonts w:hint="eastAsia" w:ascii="仿宋_GB2312" w:eastAsia="仿宋_GB2312"/>
          <w:sz w:val="32"/>
          <w:szCs w:val="32"/>
        </w:rPr>
        <w:t>织和广大教师</w:t>
      </w:r>
      <w:bookmarkEnd w:id="1281"/>
      <w:r>
        <w:rPr>
          <w:rFonts w:hint="eastAsia" w:ascii="仿宋_GB2312" w:eastAsia="仿宋_GB2312"/>
          <w:sz w:val="32"/>
          <w:szCs w:val="32"/>
        </w:rPr>
        <w:t xml:space="preserve">的意见。      </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特邀委员由校长、学术委员会主任委员或者1/3以上学术委员会委员提名，经学术委员会同意后确定。</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w:t>
      </w:r>
      <w:r>
        <w:rPr>
          <w:rFonts w:hint="eastAsia" w:ascii="仿宋_GB2312" w:eastAsia="仿宋_GB2312"/>
          <w:b/>
          <w:bCs/>
          <w:sz w:val="32"/>
          <w:szCs w:val="32"/>
        </w:rPr>
        <w:t>八</w:t>
      </w:r>
      <w:r>
        <w:rPr>
          <w:rFonts w:hint="eastAsia" w:ascii="仿宋_GB2312" w:eastAsia="仿宋_GB2312"/>
          <w:b/>
          <w:bCs/>
          <w:sz w:val="32"/>
          <w:szCs w:val="32"/>
          <w:lang w:eastAsia="zh-Hans"/>
        </w:rPr>
        <w:t>条</w:t>
      </w:r>
      <w:r>
        <w:rPr>
          <w:rFonts w:hint="eastAsia" w:ascii="仿宋_GB2312" w:eastAsia="仿宋_GB2312"/>
          <w:sz w:val="32"/>
          <w:szCs w:val="32"/>
          <w:lang w:eastAsia="zh-Hans"/>
        </w:rPr>
        <w:t xml:space="preserve"> </w:t>
      </w:r>
      <w:r>
        <w:rPr>
          <w:rFonts w:hint="eastAsia" w:ascii="仿宋_GB2312" w:eastAsia="仿宋_GB2312"/>
          <w:sz w:val="32"/>
          <w:szCs w:val="32"/>
        </w:rPr>
        <w:t>学术委员会委员由校长聘任。学术委员会委员实行任期制，任期一般可为5年，可连选连任，但连任最长不超过2届。学术委员会每次换届，连任的委员人数应不高于委员总数的2/3。</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w:t>
      </w:r>
      <w:r>
        <w:rPr>
          <w:rFonts w:hint="eastAsia" w:ascii="仿宋_GB2312" w:eastAsia="仿宋_GB2312"/>
          <w:b/>
          <w:bCs/>
          <w:sz w:val="32"/>
          <w:szCs w:val="32"/>
        </w:rPr>
        <w:t>九</w:t>
      </w:r>
      <w:r>
        <w:rPr>
          <w:rFonts w:hint="eastAsia" w:ascii="仿宋_GB2312" w:eastAsia="仿宋_GB2312"/>
          <w:b/>
          <w:bCs/>
          <w:sz w:val="32"/>
          <w:szCs w:val="32"/>
          <w:lang w:eastAsia="zh-Hans"/>
        </w:rPr>
        <w:t>条</w:t>
      </w:r>
      <w:r>
        <w:rPr>
          <w:rFonts w:hint="eastAsia" w:ascii="仿宋_GB2312" w:eastAsia="仿宋_GB2312"/>
          <w:sz w:val="32"/>
          <w:szCs w:val="32"/>
          <w:lang w:eastAsia="zh-Hans"/>
        </w:rPr>
        <w:t xml:space="preserve"> </w:t>
      </w:r>
      <w:r>
        <w:rPr>
          <w:rFonts w:hint="eastAsia" w:ascii="仿宋_GB2312" w:eastAsia="仿宋_GB2312"/>
          <w:sz w:val="32"/>
          <w:szCs w:val="32"/>
        </w:rPr>
        <w:t>学术委员会设主任委员1名，根据需要设1-2副主任委员。主任委员由校长提名，全体委员选举产生；也可以采取直接由全体委员选举等方式产生。</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w:t>
      </w:r>
      <w:r>
        <w:rPr>
          <w:rFonts w:hint="eastAsia" w:ascii="仿宋_GB2312" w:eastAsia="仿宋_GB2312"/>
          <w:b/>
          <w:bCs/>
          <w:sz w:val="32"/>
          <w:szCs w:val="32"/>
        </w:rPr>
        <w:t>十</w:t>
      </w:r>
      <w:r>
        <w:rPr>
          <w:rFonts w:hint="eastAsia" w:ascii="仿宋_GB2312" w:eastAsia="仿宋_GB2312"/>
          <w:b/>
          <w:bCs/>
          <w:sz w:val="32"/>
          <w:szCs w:val="32"/>
          <w:lang w:eastAsia="zh-Hans"/>
        </w:rPr>
        <w:t>条</w:t>
      </w:r>
      <w:r>
        <w:rPr>
          <w:rFonts w:hint="eastAsia" w:ascii="仿宋_GB2312" w:eastAsia="仿宋_GB2312"/>
          <w:sz w:val="32"/>
          <w:szCs w:val="32"/>
          <w:lang w:eastAsia="zh-Hans"/>
        </w:rPr>
        <w:t xml:space="preserve"> </w:t>
      </w:r>
      <w:r>
        <w:rPr>
          <w:rFonts w:hint="eastAsia" w:ascii="仿宋_GB2312" w:eastAsia="仿宋_GB2312"/>
          <w:sz w:val="32"/>
          <w:szCs w:val="32"/>
        </w:rPr>
        <w:t>各</w:t>
      </w:r>
      <w:r>
        <w:rPr>
          <w:rFonts w:hint="eastAsia" w:ascii="仿宋_GB2312" w:eastAsia="仿宋_GB2312"/>
          <w:sz w:val="32"/>
          <w:szCs w:val="32"/>
          <w:lang w:eastAsia="zh-Hans"/>
        </w:rPr>
        <w:t>二级学院可根据需要</w:t>
      </w:r>
      <w:r>
        <w:rPr>
          <w:rFonts w:hint="eastAsia" w:ascii="仿宋_GB2312" w:eastAsia="仿宋_GB2312"/>
          <w:sz w:val="32"/>
          <w:szCs w:val="32"/>
        </w:rPr>
        <w:t>成立学术分委员会。学术分委员会由不少于5人的奇数组成，设主任委员1名，副主任委员1－2名，委员人选和职务分工由各</w:t>
      </w:r>
      <w:r>
        <w:rPr>
          <w:rFonts w:hint="eastAsia" w:ascii="仿宋_GB2312" w:eastAsia="仿宋_GB2312"/>
          <w:sz w:val="32"/>
          <w:szCs w:val="32"/>
          <w:lang w:eastAsia="zh-Hans"/>
        </w:rPr>
        <w:t>二级学院</w:t>
      </w:r>
      <w:r>
        <w:rPr>
          <w:rFonts w:hint="eastAsia" w:ascii="仿宋_GB2312" w:eastAsia="仿宋_GB2312"/>
          <w:sz w:val="32"/>
          <w:szCs w:val="32"/>
        </w:rPr>
        <w:t>民主推荐，报学校学术委员会审定</w:t>
      </w:r>
      <w:bookmarkStart w:id="1282" w:name="_Toc9238_WPSOffice_Level1"/>
      <w:r>
        <w:rPr>
          <w:rFonts w:hint="eastAsia" w:ascii="仿宋_GB2312" w:eastAsia="仿宋_GB2312"/>
          <w:sz w:val="32"/>
          <w:szCs w:val="32"/>
        </w:rPr>
        <w:t>。各</w:t>
      </w:r>
      <w:r>
        <w:rPr>
          <w:rFonts w:hint="eastAsia" w:ascii="仿宋_GB2312" w:eastAsia="仿宋_GB2312"/>
          <w:sz w:val="32"/>
          <w:szCs w:val="32"/>
          <w:lang w:eastAsia="zh-Hans"/>
        </w:rPr>
        <w:t>二级学院</w:t>
      </w:r>
      <w:r>
        <w:rPr>
          <w:rFonts w:hint="eastAsia" w:ascii="仿宋_GB2312" w:eastAsia="仿宋_GB2312"/>
          <w:sz w:val="32"/>
          <w:szCs w:val="32"/>
        </w:rPr>
        <w:t>的学术分委员会应参照本规程，</w:t>
      </w:r>
      <w:r>
        <w:rPr>
          <w:rFonts w:hint="eastAsia" w:ascii="仿宋_GB2312" w:eastAsia="仿宋_GB2312"/>
          <w:sz w:val="32"/>
          <w:szCs w:val="32"/>
          <w:lang w:eastAsia="zh-Hans"/>
        </w:rPr>
        <w:t>向</w:t>
      </w:r>
      <w:r>
        <w:rPr>
          <w:rFonts w:hint="eastAsia" w:ascii="仿宋_GB2312" w:eastAsia="仿宋_GB2312"/>
          <w:sz w:val="32"/>
          <w:szCs w:val="32"/>
        </w:rPr>
        <w:t>学</w:t>
      </w:r>
      <w:bookmarkEnd w:id="1282"/>
      <w:r>
        <w:rPr>
          <w:rFonts w:hint="eastAsia" w:ascii="仿宋_GB2312" w:eastAsia="仿宋_GB2312"/>
          <w:sz w:val="32"/>
          <w:szCs w:val="32"/>
        </w:rPr>
        <w:t>校学术委员会</w:t>
      </w:r>
      <w:r>
        <w:rPr>
          <w:rFonts w:hint="eastAsia" w:ascii="仿宋_GB2312" w:eastAsia="仿宋_GB2312"/>
          <w:sz w:val="32"/>
          <w:szCs w:val="32"/>
          <w:lang w:eastAsia="zh-Hans"/>
        </w:rPr>
        <w:t>报告工作，接受学术委员会的指导和监督</w:t>
      </w:r>
      <w:r>
        <w:rPr>
          <w:rFonts w:hint="eastAsia" w:ascii="仿宋_GB2312" w:eastAsia="仿宋_GB2312"/>
          <w:sz w:val="32"/>
          <w:szCs w:val="32"/>
        </w:rPr>
        <w:t>。为工作方便，学校学术委员会委员是其所在</w:t>
      </w:r>
      <w:r>
        <w:rPr>
          <w:rFonts w:hint="eastAsia" w:ascii="仿宋_GB2312" w:eastAsia="仿宋_GB2312"/>
          <w:sz w:val="32"/>
          <w:szCs w:val="32"/>
          <w:lang w:eastAsia="zh-Hans"/>
        </w:rPr>
        <w:t>二级学院</w:t>
      </w:r>
      <w:r>
        <w:rPr>
          <w:rFonts w:hint="eastAsia" w:ascii="仿宋_GB2312" w:eastAsia="仿宋_GB2312"/>
          <w:sz w:val="32"/>
          <w:szCs w:val="32"/>
        </w:rPr>
        <w:t>学术分委员会的当然委员，应当直接参与和指导学术分委员会的工作</w:t>
      </w:r>
      <w:r>
        <w:rPr>
          <w:rFonts w:hint="eastAsia" w:ascii="仿宋_GB2312" w:eastAsia="仿宋_GB2312"/>
          <w:sz w:val="32"/>
          <w:szCs w:val="32"/>
          <w:lang w:eastAsia="zh-Hans"/>
        </w:rPr>
        <w:t>。</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第十</w:t>
      </w:r>
      <w:r>
        <w:rPr>
          <w:rFonts w:hint="eastAsia" w:ascii="仿宋_GB2312" w:eastAsia="仿宋_GB2312"/>
          <w:b/>
          <w:bCs/>
          <w:sz w:val="32"/>
          <w:szCs w:val="32"/>
        </w:rPr>
        <w:t>一</w:t>
      </w:r>
      <w:r>
        <w:rPr>
          <w:rFonts w:hint="eastAsia" w:ascii="仿宋_GB2312" w:eastAsia="仿宋_GB2312"/>
          <w:b/>
          <w:bCs/>
          <w:sz w:val="32"/>
          <w:szCs w:val="32"/>
          <w:lang w:eastAsia="zh-Hans"/>
        </w:rPr>
        <w:t>条</w:t>
      </w:r>
      <w:r>
        <w:rPr>
          <w:rFonts w:hint="eastAsia" w:ascii="仿宋_GB2312" w:eastAsia="仿宋_GB2312"/>
          <w:sz w:val="32"/>
          <w:szCs w:val="32"/>
          <w:lang w:eastAsia="zh-Hans"/>
        </w:rPr>
        <w:t xml:space="preserve"> </w:t>
      </w:r>
      <w:r>
        <w:rPr>
          <w:rFonts w:hint="eastAsia" w:ascii="仿宋_GB2312" w:eastAsia="仿宋_GB2312"/>
          <w:sz w:val="32"/>
          <w:szCs w:val="32"/>
        </w:rPr>
        <w:t>学术委员会下设办公室，办公室设在科技</w:t>
      </w:r>
      <w:r>
        <w:rPr>
          <w:rFonts w:hint="eastAsia" w:ascii="仿宋_GB2312" w:eastAsia="仿宋_GB2312"/>
          <w:sz w:val="32"/>
          <w:szCs w:val="32"/>
          <w:lang w:eastAsia="zh-Hans"/>
        </w:rPr>
        <w:t>开发与校企合作</w:t>
      </w:r>
      <w:r>
        <w:rPr>
          <w:rFonts w:hint="eastAsia" w:ascii="仿宋_GB2312" w:eastAsia="仿宋_GB2312"/>
          <w:sz w:val="32"/>
          <w:szCs w:val="32"/>
        </w:rPr>
        <w:t>处，负责处理日常工作事务。</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第十</w:t>
      </w:r>
      <w:r>
        <w:rPr>
          <w:rFonts w:hint="eastAsia" w:ascii="仿宋_GB2312" w:eastAsia="仿宋_GB2312"/>
          <w:b/>
          <w:bCs/>
          <w:sz w:val="32"/>
          <w:szCs w:val="32"/>
        </w:rPr>
        <w:t>二</w:t>
      </w:r>
      <w:r>
        <w:rPr>
          <w:rFonts w:hint="eastAsia" w:ascii="仿宋_GB2312" w:eastAsia="仿宋_GB2312"/>
          <w:b/>
          <w:bCs/>
          <w:sz w:val="32"/>
          <w:szCs w:val="32"/>
          <w:lang w:eastAsia="zh-Hans"/>
        </w:rPr>
        <w:t>条</w:t>
      </w:r>
      <w:r>
        <w:rPr>
          <w:rFonts w:hint="eastAsia" w:ascii="仿宋_GB2312" w:eastAsia="仿宋_GB2312"/>
          <w:sz w:val="32"/>
          <w:szCs w:val="32"/>
        </w:rPr>
        <w:t xml:space="preserve"> 学术委员会委员在任期内有下列情形，经学术委员会全体会议讨论决定，可免除或同意其辞去委员职务：</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（一）主动申请辞去委员职务的；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（二）因身体、年龄及职务变动等原因不能履行职责的；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（三）怠于履行职责或者违反委员义务的；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（四）有违法、违反教师职业道德或者学术不端行为的；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（五）因其他原因不能或不宜担任委员职务的。</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w:t>
      </w:r>
      <w:r>
        <w:rPr>
          <w:rFonts w:hint="eastAsia" w:ascii="仿宋_GB2312" w:eastAsia="仿宋_GB2312"/>
          <w:b/>
          <w:bCs/>
          <w:sz w:val="32"/>
          <w:szCs w:val="32"/>
          <w:lang w:eastAsia="zh-Hans"/>
        </w:rPr>
        <w:t>十</w:t>
      </w:r>
      <w:r>
        <w:rPr>
          <w:rFonts w:hint="eastAsia" w:ascii="仿宋_GB2312" w:eastAsia="仿宋_GB2312"/>
          <w:b/>
          <w:bCs/>
          <w:sz w:val="32"/>
          <w:szCs w:val="32"/>
        </w:rPr>
        <w:t>三条</w:t>
      </w:r>
      <w:r>
        <w:rPr>
          <w:rFonts w:hint="eastAsia" w:ascii="仿宋_GB2312" w:eastAsia="仿宋_GB2312"/>
          <w:sz w:val="32"/>
          <w:szCs w:val="32"/>
        </w:rPr>
        <w:t xml:space="preserve"> 对于学术委员会委员免除或同意其辞去委员职务而出现委员会缺额，可由主任委员提名、全体委员会议通过补聘。</w:t>
      </w:r>
    </w:p>
    <w:p>
      <w:pPr>
        <w:spacing w:line="596" w:lineRule="exact"/>
        <w:ind w:left="640" w:hanging="643" w:hangingChars="200"/>
        <w:jc w:val="center"/>
        <w:outlineLvl w:val="9"/>
        <w:rPr>
          <w:rFonts w:hint="eastAsia" w:ascii="黑体" w:hAnsi="黑体" w:eastAsia="黑体"/>
          <w:b/>
          <w:color w:val="000000"/>
          <w:sz w:val="32"/>
          <w:szCs w:val="32"/>
        </w:rPr>
      </w:pPr>
      <w:bookmarkStart w:id="1283" w:name="_Toc20500_WPSOffice_Level1"/>
      <w:r>
        <w:rPr>
          <w:rFonts w:hint="eastAsia" w:ascii="黑体" w:hAnsi="黑体" w:eastAsia="黑体"/>
          <w:b/>
          <w:color w:val="000000"/>
          <w:sz w:val="32"/>
          <w:szCs w:val="32"/>
        </w:rPr>
        <w:t>第三章 职责</w:t>
      </w:r>
      <w:r>
        <w:rPr>
          <w:rFonts w:hint="eastAsia" w:ascii="黑体" w:hAnsi="黑体" w:eastAsia="黑体"/>
          <w:b/>
          <w:color w:val="000000"/>
          <w:sz w:val="32"/>
          <w:szCs w:val="32"/>
          <w:lang w:eastAsia="zh-Hans"/>
        </w:rPr>
        <w:t>权限</w:t>
      </w:r>
      <w:bookmarkEnd w:id="1283"/>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学术委员会委员享有以下权利：</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（一）知悉与学术事务相关的学校各项管理制度、信息等；</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（二）就学术事务向学校相关职能部门提出咨询或质询；</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（三）在学术委员会会议中自由、独立地发表意见，讨论、审议和表决各项决议；</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（四）对学校学术事务及学术委员会工作提出建议、实施监督；</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（五）学校章程或者学术委员会章程规定的其他权利。特邀委员根据学校的规定，享有相应权利。</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学术委员会委员须履行以下义务：</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（一）遵守国家宪法、法律和法规，遵守学术规范、恪守学术道德；</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（二）遵守学术委员会章程，坚守学术专业判断，公正履行职责；</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（三）勤勉尽职，积极参加学术委员会会议及有关活动；</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（四）学校章程或者学术委员会章程规定的其他义务。</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学校下列事务决策前，应当提交学术委员会审议，或者交由学术委员会审议并直接做出决定：</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（一）科学研究、对外学术交流合作等重大学术规划；</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（二）学术机构设置方案，交叉专业、跨专业协同创新机制的建设方案；</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（三）科研成果的评价标准及考核办法；</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（四）学校教师职务聘任的学术标准与办法；</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（五）学术评价、争议处理规则，学术道德规范；</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（六）学术委员会专门委员会组织规程，学术分委员会章程；</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（七）学校认为需要提交审议的其他学术事务。</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学校实施以下事项，涉及对学术水平做出评价的，应当由学术委员会或者其授权的学术组织进行</w:t>
      </w:r>
      <w:r>
        <w:rPr>
          <w:rFonts w:hint="eastAsia" w:ascii="仿宋_GB2312" w:eastAsia="仿宋_GB2312"/>
          <w:sz w:val="32"/>
          <w:szCs w:val="32"/>
          <w:lang w:eastAsia="zh-Hans"/>
        </w:rPr>
        <w:t>评定</w:t>
      </w:r>
      <w:r>
        <w:rPr>
          <w:rFonts w:hint="eastAsia" w:ascii="仿宋_GB2312" w:eastAsia="仿宋_GB2312"/>
          <w:sz w:val="32"/>
          <w:szCs w:val="32"/>
        </w:rPr>
        <w:t>：</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（一）学校科学研究成果和奖励，对外推荐科学研究成果奖；</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（二）高层次人才引进岗位人选、名誉（客座）教授聘任人选，推荐国内外重要学术组织的任职人选、人才选拔培养计划人选；</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（三）自主设立各类学术、科研基金、科研项目以及科研奖项等；</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（四）需要评价学术水平的其他事项。</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学校作出下列决策前，应当通报学术委员会，由学术委员会提出咨询意见：</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（一）制订与学术事务相关的全局性、重大发展规划和发展战略；</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（二）学校预算决算中科研经费的安排和分配及使用；</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（三）科研重大项目的申报及资金的分配使用；</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（四）学校认为需要听取学术委员会意见的其他事项。</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学术委员会对上述事项提出明确不同意见的，学校应当作出说明、重新协商研究或者暂缓执行。</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第十九条</w:t>
      </w:r>
      <w:r>
        <w:rPr>
          <w:rFonts w:hint="eastAsia" w:ascii="仿宋_GB2312" w:eastAsia="仿宋_GB2312"/>
          <w:sz w:val="32"/>
          <w:szCs w:val="32"/>
        </w:rPr>
        <w:t xml:space="preserve"> 学术委员会按照有关规定及学校委托，受理有关学术不端行为的举报并进行调查，裁决学术纠纷。</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术委员会调查学术不端行为、裁决学术纠纷，应当组织具有权威性和中立性的专家组，从学术角度独立调查取证，客观公正地进行调查认定。专家组的认定结论，当事人有异议的，学术委员会应当组织复议，必要的可以举行听证。</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对违反学术道德的行为，学术委员会可以依职权直接撤销或者建议相关部门撤销当事人相应的学术称号、学术待遇，并可以同时向学校、相关部门提出处理建议。</w:t>
      </w:r>
    </w:p>
    <w:p>
      <w:pPr>
        <w:spacing w:line="596" w:lineRule="exact"/>
        <w:ind w:left="640" w:hanging="643" w:hangingChars="200"/>
        <w:jc w:val="center"/>
        <w:outlineLvl w:val="9"/>
        <w:rPr>
          <w:rFonts w:hint="eastAsia" w:ascii="黑体" w:hAnsi="黑体" w:eastAsia="黑体"/>
          <w:b/>
          <w:color w:val="000000"/>
          <w:sz w:val="32"/>
          <w:szCs w:val="32"/>
        </w:rPr>
      </w:pPr>
      <w:bookmarkStart w:id="1284" w:name="_Toc28316_WPSOffice_Level1"/>
      <w:r>
        <w:rPr>
          <w:rFonts w:hint="eastAsia" w:ascii="黑体" w:hAnsi="黑体" w:eastAsia="黑体"/>
          <w:b/>
          <w:color w:val="000000"/>
          <w:sz w:val="32"/>
          <w:szCs w:val="32"/>
        </w:rPr>
        <w:t>第四章 运行</w:t>
      </w:r>
      <w:r>
        <w:rPr>
          <w:rFonts w:hint="eastAsia" w:ascii="黑体" w:hAnsi="黑体" w:eastAsia="黑体"/>
          <w:b/>
          <w:color w:val="000000"/>
          <w:sz w:val="32"/>
          <w:szCs w:val="32"/>
          <w:lang w:eastAsia="zh-Hans"/>
        </w:rPr>
        <w:t>制度</w:t>
      </w:r>
      <w:bookmarkEnd w:id="1284"/>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学术委员会实行例会制度，每学期至少召开1次全体会议。根据工作需要，经学术委员会主任委员或者校长提议，或者1/3以上委员联名提议，可以临时召开学术委员会全体会议，商讨、决定相关事项。</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学术委员会可以授权专门委员会处理专项学术事务，履行相应职责。</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学术委员会主任委员负责召集和主持学术委员会会议，必要</w:t>
      </w:r>
      <w:bookmarkStart w:id="1285" w:name="_Toc9815_WPSOffice_Level1"/>
      <w:r>
        <w:rPr>
          <w:rFonts w:hint="eastAsia" w:ascii="仿宋_GB2312" w:eastAsia="仿宋_GB2312"/>
          <w:sz w:val="32"/>
          <w:szCs w:val="32"/>
        </w:rPr>
        <w:t>时，可以委托副主任委员召集和主持会议。学</w:t>
      </w:r>
      <w:bookmarkEnd w:id="1285"/>
      <w:r>
        <w:rPr>
          <w:rFonts w:hint="eastAsia" w:ascii="仿宋_GB2312" w:eastAsia="仿宋_GB2312"/>
          <w:sz w:val="32"/>
          <w:szCs w:val="32"/>
        </w:rPr>
        <w:t>术委员会委员全体会议应有2/3以上委员出席方可举行。</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学术委员会全体会议应当提前确定议题并通知与会委员。经与会1/3以上委员同意，可以临时增加议题。</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学术委员会议事决策实行少数服从多数的原则，重大事项应当以与会委员的2/3以上同意，方可通过。</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学术委员会会议审议决定或者评定的事项，一般应当以无记名投票方式做出决定；也可以根据事项性质，采取实名投票方式。</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 学术委员会审议或者评定的事项与委员本人及其配偶和直系亲属有关，或者具有利益关联的，相关委员应当回避。</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第二十三条</w:t>
      </w:r>
      <w:r>
        <w:rPr>
          <w:rFonts w:hint="eastAsia" w:ascii="仿宋_GB2312" w:eastAsia="仿宋_GB2312"/>
          <w:sz w:val="32"/>
          <w:szCs w:val="32"/>
        </w:rPr>
        <w:t xml:space="preserve"> 学术委员会会议可以根据议题，设立旁听席，允许相关学校职能部门、教师及学生代表列席旁听。</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学术委员会做出的决定应当予以公示，并设置异议期。在异议期内如有异议，经1/3以上委员同意，可召开全体会议复议。经复议的决定为终局结论。</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第二十四条</w:t>
      </w:r>
      <w:r>
        <w:rPr>
          <w:rFonts w:hint="eastAsia" w:ascii="仿宋_GB2312" w:eastAsia="仿宋_GB2312"/>
          <w:sz w:val="32"/>
          <w:szCs w:val="32"/>
        </w:rPr>
        <w:t xml:space="preserve"> 学术委员会应当建立年度报告制度，每年度对学校整体的学术水平等进行全面评价，提出意见、建议；对学术委员会的运行及履行职责的情况进行总结。</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学术委员会年度报告应提交教职工代表大会审议，有关意见、建议的采纳情况，校长应当作出说明。</w:t>
      </w:r>
    </w:p>
    <w:p>
      <w:pPr>
        <w:spacing w:line="596" w:lineRule="exact"/>
        <w:ind w:left="640" w:hanging="643" w:hangingChars="200"/>
        <w:jc w:val="center"/>
        <w:outlineLvl w:val="9"/>
        <w:rPr>
          <w:rFonts w:hint="eastAsia" w:ascii="黑体" w:hAnsi="黑体" w:eastAsia="黑体"/>
          <w:b/>
          <w:color w:val="000000"/>
          <w:sz w:val="32"/>
          <w:szCs w:val="32"/>
        </w:rPr>
      </w:pPr>
      <w:bookmarkStart w:id="1286" w:name="_Toc8162_WPSOffice_Level1"/>
      <w:r>
        <w:rPr>
          <w:rFonts w:hint="eastAsia" w:ascii="黑体" w:hAnsi="黑体" w:eastAsia="黑体"/>
          <w:b/>
          <w:color w:val="000000"/>
          <w:sz w:val="32"/>
          <w:szCs w:val="32"/>
        </w:rPr>
        <w:t>第五章 附  则</w:t>
      </w:r>
      <w:bookmarkEnd w:id="1286"/>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第二十五条</w:t>
      </w:r>
      <w:r>
        <w:rPr>
          <w:rFonts w:hint="eastAsia" w:ascii="仿宋_GB2312" w:eastAsia="仿宋_GB2312"/>
          <w:sz w:val="32"/>
          <w:szCs w:val="32"/>
        </w:rPr>
        <w:t xml:space="preserve"> 各二级学院（部门）设立学术委员会，可参照本章程制定相应的学术委员会章程。</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第二十六条</w:t>
      </w:r>
      <w:r>
        <w:rPr>
          <w:rFonts w:hint="eastAsia" w:ascii="仿宋_GB2312" w:eastAsia="仿宋_GB2312"/>
          <w:sz w:val="32"/>
          <w:szCs w:val="32"/>
        </w:rPr>
        <w:t xml:space="preserve"> 本章程由学术委员会秘书处负责解释。</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第二十七条</w:t>
      </w:r>
      <w:r>
        <w:rPr>
          <w:rFonts w:hint="eastAsia" w:ascii="仿宋_GB2312" w:eastAsia="仿宋_GB2312"/>
          <w:sz w:val="32"/>
          <w:szCs w:val="32"/>
        </w:rPr>
        <w:t xml:space="preserve"> 本章程自发布日起施行。</w:t>
      </w:r>
    </w:p>
    <w:p>
      <w:pPr>
        <w:widowControl/>
        <w:jc w:val="left"/>
        <w:rPr>
          <w:b/>
          <w:bCs/>
          <w:sz w:val="40"/>
          <w:szCs w:val="48"/>
        </w:rPr>
      </w:pPr>
      <w:r>
        <w:rPr>
          <w:b/>
          <w:bCs/>
          <w:sz w:val="40"/>
          <w:szCs w:val="48"/>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287" w:name="_Toc7451"/>
      <w:bookmarkStart w:id="1288" w:name="_Toc15296"/>
      <w:bookmarkStart w:id="1289" w:name="_Toc24413_WPSOffice_Level1"/>
      <w:bookmarkStart w:id="1290" w:name="_Toc23625"/>
      <w:r>
        <w:rPr>
          <w:rFonts w:hint="eastAsia"/>
          <w:b/>
          <w:color w:val="000000"/>
          <w:sz w:val="36"/>
          <w:szCs w:val="36"/>
        </w:rPr>
        <w:t>柳州职业技术学院科研经费管理办法（试行）</w:t>
      </w:r>
      <w:bookmarkEnd w:id="1287"/>
      <w:bookmarkEnd w:id="1288"/>
      <w:bookmarkEnd w:id="1289"/>
      <w:bookmarkEnd w:id="1290"/>
    </w:p>
    <w:p>
      <w:pPr>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（柳职院字〔2021〕69 号）</w:t>
      </w:r>
    </w:p>
    <w:p>
      <w:pPr>
        <w:spacing w:line="596" w:lineRule="exact"/>
        <w:jc w:val="center"/>
        <w:rPr>
          <w:b/>
          <w:color w:val="000000"/>
          <w:sz w:val="36"/>
          <w:szCs w:val="36"/>
        </w:rPr>
      </w:pPr>
    </w:p>
    <w:p>
      <w:pPr>
        <w:widowControl/>
        <w:adjustRightInd w:val="0"/>
        <w:snapToGrid w:val="0"/>
        <w:spacing w:line="596" w:lineRule="exact"/>
        <w:ind w:firstLine="643" w:firstLineChars="200"/>
        <w:jc w:val="center"/>
        <w:outlineLvl w:val="9"/>
        <w:rPr>
          <w:rFonts w:hint="eastAsia" w:ascii="宋体" w:hAnsi="宋体" w:cs="宋体"/>
          <w:szCs w:val="28"/>
        </w:rPr>
      </w:pPr>
      <w:bookmarkStart w:id="1291" w:name="_Toc12692_WPSOffice_Level1"/>
      <w:r>
        <w:rPr>
          <w:rFonts w:hint="eastAsia" w:ascii="黑体" w:hAnsi="黑体" w:eastAsia="黑体" w:cs="黑体"/>
          <w:b/>
          <w:color w:val="000000"/>
          <w:kern w:val="0"/>
          <w:sz w:val="32"/>
          <w:szCs w:val="32"/>
          <w:lang w:bidi="ar"/>
        </w:rPr>
        <w:t>第一章  总则</w:t>
      </w:r>
      <w:bookmarkEnd w:id="1291"/>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sz w:val="32"/>
          <w:szCs w:val="32"/>
        </w:rPr>
      </w:pPr>
      <w:r>
        <w:rPr>
          <w:rFonts w:hint="eastAsia" w:ascii="仿宋" w:hAnsi="仿宋" w:eastAsia="仿宋" w:cs="仿宋"/>
          <w:b/>
          <w:bCs/>
          <w:color w:val="000000"/>
          <w:sz w:val="32"/>
          <w:szCs w:val="32"/>
          <w:lang w:bidi="ar"/>
        </w:rPr>
        <w:t>第一条</w:t>
      </w:r>
      <w:r>
        <w:rPr>
          <w:rFonts w:hint="eastAsia" w:ascii="仿宋" w:hAnsi="仿宋" w:eastAsia="仿宋" w:cs="仿宋"/>
          <w:color w:val="000000"/>
          <w:sz w:val="32"/>
          <w:szCs w:val="32"/>
          <w:lang w:bidi="ar"/>
        </w:rPr>
        <w:t xml:space="preserve">  为进一步规范和加强学校科研经费管理，提高科研经费使用效益，促进学校科研事业健康有序发展</w:t>
      </w:r>
      <w:r>
        <w:rPr>
          <w:rFonts w:hint="eastAsia" w:ascii="仿宋" w:hAnsi="仿宋" w:eastAsia="仿宋" w:cs="仿宋"/>
          <w:color w:val="000000"/>
          <w:sz w:val="32"/>
          <w:szCs w:val="32"/>
          <w:lang w:eastAsia="zh-Hans" w:bidi="ar"/>
        </w:rPr>
        <w:t>，根据</w:t>
      </w:r>
      <w:r>
        <w:rPr>
          <w:rFonts w:hint="eastAsia" w:ascii="仿宋" w:hAnsi="仿宋" w:eastAsia="仿宋" w:cs="仿宋"/>
          <w:color w:val="000000"/>
          <w:sz w:val="32"/>
          <w:szCs w:val="32"/>
          <w:lang w:bidi="ar"/>
        </w:rPr>
        <w:t>《关于进一步完善中央财政科研项目资金管理等政策的若干意见》（中办发〔2016〕50号）、《国务院关于优化科研管理提升科研绩效若干措施的通知》（国发〔2018〕25号））</w:t>
      </w:r>
      <w:r>
        <w:rPr>
          <w:rFonts w:hint="eastAsia" w:ascii="仿宋" w:hAnsi="仿宋" w:eastAsia="仿宋" w:cs="仿宋"/>
          <w:color w:val="000000"/>
          <w:sz w:val="32"/>
          <w:szCs w:val="32"/>
          <w:lang w:eastAsia="zh-Hans" w:bidi="ar"/>
        </w:rPr>
        <w:t>、</w:t>
      </w:r>
      <w:r>
        <w:rPr>
          <w:rFonts w:hint="eastAsia" w:ascii="仿宋" w:hAnsi="仿宋" w:eastAsia="仿宋" w:cs="仿宋"/>
          <w:sz w:val="32"/>
          <w:szCs w:val="32"/>
        </w:rPr>
        <w:t>《关于印发广西壮族自治区高校科研院所横向科研项目经费管理暂行办法》（桂教规范〔2018〕12 号）</w:t>
      </w:r>
      <w:r>
        <w:rPr>
          <w:rFonts w:hint="eastAsia" w:ascii="仿宋" w:hAnsi="仿宋" w:eastAsia="仿宋" w:cs="仿宋"/>
          <w:color w:val="000000"/>
          <w:sz w:val="32"/>
          <w:szCs w:val="32"/>
          <w:lang w:bidi="ar"/>
        </w:rPr>
        <w:t>等有关规定，结合学校实际情况，特制定本办法。</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bidi="ar"/>
        </w:rPr>
      </w:pPr>
      <w:r>
        <w:rPr>
          <w:rFonts w:hint="eastAsia" w:ascii="仿宋" w:hAnsi="仿宋" w:eastAsia="仿宋" w:cs="仿宋"/>
          <w:b/>
          <w:bCs/>
          <w:color w:val="000000"/>
          <w:sz w:val="32"/>
          <w:szCs w:val="32"/>
          <w:lang w:eastAsia="zh-Hans" w:bidi="ar"/>
        </w:rPr>
        <w:t>第二条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学</w:t>
      </w:r>
      <w:r>
        <w:rPr>
          <w:rFonts w:hint="eastAsia" w:ascii="仿宋" w:hAnsi="仿宋" w:eastAsia="仿宋" w:cs="仿宋"/>
          <w:color w:val="000000"/>
          <w:sz w:val="32"/>
          <w:szCs w:val="32"/>
          <w:lang w:bidi="ar"/>
        </w:rPr>
        <w:t>校科研经费依据管理性质不同，分为纵向科研经费、横向科研经费。</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bidi="ar"/>
        </w:rPr>
        <w:t>（一）纵向科研经费，是由国家及相关部委、地方政府等部门直接下达或下达后再通过项目负责单位转拨的各类科研项目经费。</w:t>
      </w:r>
      <w:r>
        <w:rPr>
          <w:rFonts w:hint="eastAsia" w:ascii="仿宋" w:hAnsi="仿宋" w:eastAsia="仿宋" w:cs="仿宋"/>
          <w:color w:val="000000"/>
          <w:sz w:val="32"/>
          <w:szCs w:val="32"/>
          <w:lang w:eastAsia="zh-Hans" w:bidi="ar"/>
        </w:rPr>
        <w:t>学校承诺自筹配套的项目经费和立项资助的项目经费纳入该类管理。</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bidi="ar"/>
        </w:rPr>
        <w:t>（二）横向科研经费，</w:t>
      </w:r>
      <w:r>
        <w:rPr>
          <w:rFonts w:hint="eastAsia" w:ascii="仿宋" w:hAnsi="仿宋" w:eastAsia="仿宋" w:cs="仿宋"/>
          <w:color w:val="000000"/>
          <w:sz w:val="32"/>
          <w:szCs w:val="32"/>
          <w:lang w:eastAsia="zh-Hans" w:bidi="ar"/>
        </w:rPr>
        <w:t>是指学校以市场委托方式获得的技术开发、技术咨询、技术服务、管理咨询、委托研究和合作研究等科研项目经费，包括承接政府购买服务获得的科研项目经费和企事业单位、社会团体或个人委托的非财政科研项目经费。</w:t>
      </w:r>
    </w:p>
    <w:p>
      <w:pPr>
        <w:widowControl/>
        <w:adjustRightInd w:val="0"/>
        <w:snapToGrid w:val="0"/>
        <w:spacing w:line="596" w:lineRule="exact"/>
        <w:ind w:firstLine="643" w:firstLineChars="200"/>
        <w:rPr>
          <w:rFonts w:hint="eastAsia" w:ascii="仿宋" w:hAnsi="仿宋" w:eastAsia="仿宋" w:cs="仿宋"/>
          <w:b/>
          <w:bCs/>
          <w:kern w:val="0"/>
          <w:sz w:val="32"/>
          <w:szCs w:val="32"/>
          <w:lang w:eastAsia="zh-Hans" w:bidi="ar"/>
        </w:rPr>
      </w:pPr>
      <w:r>
        <w:rPr>
          <w:rFonts w:hint="eastAsia" w:ascii="仿宋" w:hAnsi="仿宋" w:eastAsia="仿宋" w:cs="仿宋"/>
          <w:b/>
          <w:bCs/>
          <w:color w:val="000000"/>
          <w:kern w:val="0"/>
          <w:sz w:val="32"/>
          <w:szCs w:val="32"/>
          <w:lang w:bidi="ar"/>
        </w:rPr>
        <w:t>第三条</w:t>
      </w:r>
      <w:r>
        <w:rPr>
          <w:rFonts w:hint="eastAsia" w:ascii="仿宋" w:hAnsi="仿宋" w:eastAsia="仿宋" w:cs="仿宋"/>
          <w:color w:val="000000"/>
          <w:kern w:val="0"/>
          <w:sz w:val="32"/>
          <w:szCs w:val="32"/>
          <w:lang w:bidi="ar"/>
        </w:rPr>
        <w:t xml:space="preserve">  学校所取得的各类科研经费，</w:t>
      </w:r>
      <w:bookmarkStart w:id="1292" w:name="_Toc20123_WPSOffice_Level1"/>
      <w:r>
        <w:rPr>
          <w:rFonts w:hint="eastAsia" w:ascii="仿宋" w:hAnsi="仿宋" w:eastAsia="仿宋" w:cs="仿宋"/>
          <w:color w:val="000000"/>
          <w:kern w:val="0"/>
          <w:sz w:val="32"/>
          <w:szCs w:val="32"/>
          <w:lang w:bidi="ar"/>
        </w:rPr>
        <w:t>不论其资金来源渠道，均为学校收入，全部纳入学校财</w:t>
      </w:r>
      <w:bookmarkEnd w:id="1292"/>
      <w:r>
        <w:rPr>
          <w:rFonts w:hint="eastAsia" w:ascii="仿宋" w:hAnsi="仿宋" w:eastAsia="仿宋" w:cs="仿宋"/>
          <w:color w:val="000000"/>
          <w:kern w:val="0"/>
          <w:sz w:val="32"/>
          <w:szCs w:val="32"/>
          <w:lang w:bidi="ar"/>
        </w:rPr>
        <w:t xml:space="preserve">务统一管理，集中核算，并确保科研经费专款专用，任何人无权挪作它用。 </w:t>
      </w:r>
    </w:p>
    <w:p>
      <w:pPr>
        <w:widowControl/>
        <w:adjustRightInd w:val="0"/>
        <w:snapToGrid w:val="0"/>
        <w:spacing w:line="596" w:lineRule="exact"/>
        <w:ind w:firstLine="643" w:firstLineChars="200"/>
        <w:jc w:val="center"/>
        <w:outlineLvl w:val="9"/>
        <w:rPr>
          <w:rFonts w:hint="eastAsia" w:ascii="仿宋" w:hAnsi="仿宋" w:eastAsia="仿宋" w:cs="仿宋"/>
          <w:color w:val="0000FF"/>
          <w:kern w:val="0"/>
          <w:sz w:val="32"/>
          <w:szCs w:val="32"/>
          <w:lang w:eastAsia="zh-Hans" w:bidi="ar"/>
        </w:rPr>
      </w:pPr>
      <w:bookmarkStart w:id="1293" w:name="_Toc31852_WPSOffice_Level1"/>
      <w:r>
        <w:rPr>
          <w:rFonts w:hint="eastAsia" w:ascii="黑体" w:hAnsi="黑体" w:eastAsia="黑体" w:cs="黑体"/>
          <w:b/>
          <w:color w:val="000000"/>
          <w:kern w:val="0"/>
          <w:sz w:val="32"/>
          <w:szCs w:val="32"/>
          <w:lang w:eastAsia="zh-Hans" w:bidi="ar"/>
        </w:rPr>
        <w:t>第二章</w:t>
      </w:r>
      <w:r>
        <w:rPr>
          <w:rFonts w:hint="eastAsia" w:ascii="黑体" w:hAnsi="黑体" w:eastAsia="黑体" w:cs="黑体"/>
          <w:b/>
          <w:color w:val="000000"/>
          <w:kern w:val="0"/>
          <w:sz w:val="32"/>
          <w:szCs w:val="32"/>
          <w:lang w:bidi="ar"/>
        </w:rPr>
        <w:t xml:space="preserve">  预算</w:t>
      </w:r>
      <w:r>
        <w:rPr>
          <w:rFonts w:hint="eastAsia" w:ascii="黑体" w:hAnsi="黑体" w:eastAsia="黑体" w:cs="黑体"/>
          <w:b/>
          <w:color w:val="000000"/>
          <w:kern w:val="0"/>
          <w:sz w:val="32"/>
          <w:szCs w:val="32"/>
          <w:lang w:eastAsia="zh-Hans" w:bidi="ar"/>
        </w:rPr>
        <w:t>管理</w:t>
      </w:r>
      <w:bookmarkEnd w:id="1293"/>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FF"/>
          <w:sz w:val="32"/>
          <w:szCs w:val="32"/>
          <w:lang w:bidi="ar"/>
        </w:rPr>
      </w:pPr>
      <w:r>
        <w:rPr>
          <w:rFonts w:hint="eastAsia" w:ascii="仿宋" w:hAnsi="仿宋" w:eastAsia="仿宋" w:cs="仿宋"/>
          <w:b/>
          <w:bCs/>
          <w:color w:val="000000"/>
          <w:sz w:val="32"/>
          <w:szCs w:val="32"/>
          <w:lang w:bidi="ar"/>
        </w:rPr>
        <w:t>第</w:t>
      </w:r>
      <w:r>
        <w:rPr>
          <w:rFonts w:hint="eastAsia" w:ascii="仿宋" w:hAnsi="仿宋" w:eastAsia="仿宋" w:cs="仿宋"/>
          <w:b/>
          <w:bCs/>
          <w:color w:val="000000"/>
          <w:sz w:val="32"/>
          <w:szCs w:val="32"/>
          <w:lang w:eastAsia="zh-Hans" w:bidi="ar"/>
        </w:rPr>
        <w:t>四</w:t>
      </w:r>
      <w:r>
        <w:rPr>
          <w:rFonts w:hint="eastAsia" w:ascii="仿宋" w:hAnsi="仿宋" w:eastAsia="仿宋" w:cs="仿宋"/>
          <w:b/>
          <w:bCs/>
          <w:color w:val="000000"/>
          <w:sz w:val="32"/>
          <w:szCs w:val="32"/>
          <w:lang w:bidi="ar"/>
        </w:rPr>
        <w:t>条</w:t>
      </w:r>
      <w:r>
        <w:rPr>
          <w:rFonts w:hint="eastAsia" w:ascii="仿宋" w:hAnsi="仿宋" w:eastAsia="仿宋" w:cs="仿宋"/>
          <w:color w:val="000000"/>
          <w:sz w:val="32"/>
          <w:szCs w:val="32"/>
          <w:lang w:bidi="ar"/>
        </w:rPr>
        <w:t xml:space="preserve">  项目负责人根据有关科研经费管理办法的规定，结合科研活动的特点和实际需要，按照目标相关性、政策相符性和经济合理性的原则，科学、合理、真实地编制科研经费预算。</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bidi="ar"/>
        </w:rPr>
      </w:pPr>
      <w:r>
        <w:rPr>
          <w:rFonts w:hint="eastAsia" w:ascii="仿宋" w:hAnsi="仿宋" w:eastAsia="仿宋" w:cs="仿宋"/>
          <w:b/>
          <w:bCs/>
          <w:color w:val="000000"/>
          <w:sz w:val="32"/>
          <w:szCs w:val="32"/>
          <w:lang w:bidi="ar"/>
        </w:rPr>
        <w:t>第</w:t>
      </w:r>
      <w:r>
        <w:rPr>
          <w:rFonts w:hint="eastAsia" w:ascii="仿宋" w:hAnsi="仿宋" w:eastAsia="仿宋" w:cs="仿宋"/>
          <w:b/>
          <w:bCs/>
          <w:color w:val="000000"/>
          <w:sz w:val="32"/>
          <w:szCs w:val="32"/>
          <w:lang w:eastAsia="zh-Hans" w:bidi="ar"/>
        </w:rPr>
        <w:t>五</w:t>
      </w:r>
      <w:r>
        <w:rPr>
          <w:rFonts w:hint="eastAsia" w:ascii="仿宋" w:hAnsi="仿宋" w:eastAsia="仿宋" w:cs="仿宋"/>
          <w:b/>
          <w:bCs/>
          <w:color w:val="000000"/>
          <w:sz w:val="32"/>
          <w:szCs w:val="32"/>
          <w:lang w:bidi="ar"/>
        </w:rPr>
        <w:t>条</w:t>
      </w:r>
      <w:r>
        <w:rPr>
          <w:rFonts w:hint="eastAsia" w:ascii="仿宋" w:hAnsi="仿宋" w:eastAsia="仿宋" w:cs="仿宋"/>
          <w:color w:val="000000"/>
          <w:sz w:val="32"/>
          <w:szCs w:val="32"/>
          <w:lang w:bidi="ar"/>
        </w:rPr>
        <w:t xml:space="preserve">  科研经费预算包括收入预算和支出预算。</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FF"/>
          <w:sz w:val="32"/>
          <w:szCs w:val="32"/>
          <w:lang w:bidi="ar"/>
        </w:rPr>
      </w:pPr>
      <w:r>
        <w:rPr>
          <w:rFonts w:hint="eastAsia" w:ascii="仿宋" w:hAnsi="仿宋" w:eastAsia="仿宋" w:cs="仿宋"/>
          <w:color w:val="000000"/>
          <w:sz w:val="32"/>
          <w:szCs w:val="32"/>
          <w:lang w:bidi="ar"/>
        </w:rPr>
        <w:t>（一）收入预算包括各种来源渠道的经费明细，有自筹配套经费要求的，由项目</w:t>
      </w:r>
      <w:r>
        <w:rPr>
          <w:rFonts w:hint="eastAsia" w:ascii="仿宋" w:hAnsi="仿宋" w:eastAsia="仿宋" w:cs="仿宋"/>
          <w:color w:val="000000"/>
          <w:sz w:val="32"/>
          <w:szCs w:val="32"/>
          <w:lang w:eastAsia="zh-Hans" w:bidi="ar"/>
        </w:rPr>
        <w:t>负责人</w:t>
      </w:r>
      <w:r>
        <w:rPr>
          <w:rFonts w:hint="eastAsia" w:ascii="仿宋" w:hAnsi="仿宋" w:eastAsia="仿宋" w:cs="仿宋"/>
          <w:color w:val="000000"/>
          <w:sz w:val="32"/>
          <w:szCs w:val="32"/>
          <w:lang w:bidi="ar"/>
        </w:rPr>
        <w:t>提供符合经费管理要求的资金来源说明，交财务处审核出资证明及其他相关资料</w:t>
      </w:r>
      <w:r>
        <w:rPr>
          <w:rFonts w:hint="eastAsia" w:ascii="仿宋" w:hAnsi="仿宋" w:eastAsia="仿宋" w:cs="仿宋"/>
          <w:color w:val="000000"/>
          <w:sz w:val="32"/>
          <w:szCs w:val="32"/>
          <w:lang w:eastAsia="zh-Hans" w:bidi="ar"/>
        </w:rPr>
        <w:t>，并按规定编制配套经费预算</w:t>
      </w:r>
      <w:r>
        <w:rPr>
          <w:rFonts w:hint="eastAsia" w:ascii="仿宋" w:hAnsi="仿宋" w:eastAsia="仿宋" w:cs="仿宋"/>
          <w:color w:val="000000"/>
          <w:sz w:val="32"/>
          <w:szCs w:val="32"/>
          <w:lang w:bidi="ar"/>
        </w:rPr>
        <w:t>。</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bidi="ar"/>
        </w:rPr>
        <w:t>（二）支出预算包括项目实施过程中发生的直接费用和间接费用</w:t>
      </w:r>
      <w:r>
        <w:rPr>
          <w:rFonts w:hint="eastAsia" w:ascii="仿宋" w:hAnsi="仿宋" w:eastAsia="仿宋" w:cs="仿宋"/>
          <w:color w:val="000000"/>
          <w:sz w:val="32"/>
          <w:szCs w:val="32"/>
          <w:lang w:eastAsia="zh-Hans" w:bidi="ar"/>
        </w:rPr>
        <w:t>。</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1.直接费用：是指在项目研究开发过程中发生的与之直接相关的费用。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2.间接费用：是指学校在组织实施科研项目过程中发生，无法在直接费用中列支的相关费用。主要包括学校为项目研究提供的现有仪器设备及房屋，日常水、电、气消耗，有关管理费用以及学校为提高科研工作绩效安排的绩效支出。</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FF"/>
          <w:sz w:val="32"/>
          <w:szCs w:val="32"/>
          <w:lang w:eastAsia="zh-Hans" w:bidi="ar"/>
        </w:rPr>
      </w:pPr>
      <w:r>
        <w:rPr>
          <w:rFonts w:hint="eastAsia" w:ascii="仿宋" w:hAnsi="仿宋" w:eastAsia="仿宋" w:cs="仿宋"/>
          <w:b/>
          <w:bCs/>
          <w:color w:val="000000"/>
          <w:sz w:val="32"/>
          <w:szCs w:val="32"/>
          <w:lang w:eastAsia="zh-Hans" w:bidi="ar"/>
        </w:rPr>
        <w:t>第六条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纵向</w:t>
      </w:r>
      <w:r>
        <w:rPr>
          <w:rFonts w:hint="eastAsia" w:ascii="仿宋" w:hAnsi="仿宋" w:eastAsia="仿宋" w:cs="仿宋"/>
          <w:color w:val="000000"/>
          <w:sz w:val="32"/>
          <w:szCs w:val="32"/>
          <w:lang w:bidi="ar"/>
        </w:rPr>
        <w:t>科研经费支出预算包括以下科目：仪器设备费、会议费、差旅费、国际合作与交流费、协作费、劳务费、专家咨询费、绩效支出、管理费、材料费、测试化验加工费、燃料动力费、数据采集费、出版/文献/信息传播/知识产权事务费、税费和其他费用等</w:t>
      </w:r>
      <w:r>
        <w:rPr>
          <w:rFonts w:hint="eastAsia" w:ascii="仿宋" w:hAnsi="仿宋" w:eastAsia="仿宋" w:cs="仿宋"/>
          <w:color w:val="000000"/>
          <w:sz w:val="32"/>
          <w:szCs w:val="32"/>
          <w:lang w:eastAsia="zh-Hans" w:bidi="ar"/>
        </w:rPr>
        <w:t>；横向科研项目科研经费支出一般包括以上科目，但不限于以上科目。</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sz w:val="32"/>
          <w:szCs w:val="32"/>
          <w:lang w:eastAsia="zh-Hans" w:bidi="ar"/>
        </w:rPr>
      </w:pPr>
      <w:r>
        <w:rPr>
          <w:rFonts w:hint="eastAsia" w:ascii="仿宋" w:hAnsi="仿宋" w:eastAsia="仿宋" w:cs="仿宋"/>
          <w:b/>
          <w:bCs/>
          <w:color w:val="000000"/>
          <w:sz w:val="32"/>
          <w:szCs w:val="32"/>
          <w:lang w:eastAsia="zh-Hans" w:bidi="ar"/>
        </w:rPr>
        <w:t>第七条</w:t>
      </w:r>
      <w:r>
        <w:rPr>
          <w:rFonts w:hint="eastAsia" w:ascii="仿宋" w:hAnsi="仿宋" w:eastAsia="仿宋" w:cs="仿宋"/>
          <w:color w:val="000000"/>
          <w:sz w:val="32"/>
          <w:szCs w:val="32"/>
          <w:lang w:bidi="ar"/>
        </w:rPr>
        <w:t xml:space="preserve"> </w:t>
      </w:r>
      <w:bookmarkStart w:id="1294" w:name="_Toc18790_WPSOffice_Level1"/>
      <w:r>
        <w:rPr>
          <w:rFonts w:hint="eastAsia" w:ascii="仿宋" w:hAnsi="仿宋" w:eastAsia="仿宋" w:cs="仿宋"/>
          <w:color w:val="000000"/>
          <w:sz w:val="32"/>
          <w:szCs w:val="32"/>
          <w:lang w:bidi="ar"/>
        </w:rPr>
        <w:t xml:space="preserve"> </w:t>
      </w:r>
      <w:r>
        <w:rPr>
          <w:rFonts w:hint="eastAsia" w:ascii="仿宋" w:hAnsi="仿宋" w:eastAsia="仿宋" w:cs="仿宋"/>
          <w:sz w:val="32"/>
          <w:szCs w:val="32"/>
          <w:lang w:eastAsia="zh-Hans" w:bidi="ar"/>
        </w:rPr>
        <w:t>科研项目经费预算按照</w:t>
      </w:r>
      <w:r>
        <w:rPr>
          <w:rFonts w:hint="eastAsia" w:ascii="仿宋" w:hAnsi="仿宋" w:eastAsia="仿宋" w:cs="仿宋"/>
          <w:sz w:val="32"/>
          <w:szCs w:val="32"/>
          <w:lang w:bidi="ar"/>
        </w:rPr>
        <w:t>支出科目和不同经费来源分类编制</w:t>
      </w:r>
      <w:bookmarkEnd w:id="1294"/>
      <w:r>
        <w:rPr>
          <w:rFonts w:hint="eastAsia" w:ascii="仿宋" w:hAnsi="仿宋" w:eastAsia="仿宋" w:cs="仿宋"/>
          <w:sz w:val="32"/>
          <w:szCs w:val="32"/>
          <w:lang w:eastAsia="zh-Hans" w:bidi="ar"/>
        </w:rPr>
        <w:t>。预算中直接费用各项支出需按经费管理有关要求，根据实际需求编制，并详细说明主要用途和测算依据，不得简单按比例编列；间接费用统一按相关规定足额预算。</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sz w:val="32"/>
          <w:szCs w:val="32"/>
          <w:lang w:eastAsia="zh-Hans"/>
        </w:rPr>
      </w:pPr>
      <w:r>
        <w:rPr>
          <w:rFonts w:hint="eastAsia" w:ascii="仿宋" w:hAnsi="仿宋" w:eastAsia="仿宋" w:cs="仿宋"/>
          <w:color w:val="000000"/>
          <w:sz w:val="32"/>
          <w:szCs w:val="32"/>
          <w:lang w:bidi="ar"/>
        </w:rPr>
        <w:t>（一）</w:t>
      </w:r>
      <w:r>
        <w:rPr>
          <w:rFonts w:hint="eastAsia" w:ascii="仿宋" w:hAnsi="仿宋" w:eastAsia="仿宋" w:cs="仿宋"/>
          <w:color w:val="000000"/>
          <w:sz w:val="32"/>
          <w:szCs w:val="32"/>
          <w:lang w:eastAsia="zh-Hans" w:bidi="ar"/>
        </w:rPr>
        <w:t>纵向科研项目经费预算：直接经费预算</w:t>
      </w:r>
      <w:r>
        <w:rPr>
          <w:rFonts w:hint="eastAsia" w:ascii="仿宋" w:hAnsi="仿宋" w:eastAsia="仿宋" w:cs="仿宋"/>
          <w:color w:val="000000"/>
          <w:sz w:val="32"/>
          <w:szCs w:val="32"/>
          <w:lang w:bidi="ar"/>
        </w:rPr>
        <w:t>按支出科目和不同经费来源分类编制，</w:t>
      </w:r>
      <w:r>
        <w:rPr>
          <w:rFonts w:hint="eastAsia" w:ascii="仿宋" w:hAnsi="仿宋" w:eastAsia="仿宋" w:cs="仿宋"/>
          <w:color w:val="333333"/>
          <w:sz w:val="32"/>
          <w:szCs w:val="32"/>
        </w:rPr>
        <w:t>由</w:t>
      </w:r>
      <w:r>
        <w:rPr>
          <w:rFonts w:hint="eastAsia" w:ascii="仿宋" w:hAnsi="仿宋" w:eastAsia="仿宋" w:cs="仿宋"/>
          <w:color w:val="333333"/>
          <w:sz w:val="32"/>
          <w:szCs w:val="32"/>
          <w:lang w:eastAsia="zh-Hans"/>
        </w:rPr>
        <w:t>项目组</w:t>
      </w:r>
      <w:r>
        <w:rPr>
          <w:rFonts w:hint="eastAsia" w:ascii="仿宋" w:hAnsi="仿宋" w:eastAsia="仿宋" w:cs="仿宋"/>
          <w:color w:val="333333"/>
          <w:sz w:val="32"/>
          <w:szCs w:val="32"/>
        </w:rPr>
        <w:t>结合科研活动实际需要编制预算并按规定统筹安排使用，其中不超过直接费用10%的</w:t>
      </w:r>
      <w:r>
        <w:rPr>
          <w:rFonts w:hint="eastAsia" w:ascii="仿宋" w:hAnsi="仿宋" w:eastAsia="仿宋" w:cs="仿宋"/>
          <w:sz w:val="32"/>
          <w:szCs w:val="32"/>
        </w:rPr>
        <w:t>，不需要提供预算测算依据</w:t>
      </w:r>
      <w:r>
        <w:rPr>
          <w:rFonts w:hint="eastAsia" w:ascii="仿宋" w:hAnsi="仿宋" w:eastAsia="仿宋" w:cs="仿宋"/>
          <w:sz w:val="32"/>
          <w:szCs w:val="32"/>
          <w:lang w:eastAsia="zh-Hans"/>
        </w:rPr>
        <w:t>；间接费用预算按照项目主管部门相关规定预算，项目主管部门没有相应文件明确规定的，按照</w:t>
      </w:r>
      <w:r>
        <w:rPr>
          <w:rFonts w:hint="eastAsia" w:ascii="仿宋" w:hAnsi="仿宋" w:eastAsia="仿宋" w:cs="仿宋"/>
          <w:sz w:val="32"/>
          <w:szCs w:val="32"/>
        </w:rPr>
        <w:t>《国务院关于优化科研管理提升科研绩效若干措施的通知》（国发〔2018〕25号））</w:t>
      </w:r>
      <w:r>
        <w:rPr>
          <w:rFonts w:hint="eastAsia" w:ascii="仿宋" w:hAnsi="仿宋" w:eastAsia="仿宋" w:cs="仿宋"/>
          <w:sz w:val="32"/>
          <w:szCs w:val="32"/>
          <w:lang w:eastAsia="zh-Hans"/>
        </w:rPr>
        <w:t>执行：核定比例不超过直接费用扣除设备购置费的一定比例，</w:t>
      </w:r>
      <w:r>
        <w:rPr>
          <w:rFonts w:hint="eastAsia" w:ascii="仿宋" w:hAnsi="仿宋" w:eastAsia="仿宋" w:cs="仿宋"/>
          <w:sz w:val="32"/>
          <w:szCs w:val="32"/>
        </w:rPr>
        <w:t>具体比例为：</w:t>
      </w:r>
      <w:r>
        <w:rPr>
          <w:rFonts w:hint="eastAsia" w:ascii="仿宋" w:hAnsi="仿宋" w:eastAsia="仿宋" w:cs="仿宋"/>
          <w:sz w:val="32"/>
          <w:szCs w:val="32"/>
          <w:lang w:eastAsia="zh-Hans"/>
        </w:rPr>
        <w:t>500万元以下的部分为20%，500万元至1000万元的部分为15%，1000万元以上的部分为13%。</w:t>
      </w:r>
    </w:p>
    <w:p>
      <w:pPr>
        <w:widowControl/>
        <w:adjustRightInd w:val="0"/>
        <w:snapToGrid w:val="0"/>
        <w:spacing w:line="596" w:lineRule="exact"/>
        <w:ind w:firstLine="640" w:firstLineChars="200"/>
        <w:jc w:val="left"/>
        <w:rPr>
          <w:rFonts w:hint="eastAsia" w:ascii="仿宋" w:hAnsi="仿宋" w:eastAsia="仿宋" w:cs="仿宋"/>
          <w:strike/>
          <w:color w:val="0000FF"/>
          <w:kern w:val="0"/>
          <w:sz w:val="32"/>
          <w:szCs w:val="32"/>
          <w:highlight w:val="green"/>
          <w:lang w:bidi="ar"/>
        </w:rPr>
      </w:pPr>
      <w:r>
        <w:rPr>
          <w:rFonts w:hint="eastAsia" w:ascii="仿宋" w:hAnsi="仿宋" w:eastAsia="仿宋" w:cs="仿宋"/>
          <w:color w:val="000000"/>
          <w:kern w:val="0"/>
          <w:sz w:val="32"/>
          <w:szCs w:val="32"/>
          <w:lang w:eastAsia="zh-Hans" w:bidi="ar"/>
        </w:rPr>
        <w:t>（二）横向科研项目经费预算：</w:t>
      </w:r>
      <w:r>
        <w:rPr>
          <w:rFonts w:hint="eastAsia" w:ascii="仿宋" w:hAnsi="仿宋" w:eastAsia="仿宋" w:cs="仿宋"/>
          <w:color w:val="000000"/>
          <w:kern w:val="0"/>
          <w:sz w:val="32"/>
          <w:szCs w:val="32"/>
          <w:lang w:bidi="ar"/>
        </w:rPr>
        <w:t>横向科研经费支出按预算管理制度执行。科研项目委托</w:t>
      </w:r>
      <w:r>
        <w:rPr>
          <w:rFonts w:hint="eastAsia" w:ascii="仿宋" w:hAnsi="仿宋" w:eastAsia="仿宋" w:cs="仿宋"/>
          <w:color w:val="000000"/>
          <w:kern w:val="0"/>
          <w:sz w:val="32"/>
          <w:szCs w:val="32"/>
          <w:lang w:eastAsia="zh-Hans" w:bidi="ar"/>
        </w:rPr>
        <w:t>（合作）</w:t>
      </w:r>
      <w:r>
        <w:rPr>
          <w:rFonts w:hint="eastAsia" w:ascii="仿宋" w:hAnsi="仿宋" w:eastAsia="仿宋" w:cs="仿宋"/>
          <w:color w:val="000000"/>
          <w:kern w:val="0"/>
          <w:sz w:val="32"/>
          <w:szCs w:val="32"/>
          <w:lang w:bidi="ar"/>
        </w:rPr>
        <w:t>合同中有经费预算约定的从其约定，没有预算约定的实行</w:t>
      </w:r>
      <w:r>
        <w:rPr>
          <w:rFonts w:hint="eastAsia" w:ascii="仿宋" w:hAnsi="仿宋" w:eastAsia="仿宋" w:cs="仿宋"/>
          <w:color w:val="000000"/>
          <w:kern w:val="0"/>
          <w:sz w:val="32"/>
          <w:szCs w:val="32"/>
          <w:lang w:eastAsia="zh-Hans" w:bidi="ar"/>
        </w:rPr>
        <w:t>校内</w:t>
      </w:r>
      <w:r>
        <w:rPr>
          <w:rFonts w:hint="eastAsia" w:ascii="仿宋" w:hAnsi="仿宋" w:eastAsia="仿宋" w:cs="仿宋"/>
          <w:color w:val="000000"/>
          <w:kern w:val="0"/>
          <w:sz w:val="32"/>
          <w:szCs w:val="32"/>
          <w:lang w:bidi="ar"/>
        </w:rPr>
        <w:t>预算管理制度。项目负责人根据项目任务的特点和实际需要，按照目标相关性、政策相符性和经济合理性原则，科学、合理、真实编制支出预算。</w:t>
      </w:r>
      <w:r>
        <w:rPr>
          <w:rFonts w:hint="eastAsia" w:ascii="仿宋" w:hAnsi="仿宋" w:eastAsia="仿宋" w:cs="仿宋"/>
          <w:color w:val="000000"/>
          <w:kern w:val="0"/>
          <w:sz w:val="32"/>
          <w:szCs w:val="32"/>
          <w:lang w:eastAsia="zh-Hans" w:bidi="ar"/>
        </w:rPr>
        <w:t>项目负责人在确保完成合同的前提下，依据任务目标和实施计划提出经费预算，提交预算表，并经所在二级学院同意，报科技开发和校企合作处、财务处审批、备案。</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sz w:val="32"/>
          <w:szCs w:val="32"/>
          <w:lang w:bidi="ar"/>
        </w:rPr>
      </w:pPr>
      <w:r>
        <w:rPr>
          <w:rFonts w:hint="eastAsia" w:ascii="仿宋" w:hAnsi="仿宋" w:eastAsia="仿宋" w:cs="仿宋"/>
          <w:b/>
          <w:bCs/>
          <w:sz w:val="32"/>
          <w:szCs w:val="32"/>
          <w:lang w:eastAsia="zh-Hans" w:bidi="ar"/>
        </w:rPr>
        <w:t>第八条</w:t>
      </w:r>
      <w:r>
        <w:rPr>
          <w:rFonts w:hint="eastAsia" w:ascii="仿宋" w:hAnsi="仿宋" w:eastAsia="仿宋" w:cs="仿宋"/>
          <w:sz w:val="32"/>
          <w:szCs w:val="32"/>
          <w:lang w:bidi="ar"/>
        </w:rPr>
        <w:t xml:space="preserve">  </w:t>
      </w:r>
      <w:r>
        <w:rPr>
          <w:rFonts w:hint="eastAsia" w:ascii="仿宋" w:hAnsi="仿宋" w:eastAsia="仿宋" w:cs="仿宋"/>
          <w:sz w:val="32"/>
          <w:szCs w:val="32"/>
          <w:lang w:eastAsia="zh-Hans" w:bidi="ar"/>
        </w:rPr>
        <w:t>横向科研项目</w:t>
      </w:r>
      <w:r>
        <w:rPr>
          <w:rFonts w:hint="eastAsia" w:ascii="仿宋" w:hAnsi="仿宋" w:eastAsia="仿宋" w:cs="仿宋"/>
          <w:sz w:val="32"/>
          <w:szCs w:val="32"/>
          <w:lang w:bidi="ar"/>
        </w:rPr>
        <w:t>提取管理费的比例为5%，提取基数为实际到账额扣除转拨给</w:t>
      </w:r>
      <w:r>
        <w:rPr>
          <w:rFonts w:hint="eastAsia" w:ascii="仿宋" w:hAnsi="仿宋" w:eastAsia="仿宋" w:cs="仿宋"/>
          <w:sz w:val="32"/>
          <w:szCs w:val="32"/>
          <w:lang w:eastAsia="zh-Hans" w:bidi="ar"/>
        </w:rPr>
        <w:t>转拨给联合申报单位的科研经费</w:t>
      </w:r>
      <w:r>
        <w:rPr>
          <w:rFonts w:hint="eastAsia" w:ascii="仿宋" w:hAnsi="仿宋" w:eastAsia="仿宋" w:cs="仿宋"/>
          <w:sz w:val="32"/>
          <w:szCs w:val="32"/>
          <w:lang w:bidi="ar"/>
        </w:rPr>
        <w:t>。</w:t>
      </w:r>
      <w:r>
        <w:rPr>
          <w:rFonts w:hint="eastAsia" w:ascii="仿宋" w:hAnsi="仿宋" w:eastAsia="仿宋" w:cs="仿宋"/>
          <w:sz w:val="32"/>
          <w:szCs w:val="32"/>
          <w:lang w:eastAsia="zh-Hans" w:bidi="ar"/>
        </w:rPr>
        <w:t>对于转拨给联合申报单位的科研经费，也不进行科研计分奖励。为</w:t>
      </w:r>
      <w:r>
        <w:rPr>
          <w:rFonts w:hint="eastAsia" w:ascii="仿宋" w:hAnsi="仿宋" w:eastAsia="仿宋" w:cs="仿宋"/>
          <w:sz w:val="32"/>
          <w:szCs w:val="32"/>
          <w:lang w:bidi="ar"/>
        </w:rPr>
        <w:t>鼓励和支持科研发展，学校收取的管理费在项目结题后</w:t>
      </w:r>
      <w:r>
        <w:rPr>
          <w:rFonts w:hint="eastAsia" w:ascii="仿宋" w:hAnsi="仿宋" w:eastAsia="仿宋" w:cs="仿宋"/>
          <w:sz w:val="32"/>
          <w:szCs w:val="32"/>
          <w:lang w:eastAsia="zh-Hans" w:bidi="ar"/>
        </w:rPr>
        <w:t>，将管理费转入项目结余经费</w:t>
      </w:r>
      <w:r>
        <w:rPr>
          <w:rFonts w:hint="eastAsia" w:ascii="仿宋" w:hAnsi="仿宋" w:eastAsia="仿宋" w:cs="仿宋"/>
          <w:sz w:val="32"/>
          <w:szCs w:val="32"/>
          <w:lang w:bidi="ar"/>
        </w:rPr>
        <w:t>。</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FF"/>
          <w:sz w:val="32"/>
          <w:szCs w:val="32"/>
          <w:lang w:eastAsia="zh-Hans" w:bidi="ar"/>
        </w:rPr>
      </w:pPr>
      <w:r>
        <w:rPr>
          <w:rFonts w:hint="eastAsia" w:ascii="仿宋" w:hAnsi="仿宋" w:eastAsia="仿宋" w:cs="仿宋"/>
          <w:b/>
          <w:bCs/>
          <w:color w:val="000000"/>
          <w:sz w:val="32"/>
          <w:szCs w:val="32"/>
          <w:lang w:eastAsia="zh-Hans" w:bidi="ar"/>
        </w:rPr>
        <w:t>第九条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科研项目经费预算一经批复，项目负责人应严格按预算规定的开支范围、比例和项目进度执行。</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eastAsia="zh-Hans" w:bidi="ar"/>
        </w:rPr>
      </w:pPr>
      <w:r>
        <w:rPr>
          <w:rFonts w:hint="eastAsia" w:ascii="仿宋" w:hAnsi="仿宋" w:eastAsia="仿宋" w:cs="仿宋"/>
          <w:b/>
          <w:bCs/>
          <w:color w:val="000000"/>
          <w:sz w:val="32"/>
          <w:szCs w:val="32"/>
          <w:lang w:eastAsia="zh-Hans" w:bidi="ar"/>
        </w:rPr>
        <w:t>第十条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在纵向项目执行过程中，项目负责人可根据科研活动实际需要和相关项目管理规定提出预算调整申请，并按照以下程序报批：</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FF"/>
          <w:sz w:val="32"/>
          <w:szCs w:val="32"/>
          <w:lang w:eastAsia="zh-Hans" w:bidi="ar"/>
        </w:rPr>
      </w:pPr>
      <w:r>
        <w:rPr>
          <w:rFonts w:hint="eastAsia" w:ascii="仿宋" w:hAnsi="仿宋" w:eastAsia="仿宋" w:cs="仿宋"/>
          <w:color w:val="000000"/>
          <w:sz w:val="32"/>
          <w:szCs w:val="32"/>
          <w:lang w:eastAsia="zh-Hans" w:bidi="ar"/>
        </w:rPr>
        <w:t>（一）预算总额调整经二级学院（部门）同意，报科技开发与校企合作处、财务处审核后，上报项目主管部门批准。</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（二）预算总额不变，项目合作单位之间的预算调整，经二级学院（部门）同意，报科技开发与校企合作处、财务处审核后，重新签订项目合作协议，并上报项目主管部门批准。</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FF"/>
          <w:sz w:val="32"/>
          <w:szCs w:val="32"/>
          <w:lang w:eastAsia="zh-Hans" w:bidi="ar"/>
        </w:rPr>
      </w:pPr>
      <w:r>
        <w:rPr>
          <w:rFonts w:hint="eastAsia" w:ascii="仿宋" w:hAnsi="仿宋" w:eastAsia="仿宋" w:cs="仿宋"/>
          <w:color w:val="000000"/>
          <w:sz w:val="32"/>
          <w:szCs w:val="32"/>
          <w:lang w:eastAsia="zh-Hans" w:bidi="ar"/>
        </w:rPr>
        <w:t>（三）预算总额不变，各预算科目之间如需调整，项目负责人申请，经所在二级学院同意，报科技开发与校企合作处、财务处批准后执行。其中会议费/</w:t>
      </w:r>
      <w:r>
        <w:rPr>
          <w:rFonts w:hint="eastAsia" w:ascii="仿宋" w:hAnsi="仿宋" w:eastAsia="仿宋" w:cs="仿宋"/>
          <w:color w:val="000000"/>
          <w:sz w:val="32"/>
          <w:szCs w:val="32"/>
          <w:lang w:bidi="ar"/>
        </w:rPr>
        <w:t>差旅</w:t>
      </w:r>
      <w:r>
        <w:rPr>
          <w:rFonts w:hint="eastAsia" w:ascii="仿宋" w:hAnsi="仿宋" w:eastAsia="仿宋" w:cs="仿宋"/>
          <w:color w:val="000000"/>
          <w:sz w:val="32"/>
          <w:szCs w:val="32"/>
          <w:lang w:eastAsia="zh-Hans" w:bidi="ar"/>
        </w:rPr>
        <w:t>费/国际合作与交流费、劳务费、专家咨询费、设备费支出预算不予调增。</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FF"/>
          <w:sz w:val="32"/>
          <w:szCs w:val="32"/>
          <w:lang w:eastAsia="zh-Hans" w:bidi="ar"/>
        </w:rPr>
      </w:pPr>
      <w:r>
        <w:rPr>
          <w:rFonts w:hint="eastAsia" w:ascii="仿宋" w:hAnsi="仿宋" w:eastAsia="仿宋" w:cs="仿宋"/>
          <w:color w:val="000000"/>
          <w:sz w:val="32"/>
          <w:szCs w:val="32"/>
          <w:lang w:eastAsia="zh-Hans" w:bidi="ar"/>
        </w:rPr>
        <w:t>（四）间接费用预算不得调整。</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b/>
          <w:bCs/>
          <w:color w:val="000000"/>
          <w:sz w:val="32"/>
          <w:szCs w:val="32"/>
          <w:lang w:eastAsia="zh-Hans" w:bidi="ar"/>
        </w:rPr>
      </w:pPr>
      <w:r>
        <w:rPr>
          <w:rFonts w:hint="eastAsia" w:ascii="仿宋" w:hAnsi="仿宋" w:eastAsia="仿宋" w:cs="仿宋"/>
          <w:b/>
          <w:bCs/>
          <w:color w:val="000000"/>
          <w:sz w:val="32"/>
          <w:szCs w:val="32"/>
          <w:lang w:eastAsia="zh-Hans" w:bidi="ar"/>
        </w:rPr>
        <w:t>第十一条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在横向项目执行过程中，预算调整按照合同规定约定进行</w:t>
      </w:r>
      <w:r>
        <w:rPr>
          <w:rFonts w:hint="eastAsia" w:ascii="仿宋" w:hAnsi="仿宋" w:eastAsia="仿宋" w:cs="仿宋"/>
          <w:color w:val="000000"/>
          <w:sz w:val="32"/>
          <w:szCs w:val="32"/>
          <w:lang w:bidi="ar"/>
        </w:rPr>
        <w:t>，如无约定，</w:t>
      </w:r>
      <w:r>
        <w:rPr>
          <w:rFonts w:hint="eastAsia" w:ascii="仿宋" w:hAnsi="仿宋" w:eastAsia="仿宋" w:cs="仿宋"/>
          <w:color w:val="000000"/>
          <w:sz w:val="32"/>
          <w:szCs w:val="32"/>
          <w:lang w:eastAsia="zh-Hans" w:bidi="ar"/>
        </w:rPr>
        <w:t>执行学校内部预算管理的，由项目负责人根据科研活动实际需要提出预算调整申请，经二级</w:t>
      </w:r>
      <w:r>
        <w:rPr>
          <w:rFonts w:hint="eastAsia" w:ascii="仿宋" w:hAnsi="仿宋" w:eastAsia="仿宋" w:cs="仿宋"/>
          <w:color w:val="000000"/>
          <w:sz w:val="32"/>
          <w:szCs w:val="32"/>
          <w:lang w:bidi="ar"/>
        </w:rPr>
        <w:t>学院和部门</w:t>
      </w:r>
      <w:r>
        <w:rPr>
          <w:rFonts w:hint="eastAsia" w:ascii="仿宋" w:hAnsi="仿宋" w:eastAsia="仿宋" w:cs="仿宋"/>
          <w:color w:val="000000"/>
          <w:sz w:val="32"/>
          <w:szCs w:val="32"/>
          <w:lang w:eastAsia="zh-Hans" w:bidi="ar"/>
        </w:rPr>
        <w:t>、科技开发与校企合作处、财务处批准后执行。</w:t>
      </w:r>
    </w:p>
    <w:p>
      <w:pPr>
        <w:pStyle w:val="10"/>
        <w:adjustRightInd w:val="0"/>
        <w:snapToGrid w:val="0"/>
        <w:spacing w:before="0" w:beforeAutospacing="0" w:after="0" w:afterAutospacing="0" w:line="596" w:lineRule="exact"/>
        <w:ind w:firstLine="643" w:firstLineChars="200"/>
        <w:jc w:val="center"/>
        <w:outlineLvl w:val="9"/>
        <w:rPr>
          <w:rFonts w:hint="eastAsia" w:ascii="仿宋" w:hAnsi="仿宋" w:eastAsia="仿宋" w:cs="仿宋"/>
          <w:color w:val="0000FF"/>
          <w:sz w:val="32"/>
          <w:szCs w:val="32"/>
          <w:lang w:eastAsia="zh-Hans" w:bidi="ar"/>
        </w:rPr>
      </w:pPr>
      <w:bookmarkStart w:id="1295" w:name="_Toc15642_WPSOffice_Level1"/>
      <w:r>
        <w:rPr>
          <w:rFonts w:hint="eastAsia" w:ascii="黑体" w:hAnsi="黑体" w:eastAsia="黑体" w:cs="黑体"/>
          <w:b/>
          <w:color w:val="000000"/>
          <w:sz w:val="32"/>
          <w:szCs w:val="32"/>
          <w:lang w:eastAsia="zh-Hans" w:bidi="ar"/>
        </w:rPr>
        <w:t>第三章</w:t>
      </w:r>
      <w:r>
        <w:rPr>
          <w:rFonts w:hint="eastAsia" w:ascii="黑体" w:hAnsi="黑体" w:eastAsia="黑体" w:cs="黑体"/>
          <w:b/>
          <w:color w:val="000000"/>
          <w:sz w:val="32"/>
          <w:szCs w:val="32"/>
          <w:lang w:bidi="ar"/>
        </w:rPr>
        <w:t xml:space="preserve">  </w:t>
      </w:r>
      <w:r>
        <w:rPr>
          <w:rFonts w:hint="eastAsia" w:ascii="黑体" w:hAnsi="黑体" w:eastAsia="黑体" w:cs="黑体"/>
          <w:b/>
          <w:color w:val="000000"/>
          <w:sz w:val="32"/>
          <w:szCs w:val="32"/>
          <w:lang w:eastAsia="zh-Hans" w:bidi="ar"/>
        </w:rPr>
        <w:t>收入管理</w:t>
      </w:r>
      <w:bookmarkEnd w:id="1295"/>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FF"/>
          <w:sz w:val="32"/>
          <w:szCs w:val="32"/>
          <w:lang w:eastAsia="zh-Hans" w:bidi="ar"/>
        </w:rPr>
      </w:pPr>
      <w:r>
        <w:rPr>
          <w:rFonts w:hint="eastAsia" w:ascii="仿宋" w:hAnsi="仿宋" w:eastAsia="仿宋" w:cs="仿宋"/>
          <w:b/>
          <w:bCs/>
          <w:color w:val="000000"/>
          <w:sz w:val="32"/>
          <w:szCs w:val="32"/>
          <w:lang w:eastAsia="zh-Hans" w:bidi="ar"/>
        </w:rPr>
        <w:t>第十二条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科研经费到款后，由财务处向科技开发与校企合作处及项目负责人提供经费到账通知。项目负责人根据项目合同（任务书）和经费到账单将科研项目立项信息录入科研管理系统，科技开发与校企合作处做好建档工作，项目负责人凭项目合同和经费到账单到财务处办理项目财务立项和经费入账手续。</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b/>
          <w:bCs/>
          <w:color w:val="000000"/>
          <w:sz w:val="32"/>
          <w:szCs w:val="32"/>
          <w:lang w:eastAsia="zh-Hans" w:bidi="ar"/>
        </w:rPr>
      </w:pPr>
      <w:r>
        <w:rPr>
          <w:rFonts w:hint="eastAsia" w:ascii="仿宋" w:hAnsi="仿宋" w:eastAsia="仿宋" w:cs="仿宋"/>
          <w:b/>
          <w:bCs/>
          <w:color w:val="000000"/>
          <w:sz w:val="32"/>
          <w:szCs w:val="32"/>
          <w:lang w:eastAsia="zh-Hans" w:bidi="ar"/>
        </w:rPr>
        <w:t>第十三条</w:t>
      </w:r>
      <w:r>
        <w:rPr>
          <w:rFonts w:hint="eastAsia" w:ascii="仿宋" w:hAnsi="仿宋" w:eastAsia="仿宋" w:cs="仿宋"/>
          <w:b/>
          <w:bCs/>
          <w:color w:val="000000"/>
          <w:sz w:val="32"/>
          <w:szCs w:val="32"/>
          <w:lang w:bidi="ar"/>
        </w:rPr>
        <w:t xml:space="preserve">  </w:t>
      </w:r>
      <w:r>
        <w:rPr>
          <w:rFonts w:hint="eastAsia" w:ascii="仿宋" w:hAnsi="仿宋" w:eastAsia="仿宋" w:cs="仿宋"/>
          <w:color w:val="000000"/>
          <w:sz w:val="32"/>
          <w:szCs w:val="32"/>
          <w:lang w:eastAsia="zh-Hans" w:bidi="ar"/>
        </w:rPr>
        <w:t>横向科研经费入账时，由财务处按国家规定代扣代缴相关税费。可以享受免税的，由项目负责人向科技开发与校企合作处和财务处申请办理免税手续。</w:t>
      </w:r>
    </w:p>
    <w:p>
      <w:pPr>
        <w:pStyle w:val="10"/>
        <w:adjustRightInd w:val="0"/>
        <w:snapToGrid w:val="0"/>
        <w:spacing w:before="0" w:beforeAutospacing="0" w:after="0" w:afterAutospacing="0" w:line="596" w:lineRule="exact"/>
        <w:ind w:firstLine="643" w:firstLineChars="200"/>
        <w:jc w:val="center"/>
        <w:outlineLvl w:val="9"/>
        <w:rPr>
          <w:rFonts w:hint="eastAsia" w:ascii="仿宋" w:hAnsi="仿宋" w:eastAsia="仿宋" w:cs="仿宋"/>
          <w:color w:val="0000FF"/>
          <w:sz w:val="32"/>
          <w:szCs w:val="32"/>
          <w:lang w:eastAsia="zh-Hans" w:bidi="ar"/>
        </w:rPr>
      </w:pPr>
      <w:bookmarkStart w:id="1296" w:name="_Toc9821_WPSOffice_Level1"/>
      <w:r>
        <w:rPr>
          <w:rFonts w:hint="eastAsia" w:ascii="黑体" w:hAnsi="黑体" w:eastAsia="黑体" w:cs="黑体"/>
          <w:b/>
          <w:color w:val="000000"/>
          <w:sz w:val="32"/>
          <w:szCs w:val="32"/>
          <w:lang w:eastAsia="zh-Hans" w:bidi="ar"/>
        </w:rPr>
        <w:t>第四章</w:t>
      </w:r>
      <w:r>
        <w:rPr>
          <w:rFonts w:hint="eastAsia" w:ascii="黑体" w:hAnsi="黑体" w:eastAsia="黑体" w:cs="黑体"/>
          <w:b/>
          <w:color w:val="000000"/>
          <w:sz w:val="32"/>
          <w:szCs w:val="32"/>
          <w:lang w:bidi="ar"/>
        </w:rPr>
        <w:t xml:space="preserve">  </w:t>
      </w:r>
      <w:r>
        <w:rPr>
          <w:rFonts w:hint="eastAsia" w:ascii="黑体" w:hAnsi="黑体" w:eastAsia="黑体" w:cs="黑体"/>
          <w:b/>
          <w:color w:val="000000"/>
          <w:sz w:val="32"/>
          <w:szCs w:val="32"/>
          <w:lang w:eastAsia="zh-Hans" w:bidi="ar"/>
        </w:rPr>
        <w:t>支出管理</w:t>
      </w:r>
      <w:bookmarkEnd w:id="1296"/>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eastAsia="zh-Hans" w:bidi="ar"/>
        </w:rPr>
      </w:pPr>
      <w:r>
        <w:rPr>
          <w:rFonts w:hint="eastAsia" w:ascii="仿宋" w:hAnsi="仿宋" w:eastAsia="仿宋" w:cs="仿宋"/>
          <w:b/>
          <w:bCs/>
          <w:color w:val="000000"/>
          <w:sz w:val="32"/>
          <w:szCs w:val="32"/>
          <w:lang w:eastAsia="zh-Hans" w:bidi="ar"/>
        </w:rPr>
        <w:t>第十四条</w:t>
      </w:r>
      <w:r>
        <w:rPr>
          <w:rFonts w:hint="eastAsia" w:ascii="仿宋" w:hAnsi="仿宋" w:eastAsia="仿宋" w:cs="仿宋"/>
          <w:b/>
          <w:bCs/>
          <w:color w:val="000000"/>
          <w:sz w:val="32"/>
          <w:szCs w:val="32"/>
          <w:lang w:bidi="ar"/>
        </w:rPr>
        <w:t xml:space="preserve">  </w:t>
      </w:r>
      <w:r>
        <w:rPr>
          <w:rFonts w:hint="eastAsia" w:ascii="仿宋" w:hAnsi="仿宋" w:eastAsia="仿宋" w:cs="仿宋"/>
          <w:color w:val="000000"/>
          <w:sz w:val="32"/>
          <w:szCs w:val="32"/>
          <w:lang w:eastAsia="zh-Hans" w:bidi="ar"/>
        </w:rPr>
        <w:t>科研经费支出范围包括直接经费支出和间接经费支出。</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b/>
          <w:bCs/>
          <w:color w:val="000000"/>
          <w:sz w:val="32"/>
          <w:szCs w:val="32"/>
          <w:lang w:eastAsia="zh-Hans" w:bidi="ar"/>
        </w:rPr>
      </w:pPr>
      <w:r>
        <w:rPr>
          <w:rFonts w:hint="eastAsia" w:ascii="仿宋" w:hAnsi="仿宋" w:eastAsia="仿宋" w:cs="仿宋"/>
          <w:b/>
          <w:bCs/>
          <w:color w:val="000000"/>
          <w:sz w:val="32"/>
          <w:szCs w:val="32"/>
          <w:lang w:eastAsia="zh-Hans" w:bidi="ar"/>
        </w:rPr>
        <w:t>（一）直接费用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1.设备费：是指在项目实施过程中购置或试制专用仪器设备及设备运输、安装、调试等，或对现有仪器设备进行升级改造或租赁使用校外单位仪器设备而发生的费用。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2.材料费：是指在项目实施过程中消耗的各种原材料、辅助材料低值易耗品等的采购及运输、装卸和整理等费用。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3.测试化验加工费：是指在项目实施过程中支付给外单位（包括学校内部独立经济核算单位）发生的检验、测试、设计、化验及加工等费用。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4.燃料动力费：是指在项目实施过程中相关大型仪器设备、专用科学装置等运行发生的可以单独计量的水、电、气、燃料等费用。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5.差旅/会议/国际合作与交流费：差旅费、会议费、国际合作与交流费合并进行总额控制，项目组提供初步预算后统筹使用。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（1）差旅费是指在项目实施过程中开展科学实验（试验）、科学考察、调研、学术交流、参加学术会议、技术培训等所发生的外埠差旅费、市内交通费用等。</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2）会议费是指在项目实施过程中为组织开展相关的学术研讨、咨询及协调任务等活动而发生的会议费用。项目组应当按照国家有关规定，严格控制会议规模、会议数量、会议开支标准和会期。会议费标准按照相关规定执行。</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（3）国际合作与交流费是指在项目实施过程中相关人员出国（境）及外国专家来华工作而发生的费用。国际合作与交流费支出按国家、自治区、柳州市及学校外事经费管理的有关规定执行。</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6.出版/文献/资料/信息传播/知识产权事务费：是指在项目实施过程中，需要支付的出版费、资料费、翻拍费、翻译费、专用软件购买费、文献检索费、专业通信费、专利申请及其他知识产权事务等费用。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7.劳务费：是指在项目实施过程中支付给参加项目研究生、博士后、访问学者及项目聘用的研究人员、科研辅助人员等的劳务性费用。项目聘用人员的劳务费开支标准，参照当地</w:t>
      </w:r>
      <w:r>
        <w:rPr>
          <w:rFonts w:hint="eastAsia" w:ascii="仿宋" w:hAnsi="仿宋" w:eastAsia="仿宋" w:cs="仿宋"/>
          <w:color w:val="000000"/>
          <w:sz w:val="32"/>
          <w:szCs w:val="32"/>
          <w:lang w:bidi="ar"/>
        </w:rPr>
        <w:t>统计部门公布的全区城镇非私营单位上年度在岗职工年平均工资标准按日平均的2倍发放。</w:t>
      </w:r>
      <w:r>
        <w:rPr>
          <w:rFonts w:hint="eastAsia" w:ascii="仿宋" w:hAnsi="仿宋" w:eastAsia="仿宋" w:cs="仿宋"/>
          <w:color w:val="000000"/>
          <w:sz w:val="32"/>
          <w:szCs w:val="32"/>
          <w:lang w:eastAsia="zh-Hans" w:bidi="ar"/>
        </w:rPr>
        <w:t>根据其在项目研究中承担的工作任务确定，其社会保险补助纳入劳务费科目列支。劳务费额度根据项目实际需要编制预算。项目组中在</w:t>
      </w:r>
      <w:r>
        <w:rPr>
          <w:rFonts w:hint="eastAsia" w:ascii="仿宋" w:hAnsi="仿宋" w:eastAsia="仿宋" w:cs="仿宋"/>
          <w:color w:val="000000"/>
          <w:sz w:val="32"/>
          <w:szCs w:val="32"/>
          <w:lang w:bidi="ar"/>
        </w:rPr>
        <w:t>岗</w:t>
      </w:r>
      <w:r>
        <w:rPr>
          <w:rFonts w:hint="eastAsia" w:ascii="仿宋" w:hAnsi="仿宋" w:eastAsia="仿宋" w:cs="仿宋"/>
          <w:color w:val="000000"/>
          <w:sz w:val="32"/>
          <w:szCs w:val="32"/>
          <w:lang w:eastAsia="zh-Hans" w:bidi="ar"/>
        </w:rPr>
        <w:t>教职工不得领取劳务费。</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8.专家咨询费：是指在项目实施过程中支付给临时聘请的咨询专家的费用。专家咨询费不得支付给参与项目研究及其相关管理人员，不得支付人才与研</w:t>
      </w:r>
      <w:bookmarkStart w:id="1297" w:name="_Toc15410_WPSOffice_Level1"/>
      <w:r>
        <w:rPr>
          <w:rFonts w:hint="eastAsia" w:ascii="仿宋" w:hAnsi="仿宋" w:eastAsia="仿宋" w:cs="仿宋"/>
          <w:color w:val="000000"/>
          <w:sz w:val="32"/>
          <w:szCs w:val="32"/>
          <w:lang w:eastAsia="zh-Hans" w:bidi="ar"/>
        </w:rPr>
        <w:t>究生培养费用（如论文答辩费、</w:t>
      </w:r>
      <w:bookmarkEnd w:id="1297"/>
      <w:r>
        <w:rPr>
          <w:rFonts w:hint="eastAsia" w:ascii="仿宋" w:hAnsi="仿宋" w:eastAsia="仿宋" w:cs="仿宋"/>
          <w:color w:val="000000"/>
          <w:sz w:val="32"/>
          <w:szCs w:val="32"/>
          <w:lang w:eastAsia="zh-Hans" w:bidi="ar"/>
        </w:rPr>
        <w:t>论文送审费等）。专家咨询费支出标准按照国家相关规定执行。</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9.其他费用：是指项目实施所需的与项目任务直接相关的其他费用。</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b/>
          <w:bCs/>
          <w:color w:val="000000"/>
          <w:sz w:val="32"/>
          <w:szCs w:val="32"/>
          <w:lang w:eastAsia="zh-Hans" w:bidi="ar"/>
        </w:rPr>
      </w:pPr>
      <w:r>
        <w:rPr>
          <w:rFonts w:hint="eastAsia" w:ascii="仿宋" w:hAnsi="仿宋" w:eastAsia="仿宋" w:cs="仿宋"/>
          <w:b/>
          <w:bCs/>
          <w:color w:val="000000"/>
          <w:sz w:val="32"/>
          <w:szCs w:val="32"/>
          <w:lang w:eastAsia="zh-Hans" w:bidi="ar"/>
        </w:rPr>
        <w:t>（二）间接费用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FF"/>
          <w:sz w:val="32"/>
          <w:szCs w:val="32"/>
          <w:lang w:eastAsia="zh-Hans" w:bidi="ar"/>
        </w:rPr>
      </w:pPr>
      <w:r>
        <w:rPr>
          <w:rFonts w:hint="eastAsia" w:ascii="仿宋" w:hAnsi="仿宋" w:eastAsia="仿宋" w:cs="仿宋"/>
          <w:sz w:val="32"/>
          <w:szCs w:val="32"/>
          <w:lang w:eastAsia="zh-Hans" w:bidi="ar"/>
        </w:rPr>
        <w:t>1.绩效费：是</w:t>
      </w:r>
      <w:r>
        <w:rPr>
          <w:rFonts w:hint="eastAsia" w:ascii="仿宋" w:hAnsi="仿宋" w:eastAsia="仿宋" w:cs="仿宋"/>
          <w:sz w:val="32"/>
          <w:szCs w:val="32"/>
          <w:lang w:bidi="ar"/>
        </w:rPr>
        <w:t>指根据科研工作量和实际贡献核算所需支付给单位项目组成员的人力成本费用或激励支出</w:t>
      </w:r>
      <w:r>
        <w:rPr>
          <w:rFonts w:hint="eastAsia" w:ascii="仿宋" w:hAnsi="仿宋" w:eastAsia="仿宋" w:cs="仿宋"/>
          <w:sz w:val="32"/>
          <w:szCs w:val="32"/>
          <w:lang w:eastAsia="zh-Hans" w:bidi="ar"/>
        </w:rPr>
        <w:t>。</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sz w:val="32"/>
          <w:szCs w:val="32"/>
          <w:lang w:eastAsia="zh-Hans" w:bidi="ar"/>
        </w:rPr>
      </w:pPr>
      <w:r>
        <w:rPr>
          <w:rFonts w:hint="eastAsia" w:ascii="仿宋" w:hAnsi="仿宋" w:eastAsia="仿宋" w:cs="仿宋"/>
          <w:sz w:val="32"/>
          <w:szCs w:val="32"/>
          <w:lang w:eastAsia="zh-Hans" w:bidi="ar"/>
        </w:rPr>
        <w:t>2.公共资源使用补偿费：是指项目在组织实施过程中，使用学校现有的现有仪器、设备及房屋、水、电、气消耗等公共支出。主要包括仪器、设备、房屋及建筑物等固定资产公共资源的占用费、仪器申报运行维护费、水、电、气消耗支出、图书购置费、网络信息建设费、科研基础设施建设费、公共实验平台建设费等各种项目支撑条件的补偿费用。</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sz w:val="32"/>
          <w:szCs w:val="32"/>
          <w:lang w:eastAsia="zh-Hans" w:bidi="ar"/>
        </w:rPr>
      </w:pPr>
      <w:r>
        <w:rPr>
          <w:rFonts w:hint="eastAsia" w:ascii="仿宋" w:hAnsi="仿宋" w:eastAsia="仿宋" w:cs="仿宋"/>
          <w:sz w:val="32"/>
          <w:szCs w:val="32"/>
          <w:lang w:eastAsia="zh-Hans" w:bidi="ar"/>
        </w:rPr>
        <w:t>3.科研管理费：是指学校职能部门及学院组织科研项目实施发生的费用支出，主要包括项目前期费用、可行性论证费、财务费、资料档案费等科研项目管理和服务工作经费。</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sz w:val="32"/>
          <w:szCs w:val="32"/>
          <w:lang w:eastAsia="zh-Hans" w:bidi="ar"/>
        </w:rPr>
      </w:pPr>
      <w:r>
        <w:rPr>
          <w:rFonts w:hint="eastAsia" w:ascii="仿宋" w:hAnsi="仿宋" w:eastAsia="仿宋" w:cs="仿宋"/>
          <w:sz w:val="32"/>
          <w:szCs w:val="32"/>
          <w:lang w:eastAsia="zh-Hans" w:bidi="ar"/>
        </w:rPr>
        <w:t>4.其他间接费用：指其他无法在直接费用中列支的相关费用。主要包括：项目组可以单独计量的水、电、气等消耗费用支出，与项目研究有关的通用设备、办公材料和项目验收、审计等费用支出。</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eastAsia="zh-Hans" w:bidi="ar"/>
        </w:rPr>
      </w:pPr>
      <w:r>
        <w:rPr>
          <w:rFonts w:hint="eastAsia" w:ascii="仿宋" w:hAnsi="仿宋" w:eastAsia="仿宋" w:cs="仿宋"/>
          <w:b/>
          <w:bCs/>
          <w:color w:val="000000"/>
          <w:sz w:val="32"/>
          <w:szCs w:val="32"/>
          <w:lang w:eastAsia="zh-Hans" w:bidi="ar"/>
        </w:rPr>
        <w:t>第十五条</w:t>
      </w:r>
      <w:r>
        <w:rPr>
          <w:rFonts w:hint="eastAsia" w:ascii="仿宋" w:hAnsi="仿宋" w:eastAsia="仿宋" w:cs="仿宋"/>
          <w:b/>
          <w:bCs/>
          <w:color w:val="000000"/>
          <w:sz w:val="32"/>
          <w:szCs w:val="32"/>
          <w:lang w:bidi="ar"/>
        </w:rPr>
        <w:t xml:space="preserve">  </w:t>
      </w:r>
      <w:r>
        <w:rPr>
          <w:rFonts w:hint="eastAsia" w:ascii="仿宋" w:hAnsi="仿宋" w:eastAsia="仿宋" w:cs="仿宋"/>
          <w:color w:val="000000"/>
          <w:sz w:val="32"/>
          <w:szCs w:val="32"/>
          <w:lang w:eastAsia="zh-Hans" w:bidi="ar"/>
        </w:rPr>
        <w:t>使用科研经费购置或自制形成的固定资产，除各类科研项目管理办法或项目合同另有规定外，均属于学校的国有资产，应严格执行国家、学校国有资产管理、使用和处置办法的有关规定。使用单位和项目负责人应对资产的安全性和完整性负责。</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FF"/>
          <w:sz w:val="32"/>
          <w:szCs w:val="32"/>
          <w:lang w:eastAsia="zh-Hans" w:bidi="ar"/>
        </w:rPr>
      </w:pPr>
      <w:r>
        <w:rPr>
          <w:rFonts w:hint="eastAsia" w:ascii="仿宋" w:hAnsi="仿宋" w:eastAsia="仿宋" w:cs="仿宋"/>
          <w:b/>
          <w:bCs/>
          <w:color w:val="000000"/>
          <w:sz w:val="32"/>
          <w:szCs w:val="32"/>
          <w:lang w:eastAsia="zh-Hans" w:bidi="ar"/>
        </w:rPr>
        <w:t>第十六条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科研项目经费使用审批权限</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（一）纵向项目经费根据单笔支出款项数额，参照《柳州职业技术学院财务支出审批制度》（柳职院字〔2021〕18号）的文件精神.</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bidi="ar"/>
        </w:rPr>
      </w:pPr>
      <w:r>
        <w:rPr>
          <w:rFonts w:hint="eastAsia" w:ascii="仿宋" w:hAnsi="仿宋" w:eastAsia="仿宋" w:cs="仿宋"/>
          <w:color w:val="000000"/>
          <w:sz w:val="32"/>
          <w:szCs w:val="32"/>
          <w:lang w:eastAsia="zh-Hans" w:bidi="ar"/>
        </w:rPr>
        <w:t>（二）横向项目经费根据单笔支出款项数额，按下列标准逐级</w:t>
      </w:r>
      <w:r>
        <w:rPr>
          <w:rFonts w:hint="eastAsia" w:ascii="仿宋" w:hAnsi="仿宋" w:eastAsia="仿宋" w:cs="仿宋"/>
          <w:color w:val="000000"/>
          <w:sz w:val="32"/>
          <w:szCs w:val="32"/>
          <w:lang w:bidi="ar"/>
        </w:rPr>
        <w:t>事前业务审批和事后报销</w:t>
      </w:r>
      <w:r>
        <w:rPr>
          <w:rFonts w:hint="eastAsia" w:ascii="仿宋" w:hAnsi="仿宋" w:eastAsia="仿宋" w:cs="仿宋"/>
          <w:color w:val="000000"/>
          <w:sz w:val="32"/>
          <w:szCs w:val="32"/>
          <w:lang w:eastAsia="zh-Hans" w:bidi="ar"/>
        </w:rPr>
        <w:t>审批</w:t>
      </w:r>
      <w:r>
        <w:rPr>
          <w:rFonts w:hint="eastAsia" w:ascii="仿宋" w:hAnsi="仿宋" w:eastAsia="仿宋" w:cs="仿宋"/>
          <w:color w:val="000000"/>
          <w:sz w:val="32"/>
          <w:szCs w:val="32"/>
          <w:lang w:bidi="ar"/>
        </w:rPr>
        <w:t>。</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sz w:val="32"/>
          <w:szCs w:val="32"/>
          <w:lang w:bidi="ar"/>
        </w:rPr>
      </w:pPr>
      <w:r>
        <w:rPr>
          <w:rFonts w:hint="eastAsia" w:ascii="仿宋" w:hAnsi="仿宋" w:eastAsia="仿宋" w:cs="仿宋"/>
          <w:color w:val="000000"/>
          <w:sz w:val="32"/>
          <w:szCs w:val="32"/>
          <w:lang w:bidi="ar"/>
        </w:rPr>
        <w:t>1.事前业务审批流程。</w:t>
      </w:r>
      <w:r>
        <w:rPr>
          <w:rFonts w:hint="eastAsia" w:ascii="仿宋" w:hAnsi="仿宋" w:eastAsia="仿宋" w:cs="仿宋"/>
          <w:color w:val="000000"/>
          <w:sz w:val="32"/>
          <w:szCs w:val="32"/>
          <w:lang w:eastAsia="zh-Hans" w:bidi="ar"/>
        </w:rPr>
        <w:t>金额在20万元以下的，由项目负责人</w:t>
      </w:r>
      <w:r>
        <w:rPr>
          <w:rFonts w:hint="eastAsia" w:ascii="仿宋" w:hAnsi="仿宋" w:eastAsia="仿宋" w:cs="仿宋"/>
          <w:color w:val="000000"/>
          <w:sz w:val="32"/>
          <w:szCs w:val="32"/>
          <w:lang w:bidi="ar"/>
        </w:rPr>
        <w:t>提出申请，</w:t>
      </w:r>
      <w:r>
        <w:rPr>
          <w:rFonts w:hint="eastAsia" w:ascii="仿宋" w:hAnsi="仿宋" w:eastAsia="仿宋" w:cs="仿宋"/>
          <w:color w:val="000000"/>
          <w:sz w:val="32"/>
          <w:szCs w:val="32"/>
          <w:lang w:eastAsia="zh-Hans" w:bidi="ar"/>
        </w:rPr>
        <w:t>报项目所在二级学院（部门）、科技开发与校企合作处审批；金额在20万元（含）以上</w:t>
      </w:r>
      <w:r>
        <w:rPr>
          <w:rFonts w:hint="eastAsia" w:ascii="仿宋" w:hAnsi="仿宋" w:eastAsia="仿宋" w:cs="仿宋"/>
          <w:color w:val="000000"/>
          <w:sz w:val="32"/>
          <w:szCs w:val="32"/>
          <w:lang w:bidi="ar"/>
        </w:rPr>
        <w:t>,</w:t>
      </w:r>
      <w:r>
        <w:rPr>
          <w:rFonts w:hint="eastAsia" w:ascii="仿宋" w:hAnsi="仿宋" w:eastAsia="仿宋" w:cs="仿宋"/>
          <w:color w:val="000000"/>
          <w:sz w:val="32"/>
          <w:szCs w:val="32"/>
          <w:lang w:eastAsia="zh-Hans" w:bidi="ar"/>
        </w:rPr>
        <w:t>由项目负责人提出申请，报项目所在二级学院（部门）、科技开发与校企合作处审核签署意见，报分管科研的校领导审批。</w:t>
      </w:r>
      <w:r>
        <w:rPr>
          <w:rFonts w:hint="eastAsia" w:ascii="仿宋" w:hAnsi="仿宋" w:eastAsia="仿宋" w:cs="仿宋"/>
          <w:color w:val="000000"/>
          <w:sz w:val="32"/>
          <w:szCs w:val="32"/>
          <w:lang w:bidi="ar"/>
        </w:rPr>
        <w:t>涉及设备采购的，</w:t>
      </w:r>
      <w:r>
        <w:rPr>
          <w:rFonts w:hint="eastAsia" w:ascii="仿宋" w:hAnsi="仿宋" w:eastAsia="仿宋" w:cs="仿宋"/>
          <w:sz w:val="32"/>
          <w:szCs w:val="32"/>
          <w:lang w:eastAsia="zh-Hans" w:bidi="ar"/>
        </w:rPr>
        <w:t>按学校采购管理相关制度执行</w:t>
      </w:r>
      <w:r>
        <w:rPr>
          <w:rFonts w:hint="eastAsia" w:ascii="仿宋" w:hAnsi="仿宋" w:eastAsia="仿宋" w:cs="仿宋"/>
          <w:sz w:val="32"/>
          <w:szCs w:val="32"/>
          <w:lang w:bidi="ar"/>
        </w:rPr>
        <w:t>；绩效发放</w:t>
      </w:r>
      <w:r>
        <w:rPr>
          <w:rFonts w:hint="eastAsia" w:ascii="仿宋" w:hAnsi="仿宋" w:eastAsia="仿宋" w:cs="仿宋"/>
          <w:sz w:val="32"/>
          <w:szCs w:val="32"/>
          <w:lang w:eastAsia="zh-Hans" w:bidi="ar"/>
        </w:rPr>
        <w:t>超过5万元的，提交</w:t>
      </w:r>
      <w:r>
        <w:rPr>
          <w:rFonts w:hint="eastAsia" w:ascii="仿宋" w:hAnsi="仿宋" w:eastAsia="仿宋" w:cs="仿宋"/>
          <w:sz w:val="32"/>
          <w:szCs w:val="32"/>
          <w:lang w:bidi="ar"/>
        </w:rPr>
        <w:t xml:space="preserve">人事处会签。  </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bidi="ar"/>
        </w:rPr>
      </w:pPr>
      <w:r>
        <w:rPr>
          <w:rFonts w:hint="eastAsia" w:ascii="仿宋" w:hAnsi="仿宋" w:eastAsia="仿宋" w:cs="仿宋"/>
          <w:sz w:val="32"/>
          <w:szCs w:val="32"/>
          <w:lang w:bidi="ar"/>
        </w:rPr>
        <w:t>2.</w:t>
      </w:r>
      <w:r>
        <w:rPr>
          <w:rFonts w:hint="eastAsia" w:ascii="仿宋" w:hAnsi="仿宋" w:eastAsia="仿宋" w:cs="仿宋"/>
          <w:color w:val="000000"/>
          <w:sz w:val="32"/>
          <w:szCs w:val="32"/>
          <w:lang w:bidi="ar"/>
        </w:rPr>
        <w:t>事后报销审批流程。</w:t>
      </w:r>
      <w:r>
        <w:rPr>
          <w:rFonts w:hint="eastAsia" w:ascii="仿宋" w:hAnsi="仿宋" w:eastAsia="仿宋" w:cs="仿宋"/>
          <w:color w:val="000000"/>
          <w:sz w:val="32"/>
          <w:szCs w:val="32"/>
          <w:lang w:eastAsia="zh-Hans" w:bidi="ar"/>
        </w:rPr>
        <w:t>金额在20万元以下的，由项目负责人</w:t>
      </w:r>
      <w:r>
        <w:rPr>
          <w:rFonts w:hint="eastAsia" w:ascii="仿宋" w:hAnsi="仿宋" w:eastAsia="仿宋" w:cs="仿宋"/>
          <w:color w:val="000000"/>
          <w:sz w:val="32"/>
          <w:szCs w:val="32"/>
          <w:lang w:bidi="ar"/>
        </w:rPr>
        <w:t>提出申请，报</w:t>
      </w:r>
      <w:r>
        <w:rPr>
          <w:rFonts w:hint="eastAsia" w:ascii="仿宋" w:hAnsi="仿宋" w:eastAsia="仿宋" w:cs="仿宋"/>
          <w:color w:val="000000"/>
          <w:sz w:val="32"/>
          <w:szCs w:val="32"/>
          <w:lang w:eastAsia="zh-Hans" w:bidi="ar"/>
        </w:rPr>
        <w:t>科技开发与校企合作处审批</w:t>
      </w:r>
      <w:r>
        <w:rPr>
          <w:rFonts w:hint="eastAsia" w:ascii="仿宋" w:hAnsi="仿宋" w:eastAsia="仿宋" w:cs="仿宋"/>
          <w:color w:val="000000"/>
          <w:sz w:val="32"/>
          <w:szCs w:val="32"/>
          <w:lang w:bidi="ar"/>
        </w:rPr>
        <w:t>，财务处按校内财务支出权限审批</w:t>
      </w:r>
      <w:r>
        <w:rPr>
          <w:rFonts w:hint="eastAsia" w:ascii="仿宋" w:hAnsi="仿宋" w:eastAsia="仿宋" w:cs="仿宋"/>
          <w:color w:val="000000"/>
          <w:sz w:val="32"/>
          <w:szCs w:val="32"/>
          <w:lang w:eastAsia="zh-Hans" w:bidi="ar"/>
        </w:rPr>
        <w:t>；金额在20万元</w:t>
      </w:r>
      <w:r>
        <w:rPr>
          <w:rFonts w:hint="eastAsia" w:ascii="仿宋" w:hAnsi="仿宋" w:eastAsia="仿宋" w:cs="仿宋"/>
          <w:color w:val="000000"/>
          <w:sz w:val="32"/>
          <w:szCs w:val="32"/>
          <w:lang w:bidi="ar"/>
        </w:rPr>
        <w:t>以上</w:t>
      </w:r>
      <w:r>
        <w:rPr>
          <w:rFonts w:hint="eastAsia" w:ascii="仿宋" w:hAnsi="仿宋" w:eastAsia="仿宋" w:cs="仿宋"/>
          <w:color w:val="000000"/>
          <w:sz w:val="32"/>
          <w:szCs w:val="32"/>
          <w:lang w:eastAsia="zh-Hans" w:bidi="ar"/>
        </w:rPr>
        <w:t>（含</w:t>
      </w:r>
      <w:r>
        <w:rPr>
          <w:rFonts w:hint="eastAsia" w:ascii="仿宋" w:hAnsi="仿宋" w:eastAsia="仿宋" w:cs="仿宋"/>
          <w:color w:val="000000"/>
          <w:sz w:val="32"/>
          <w:szCs w:val="32"/>
          <w:lang w:bidi="ar"/>
        </w:rPr>
        <w:t>20万元</w:t>
      </w:r>
      <w:r>
        <w:rPr>
          <w:rFonts w:hint="eastAsia" w:ascii="仿宋" w:hAnsi="仿宋" w:eastAsia="仿宋" w:cs="仿宋"/>
          <w:color w:val="000000"/>
          <w:sz w:val="32"/>
          <w:szCs w:val="32"/>
          <w:lang w:eastAsia="zh-Hans" w:bidi="ar"/>
        </w:rPr>
        <w:t>）</w:t>
      </w:r>
      <w:r>
        <w:rPr>
          <w:rFonts w:hint="eastAsia" w:ascii="仿宋" w:hAnsi="仿宋" w:eastAsia="仿宋" w:cs="仿宋"/>
          <w:color w:val="000000"/>
          <w:sz w:val="32"/>
          <w:szCs w:val="32"/>
          <w:lang w:bidi="ar"/>
        </w:rPr>
        <w:t>，</w:t>
      </w:r>
      <w:r>
        <w:rPr>
          <w:rFonts w:hint="eastAsia" w:ascii="仿宋" w:hAnsi="仿宋" w:eastAsia="仿宋" w:cs="仿宋"/>
          <w:color w:val="000000"/>
          <w:sz w:val="32"/>
          <w:szCs w:val="32"/>
          <w:lang w:eastAsia="zh-Hans" w:bidi="ar"/>
        </w:rPr>
        <w:t>由项目负责人提出申请，</w:t>
      </w:r>
      <w:r>
        <w:rPr>
          <w:rFonts w:hint="eastAsia" w:ascii="仿宋" w:hAnsi="仿宋" w:eastAsia="仿宋" w:cs="仿宋"/>
          <w:color w:val="000000"/>
          <w:sz w:val="32"/>
          <w:szCs w:val="32"/>
          <w:lang w:bidi="ar"/>
        </w:rPr>
        <w:t>报</w:t>
      </w:r>
      <w:r>
        <w:rPr>
          <w:rFonts w:hint="eastAsia" w:ascii="仿宋" w:hAnsi="仿宋" w:eastAsia="仿宋" w:cs="仿宋"/>
          <w:color w:val="000000"/>
          <w:sz w:val="32"/>
          <w:szCs w:val="32"/>
          <w:lang w:eastAsia="zh-Hans" w:bidi="ar"/>
        </w:rPr>
        <w:t>科技开发与校企合作处</w:t>
      </w:r>
      <w:r>
        <w:rPr>
          <w:rFonts w:hint="eastAsia" w:ascii="仿宋" w:hAnsi="仿宋" w:eastAsia="仿宋" w:cs="仿宋"/>
          <w:color w:val="000000"/>
          <w:sz w:val="32"/>
          <w:szCs w:val="32"/>
          <w:lang w:bidi="ar"/>
        </w:rPr>
        <w:t>、财务处</w:t>
      </w:r>
      <w:r>
        <w:rPr>
          <w:rFonts w:hint="eastAsia" w:ascii="仿宋" w:hAnsi="仿宋" w:eastAsia="仿宋" w:cs="仿宋"/>
          <w:color w:val="000000"/>
          <w:sz w:val="32"/>
          <w:szCs w:val="32"/>
          <w:lang w:eastAsia="zh-Hans" w:bidi="ar"/>
        </w:rPr>
        <w:t>审核签署意见，报分管科研的校领导</w:t>
      </w:r>
      <w:r>
        <w:rPr>
          <w:rFonts w:hint="eastAsia" w:ascii="仿宋" w:hAnsi="仿宋" w:eastAsia="仿宋" w:cs="仿宋"/>
          <w:color w:val="000000"/>
          <w:sz w:val="32"/>
          <w:szCs w:val="32"/>
          <w:lang w:bidi="ar"/>
        </w:rPr>
        <w:t>和总会计师</w:t>
      </w:r>
      <w:r>
        <w:rPr>
          <w:rFonts w:hint="eastAsia" w:ascii="仿宋" w:hAnsi="仿宋" w:eastAsia="仿宋" w:cs="仿宋"/>
          <w:color w:val="000000"/>
          <w:sz w:val="32"/>
          <w:szCs w:val="32"/>
          <w:lang w:eastAsia="zh-Hans" w:bidi="ar"/>
        </w:rPr>
        <w:t>审批。</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FF"/>
          <w:sz w:val="32"/>
          <w:szCs w:val="32"/>
          <w:lang w:bidi="ar"/>
        </w:rPr>
      </w:pPr>
      <w:r>
        <w:rPr>
          <w:rFonts w:hint="eastAsia" w:ascii="仿宋" w:hAnsi="仿宋" w:eastAsia="仿宋" w:cs="仿宋"/>
          <w:color w:val="000000"/>
          <w:sz w:val="32"/>
          <w:szCs w:val="32"/>
          <w:lang w:eastAsia="zh-Hans" w:bidi="ar"/>
        </w:rPr>
        <w:t>（三）绩效费的发放：绩效费的支出按照“重贡献、重实效”分配原则。结合科研人员的实绩，根据项目研究进展及预算执行情况发放，发放对象为项目组校内人员。</w:t>
      </w:r>
      <w:r>
        <w:rPr>
          <w:rFonts w:hint="eastAsia" w:ascii="仿宋" w:hAnsi="仿宋" w:eastAsia="仿宋" w:cs="仿宋"/>
          <w:color w:val="000000"/>
          <w:sz w:val="32"/>
          <w:szCs w:val="32"/>
          <w:lang w:bidi="ar"/>
        </w:rPr>
        <w:t>发放经费支出来源于校外到账科研经费</w:t>
      </w:r>
      <w:r>
        <w:rPr>
          <w:rFonts w:hint="eastAsia" w:ascii="仿宋" w:hAnsi="仿宋" w:eastAsia="仿宋" w:cs="仿宋"/>
          <w:color w:val="0000FF"/>
          <w:sz w:val="32"/>
          <w:szCs w:val="32"/>
          <w:lang w:bidi="ar"/>
        </w:rPr>
        <w:t>。</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1.</w:t>
      </w:r>
      <w:r>
        <w:rPr>
          <w:rFonts w:hint="eastAsia" w:ascii="仿宋" w:hAnsi="仿宋" w:eastAsia="仿宋" w:cs="仿宋"/>
          <w:color w:val="000000"/>
          <w:sz w:val="32"/>
          <w:szCs w:val="32"/>
          <w:lang w:bidi="ar"/>
        </w:rPr>
        <w:t>科研经费一次性到账的项目，</w:t>
      </w:r>
      <w:r>
        <w:rPr>
          <w:rFonts w:hint="eastAsia" w:ascii="仿宋" w:hAnsi="仿宋" w:eastAsia="仿宋" w:cs="仿宋"/>
          <w:color w:val="000000"/>
          <w:sz w:val="32"/>
          <w:szCs w:val="32"/>
          <w:lang w:eastAsia="zh-Hans" w:bidi="ar"/>
        </w:rPr>
        <w:t>项目中期评估结束后按项目绩效支出</w:t>
      </w:r>
      <w:r>
        <w:rPr>
          <w:rFonts w:hint="eastAsia" w:ascii="仿宋" w:hAnsi="仿宋" w:eastAsia="仿宋" w:cs="仿宋"/>
          <w:color w:val="000000"/>
          <w:sz w:val="32"/>
          <w:szCs w:val="32"/>
          <w:lang w:bidi="ar"/>
        </w:rPr>
        <w:t>预算</w:t>
      </w:r>
      <w:r>
        <w:rPr>
          <w:rFonts w:hint="eastAsia" w:ascii="仿宋" w:hAnsi="仿宋" w:eastAsia="仿宋" w:cs="仿宋"/>
          <w:color w:val="000000"/>
          <w:sz w:val="32"/>
          <w:szCs w:val="32"/>
          <w:lang w:eastAsia="zh-Hans" w:bidi="ar"/>
        </w:rPr>
        <w:t>总额的50%发放第一次绩效；项目结题验收后，发放项目绩效支出的剩余部分，未通过结题验收的项目不予发放。</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FF"/>
          <w:sz w:val="32"/>
          <w:szCs w:val="32"/>
          <w:lang w:eastAsia="zh-Hans" w:bidi="ar"/>
        </w:rPr>
      </w:pPr>
      <w:r>
        <w:rPr>
          <w:rFonts w:hint="eastAsia" w:ascii="仿宋" w:hAnsi="仿宋" w:eastAsia="仿宋" w:cs="仿宋"/>
          <w:color w:val="000000"/>
          <w:sz w:val="32"/>
          <w:szCs w:val="32"/>
          <w:lang w:bidi="ar"/>
        </w:rPr>
        <w:t>2.</w:t>
      </w:r>
      <w:r>
        <w:rPr>
          <w:rFonts w:hint="eastAsia" w:ascii="仿宋" w:hAnsi="仿宋" w:eastAsia="仿宋" w:cs="仿宋"/>
          <w:color w:val="000000"/>
          <w:sz w:val="32"/>
          <w:szCs w:val="32"/>
          <w:lang w:eastAsia="zh-Hans" w:bidi="ar"/>
        </w:rPr>
        <w:t>科研经费分批到账的项目，项目中期评估结束后，按项目绩效支出</w:t>
      </w:r>
      <w:r>
        <w:rPr>
          <w:rFonts w:hint="eastAsia" w:ascii="仿宋" w:hAnsi="仿宋" w:eastAsia="仿宋" w:cs="仿宋"/>
          <w:color w:val="000000"/>
          <w:sz w:val="32"/>
          <w:szCs w:val="32"/>
          <w:lang w:bidi="ar"/>
        </w:rPr>
        <w:t>预算</w:t>
      </w:r>
      <w:r>
        <w:rPr>
          <w:rFonts w:hint="eastAsia" w:ascii="仿宋" w:hAnsi="仿宋" w:eastAsia="仿宋" w:cs="仿宋"/>
          <w:color w:val="000000"/>
          <w:sz w:val="32"/>
          <w:szCs w:val="32"/>
          <w:lang w:eastAsia="zh-Hans" w:bidi="ar"/>
        </w:rPr>
        <w:t>额的50%</w:t>
      </w:r>
      <w:r>
        <w:rPr>
          <w:rFonts w:hint="eastAsia" w:ascii="仿宋" w:hAnsi="仿宋" w:eastAsia="仿宋" w:cs="仿宋"/>
          <w:color w:val="000000"/>
          <w:sz w:val="32"/>
          <w:szCs w:val="32"/>
          <w:lang w:bidi="ar"/>
        </w:rPr>
        <w:t>及</w:t>
      </w:r>
      <w:r>
        <w:rPr>
          <w:rFonts w:hint="eastAsia" w:ascii="仿宋" w:hAnsi="仿宋" w:eastAsia="仿宋" w:cs="仿宋"/>
          <w:color w:val="000000"/>
          <w:sz w:val="32"/>
          <w:szCs w:val="32"/>
          <w:lang w:eastAsia="zh-Hans" w:bidi="ar"/>
        </w:rPr>
        <w:t>按到账经费比例发放第一次绩效，项目结题验收后，发放项目绩效支出的剩余部分，未通过结题验收的项目不予发放。</w:t>
      </w:r>
    </w:p>
    <w:p>
      <w:pPr>
        <w:pStyle w:val="10"/>
        <w:adjustRightInd w:val="0"/>
        <w:snapToGrid w:val="0"/>
        <w:spacing w:before="0" w:beforeAutospacing="0" w:after="0" w:afterAutospacing="0" w:line="596" w:lineRule="exact"/>
        <w:ind w:firstLine="643" w:firstLineChars="200"/>
        <w:jc w:val="center"/>
        <w:outlineLvl w:val="9"/>
        <w:rPr>
          <w:rFonts w:hint="eastAsia" w:ascii="黑体" w:hAnsi="黑体" w:eastAsia="黑体" w:cs="黑体"/>
          <w:b/>
          <w:color w:val="000000"/>
          <w:sz w:val="32"/>
          <w:szCs w:val="32"/>
          <w:lang w:eastAsia="zh-Hans" w:bidi="ar"/>
        </w:rPr>
      </w:pPr>
      <w:bookmarkStart w:id="1298" w:name="_Toc31715_WPSOffice_Level1"/>
      <w:r>
        <w:rPr>
          <w:rFonts w:hint="eastAsia" w:ascii="黑体" w:hAnsi="黑体" w:eastAsia="黑体" w:cs="黑体"/>
          <w:b/>
          <w:color w:val="000000"/>
          <w:sz w:val="32"/>
          <w:szCs w:val="32"/>
          <w:lang w:eastAsia="zh-Hans" w:bidi="ar"/>
        </w:rPr>
        <w:t>第五章</w:t>
      </w:r>
      <w:r>
        <w:rPr>
          <w:rFonts w:hint="eastAsia" w:ascii="黑体" w:hAnsi="黑体" w:eastAsia="黑体" w:cs="黑体"/>
          <w:b/>
          <w:color w:val="000000"/>
          <w:sz w:val="32"/>
          <w:szCs w:val="32"/>
          <w:lang w:bidi="ar"/>
        </w:rPr>
        <w:t xml:space="preserve">  </w:t>
      </w:r>
      <w:r>
        <w:rPr>
          <w:rFonts w:hint="eastAsia" w:ascii="黑体" w:hAnsi="黑体" w:eastAsia="黑体" w:cs="黑体"/>
          <w:b/>
          <w:color w:val="000000"/>
          <w:sz w:val="32"/>
          <w:szCs w:val="32"/>
          <w:lang w:eastAsia="zh-Hans" w:bidi="ar"/>
        </w:rPr>
        <w:t>结余经费管理</w:t>
      </w:r>
      <w:bookmarkEnd w:id="1298"/>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eastAsia="zh-Hans" w:bidi="ar"/>
        </w:rPr>
      </w:pPr>
      <w:r>
        <w:rPr>
          <w:rFonts w:hint="eastAsia" w:ascii="仿宋" w:hAnsi="仿宋" w:eastAsia="仿宋" w:cs="仿宋"/>
          <w:b/>
          <w:bCs/>
          <w:color w:val="000000"/>
          <w:sz w:val="32"/>
          <w:szCs w:val="32"/>
          <w:lang w:eastAsia="zh-Hans" w:bidi="ar"/>
        </w:rPr>
        <w:t>第</w:t>
      </w:r>
      <w:r>
        <w:rPr>
          <w:rFonts w:hint="eastAsia" w:ascii="仿宋" w:hAnsi="仿宋" w:eastAsia="仿宋" w:cs="仿宋"/>
          <w:b/>
          <w:bCs/>
          <w:color w:val="000000"/>
          <w:sz w:val="32"/>
          <w:szCs w:val="32"/>
          <w:lang w:bidi="ar"/>
        </w:rPr>
        <w:t>十</w:t>
      </w:r>
      <w:r>
        <w:rPr>
          <w:rFonts w:hint="eastAsia" w:ascii="仿宋" w:hAnsi="仿宋" w:eastAsia="仿宋" w:cs="仿宋"/>
          <w:b/>
          <w:bCs/>
          <w:color w:val="000000"/>
          <w:sz w:val="32"/>
          <w:szCs w:val="32"/>
          <w:lang w:eastAsia="zh-Hans" w:bidi="ar"/>
        </w:rPr>
        <w:t>七条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 xml:space="preserve">结余经费是指科研项目结题后的结余资金，包括纵向科研项目结余经费和横向科研项目结余经费。 </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（一）纵向项目结题后，结余经费经核对和确认，由项目主管部门按照国家有关规定办理：对于通过验收的项目，结余经费由学校统筹安排，用于科研活动的直接支出</w:t>
      </w:r>
      <w:r>
        <w:rPr>
          <w:rFonts w:hint="eastAsia" w:ascii="仿宋" w:hAnsi="仿宋" w:eastAsia="仿宋" w:cs="仿宋"/>
          <w:color w:val="000000"/>
          <w:sz w:val="32"/>
          <w:szCs w:val="32"/>
          <w:lang w:bidi="ar"/>
        </w:rPr>
        <w:t>，</w:t>
      </w:r>
      <w:r>
        <w:rPr>
          <w:rFonts w:hint="eastAsia" w:ascii="仿宋" w:hAnsi="仿宋" w:eastAsia="仿宋" w:cs="仿宋"/>
          <w:color w:val="000000"/>
          <w:sz w:val="32"/>
          <w:szCs w:val="32"/>
          <w:lang w:eastAsia="zh-Hans" w:bidi="ar"/>
        </w:rPr>
        <w:t>经二级学院（部门）、科技开发与校企合作处、财务处批准后，原则上在验收后2年内由项目组使用；对于未通过验收（或经整改后才通过验收），或结余经费2年后尚有余额的，剩余结余经费按项目主管部门要求原渠道退回。</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（二）横向科研项目结题后，结余经费经核对和确认，可用于科研绩效和科研活动的</w:t>
      </w:r>
      <w:r>
        <w:rPr>
          <w:rFonts w:hint="eastAsia" w:ascii="仿宋" w:hAnsi="仿宋" w:eastAsia="仿宋" w:cs="仿宋"/>
          <w:color w:val="000000"/>
          <w:sz w:val="32"/>
          <w:szCs w:val="32"/>
          <w:lang w:bidi="ar"/>
        </w:rPr>
        <w:t>相关</w:t>
      </w:r>
      <w:r>
        <w:rPr>
          <w:rFonts w:hint="eastAsia" w:ascii="仿宋" w:hAnsi="仿宋" w:eastAsia="仿宋" w:cs="仿宋"/>
          <w:color w:val="000000"/>
          <w:sz w:val="32"/>
          <w:szCs w:val="32"/>
          <w:lang w:eastAsia="zh-Hans" w:bidi="ar"/>
        </w:rPr>
        <w:t>费用支出，其中科研绩效支出不能超过结余经费的80%。</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b/>
          <w:bCs/>
          <w:color w:val="000000"/>
          <w:sz w:val="32"/>
          <w:szCs w:val="32"/>
          <w:lang w:eastAsia="zh-Hans" w:bidi="ar"/>
        </w:rPr>
      </w:pPr>
      <w:r>
        <w:rPr>
          <w:rFonts w:hint="eastAsia" w:ascii="仿宋" w:hAnsi="仿宋" w:eastAsia="仿宋" w:cs="仿宋"/>
          <w:b/>
          <w:bCs/>
          <w:color w:val="000000"/>
          <w:sz w:val="32"/>
          <w:szCs w:val="32"/>
          <w:lang w:eastAsia="zh-Hans" w:bidi="ar"/>
        </w:rPr>
        <w:t>第</w:t>
      </w:r>
      <w:r>
        <w:rPr>
          <w:rFonts w:hint="eastAsia" w:ascii="仿宋" w:hAnsi="仿宋" w:eastAsia="仿宋" w:cs="仿宋"/>
          <w:b/>
          <w:bCs/>
          <w:color w:val="000000"/>
          <w:sz w:val="32"/>
          <w:szCs w:val="32"/>
          <w:lang w:bidi="ar"/>
        </w:rPr>
        <w:t>十</w:t>
      </w:r>
      <w:r>
        <w:rPr>
          <w:rFonts w:hint="eastAsia" w:ascii="仿宋" w:hAnsi="仿宋" w:eastAsia="仿宋" w:cs="仿宋"/>
          <w:b/>
          <w:bCs/>
          <w:color w:val="000000"/>
          <w:sz w:val="32"/>
          <w:szCs w:val="32"/>
          <w:lang w:eastAsia="zh-Hans" w:bidi="ar"/>
        </w:rPr>
        <w:t>八条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如项目负责人调离学校，结余经费不得转出学校使用。</w:t>
      </w:r>
    </w:p>
    <w:p>
      <w:pPr>
        <w:pStyle w:val="10"/>
        <w:adjustRightInd w:val="0"/>
        <w:snapToGrid w:val="0"/>
        <w:spacing w:before="0" w:beforeAutospacing="0" w:after="0" w:afterAutospacing="0" w:line="596" w:lineRule="exact"/>
        <w:ind w:firstLine="643" w:firstLineChars="200"/>
        <w:jc w:val="center"/>
        <w:outlineLvl w:val="9"/>
        <w:rPr>
          <w:rFonts w:hint="eastAsia" w:ascii="仿宋" w:hAnsi="仿宋" w:eastAsia="仿宋" w:cs="仿宋"/>
          <w:b/>
          <w:bCs/>
          <w:color w:val="000000"/>
          <w:sz w:val="32"/>
          <w:szCs w:val="32"/>
          <w:lang w:eastAsia="zh-Hans" w:bidi="ar"/>
        </w:rPr>
      </w:pPr>
      <w:bookmarkStart w:id="1299" w:name="_Toc19924_WPSOffice_Level1"/>
      <w:r>
        <w:rPr>
          <w:rFonts w:hint="eastAsia" w:ascii="黑体" w:hAnsi="黑体" w:eastAsia="黑体" w:cs="黑体"/>
          <w:b/>
          <w:color w:val="000000"/>
          <w:sz w:val="32"/>
          <w:szCs w:val="32"/>
          <w:lang w:eastAsia="zh-Hans" w:bidi="ar"/>
        </w:rPr>
        <w:t>第六章</w:t>
      </w:r>
      <w:r>
        <w:rPr>
          <w:rFonts w:hint="eastAsia" w:ascii="黑体" w:hAnsi="黑体" w:eastAsia="黑体" w:cs="黑体"/>
          <w:b/>
          <w:color w:val="000000"/>
          <w:sz w:val="32"/>
          <w:szCs w:val="32"/>
          <w:lang w:bidi="ar"/>
        </w:rPr>
        <w:t xml:space="preserve">  </w:t>
      </w:r>
      <w:r>
        <w:rPr>
          <w:rFonts w:hint="eastAsia" w:ascii="黑体" w:hAnsi="黑体" w:eastAsia="黑体" w:cs="黑体"/>
          <w:b/>
          <w:color w:val="000000"/>
          <w:sz w:val="32"/>
          <w:szCs w:val="32"/>
          <w:lang w:eastAsia="zh-Hans" w:bidi="ar"/>
        </w:rPr>
        <w:t>监督管理与责任追究</w:t>
      </w:r>
      <w:bookmarkEnd w:id="1299"/>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FF"/>
          <w:sz w:val="32"/>
          <w:szCs w:val="32"/>
          <w:lang w:eastAsia="zh-Hans" w:bidi="ar"/>
        </w:rPr>
      </w:pPr>
      <w:r>
        <w:rPr>
          <w:rFonts w:hint="eastAsia" w:ascii="仿宋" w:hAnsi="仿宋" w:eastAsia="仿宋" w:cs="仿宋"/>
          <w:b/>
          <w:bCs/>
          <w:color w:val="000000"/>
          <w:sz w:val="32"/>
          <w:szCs w:val="32"/>
          <w:lang w:eastAsia="zh-Hans" w:bidi="ar"/>
        </w:rPr>
        <w:t>第十九条</w:t>
      </w:r>
      <w:r>
        <w:rPr>
          <w:rFonts w:hint="eastAsia" w:ascii="仿宋" w:hAnsi="仿宋" w:eastAsia="仿宋" w:cs="仿宋"/>
          <w:b/>
          <w:bCs/>
          <w:color w:val="000000"/>
          <w:sz w:val="32"/>
          <w:szCs w:val="32"/>
          <w:lang w:bidi="ar"/>
        </w:rPr>
        <w:t xml:space="preserve">  </w:t>
      </w:r>
      <w:r>
        <w:rPr>
          <w:rFonts w:hint="eastAsia" w:ascii="仿宋" w:hAnsi="仿宋" w:eastAsia="仿宋" w:cs="仿宋"/>
          <w:color w:val="000000"/>
          <w:sz w:val="32"/>
          <w:szCs w:val="32"/>
          <w:lang w:eastAsia="zh-Hans" w:bidi="ar"/>
        </w:rPr>
        <w:t>各类科研支出应严格按照相关规定、预算批复或合同约定的开支范围，严禁以任何方式挪用、侵占、骗取科研经费；严禁违规将科研经费转移到利益相关的单位和个人；严禁借科研协作之名，挪用科研经费；严禁编造虚假合同、虚构经济业务、使用虚假发票套取科研经费；严禁虚列、伪造名单，虚报冒领科研劳务性费用；严禁购买与科研项目无关的设备、材料；严禁支付娱乐、健身活动费用；严禁组织游山玩水、安排私人度假旅游、出国(境)旅游等活动；严禁到国家规定的风景名胜区开会和培训；严禁报销家庭和个人消费</w:t>
      </w:r>
      <w:bookmarkStart w:id="1300" w:name="_Toc16505_WPSOffice_Level1"/>
      <w:r>
        <w:rPr>
          <w:rFonts w:hint="eastAsia" w:ascii="仿宋" w:hAnsi="仿宋" w:eastAsia="仿宋" w:cs="仿宋"/>
          <w:color w:val="000000"/>
          <w:sz w:val="32"/>
          <w:szCs w:val="32"/>
          <w:lang w:eastAsia="zh-Hans" w:bidi="ar"/>
        </w:rPr>
        <w:t>费用；严禁借用各种名义设立“小金库”；严禁列支按国家规定不</w:t>
      </w:r>
      <w:bookmarkEnd w:id="1300"/>
      <w:r>
        <w:rPr>
          <w:rFonts w:hint="eastAsia" w:ascii="仿宋" w:hAnsi="仿宋" w:eastAsia="仿宋" w:cs="仿宋"/>
          <w:color w:val="000000"/>
          <w:sz w:val="32"/>
          <w:szCs w:val="32"/>
          <w:lang w:eastAsia="zh-Hans" w:bidi="ar"/>
        </w:rPr>
        <w:t>得列支的其他费用</w:t>
      </w:r>
      <w:r>
        <w:rPr>
          <w:rFonts w:hint="eastAsia" w:ascii="仿宋" w:hAnsi="仿宋" w:eastAsia="仿宋" w:cs="仿宋"/>
          <w:color w:val="0000FF"/>
          <w:sz w:val="32"/>
          <w:szCs w:val="32"/>
          <w:lang w:eastAsia="zh-Hans" w:bidi="ar"/>
        </w:rPr>
        <w:t>。</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eastAsia="zh-Hans" w:bidi="ar"/>
        </w:rPr>
      </w:pPr>
      <w:r>
        <w:rPr>
          <w:rFonts w:hint="eastAsia" w:ascii="仿宋" w:hAnsi="仿宋" w:eastAsia="仿宋" w:cs="仿宋"/>
          <w:b/>
          <w:bCs/>
          <w:color w:val="000000"/>
          <w:sz w:val="32"/>
          <w:szCs w:val="32"/>
          <w:lang w:eastAsia="zh-Hans" w:bidi="ar"/>
        </w:rPr>
        <w:t>第二十条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学校科研、财务、资产、审计及纪委办等管理监督部门、二级学院（部门）及项目责任人应各负其责、密切配合，做好科研经费使用的监督检查工作，防止科研经费使用弄虚作假、截留、挪用、挤占等违纪违规行为的发生。</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eastAsia="zh-Hans" w:bidi="ar"/>
        </w:rPr>
      </w:pPr>
      <w:r>
        <w:rPr>
          <w:rFonts w:hint="eastAsia" w:ascii="仿宋" w:hAnsi="仿宋" w:eastAsia="仿宋" w:cs="仿宋"/>
          <w:b/>
          <w:bCs/>
          <w:color w:val="000000"/>
          <w:sz w:val="32"/>
          <w:szCs w:val="32"/>
          <w:lang w:eastAsia="zh-Hans" w:bidi="ar"/>
        </w:rPr>
        <w:t>第二十一条</w:t>
      </w:r>
      <w:r>
        <w:rPr>
          <w:rFonts w:hint="eastAsia" w:ascii="仿宋" w:hAnsi="仿宋" w:eastAsia="仿宋" w:cs="仿宋"/>
          <w:b/>
          <w:bCs/>
          <w:color w:val="000000"/>
          <w:sz w:val="32"/>
          <w:szCs w:val="32"/>
          <w:lang w:bidi="ar"/>
        </w:rPr>
        <w:t xml:space="preserve">  </w:t>
      </w:r>
      <w:r>
        <w:rPr>
          <w:rFonts w:hint="eastAsia" w:ascii="仿宋" w:hAnsi="仿宋" w:eastAsia="仿宋" w:cs="仿宋"/>
          <w:color w:val="000000"/>
          <w:sz w:val="32"/>
          <w:szCs w:val="32"/>
          <w:lang w:eastAsia="zh-Hans" w:bidi="ar"/>
        </w:rPr>
        <w:t>对涉及科研经费使用问题的信访举报，先由学校科技开发与校企合作处牵头组织办理，发现存在违规问题的，学校学校科技开发与校企合作处会同有关部门按规定予以通报批评、暂停项目拨款、终止项目执行、追回已拨项目资金、取消项目负责人一定期限内申报资格等处罚。</w:t>
      </w:r>
    </w:p>
    <w:p>
      <w:pPr>
        <w:pStyle w:val="10"/>
        <w:adjustRightInd w:val="0"/>
        <w:snapToGrid w:val="0"/>
        <w:spacing w:before="0" w:beforeAutospacing="0" w:after="0" w:afterAutospacing="0" w:line="596" w:lineRule="exact"/>
        <w:ind w:firstLine="640" w:firstLineChars="200"/>
        <w:jc w:val="both"/>
        <w:rPr>
          <w:rFonts w:hint="eastAsia"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涉嫌违纪的，由学校纪委调查核实和进行处理。需要追究政纪责任的，按照《事业单位工作人员处分暂行规定》进行处理。涉嫌违法的，由学校纪委调查核实后按规定移送地方纪委监委审查调查，并配合依纪依法妥善处理。</w:t>
      </w:r>
    </w:p>
    <w:p>
      <w:pPr>
        <w:widowControl/>
        <w:adjustRightInd w:val="0"/>
        <w:snapToGrid w:val="0"/>
        <w:spacing w:line="596" w:lineRule="exact"/>
        <w:ind w:firstLine="643" w:firstLineChars="200"/>
        <w:jc w:val="left"/>
        <w:rPr>
          <w:rFonts w:hint="eastAsia" w:ascii="仿宋" w:hAnsi="仿宋" w:eastAsia="仿宋" w:cs="仿宋"/>
          <w:kern w:val="0"/>
          <w:sz w:val="32"/>
          <w:szCs w:val="32"/>
          <w:lang w:eastAsia="zh-Hans" w:bidi="ar"/>
        </w:rPr>
      </w:pPr>
      <w:r>
        <w:rPr>
          <w:rFonts w:hint="eastAsia" w:ascii="仿宋" w:hAnsi="仿宋" w:eastAsia="仿宋" w:cs="仿宋"/>
          <w:b/>
          <w:bCs/>
          <w:kern w:val="0"/>
          <w:sz w:val="32"/>
          <w:szCs w:val="32"/>
          <w:lang w:eastAsia="zh-Hans" w:bidi="ar"/>
        </w:rPr>
        <w:t>第二十二条</w:t>
      </w:r>
      <w:r>
        <w:rPr>
          <w:rFonts w:hint="eastAsia" w:ascii="仿宋" w:hAnsi="仿宋" w:eastAsia="仿宋" w:cs="仿宋"/>
          <w:b/>
          <w:bCs/>
          <w:kern w:val="0"/>
          <w:sz w:val="32"/>
          <w:szCs w:val="32"/>
          <w:lang w:bidi="ar"/>
        </w:rPr>
        <w:t xml:space="preserve">  </w:t>
      </w:r>
      <w:r>
        <w:rPr>
          <w:rFonts w:hint="eastAsia" w:ascii="仿宋" w:hAnsi="仿宋" w:eastAsia="仿宋" w:cs="仿宋"/>
          <w:kern w:val="0"/>
          <w:sz w:val="32"/>
          <w:szCs w:val="32"/>
          <w:lang w:eastAsia="zh-Hans" w:bidi="ar"/>
        </w:rPr>
        <w:t>终止结题的科研项目，项目负责人按照项目主管部门的相关规定或合同约定</w:t>
      </w:r>
      <w:r>
        <w:rPr>
          <w:rFonts w:hint="eastAsia" w:ascii="仿宋" w:hAnsi="仿宋" w:eastAsia="仿宋" w:cs="仿宋"/>
          <w:kern w:val="0"/>
          <w:sz w:val="32"/>
          <w:szCs w:val="32"/>
          <w:lang w:bidi="ar"/>
        </w:rPr>
        <w:t>进行</w:t>
      </w:r>
      <w:r>
        <w:rPr>
          <w:rFonts w:hint="eastAsia" w:ascii="仿宋" w:hAnsi="仿宋" w:eastAsia="仿宋" w:cs="仿宋"/>
          <w:kern w:val="0"/>
          <w:sz w:val="32"/>
          <w:szCs w:val="32"/>
          <w:lang w:eastAsia="zh-Hans" w:bidi="ar"/>
        </w:rPr>
        <w:t>办理。</w:t>
      </w:r>
    </w:p>
    <w:p>
      <w:pPr>
        <w:pStyle w:val="10"/>
        <w:adjustRightInd w:val="0"/>
        <w:snapToGrid w:val="0"/>
        <w:spacing w:before="0" w:beforeAutospacing="0" w:after="0" w:afterAutospacing="0" w:line="596" w:lineRule="exact"/>
        <w:ind w:firstLine="643" w:firstLineChars="200"/>
        <w:jc w:val="center"/>
        <w:outlineLvl w:val="9"/>
        <w:rPr>
          <w:rFonts w:hint="eastAsia" w:ascii="仿宋" w:hAnsi="仿宋" w:eastAsia="仿宋" w:cs="仿宋"/>
          <w:b/>
          <w:bCs/>
          <w:color w:val="000000"/>
          <w:sz w:val="32"/>
          <w:szCs w:val="32"/>
          <w:lang w:eastAsia="zh-Hans" w:bidi="ar"/>
        </w:rPr>
      </w:pPr>
      <w:bookmarkStart w:id="1301" w:name="_Toc3366_WPSOffice_Level1"/>
      <w:r>
        <w:rPr>
          <w:rFonts w:hint="eastAsia" w:ascii="黑体" w:hAnsi="黑体" w:eastAsia="黑体" w:cs="黑体"/>
          <w:b/>
          <w:color w:val="000000"/>
          <w:sz w:val="32"/>
          <w:szCs w:val="32"/>
          <w:lang w:eastAsia="zh-Hans" w:bidi="ar"/>
        </w:rPr>
        <w:t>第七章</w:t>
      </w:r>
      <w:r>
        <w:rPr>
          <w:rFonts w:hint="eastAsia" w:ascii="黑体" w:hAnsi="黑体" w:eastAsia="黑体" w:cs="黑体"/>
          <w:b/>
          <w:color w:val="000000"/>
          <w:sz w:val="32"/>
          <w:szCs w:val="32"/>
          <w:lang w:bidi="ar"/>
        </w:rPr>
        <w:t xml:space="preserve">  </w:t>
      </w:r>
      <w:r>
        <w:rPr>
          <w:rFonts w:hint="eastAsia" w:ascii="黑体" w:hAnsi="黑体" w:eastAsia="黑体" w:cs="黑体"/>
          <w:b/>
          <w:color w:val="000000"/>
          <w:sz w:val="32"/>
          <w:szCs w:val="32"/>
          <w:lang w:eastAsia="zh-Hans" w:bidi="ar"/>
        </w:rPr>
        <w:t>附则</w:t>
      </w:r>
      <w:bookmarkEnd w:id="1301"/>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eastAsia="zh-Hans" w:bidi="ar"/>
        </w:rPr>
      </w:pPr>
      <w:r>
        <w:rPr>
          <w:rFonts w:hint="eastAsia" w:ascii="仿宋" w:hAnsi="仿宋" w:eastAsia="仿宋" w:cs="仿宋"/>
          <w:b/>
          <w:bCs/>
          <w:color w:val="000000"/>
          <w:sz w:val="32"/>
          <w:szCs w:val="32"/>
          <w:lang w:eastAsia="zh-Hans" w:bidi="ar"/>
        </w:rPr>
        <w:t>第二十</w:t>
      </w:r>
      <w:r>
        <w:rPr>
          <w:rFonts w:hint="eastAsia" w:ascii="仿宋" w:hAnsi="仿宋" w:eastAsia="仿宋" w:cs="仿宋"/>
          <w:b/>
          <w:bCs/>
          <w:color w:val="000000"/>
          <w:sz w:val="32"/>
          <w:szCs w:val="32"/>
          <w:lang w:bidi="ar"/>
        </w:rPr>
        <w:t>三</w:t>
      </w:r>
      <w:r>
        <w:rPr>
          <w:rFonts w:hint="eastAsia" w:ascii="仿宋" w:hAnsi="仿宋" w:eastAsia="仿宋" w:cs="仿宋"/>
          <w:b/>
          <w:bCs/>
          <w:color w:val="000000"/>
          <w:sz w:val="32"/>
          <w:szCs w:val="32"/>
          <w:lang w:eastAsia="zh-Hans" w:bidi="ar"/>
        </w:rPr>
        <w:t>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本办法如</w:t>
      </w:r>
      <w:r>
        <w:rPr>
          <w:rFonts w:hint="eastAsia" w:ascii="仿宋" w:hAnsi="仿宋" w:eastAsia="仿宋" w:cs="仿宋"/>
          <w:color w:val="000000"/>
          <w:sz w:val="32"/>
          <w:szCs w:val="32"/>
          <w:lang w:bidi="ar"/>
        </w:rPr>
        <w:t>果与</w:t>
      </w:r>
      <w:r>
        <w:rPr>
          <w:rFonts w:hint="eastAsia" w:ascii="仿宋" w:hAnsi="仿宋" w:eastAsia="仿宋" w:cs="仿宋"/>
          <w:color w:val="000000"/>
          <w:sz w:val="32"/>
          <w:szCs w:val="32"/>
          <w:lang w:eastAsia="zh-Hans" w:bidi="ar"/>
        </w:rPr>
        <w:t>国家及上级主管部门政策</w:t>
      </w:r>
      <w:r>
        <w:rPr>
          <w:rFonts w:hint="eastAsia" w:ascii="仿宋" w:hAnsi="仿宋" w:eastAsia="仿宋" w:cs="仿宋"/>
          <w:color w:val="000000"/>
          <w:sz w:val="32"/>
          <w:szCs w:val="32"/>
          <w:lang w:bidi="ar"/>
        </w:rPr>
        <w:t>不符</w:t>
      </w:r>
      <w:r>
        <w:rPr>
          <w:rFonts w:hint="eastAsia" w:ascii="仿宋" w:hAnsi="仿宋" w:eastAsia="仿宋" w:cs="仿宋"/>
          <w:color w:val="000000"/>
          <w:sz w:val="32"/>
          <w:szCs w:val="32"/>
          <w:lang w:eastAsia="zh-Hans" w:bidi="ar"/>
        </w:rPr>
        <w:t>，以国家及上级主管部门规定为准。</w:t>
      </w:r>
    </w:p>
    <w:p>
      <w:pPr>
        <w:pStyle w:val="10"/>
        <w:adjustRightInd w:val="0"/>
        <w:snapToGrid w:val="0"/>
        <w:spacing w:before="0" w:beforeAutospacing="0" w:after="0" w:afterAutospacing="0" w:line="596" w:lineRule="exact"/>
        <w:ind w:firstLine="643" w:firstLineChars="200"/>
        <w:jc w:val="both"/>
        <w:rPr>
          <w:rFonts w:hint="eastAsia" w:ascii="仿宋" w:hAnsi="仿宋" w:eastAsia="仿宋" w:cs="仿宋"/>
          <w:color w:val="000000"/>
          <w:sz w:val="32"/>
          <w:szCs w:val="32"/>
          <w:lang w:eastAsia="zh-Hans" w:bidi="ar"/>
        </w:rPr>
      </w:pPr>
      <w:r>
        <w:rPr>
          <w:rFonts w:hint="eastAsia" w:ascii="仿宋" w:hAnsi="仿宋" w:eastAsia="仿宋" w:cs="仿宋"/>
          <w:b/>
          <w:bCs/>
          <w:color w:val="000000"/>
          <w:sz w:val="32"/>
          <w:szCs w:val="32"/>
          <w:lang w:eastAsia="zh-Hans" w:bidi="ar"/>
        </w:rPr>
        <w:t>第二十</w:t>
      </w:r>
      <w:r>
        <w:rPr>
          <w:rFonts w:hint="eastAsia" w:ascii="仿宋" w:hAnsi="仿宋" w:eastAsia="仿宋" w:cs="仿宋"/>
          <w:b/>
          <w:bCs/>
          <w:color w:val="000000"/>
          <w:sz w:val="32"/>
          <w:szCs w:val="32"/>
          <w:lang w:bidi="ar"/>
        </w:rPr>
        <w:t>四</w:t>
      </w:r>
      <w:r>
        <w:rPr>
          <w:rFonts w:hint="eastAsia" w:ascii="仿宋" w:hAnsi="仿宋" w:eastAsia="仿宋" w:cs="仿宋"/>
          <w:b/>
          <w:bCs/>
          <w:color w:val="000000"/>
          <w:sz w:val="32"/>
          <w:szCs w:val="32"/>
          <w:lang w:eastAsia="zh-Hans" w:bidi="ar"/>
        </w:rPr>
        <w:t>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本办法自学校批准公布之日起执行，由科技开发与校企合作处负责解释。</w:t>
      </w:r>
    </w:p>
    <w:p>
      <w:pPr>
        <w:widowControl/>
        <w:jc w:val="left"/>
        <w:rPr>
          <w:b/>
          <w:bCs/>
          <w:sz w:val="40"/>
          <w:szCs w:val="48"/>
        </w:rPr>
      </w:pPr>
      <w:r>
        <w:rPr>
          <w:b/>
          <w:bCs/>
          <w:sz w:val="40"/>
          <w:szCs w:val="48"/>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lang w:eastAsia="zh-Hans"/>
        </w:rPr>
      </w:pPr>
      <w:bookmarkStart w:id="1302" w:name="_Toc6363"/>
      <w:bookmarkStart w:id="1303" w:name="_Toc2106"/>
      <w:bookmarkStart w:id="1304" w:name="_Toc31189"/>
      <w:bookmarkStart w:id="1305" w:name="_Toc27055_WPSOffice_Level1"/>
      <w:r>
        <w:rPr>
          <w:rFonts w:hint="eastAsia"/>
          <w:b/>
          <w:color w:val="000000"/>
          <w:sz w:val="36"/>
          <w:szCs w:val="36"/>
          <w:lang w:eastAsia="zh-Hans"/>
        </w:rPr>
        <w:t>柳州职业技术学院</w:t>
      </w:r>
      <w:r>
        <w:rPr>
          <w:rFonts w:hint="eastAsia"/>
          <w:b/>
          <w:color w:val="000000"/>
          <w:sz w:val="36"/>
          <w:szCs w:val="36"/>
        </w:rPr>
        <w:t>科研诚信管理办法</w:t>
      </w:r>
      <w:r>
        <w:rPr>
          <w:rFonts w:hint="eastAsia"/>
          <w:b/>
          <w:color w:val="000000"/>
          <w:sz w:val="36"/>
          <w:szCs w:val="36"/>
          <w:lang w:eastAsia="zh-Hans"/>
        </w:rPr>
        <w:t>（试行）</w:t>
      </w:r>
      <w:bookmarkEnd w:id="1302"/>
      <w:bookmarkEnd w:id="1303"/>
      <w:bookmarkEnd w:id="1304"/>
      <w:bookmarkEnd w:id="1305"/>
    </w:p>
    <w:p>
      <w:pPr>
        <w:spacing w:line="596" w:lineRule="exact"/>
        <w:jc w:val="center"/>
        <w:outlineLvl w:val="9"/>
        <w:rPr>
          <w:rFonts w:hint="eastAsia" w:ascii="仿宋_GB2312" w:eastAsia="仿宋_GB2312"/>
          <w:sz w:val="32"/>
          <w:szCs w:val="32"/>
        </w:rPr>
      </w:pPr>
      <w:r>
        <w:rPr>
          <w:rFonts w:hint="eastAsia" w:ascii="仿宋_GB2312" w:eastAsia="仿宋_GB2312"/>
          <w:sz w:val="32"/>
          <w:szCs w:val="32"/>
        </w:rPr>
        <w:t>（柳职院字〔2021〕117 号）</w:t>
      </w:r>
    </w:p>
    <w:p>
      <w:pPr>
        <w:spacing w:line="596" w:lineRule="exact"/>
      </w:pPr>
    </w:p>
    <w:p>
      <w:pPr>
        <w:pStyle w:val="10"/>
        <w:spacing w:beforeAutospacing="0" w:afterAutospacing="0" w:line="596" w:lineRule="exact"/>
        <w:jc w:val="center"/>
        <w:outlineLvl w:val="9"/>
        <w:rPr>
          <w:rFonts w:ascii="黑体" w:hAnsi="黑体" w:eastAsia="黑体" w:cs="黑体"/>
          <w:b/>
          <w:bCs/>
          <w:color w:val="000000"/>
          <w:sz w:val="32"/>
          <w:szCs w:val="32"/>
        </w:rPr>
      </w:pPr>
      <w:bookmarkStart w:id="1306" w:name="_Toc5833_WPSOffice_Level1"/>
      <w:r>
        <w:rPr>
          <w:rFonts w:hint="eastAsia" w:ascii="黑体" w:hAnsi="黑体" w:eastAsia="黑体" w:cs="黑体"/>
          <w:b/>
          <w:bCs/>
          <w:color w:val="000000"/>
          <w:sz w:val="32"/>
          <w:szCs w:val="32"/>
        </w:rPr>
        <w:t>第一章　总  则</w:t>
      </w:r>
      <w:bookmarkEnd w:id="1306"/>
    </w:p>
    <w:p>
      <w:pPr>
        <w:widowControl/>
        <w:adjustRightInd w:val="0"/>
        <w:snapToGrid w:val="0"/>
        <w:spacing w:line="596"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bidi="ar"/>
        </w:rPr>
        <w:t xml:space="preserve">第一条 </w:t>
      </w:r>
      <w:r>
        <w:rPr>
          <w:rFonts w:hint="eastAsia" w:ascii="仿宋" w:hAnsi="仿宋" w:eastAsia="仿宋" w:cs="仿宋"/>
          <w:color w:val="000000"/>
          <w:kern w:val="0"/>
          <w:sz w:val="32"/>
          <w:szCs w:val="32"/>
          <w:lang w:bidi="ar"/>
        </w:rPr>
        <w:t>为进一步加强科研诚信建设，积极营造良好科研生态环境，根据中共中央办公厅国务院办公厅《关于进一步加强科研诚信建设的若干意见》（厅字〔2018〕23号）</w:t>
      </w:r>
      <w:r>
        <w:rPr>
          <w:rFonts w:hint="eastAsia" w:ascii="仿宋" w:hAnsi="仿宋" w:eastAsia="仿宋" w:cs="仿宋"/>
          <w:color w:val="000000"/>
          <w:kern w:val="0"/>
          <w:sz w:val="32"/>
          <w:szCs w:val="32"/>
          <w:lang w:eastAsia="zh-Hans" w:bidi="ar"/>
        </w:rPr>
        <w:t>、</w:t>
      </w:r>
      <w:r>
        <w:rPr>
          <w:rFonts w:hint="eastAsia" w:ascii="仿宋" w:hAnsi="仿宋" w:eastAsia="仿宋" w:cs="仿宋"/>
          <w:color w:val="000000"/>
          <w:kern w:val="0"/>
          <w:sz w:val="32"/>
          <w:szCs w:val="32"/>
          <w:lang w:bidi="ar"/>
        </w:rPr>
        <w:t>《科研诚信案件调查处理规则（试行）》</w:t>
      </w:r>
      <w:r>
        <w:rPr>
          <w:rFonts w:hint="eastAsia" w:ascii="仿宋" w:hAnsi="仿宋" w:eastAsia="仿宋" w:cs="仿宋"/>
          <w:color w:val="000000"/>
          <w:kern w:val="0"/>
          <w:sz w:val="32"/>
          <w:szCs w:val="32"/>
          <w:lang w:eastAsia="zh-Hans" w:bidi="ar"/>
        </w:rPr>
        <w:t>（</w:t>
      </w:r>
      <w:r>
        <w:rPr>
          <w:rFonts w:hint="eastAsia" w:ascii="仿宋" w:hAnsi="仿宋" w:eastAsia="仿宋" w:cs="仿宋"/>
          <w:color w:val="000000"/>
          <w:kern w:val="0"/>
          <w:sz w:val="32"/>
          <w:szCs w:val="32"/>
          <w:lang w:bidi="ar"/>
        </w:rPr>
        <w:t>国科发监〔2019〕323</w:t>
      </w:r>
      <w:r>
        <w:rPr>
          <w:rFonts w:hint="eastAsia" w:ascii="仿宋" w:hAnsi="仿宋" w:eastAsia="仿宋" w:cs="仿宋"/>
          <w:color w:val="000000"/>
          <w:kern w:val="0"/>
          <w:sz w:val="32"/>
          <w:szCs w:val="32"/>
          <w:lang w:eastAsia="zh-Hans" w:bidi="ar"/>
        </w:rPr>
        <w:t>）、</w:t>
      </w:r>
      <w:r>
        <w:rPr>
          <w:rFonts w:hint="eastAsia" w:ascii="仿宋" w:hAnsi="仿宋" w:eastAsia="仿宋" w:cs="仿宋"/>
          <w:color w:val="000000"/>
          <w:kern w:val="0"/>
          <w:sz w:val="32"/>
          <w:szCs w:val="32"/>
          <w:lang w:bidi="ar"/>
        </w:rPr>
        <w:t>《高等学校预防与处理学术不端行为办法》（教育部令第40号）、《广西科研诚信管理暂行办法》（桂政办发〔2018〕161号）等文件精神，结合</w:t>
      </w:r>
      <w:r>
        <w:rPr>
          <w:rFonts w:hint="eastAsia" w:ascii="仿宋" w:hAnsi="仿宋" w:eastAsia="仿宋" w:cs="仿宋"/>
          <w:color w:val="000000"/>
          <w:kern w:val="0"/>
          <w:sz w:val="32"/>
          <w:szCs w:val="32"/>
          <w:lang w:eastAsia="zh-Hans" w:bidi="ar"/>
        </w:rPr>
        <w:t>我校</w:t>
      </w:r>
      <w:r>
        <w:rPr>
          <w:rFonts w:hint="eastAsia" w:ascii="仿宋" w:hAnsi="仿宋" w:eastAsia="仿宋" w:cs="仿宋"/>
          <w:color w:val="000000"/>
          <w:kern w:val="0"/>
          <w:sz w:val="32"/>
          <w:szCs w:val="32"/>
          <w:lang w:bidi="ar"/>
        </w:rPr>
        <w:t>实际，制定本办法。</w:t>
      </w:r>
    </w:p>
    <w:p>
      <w:pPr>
        <w:pStyle w:val="10"/>
        <w:adjustRightInd w:val="0"/>
        <w:snapToGrid w:val="0"/>
        <w:spacing w:beforeAutospacing="0" w:afterAutospacing="0" w:line="596" w:lineRule="exact"/>
        <w:ind w:firstLine="643" w:firstLineChars="200"/>
        <w:jc w:val="both"/>
        <w:rPr>
          <w:rFonts w:ascii="仿宋" w:hAnsi="仿宋" w:eastAsia="仿宋" w:cs="仿宋"/>
          <w:color w:val="000000"/>
          <w:sz w:val="32"/>
          <w:szCs w:val="32"/>
          <w:lang w:bidi="ar"/>
        </w:rPr>
      </w:pPr>
      <w:r>
        <w:rPr>
          <w:rFonts w:hint="eastAsia" w:ascii="仿宋" w:hAnsi="仿宋" w:eastAsia="仿宋" w:cs="仿宋"/>
          <w:b/>
          <w:bCs/>
          <w:color w:val="000000"/>
          <w:sz w:val="32"/>
          <w:szCs w:val="32"/>
          <w:lang w:bidi="ar"/>
        </w:rPr>
        <w:t xml:space="preserve">第二条 </w:t>
      </w:r>
      <w:r>
        <w:rPr>
          <w:rFonts w:hint="eastAsia" w:ascii="仿宋" w:hAnsi="仿宋" w:eastAsia="仿宋" w:cs="仿宋"/>
          <w:color w:val="000000"/>
          <w:sz w:val="32"/>
          <w:szCs w:val="32"/>
          <w:lang w:eastAsia="zh-Hans" w:bidi="ar"/>
        </w:rPr>
        <w:t>本办法</w:t>
      </w:r>
      <w:r>
        <w:rPr>
          <w:rFonts w:hint="eastAsia" w:ascii="仿宋" w:hAnsi="仿宋" w:eastAsia="仿宋" w:cs="仿宋"/>
          <w:color w:val="000000"/>
          <w:sz w:val="32"/>
          <w:szCs w:val="32"/>
          <w:lang w:bidi="ar"/>
        </w:rPr>
        <w:t>适用于在</w:t>
      </w:r>
      <w:r>
        <w:rPr>
          <w:rFonts w:hint="eastAsia" w:ascii="仿宋" w:hAnsi="仿宋" w:eastAsia="仿宋" w:cs="仿宋"/>
          <w:color w:val="000000"/>
          <w:sz w:val="32"/>
          <w:szCs w:val="32"/>
          <w:lang w:eastAsia="zh-Hans" w:bidi="ar"/>
        </w:rPr>
        <w:t>我校</w:t>
      </w:r>
      <w:r>
        <w:rPr>
          <w:rFonts w:hint="eastAsia" w:ascii="仿宋" w:hAnsi="仿宋" w:eastAsia="仿宋" w:cs="仿宋"/>
          <w:color w:val="000000"/>
          <w:sz w:val="32"/>
          <w:szCs w:val="32"/>
          <w:lang w:bidi="ar"/>
        </w:rPr>
        <w:t>工作和学习的人员，以及以</w:t>
      </w:r>
      <w:r>
        <w:rPr>
          <w:rFonts w:hint="eastAsia" w:ascii="仿宋" w:hAnsi="仿宋" w:eastAsia="仿宋" w:cs="仿宋"/>
          <w:color w:val="000000"/>
          <w:sz w:val="32"/>
          <w:szCs w:val="32"/>
          <w:lang w:eastAsia="zh-Hans" w:bidi="ar"/>
        </w:rPr>
        <w:t>柳州职业技术学院</w:t>
      </w:r>
      <w:r>
        <w:rPr>
          <w:rFonts w:hint="eastAsia" w:ascii="仿宋" w:hAnsi="仿宋" w:eastAsia="仿宋" w:cs="仿宋"/>
          <w:color w:val="000000"/>
          <w:sz w:val="32"/>
          <w:szCs w:val="32"/>
          <w:lang w:bidi="ar"/>
        </w:rPr>
        <w:t>名义从事科学研究的各类人员。</w:t>
      </w:r>
    </w:p>
    <w:p>
      <w:pPr>
        <w:pStyle w:val="10"/>
        <w:spacing w:beforeAutospacing="0" w:afterAutospacing="0" w:line="596" w:lineRule="exact"/>
        <w:ind w:firstLine="643" w:firstLineChars="200"/>
        <w:jc w:val="both"/>
        <w:rPr>
          <w:rFonts w:ascii="仿宋" w:hAnsi="仿宋" w:eastAsia="仿宋" w:cs="仿宋"/>
          <w:color w:val="000000"/>
          <w:sz w:val="32"/>
          <w:szCs w:val="32"/>
          <w:lang w:bidi="ar"/>
        </w:rPr>
      </w:pPr>
      <w:r>
        <w:rPr>
          <w:rFonts w:hint="eastAsia" w:ascii="仿宋" w:hAnsi="仿宋" w:eastAsia="仿宋" w:cs="仿宋"/>
          <w:b/>
          <w:bCs/>
          <w:color w:val="000000"/>
          <w:sz w:val="32"/>
          <w:szCs w:val="32"/>
          <w:lang w:eastAsia="zh-Hans" w:bidi="ar"/>
        </w:rPr>
        <w:t>第三条</w:t>
      </w:r>
      <w:r>
        <w:rPr>
          <w:rFonts w:hint="eastAsia" w:ascii="仿宋" w:hAnsi="仿宋" w:eastAsia="仿宋" w:cs="仿宋"/>
          <w:b/>
          <w:bCs/>
          <w:color w:val="000000"/>
          <w:sz w:val="32"/>
          <w:szCs w:val="32"/>
          <w:lang w:bidi="ar"/>
        </w:rPr>
        <w:t xml:space="preserve"> </w:t>
      </w:r>
      <w:r>
        <w:rPr>
          <w:rFonts w:hint="eastAsia" w:ascii="仿宋" w:hAnsi="仿宋" w:eastAsia="仿宋" w:cs="仿宋"/>
          <w:color w:val="000000"/>
          <w:sz w:val="32"/>
          <w:szCs w:val="32"/>
          <w:lang w:bidi="ar"/>
        </w:rPr>
        <w:t>本办法适用于科研相关工作的全过程，包括各类项</w:t>
      </w:r>
      <w:r>
        <w:rPr>
          <w:rFonts w:ascii="仿宋" w:hAnsi="仿宋" w:eastAsia="仿宋" w:cs="仿宋"/>
          <w:color w:val="000000"/>
          <w:sz w:val="32"/>
          <w:szCs w:val="32"/>
          <w:lang w:bidi="ar"/>
        </w:rPr>
        <w:t>目、平台、基地、成果、奖励、专业技术职务，以及其他与科研相关内容的申报、发表、评审与管理</w:t>
      </w:r>
      <w:r>
        <w:rPr>
          <w:rFonts w:hint="eastAsia" w:ascii="仿宋" w:hAnsi="仿宋" w:eastAsia="仿宋" w:cs="仿宋"/>
          <w:color w:val="000000"/>
          <w:sz w:val="32"/>
          <w:szCs w:val="32"/>
          <w:lang w:eastAsia="zh-Hans" w:bidi="ar"/>
        </w:rPr>
        <w:t>等。</w:t>
      </w:r>
    </w:p>
    <w:p>
      <w:pPr>
        <w:pStyle w:val="10"/>
        <w:spacing w:beforeAutospacing="0" w:afterAutospacing="0" w:line="596" w:lineRule="exact"/>
        <w:ind w:firstLine="643" w:firstLineChars="200"/>
        <w:jc w:val="both"/>
        <w:rPr>
          <w:rFonts w:ascii="仿宋" w:hAnsi="仿宋" w:eastAsia="仿宋" w:cs="仿宋"/>
          <w:color w:val="000000"/>
          <w:sz w:val="32"/>
          <w:szCs w:val="32"/>
          <w:lang w:bidi="ar"/>
        </w:rPr>
      </w:pPr>
      <w:r>
        <w:rPr>
          <w:rFonts w:hint="eastAsia" w:ascii="仿宋" w:hAnsi="仿宋" w:eastAsia="仿宋" w:cs="仿宋"/>
          <w:b/>
          <w:bCs/>
          <w:color w:val="000000"/>
          <w:sz w:val="32"/>
          <w:szCs w:val="32"/>
          <w:lang w:bidi="ar"/>
        </w:rPr>
        <w:t>第</w:t>
      </w:r>
      <w:r>
        <w:rPr>
          <w:rFonts w:hint="eastAsia" w:ascii="仿宋" w:hAnsi="仿宋" w:eastAsia="仿宋" w:cs="仿宋"/>
          <w:b/>
          <w:bCs/>
          <w:color w:val="000000"/>
          <w:sz w:val="32"/>
          <w:szCs w:val="32"/>
          <w:lang w:eastAsia="zh-Hans" w:bidi="ar"/>
        </w:rPr>
        <w:t>四</w:t>
      </w:r>
      <w:r>
        <w:rPr>
          <w:rFonts w:hint="eastAsia" w:ascii="仿宋" w:hAnsi="仿宋" w:eastAsia="仿宋" w:cs="仿宋"/>
          <w:b/>
          <w:bCs/>
          <w:color w:val="000000"/>
          <w:sz w:val="32"/>
          <w:szCs w:val="32"/>
          <w:lang w:bidi="ar"/>
        </w:rPr>
        <w:t xml:space="preserve">条 </w:t>
      </w:r>
      <w:r>
        <w:rPr>
          <w:rFonts w:hint="eastAsia" w:ascii="仿宋" w:hAnsi="仿宋" w:eastAsia="仿宋" w:cs="仿宋"/>
          <w:color w:val="000000"/>
          <w:sz w:val="32"/>
          <w:szCs w:val="32"/>
          <w:lang w:bidi="ar"/>
        </w:rPr>
        <w:t>科研诚信管理遵循“明确责任，协调有序，系统推进，重点突破</w:t>
      </w:r>
      <w:r>
        <w:rPr>
          <w:rFonts w:hint="eastAsia" w:ascii="仿宋" w:hAnsi="仿宋" w:eastAsia="仿宋" w:cs="仿宋"/>
          <w:color w:val="000000"/>
          <w:sz w:val="32"/>
          <w:szCs w:val="32"/>
          <w:lang w:eastAsia="zh-Hans" w:bidi="ar"/>
        </w:rPr>
        <w:t>、</w:t>
      </w:r>
      <w:r>
        <w:rPr>
          <w:rFonts w:hint="eastAsia" w:ascii="仿宋" w:hAnsi="仿宋" w:eastAsia="仿宋" w:cs="仿宋"/>
          <w:color w:val="000000"/>
          <w:sz w:val="32"/>
          <w:szCs w:val="32"/>
          <w:lang w:bidi="ar"/>
        </w:rPr>
        <w:t>激励创新，宽容失败，坚守底线，终身追责”的原则。</w:t>
      </w:r>
    </w:p>
    <w:p>
      <w:pPr>
        <w:pStyle w:val="10"/>
        <w:spacing w:beforeAutospacing="0" w:afterAutospacing="0" w:line="596" w:lineRule="exact"/>
        <w:ind w:firstLine="643" w:firstLineChars="200"/>
        <w:jc w:val="both"/>
        <w:rPr>
          <w:rFonts w:ascii="黑体" w:hAnsi="黑体" w:eastAsia="黑体" w:cs="黑体"/>
          <w:b/>
          <w:bCs/>
          <w:color w:val="000000"/>
          <w:sz w:val="32"/>
          <w:szCs w:val="32"/>
        </w:rPr>
      </w:pPr>
      <w:r>
        <w:rPr>
          <w:rFonts w:hint="eastAsia" w:ascii="仿宋" w:hAnsi="仿宋" w:eastAsia="仿宋" w:cs="仿宋"/>
          <w:b/>
          <w:bCs/>
          <w:color w:val="000000"/>
          <w:sz w:val="32"/>
          <w:szCs w:val="32"/>
          <w:lang w:eastAsia="zh-Hans" w:bidi="ar"/>
        </w:rPr>
        <w:t>第五条</w:t>
      </w:r>
      <w:r>
        <w:rPr>
          <w:rFonts w:hint="eastAsia" w:ascii="仿宋" w:hAnsi="仿宋" w:eastAsia="仿宋" w:cs="仿宋"/>
          <w:b/>
          <w:bCs/>
          <w:color w:val="000000"/>
          <w:sz w:val="32"/>
          <w:szCs w:val="32"/>
          <w:lang w:bidi="ar"/>
        </w:rPr>
        <w:t xml:space="preserve"> </w:t>
      </w:r>
      <w:r>
        <w:rPr>
          <w:rFonts w:hint="eastAsia" w:ascii="仿宋" w:hAnsi="仿宋" w:eastAsia="仿宋" w:cs="仿宋"/>
          <w:color w:val="000000"/>
          <w:sz w:val="32"/>
          <w:szCs w:val="32"/>
          <w:lang w:bidi="ar"/>
        </w:rPr>
        <w:t>科研诚信管理的主要内容包括明确管理责任、完善</w:t>
      </w:r>
      <w:r>
        <w:rPr>
          <w:rFonts w:ascii="仿宋" w:hAnsi="仿宋" w:eastAsia="仿宋" w:cs="仿宋"/>
          <w:color w:val="000000"/>
          <w:sz w:val="32"/>
          <w:szCs w:val="32"/>
          <w:lang w:bidi="ar"/>
        </w:rPr>
        <w:t>内部监督、加强预防教育、科研失信行为调查与认定等。</w:t>
      </w:r>
    </w:p>
    <w:p>
      <w:pPr>
        <w:pStyle w:val="10"/>
        <w:spacing w:beforeAutospacing="0" w:afterAutospacing="0" w:line="596" w:lineRule="exact"/>
        <w:jc w:val="center"/>
        <w:outlineLvl w:val="9"/>
        <w:rPr>
          <w:rFonts w:asciiTheme="minorEastAsia" w:hAnsiTheme="minorEastAsia" w:cstheme="minorEastAsia"/>
          <w:color w:val="000000"/>
        </w:rPr>
      </w:pPr>
      <w:bookmarkStart w:id="1307" w:name="_Toc20688_WPSOffice_Level1"/>
      <w:r>
        <w:rPr>
          <w:rFonts w:hint="eastAsia" w:ascii="黑体" w:hAnsi="黑体" w:eastAsia="黑体" w:cs="黑体"/>
          <w:b/>
          <w:bCs/>
          <w:color w:val="000000"/>
          <w:sz w:val="32"/>
          <w:szCs w:val="32"/>
        </w:rPr>
        <w:t>第二章　科研诚信建设</w:t>
      </w:r>
      <w:bookmarkEnd w:id="1307"/>
    </w:p>
    <w:p>
      <w:pPr>
        <w:widowControl/>
        <w:adjustRightInd w:val="0"/>
        <w:snapToGrid w:val="0"/>
        <w:spacing w:line="596"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eastAsia="zh-Hans" w:bidi="ar"/>
        </w:rPr>
        <w:t>第六条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bidi="ar"/>
        </w:rPr>
        <w:t>学校是科研诚信建设的第一责任主体，负责科研诚</w:t>
      </w:r>
      <w:r>
        <w:rPr>
          <w:rFonts w:ascii="仿宋" w:hAnsi="仿宋" w:eastAsia="仿宋" w:cs="仿宋"/>
          <w:color w:val="000000"/>
          <w:kern w:val="0"/>
          <w:sz w:val="32"/>
          <w:szCs w:val="32"/>
          <w:lang w:bidi="ar"/>
        </w:rPr>
        <w:t>信工作的常态化管理。</w:t>
      </w:r>
      <w:r>
        <w:rPr>
          <w:rFonts w:hint="eastAsia" w:ascii="仿宋" w:hAnsi="仿宋" w:eastAsia="仿宋" w:cs="仿宋"/>
          <w:color w:val="000000"/>
          <w:kern w:val="0"/>
          <w:sz w:val="32"/>
          <w:szCs w:val="32"/>
          <w:lang w:eastAsia="zh-Hans" w:bidi="ar"/>
        </w:rPr>
        <w:t>学校</w:t>
      </w:r>
      <w:r>
        <w:rPr>
          <w:rFonts w:ascii="仿宋" w:hAnsi="仿宋" w:eastAsia="仿宋" w:cs="仿宋"/>
          <w:color w:val="000000"/>
          <w:kern w:val="0"/>
          <w:sz w:val="32"/>
          <w:szCs w:val="32"/>
          <w:lang w:bidi="ar"/>
        </w:rPr>
        <w:t>学术委员会履行科研诚信建设职责，发挥审议、评定、受理、调查、监督、咨询等作用。</w:t>
      </w:r>
      <w:r>
        <w:rPr>
          <w:rFonts w:hint="eastAsia" w:ascii="仿宋" w:hAnsi="仿宋" w:eastAsia="仿宋" w:cs="仿宋"/>
          <w:color w:val="000000"/>
          <w:kern w:val="0"/>
          <w:sz w:val="32"/>
          <w:szCs w:val="32"/>
          <w:lang w:eastAsia="zh-Hans" w:bidi="ar"/>
        </w:rPr>
        <w:t>各二级</w:t>
      </w:r>
      <w:r>
        <w:rPr>
          <w:rFonts w:ascii="仿宋" w:hAnsi="仿宋" w:eastAsia="仿宋" w:cs="仿宋"/>
          <w:color w:val="000000"/>
          <w:kern w:val="0"/>
          <w:sz w:val="32"/>
          <w:szCs w:val="32"/>
          <w:lang w:bidi="ar"/>
        </w:rPr>
        <w:t>学院和相关职能部门在</w:t>
      </w:r>
      <w:r>
        <w:rPr>
          <w:rFonts w:hint="eastAsia" w:ascii="仿宋" w:hAnsi="仿宋" w:eastAsia="仿宋" w:cs="仿宋"/>
          <w:color w:val="000000"/>
          <w:kern w:val="0"/>
          <w:sz w:val="32"/>
          <w:szCs w:val="32"/>
          <w:lang w:eastAsia="zh-Hans" w:bidi="ar"/>
        </w:rPr>
        <w:t>学</w:t>
      </w:r>
      <w:r>
        <w:rPr>
          <w:rFonts w:ascii="仿宋" w:hAnsi="仿宋" w:eastAsia="仿宋" w:cs="仿宋"/>
          <w:color w:val="000000"/>
          <w:kern w:val="0"/>
          <w:sz w:val="32"/>
          <w:szCs w:val="32"/>
          <w:lang w:bidi="ar"/>
        </w:rPr>
        <w:t>校学术委员会指导下，在职责范围内开展科研诚信教育与管理工作</w:t>
      </w:r>
      <w:r>
        <w:rPr>
          <w:rFonts w:hint="eastAsia" w:ascii="仿宋" w:hAnsi="仿宋" w:eastAsia="仿宋" w:cs="仿宋"/>
          <w:color w:val="000000"/>
          <w:kern w:val="0"/>
          <w:sz w:val="32"/>
          <w:szCs w:val="32"/>
          <w:lang w:eastAsia="zh-Hans" w:bidi="ar"/>
        </w:rPr>
        <w:t>。</w:t>
      </w:r>
    </w:p>
    <w:p>
      <w:pPr>
        <w:widowControl/>
        <w:adjustRightInd w:val="0"/>
        <w:snapToGrid w:val="0"/>
        <w:spacing w:line="596"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eastAsia="zh-Hans" w:bidi="ar"/>
        </w:rPr>
        <w:t>第七条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bidi="ar"/>
        </w:rPr>
        <w:t>各</w:t>
      </w:r>
      <w:r>
        <w:rPr>
          <w:rFonts w:hint="eastAsia" w:ascii="仿宋" w:hAnsi="仿宋" w:eastAsia="仿宋" w:cs="仿宋"/>
          <w:color w:val="000000"/>
          <w:kern w:val="0"/>
          <w:sz w:val="32"/>
          <w:szCs w:val="32"/>
          <w:lang w:eastAsia="zh-Hans" w:bidi="ar"/>
        </w:rPr>
        <w:t>二级学院</w:t>
      </w:r>
      <w:r>
        <w:rPr>
          <w:rFonts w:hint="eastAsia" w:ascii="仿宋" w:hAnsi="仿宋" w:eastAsia="仿宋" w:cs="仿宋"/>
          <w:color w:val="000000"/>
          <w:kern w:val="0"/>
          <w:sz w:val="32"/>
          <w:szCs w:val="32"/>
          <w:lang w:bidi="ar"/>
        </w:rPr>
        <w:t>要强化科研诚信审核，将科研</w:t>
      </w:r>
      <w:r>
        <w:rPr>
          <w:rFonts w:ascii="仿宋" w:hAnsi="仿宋" w:eastAsia="仿宋" w:cs="仿宋"/>
          <w:color w:val="000000"/>
          <w:kern w:val="0"/>
          <w:sz w:val="32"/>
          <w:szCs w:val="32"/>
          <w:lang w:bidi="ar"/>
        </w:rPr>
        <w:t>诚信审核作为项目申报、成果转化、科技奖励、人才计划推荐、职称评定等工作的必经程序，对严重违背科研诚信要求的责任者实行“一票否决”。</w:t>
      </w:r>
    </w:p>
    <w:p>
      <w:pPr>
        <w:widowControl/>
        <w:adjustRightInd w:val="0"/>
        <w:snapToGrid w:val="0"/>
        <w:spacing w:line="596" w:lineRule="exact"/>
        <w:ind w:firstLine="643" w:firstLineChars="200"/>
        <w:rPr>
          <w:rFonts w:ascii="仿宋" w:hAnsi="仿宋" w:eastAsia="仿宋" w:cs="仿宋"/>
          <w:color w:val="000000"/>
          <w:kern w:val="0"/>
          <w:sz w:val="32"/>
          <w:szCs w:val="32"/>
          <w:lang w:eastAsia="zh-Hans" w:bidi="ar"/>
        </w:rPr>
      </w:pPr>
      <w:r>
        <w:rPr>
          <w:rFonts w:hint="eastAsia" w:ascii="仿宋" w:hAnsi="仿宋" w:eastAsia="仿宋" w:cs="仿宋"/>
          <w:b/>
          <w:bCs/>
          <w:color w:val="000000"/>
          <w:kern w:val="0"/>
          <w:sz w:val="32"/>
          <w:szCs w:val="32"/>
          <w:lang w:eastAsia="zh-Hans" w:bidi="ar"/>
        </w:rPr>
        <w:t>第八条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eastAsia="zh-Hans" w:bidi="ar"/>
        </w:rPr>
        <w:t>各二级学院</w:t>
      </w:r>
      <w:r>
        <w:rPr>
          <w:rFonts w:ascii="仿宋" w:hAnsi="仿宋" w:eastAsia="仿宋" w:cs="仿宋"/>
          <w:color w:val="000000"/>
          <w:kern w:val="0"/>
          <w:sz w:val="32"/>
          <w:szCs w:val="32"/>
          <w:lang w:bidi="ar"/>
        </w:rPr>
        <w:t>要加强科研诚信教育预防，</w:t>
      </w:r>
      <w:r>
        <w:rPr>
          <w:rFonts w:hint="eastAsia" w:ascii="仿宋" w:hAnsi="仿宋" w:eastAsia="仿宋" w:cs="仿宋"/>
          <w:color w:val="000000"/>
          <w:kern w:val="0"/>
          <w:sz w:val="32"/>
          <w:szCs w:val="32"/>
          <w:lang w:eastAsia="zh-Hans" w:bidi="ar"/>
        </w:rPr>
        <w:t>在</w:t>
      </w:r>
      <w:r>
        <w:rPr>
          <w:rFonts w:ascii="仿宋" w:hAnsi="仿宋" w:eastAsia="仿宋" w:cs="仿宋"/>
          <w:color w:val="000000"/>
          <w:kern w:val="0"/>
          <w:sz w:val="32"/>
          <w:szCs w:val="32"/>
          <w:lang w:bidi="ar"/>
        </w:rPr>
        <w:t>专业技术职务晋升、参与科技计划项目等重要节点开展科研诚信教育。对在科研诚信方面存在倾向性、苗头性问题的人员，应当及时开展提醒谈话、批评教育。</w:t>
      </w:r>
    </w:p>
    <w:p>
      <w:pPr>
        <w:widowControl/>
        <w:adjustRightInd w:val="0"/>
        <w:snapToGrid w:val="0"/>
        <w:spacing w:line="596" w:lineRule="exact"/>
        <w:ind w:firstLine="643" w:firstLineChars="200"/>
        <w:rPr>
          <w:rFonts w:ascii="仿宋" w:hAnsi="仿宋" w:eastAsia="仿宋" w:cs="仿宋"/>
          <w:color w:val="000000"/>
          <w:kern w:val="0"/>
          <w:sz w:val="32"/>
          <w:szCs w:val="32"/>
          <w:lang w:eastAsia="zh-Hans" w:bidi="ar"/>
        </w:rPr>
      </w:pPr>
      <w:r>
        <w:rPr>
          <w:rFonts w:hint="eastAsia" w:ascii="仿宋" w:hAnsi="仿宋" w:eastAsia="仿宋" w:cs="仿宋"/>
          <w:b/>
          <w:bCs/>
          <w:color w:val="000000"/>
          <w:kern w:val="0"/>
          <w:sz w:val="32"/>
          <w:szCs w:val="32"/>
          <w:lang w:eastAsia="zh-Hans" w:bidi="ar"/>
        </w:rPr>
        <w:t>第九条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eastAsia="zh-Hans" w:bidi="ar"/>
        </w:rPr>
        <w:t>科研团队或课题组负责人、科研项目负责人等要加强对团队或课题组成员、项目成员的科研诚信教育与管理，对学术成果或知识产权等科研成果的署名、研究数据真实性、实验可重复性等进行诚信审核和学术把关。</w:t>
      </w:r>
    </w:p>
    <w:p>
      <w:pPr>
        <w:widowControl/>
        <w:adjustRightInd w:val="0"/>
        <w:snapToGrid w:val="0"/>
        <w:spacing w:line="596" w:lineRule="exact"/>
        <w:ind w:firstLine="643" w:firstLineChars="200"/>
        <w:rPr>
          <w:rFonts w:ascii="黑体" w:hAnsi="黑体" w:eastAsia="黑体" w:cs="黑体"/>
          <w:b/>
          <w:bCs/>
          <w:color w:val="000000"/>
          <w:sz w:val="32"/>
          <w:szCs w:val="32"/>
          <w:lang w:eastAsia="zh-Hans"/>
        </w:rPr>
      </w:pPr>
      <w:r>
        <w:rPr>
          <w:rFonts w:hint="eastAsia" w:ascii="仿宋" w:hAnsi="仿宋" w:eastAsia="仿宋" w:cs="仿宋"/>
          <w:b/>
          <w:bCs/>
          <w:color w:val="000000"/>
          <w:kern w:val="0"/>
          <w:sz w:val="32"/>
          <w:szCs w:val="32"/>
          <w:lang w:eastAsia="zh-Hans" w:bidi="ar"/>
        </w:rPr>
        <w:t>第十条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eastAsia="zh-Hans" w:bidi="ar"/>
        </w:rPr>
        <w:t>科研人员要恪守科学道德准则，遵守科研活动规范，践行科研诚信要求，坚守科研诚信底线。 </w:t>
      </w:r>
    </w:p>
    <w:p>
      <w:pPr>
        <w:pStyle w:val="10"/>
        <w:spacing w:beforeAutospacing="0" w:afterAutospacing="0" w:line="596" w:lineRule="exact"/>
        <w:jc w:val="center"/>
        <w:rPr>
          <w:rFonts w:ascii="黑体" w:hAnsi="黑体" w:eastAsia="黑体" w:cs="黑体"/>
          <w:b/>
          <w:bCs/>
          <w:color w:val="000000"/>
          <w:sz w:val="32"/>
          <w:szCs w:val="32"/>
          <w:lang w:eastAsia="zh-Hans"/>
        </w:rPr>
      </w:pPr>
    </w:p>
    <w:p>
      <w:pPr>
        <w:pStyle w:val="10"/>
        <w:spacing w:beforeAutospacing="0" w:afterAutospacing="0" w:line="596" w:lineRule="exact"/>
        <w:jc w:val="center"/>
        <w:outlineLvl w:val="9"/>
        <w:rPr>
          <w:rFonts w:ascii="黑体" w:hAnsi="黑体" w:eastAsia="黑体" w:cs="黑体"/>
          <w:b/>
          <w:bCs/>
          <w:color w:val="000000"/>
          <w:sz w:val="32"/>
          <w:szCs w:val="32"/>
          <w:lang w:eastAsia="zh-Hans"/>
        </w:rPr>
      </w:pPr>
      <w:bookmarkStart w:id="1308" w:name="_Toc619_WPSOffice_Level1"/>
      <w:r>
        <w:rPr>
          <w:rFonts w:hint="eastAsia" w:ascii="黑体" w:hAnsi="黑体" w:eastAsia="黑体" w:cs="黑体"/>
          <w:b/>
          <w:bCs/>
          <w:color w:val="000000"/>
          <w:sz w:val="32"/>
          <w:szCs w:val="32"/>
          <w:lang w:eastAsia="zh-Hans"/>
        </w:rPr>
        <w:t>第三章　科研失信行为的认定</w:t>
      </w:r>
      <w:bookmarkEnd w:id="1308"/>
    </w:p>
    <w:p>
      <w:pPr>
        <w:widowControl/>
        <w:adjustRightInd w:val="0"/>
        <w:snapToGrid w:val="0"/>
        <w:spacing w:line="596"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bidi="ar"/>
        </w:rPr>
        <w:t>第十</w:t>
      </w:r>
      <w:r>
        <w:rPr>
          <w:rFonts w:hint="eastAsia" w:ascii="仿宋" w:hAnsi="仿宋" w:eastAsia="仿宋" w:cs="仿宋"/>
          <w:b/>
          <w:bCs/>
          <w:color w:val="000000"/>
          <w:kern w:val="0"/>
          <w:sz w:val="32"/>
          <w:szCs w:val="32"/>
          <w:lang w:eastAsia="zh-Hans" w:bidi="ar"/>
        </w:rPr>
        <w:t>一</w:t>
      </w:r>
      <w:r>
        <w:rPr>
          <w:rFonts w:hint="eastAsia" w:ascii="仿宋" w:hAnsi="仿宋" w:eastAsia="仿宋" w:cs="仿宋"/>
          <w:b/>
          <w:bCs/>
          <w:color w:val="000000"/>
          <w:kern w:val="0"/>
          <w:sz w:val="32"/>
          <w:szCs w:val="32"/>
          <w:lang w:bidi="ar"/>
        </w:rPr>
        <w:t xml:space="preserve">条 </w:t>
      </w:r>
      <w:r>
        <w:rPr>
          <w:rFonts w:hint="eastAsia" w:ascii="仿宋" w:hAnsi="仿宋" w:eastAsia="仿宋" w:cs="仿宋"/>
          <w:color w:val="000000"/>
          <w:kern w:val="0"/>
          <w:sz w:val="32"/>
          <w:szCs w:val="32"/>
          <w:lang w:bidi="ar"/>
        </w:rPr>
        <w:t>科研失信行为是指在科学研究和学术活动中违反公认的学术准则、违背学术诚信规定的行为。</w:t>
      </w:r>
    </w:p>
    <w:p>
      <w:pPr>
        <w:widowControl/>
        <w:adjustRightInd w:val="0"/>
        <w:snapToGrid w:val="0"/>
        <w:spacing w:line="596" w:lineRule="exact"/>
        <w:ind w:firstLine="643" w:firstLineChars="200"/>
        <w:rPr>
          <w:rFonts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（一）</w:t>
      </w:r>
      <w:r>
        <w:rPr>
          <w:rFonts w:hint="eastAsia" w:ascii="仿宋" w:hAnsi="仿宋" w:eastAsia="仿宋" w:cs="仿宋"/>
          <w:b/>
          <w:bCs/>
          <w:color w:val="000000"/>
          <w:kern w:val="0"/>
          <w:sz w:val="32"/>
          <w:szCs w:val="32"/>
          <w:lang w:eastAsia="zh-Hans" w:bidi="ar"/>
        </w:rPr>
        <w:t>科研项目申</w:t>
      </w:r>
      <w:r>
        <w:rPr>
          <w:rFonts w:hint="eastAsia" w:ascii="仿宋" w:hAnsi="仿宋" w:eastAsia="仿宋" w:cs="仿宋"/>
          <w:b/>
          <w:bCs/>
          <w:color w:val="000000"/>
          <w:kern w:val="0"/>
          <w:sz w:val="32"/>
          <w:szCs w:val="32"/>
          <w:lang w:bidi="ar"/>
        </w:rPr>
        <w:t>报人员、承担人员等一般失信行为</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1.项目负责人违反</w:t>
      </w:r>
      <w:r>
        <w:rPr>
          <w:rFonts w:hint="eastAsia" w:ascii="仿宋" w:hAnsi="仿宋" w:eastAsia="仿宋" w:cs="仿宋"/>
          <w:color w:val="000000"/>
          <w:kern w:val="0"/>
          <w:sz w:val="32"/>
          <w:szCs w:val="32"/>
          <w:lang w:eastAsia="zh-Hans" w:bidi="ar"/>
        </w:rPr>
        <w:t>项目主管部门</w:t>
      </w:r>
      <w:r>
        <w:rPr>
          <w:rFonts w:hint="eastAsia" w:ascii="仿宋" w:hAnsi="仿宋" w:eastAsia="仿宋" w:cs="仿宋"/>
          <w:color w:val="000000"/>
          <w:kern w:val="0"/>
          <w:sz w:val="32"/>
          <w:szCs w:val="32"/>
          <w:lang w:bidi="ar"/>
        </w:rPr>
        <w:t>管理规定，未按项目合同书（任务书、协议书等）及相关要求向专业机构报送项目执行情况、经费到位及使用情况、科技报告，以及项目实施中出现的重大事项等。</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2.项目负责人承担的</w:t>
      </w:r>
      <w:r>
        <w:rPr>
          <w:rFonts w:hint="eastAsia" w:ascii="仿宋" w:hAnsi="仿宋" w:eastAsia="仿宋" w:cs="仿宋"/>
          <w:color w:val="000000"/>
          <w:kern w:val="0"/>
          <w:sz w:val="32"/>
          <w:szCs w:val="32"/>
          <w:lang w:eastAsia="zh-Hans" w:bidi="ar"/>
        </w:rPr>
        <w:t>科研</w:t>
      </w:r>
      <w:r>
        <w:rPr>
          <w:rFonts w:hint="eastAsia" w:ascii="仿宋" w:hAnsi="仿宋" w:eastAsia="仿宋" w:cs="仿宋"/>
          <w:color w:val="000000"/>
          <w:kern w:val="0"/>
          <w:sz w:val="32"/>
          <w:szCs w:val="32"/>
          <w:lang w:bidi="ar"/>
        </w:rPr>
        <w:t>项目被</w:t>
      </w:r>
      <w:r>
        <w:rPr>
          <w:rFonts w:hint="eastAsia" w:ascii="仿宋" w:hAnsi="仿宋" w:eastAsia="仿宋" w:cs="仿宋"/>
          <w:color w:val="000000"/>
          <w:kern w:val="0"/>
          <w:sz w:val="32"/>
          <w:szCs w:val="32"/>
          <w:lang w:eastAsia="zh-Hans" w:bidi="ar"/>
        </w:rPr>
        <w:t>项目主管部门</w:t>
      </w:r>
      <w:r>
        <w:rPr>
          <w:rFonts w:hint="eastAsia" w:ascii="仿宋" w:hAnsi="仿宋" w:eastAsia="仿宋" w:cs="仿宋"/>
          <w:color w:val="000000"/>
          <w:kern w:val="0"/>
          <w:sz w:val="32"/>
          <w:szCs w:val="32"/>
          <w:lang w:bidi="ar"/>
        </w:rPr>
        <w:t>列入无申请终止结题项目或无正当理由未能完成项目考核指标。</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3.</w:t>
      </w:r>
      <w:r>
        <w:rPr>
          <w:rFonts w:hint="eastAsia" w:ascii="仿宋" w:hAnsi="仿宋" w:eastAsia="仿宋" w:cs="仿宋"/>
          <w:color w:val="000000"/>
          <w:kern w:val="0"/>
          <w:sz w:val="32"/>
          <w:szCs w:val="32"/>
          <w:lang w:eastAsia="zh-Hans" w:bidi="ar"/>
        </w:rPr>
        <w:t>项目负责人按照项目主管部门规定</w:t>
      </w:r>
      <w:r>
        <w:rPr>
          <w:rFonts w:hint="eastAsia" w:ascii="仿宋" w:hAnsi="仿宋" w:eastAsia="仿宋" w:cs="仿宋"/>
          <w:color w:val="000000"/>
          <w:kern w:val="0"/>
          <w:sz w:val="32"/>
          <w:szCs w:val="32"/>
          <w:lang w:bidi="ar"/>
        </w:rPr>
        <w:t>要求</w:t>
      </w:r>
      <w:r>
        <w:rPr>
          <w:rFonts w:hint="eastAsia" w:ascii="仿宋" w:hAnsi="仿宋" w:eastAsia="仿宋" w:cs="仿宋"/>
          <w:color w:val="000000"/>
          <w:kern w:val="0"/>
          <w:sz w:val="32"/>
          <w:szCs w:val="32"/>
          <w:lang w:eastAsia="zh-Hans" w:bidi="ar"/>
        </w:rPr>
        <w:t>向项目</w:t>
      </w:r>
      <w:r>
        <w:rPr>
          <w:rFonts w:hint="eastAsia" w:ascii="仿宋" w:hAnsi="仿宋" w:eastAsia="仿宋" w:cs="仿宋"/>
          <w:color w:val="000000"/>
          <w:kern w:val="0"/>
          <w:sz w:val="32"/>
          <w:szCs w:val="32"/>
          <w:lang w:bidi="ar"/>
        </w:rPr>
        <w:t>主管部门或委托的机构报送工作进展情况、经费到位及使用情况，以及专项实施过程中出现的重大事项</w:t>
      </w:r>
      <w:bookmarkStart w:id="1309" w:name="_Toc19215_WPSOffice_Level1"/>
      <w:r>
        <w:rPr>
          <w:rFonts w:hint="eastAsia" w:ascii="仿宋" w:hAnsi="仿宋" w:eastAsia="仿宋" w:cs="仿宋"/>
          <w:color w:val="000000"/>
          <w:kern w:val="0"/>
          <w:sz w:val="32"/>
          <w:szCs w:val="32"/>
          <w:lang w:bidi="ar"/>
        </w:rPr>
        <w:t>等。</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4.</w:t>
      </w:r>
      <w:r>
        <w:rPr>
          <w:rFonts w:hint="eastAsia" w:ascii="仿宋" w:hAnsi="仿宋" w:eastAsia="仿宋" w:cs="仿宋"/>
          <w:color w:val="000000"/>
          <w:kern w:val="0"/>
          <w:sz w:val="32"/>
          <w:szCs w:val="32"/>
          <w:lang w:eastAsia="zh-Hans" w:bidi="ar"/>
        </w:rPr>
        <w:t>科研项目</w:t>
      </w:r>
      <w:r>
        <w:rPr>
          <w:rFonts w:hint="eastAsia" w:ascii="仿宋" w:hAnsi="仿宋" w:eastAsia="仿宋" w:cs="仿宋"/>
          <w:color w:val="000000"/>
          <w:kern w:val="0"/>
          <w:sz w:val="32"/>
          <w:szCs w:val="32"/>
          <w:lang w:bidi="ar"/>
        </w:rPr>
        <w:t>无正当理由未能通过专项工作考核</w:t>
      </w:r>
      <w:bookmarkEnd w:id="1309"/>
      <w:r>
        <w:rPr>
          <w:rFonts w:hint="eastAsia" w:ascii="仿宋" w:hAnsi="仿宋" w:eastAsia="仿宋" w:cs="仿宋"/>
          <w:color w:val="000000"/>
          <w:kern w:val="0"/>
          <w:sz w:val="32"/>
          <w:szCs w:val="32"/>
          <w:lang w:bidi="ar"/>
        </w:rPr>
        <w:t>验收或者逾期超过6个月未提交考核验收申请材料等。</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5.其他未按规定履行职责并造成一定不良影响的行为。</w:t>
      </w:r>
    </w:p>
    <w:p>
      <w:pPr>
        <w:widowControl/>
        <w:adjustRightInd w:val="0"/>
        <w:snapToGrid w:val="0"/>
        <w:spacing w:line="596" w:lineRule="exact"/>
        <w:ind w:firstLine="643" w:firstLineChars="200"/>
        <w:rPr>
          <w:rFonts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eastAsia="zh-Hans" w:bidi="ar"/>
        </w:rPr>
        <w:t>（二）</w:t>
      </w:r>
      <w:r>
        <w:rPr>
          <w:rFonts w:hint="eastAsia" w:ascii="仿宋" w:hAnsi="仿宋" w:eastAsia="仿宋" w:cs="仿宋"/>
          <w:b/>
          <w:bCs/>
          <w:color w:val="000000"/>
          <w:kern w:val="0"/>
          <w:sz w:val="32"/>
          <w:szCs w:val="32"/>
          <w:lang w:bidi="ar"/>
        </w:rPr>
        <w:t>违背科研诚信要求的行为</w:t>
      </w:r>
    </w:p>
    <w:p>
      <w:pPr>
        <w:widowControl/>
        <w:adjustRightInd w:val="0"/>
        <w:snapToGrid w:val="0"/>
        <w:spacing w:line="596" w:lineRule="exact"/>
        <w:ind w:firstLine="640" w:firstLineChars="200"/>
        <w:rPr>
          <w:rFonts w:ascii="仿宋" w:hAnsi="仿宋" w:eastAsia="仿宋" w:cs="仿宋"/>
          <w:color w:val="000000"/>
          <w:kern w:val="0"/>
          <w:sz w:val="32"/>
          <w:szCs w:val="32"/>
          <w:lang w:eastAsia="zh-Hans" w:bidi="ar"/>
        </w:rPr>
      </w:pPr>
      <w:r>
        <w:rPr>
          <w:rFonts w:ascii="仿宋" w:hAnsi="仿宋" w:eastAsia="仿宋" w:cs="仿宋"/>
          <w:color w:val="000000"/>
          <w:kern w:val="0"/>
          <w:sz w:val="32"/>
          <w:szCs w:val="32"/>
          <w:lang w:bidi="ar"/>
        </w:rPr>
        <w:t>1.</w:t>
      </w:r>
      <w:r>
        <w:rPr>
          <w:rFonts w:hint="eastAsia" w:ascii="仿宋" w:hAnsi="仿宋" w:eastAsia="仿宋" w:cs="仿宋"/>
          <w:color w:val="000000"/>
          <w:kern w:val="0"/>
          <w:sz w:val="32"/>
          <w:szCs w:val="32"/>
          <w:lang w:bidi="ar"/>
        </w:rPr>
        <w:t>抄袭、剽窃、侵占他人研究成果或项目申请书；</w:t>
      </w:r>
    </w:p>
    <w:p>
      <w:pPr>
        <w:widowControl/>
        <w:adjustRightInd w:val="0"/>
        <w:snapToGrid w:val="0"/>
        <w:spacing w:line="596" w:lineRule="exact"/>
        <w:ind w:firstLine="640" w:firstLineChars="200"/>
        <w:rPr>
          <w:rFonts w:ascii="仿宋" w:hAnsi="仿宋" w:eastAsia="仿宋" w:cs="仿宋"/>
          <w:color w:val="000000"/>
          <w:kern w:val="0"/>
          <w:sz w:val="32"/>
          <w:szCs w:val="32"/>
          <w:lang w:eastAsia="zh-Hans" w:bidi="ar"/>
        </w:rPr>
      </w:pPr>
      <w:r>
        <w:rPr>
          <w:rFonts w:ascii="仿宋" w:hAnsi="仿宋" w:eastAsia="仿宋" w:cs="仿宋"/>
          <w:color w:val="000000"/>
          <w:kern w:val="0"/>
          <w:sz w:val="32"/>
          <w:szCs w:val="32"/>
          <w:lang w:bidi="ar"/>
        </w:rPr>
        <w:t>2.</w:t>
      </w:r>
      <w:r>
        <w:rPr>
          <w:rFonts w:hint="eastAsia" w:ascii="仿宋" w:hAnsi="仿宋" w:eastAsia="仿宋" w:cs="仿宋"/>
          <w:color w:val="000000"/>
          <w:kern w:val="0"/>
          <w:sz w:val="32"/>
          <w:szCs w:val="32"/>
          <w:lang w:bidi="ar"/>
        </w:rPr>
        <w:t>编造研究过程，伪造、篡改研究数据、图表、结论、检测报告或用户使用报告；</w:t>
      </w:r>
    </w:p>
    <w:p>
      <w:pPr>
        <w:widowControl/>
        <w:adjustRightInd w:val="0"/>
        <w:snapToGrid w:val="0"/>
        <w:spacing w:line="596" w:lineRule="exact"/>
        <w:ind w:firstLine="640" w:firstLineChars="200"/>
        <w:rPr>
          <w:rFonts w:ascii="仿宋" w:hAnsi="仿宋" w:eastAsia="仿宋" w:cs="仿宋"/>
          <w:color w:val="000000"/>
          <w:kern w:val="0"/>
          <w:sz w:val="32"/>
          <w:szCs w:val="32"/>
          <w:lang w:eastAsia="zh-Hans" w:bidi="ar"/>
        </w:rPr>
      </w:pPr>
      <w:r>
        <w:rPr>
          <w:rFonts w:ascii="仿宋" w:hAnsi="仿宋" w:eastAsia="仿宋" w:cs="仿宋"/>
          <w:color w:val="000000"/>
          <w:kern w:val="0"/>
          <w:sz w:val="32"/>
          <w:szCs w:val="32"/>
          <w:lang w:bidi="ar"/>
        </w:rPr>
        <w:t>3.</w:t>
      </w:r>
      <w:r>
        <w:rPr>
          <w:rFonts w:hint="eastAsia" w:ascii="仿宋" w:hAnsi="仿宋" w:eastAsia="仿宋" w:cs="仿宋"/>
          <w:color w:val="000000"/>
          <w:kern w:val="0"/>
          <w:sz w:val="32"/>
          <w:szCs w:val="32"/>
          <w:lang w:bidi="ar"/>
        </w:rPr>
        <w:t>买卖、代写论文或项目申请书，虚构同行评议专家及评议意见；</w:t>
      </w:r>
    </w:p>
    <w:p>
      <w:pPr>
        <w:widowControl/>
        <w:adjustRightInd w:val="0"/>
        <w:snapToGrid w:val="0"/>
        <w:spacing w:line="596" w:lineRule="exact"/>
        <w:ind w:firstLine="640" w:firstLineChars="200"/>
        <w:rPr>
          <w:rFonts w:ascii="仿宋" w:hAnsi="仿宋" w:eastAsia="仿宋" w:cs="仿宋"/>
          <w:color w:val="000000"/>
          <w:kern w:val="0"/>
          <w:sz w:val="32"/>
          <w:szCs w:val="32"/>
          <w:lang w:eastAsia="zh-Hans" w:bidi="ar"/>
        </w:rPr>
      </w:pPr>
      <w:r>
        <w:rPr>
          <w:rFonts w:ascii="仿宋" w:hAnsi="仿宋" w:eastAsia="仿宋" w:cs="仿宋"/>
          <w:color w:val="000000"/>
          <w:kern w:val="0"/>
          <w:sz w:val="32"/>
          <w:szCs w:val="32"/>
          <w:lang w:bidi="ar"/>
        </w:rPr>
        <w:t>4.</w:t>
      </w:r>
      <w:r>
        <w:rPr>
          <w:rFonts w:hint="eastAsia" w:ascii="仿宋" w:hAnsi="仿宋" w:eastAsia="仿宋" w:cs="仿宋"/>
          <w:color w:val="000000"/>
          <w:kern w:val="0"/>
          <w:sz w:val="32"/>
          <w:szCs w:val="32"/>
          <w:lang w:bidi="ar"/>
        </w:rPr>
        <w:t>以故意提供虚假信息等弄虚作假的方式或采取贿赂、利益交换等不正当手段获得科研活动审批，获取科技计划项目（专项、基金等）、科研经费、奖励、荣誉、职务职称等；</w:t>
      </w:r>
    </w:p>
    <w:p>
      <w:pPr>
        <w:widowControl/>
        <w:adjustRightInd w:val="0"/>
        <w:snapToGrid w:val="0"/>
        <w:spacing w:line="596" w:lineRule="exact"/>
        <w:ind w:firstLine="640" w:firstLineChars="200"/>
        <w:rPr>
          <w:rFonts w:ascii="仿宋" w:hAnsi="仿宋" w:eastAsia="仿宋" w:cs="仿宋"/>
          <w:color w:val="000000"/>
          <w:kern w:val="0"/>
          <w:sz w:val="32"/>
          <w:szCs w:val="32"/>
          <w:lang w:eastAsia="zh-Hans" w:bidi="ar"/>
        </w:rPr>
      </w:pPr>
      <w:r>
        <w:rPr>
          <w:rFonts w:ascii="仿宋" w:hAnsi="仿宋" w:eastAsia="仿宋" w:cs="仿宋"/>
          <w:color w:val="000000"/>
          <w:kern w:val="0"/>
          <w:sz w:val="32"/>
          <w:szCs w:val="32"/>
          <w:lang w:bidi="ar"/>
        </w:rPr>
        <w:t>5.</w:t>
      </w:r>
      <w:r>
        <w:rPr>
          <w:rFonts w:hint="eastAsia" w:ascii="仿宋" w:hAnsi="仿宋" w:eastAsia="仿宋" w:cs="仿宋"/>
          <w:color w:val="000000"/>
          <w:kern w:val="0"/>
          <w:sz w:val="32"/>
          <w:szCs w:val="32"/>
          <w:lang w:bidi="ar"/>
        </w:rPr>
        <w:t>违反科研伦理规范；</w:t>
      </w:r>
    </w:p>
    <w:p>
      <w:pPr>
        <w:widowControl/>
        <w:adjustRightInd w:val="0"/>
        <w:snapToGrid w:val="0"/>
        <w:spacing w:line="596" w:lineRule="exact"/>
        <w:ind w:firstLine="640" w:firstLineChars="200"/>
        <w:rPr>
          <w:rFonts w:ascii="仿宋" w:hAnsi="仿宋" w:eastAsia="仿宋" w:cs="仿宋"/>
          <w:color w:val="000000"/>
          <w:kern w:val="0"/>
          <w:sz w:val="32"/>
          <w:szCs w:val="32"/>
          <w:lang w:eastAsia="zh-Hans" w:bidi="ar"/>
        </w:rPr>
      </w:pPr>
      <w:r>
        <w:rPr>
          <w:rFonts w:ascii="仿宋" w:hAnsi="仿宋" w:eastAsia="仿宋" w:cs="仿宋"/>
          <w:color w:val="000000"/>
          <w:kern w:val="0"/>
          <w:sz w:val="32"/>
          <w:szCs w:val="32"/>
          <w:lang w:bidi="ar"/>
        </w:rPr>
        <w:t>6.</w:t>
      </w:r>
      <w:r>
        <w:rPr>
          <w:rFonts w:hint="eastAsia" w:ascii="仿宋" w:hAnsi="仿宋" w:eastAsia="仿宋" w:cs="仿宋"/>
          <w:color w:val="000000"/>
          <w:kern w:val="0"/>
          <w:sz w:val="32"/>
          <w:szCs w:val="32"/>
          <w:lang w:bidi="ar"/>
        </w:rPr>
        <w:t>违反奖励、专利等研究成果署名及论文发表规范；</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ascii="仿宋" w:hAnsi="仿宋" w:eastAsia="仿宋" w:cs="仿宋"/>
          <w:color w:val="000000"/>
          <w:kern w:val="0"/>
          <w:sz w:val="32"/>
          <w:szCs w:val="32"/>
          <w:lang w:bidi="ar"/>
        </w:rPr>
        <w:t>7.</w:t>
      </w:r>
      <w:r>
        <w:rPr>
          <w:rFonts w:hint="eastAsia" w:ascii="仿宋" w:hAnsi="仿宋" w:eastAsia="仿宋" w:cs="仿宋"/>
          <w:color w:val="000000"/>
          <w:kern w:val="0"/>
          <w:sz w:val="32"/>
          <w:szCs w:val="32"/>
          <w:lang w:bidi="ar"/>
        </w:rPr>
        <w:t>其他科研失信行为。</w:t>
      </w:r>
    </w:p>
    <w:p>
      <w:pPr>
        <w:widowControl/>
        <w:adjustRightInd w:val="0"/>
        <w:snapToGrid w:val="0"/>
        <w:spacing w:line="596"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eastAsia="zh-Hans" w:bidi="ar"/>
        </w:rPr>
        <w:t>（</w:t>
      </w:r>
      <w:r>
        <w:rPr>
          <w:rFonts w:hint="eastAsia" w:ascii="仿宋" w:hAnsi="仿宋" w:eastAsia="仿宋" w:cs="仿宋"/>
          <w:b/>
          <w:bCs/>
          <w:color w:val="000000"/>
          <w:kern w:val="0"/>
          <w:sz w:val="32"/>
          <w:szCs w:val="32"/>
          <w:lang w:bidi="ar"/>
        </w:rPr>
        <w:t>三</w:t>
      </w:r>
      <w:r>
        <w:rPr>
          <w:rFonts w:hint="eastAsia" w:ascii="仿宋" w:hAnsi="仿宋" w:eastAsia="仿宋" w:cs="仿宋"/>
          <w:b/>
          <w:bCs/>
          <w:color w:val="000000"/>
          <w:kern w:val="0"/>
          <w:sz w:val="32"/>
          <w:szCs w:val="32"/>
          <w:lang w:eastAsia="zh-Hans" w:bidi="ar"/>
        </w:rPr>
        <w:t>）</w:t>
      </w:r>
      <w:r>
        <w:rPr>
          <w:rFonts w:ascii="仿宋" w:hAnsi="仿宋" w:eastAsia="仿宋" w:cs="仿宋"/>
          <w:b/>
          <w:bCs/>
          <w:color w:val="000000"/>
          <w:kern w:val="0"/>
          <w:sz w:val="32"/>
          <w:szCs w:val="32"/>
          <w:lang w:bidi="ar"/>
        </w:rPr>
        <w:t>其他经学校或者有关学术组织、相关科研管理机构认定的其他属于科研失信的行为。</w:t>
      </w:r>
    </w:p>
    <w:p>
      <w:pPr>
        <w:widowControl/>
        <w:adjustRightInd w:val="0"/>
        <w:snapToGrid w:val="0"/>
        <w:spacing w:line="596"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bidi="ar"/>
        </w:rPr>
        <w:t>第十</w:t>
      </w:r>
      <w:r>
        <w:rPr>
          <w:rFonts w:hint="eastAsia" w:ascii="仿宋" w:hAnsi="仿宋" w:eastAsia="仿宋" w:cs="仿宋"/>
          <w:b/>
          <w:bCs/>
          <w:color w:val="000000"/>
          <w:kern w:val="0"/>
          <w:sz w:val="32"/>
          <w:szCs w:val="32"/>
          <w:lang w:eastAsia="zh-Hans" w:bidi="ar"/>
        </w:rPr>
        <w:t>二</w:t>
      </w:r>
      <w:r>
        <w:rPr>
          <w:rFonts w:hint="eastAsia" w:ascii="仿宋" w:hAnsi="仿宋" w:eastAsia="仿宋" w:cs="仿宋"/>
          <w:b/>
          <w:bCs/>
          <w:color w:val="000000"/>
          <w:kern w:val="0"/>
          <w:sz w:val="32"/>
          <w:szCs w:val="32"/>
          <w:lang w:bidi="ar"/>
        </w:rPr>
        <w:t xml:space="preserve">条 </w:t>
      </w:r>
      <w:r>
        <w:rPr>
          <w:rFonts w:hint="eastAsia" w:ascii="仿宋" w:hAnsi="仿宋" w:eastAsia="仿宋" w:cs="仿宋"/>
          <w:color w:val="000000"/>
          <w:kern w:val="0"/>
          <w:sz w:val="32"/>
          <w:szCs w:val="32"/>
          <w:lang w:bidi="ar"/>
        </w:rPr>
        <w:t>有科研失信行为且有下列情形之一的，应当认定为情节严重：</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（一）造成恶劣影响的；</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（二）存在利益输送或者利益交换的；</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（三）对举报人进行打击报复的；</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（四）有组织实施学术失信行为的；</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（五）多次实施学术失信行为的；</w:t>
      </w:r>
    </w:p>
    <w:p>
      <w:pPr>
        <w:widowControl/>
        <w:adjustRightInd w:val="0"/>
        <w:snapToGrid w:val="0"/>
        <w:spacing w:line="596"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（六）受到上级部门惩戒的；</w:t>
      </w:r>
    </w:p>
    <w:p>
      <w:pPr>
        <w:widowControl/>
        <w:adjustRightInd w:val="0"/>
        <w:snapToGrid w:val="0"/>
        <w:spacing w:line="596" w:lineRule="exact"/>
        <w:ind w:firstLine="640" w:firstLineChars="200"/>
        <w:rPr>
          <w:rFonts w:ascii="黑体" w:hAnsi="黑体" w:eastAsia="黑体" w:cs="黑体"/>
          <w:b/>
          <w:bCs/>
          <w:color w:val="000000"/>
          <w:sz w:val="32"/>
          <w:szCs w:val="32"/>
          <w:lang w:eastAsia="zh-Hans"/>
        </w:rPr>
      </w:pPr>
      <w:r>
        <w:rPr>
          <w:rFonts w:hint="eastAsia" w:ascii="仿宋" w:hAnsi="仿宋" w:eastAsia="仿宋" w:cs="仿宋"/>
          <w:color w:val="000000"/>
          <w:kern w:val="0"/>
          <w:sz w:val="32"/>
          <w:szCs w:val="32"/>
          <w:lang w:bidi="ar"/>
        </w:rPr>
        <w:t>（七）其他造成严重后果或者恶劣影响的。</w:t>
      </w:r>
    </w:p>
    <w:p>
      <w:pPr>
        <w:pStyle w:val="10"/>
        <w:spacing w:beforeAutospacing="0" w:afterAutospacing="0" w:line="596" w:lineRule="exact"/>
        <w:jc w:val="center"/>
        <w:rPr>
          <w:rFonts w:ascii="黑体" w:hAnsi="黑体" w:eastAsia="黑体" w:cs="黑体"/>
          <w:b/>
          <w:bCs/>
          <w:color w:val="000000"/>
          <w:sz w:val="32"/>
          <w:szCs w:val="32"/>
          <w:lang w:eastAsia="zh-Hans"/>
        </w:rPr>
      </w:pPr>
    </w:p>
    <w:p>
      <w:pPr>
        <w:pStyle w:val="10"/>
        <w:spacing w:beforeAutospacing="0" w:afterAutospacing="0" w:line="596" w:lineRule="exact"/>
        <w:jc w:val="center"/>
        <w:outlineLvl w:val="9"/>
        <w:rPr>
          <w:rFonts w:ascii="黑体" w:hAnsi="黑体" w:eastAsia="黑体" w:cs="黑体"/>
          <w:b/>
          <w:bCs/>
          <w:color w:val="000000"/>
          <w:sz w:val="32"/>
          <w:szCs w:val="32"/>
        </w:rPr>
      </w:pPr>
      <w:bookmarkStart w:id="1310" w:name="_Toc9078_WPSOffice_Level1"/>
      <w:r>
        <w:rPr>
          <w:rFonts w:hint="eastAsia" w:ascii="黑体" w:hAnsi="黑体" w:eastAsia="黑体" w:cs="黑体"/>
          <w:b/>
          <w:bCs/>
          <w:color w:val="000000"/>
          <w:sz w:val="32"/>
          <w:szCs w:val="32"/>
          <w:lang w:eastAsia="zh-Hans"/>
        </w:rPr>
        <w:t>第四章</w:t>
      </w:r>
      <w:r>
        <w:rPr>
          <w:rFonts w:ascii="黑体" w:hAnsi="黑体" w:eastAsia="黑体" w:cs="黑体"/>
          <w:b/>
          <w:bCs/>
          <w:color w:val="000000"/>
          <w:sz w:val="32"/>
          <w:szCs w:val="32"/>
          <w:lang w:eastAsia="zh-Hans"/>
        </w:rPr>
        <w:t xml:space="preserve"> </w:t>
      </w:r>
      <w:r>
        <w:rPr>
          <w:rFonts w:hint="eastAsia" w:ascii="黑体" w:hAnsi="黑体" w:eastAsia="黑体" w:cs="黑体"/>
          <w:b/>
          <w:bCs/>
          <w:color w:val="000000"/>
          <w:sz w:val="32"/>
          <w:szCs w:val="32"/>
        </w:rPr>
        <w:t>科研失信行为处理</w:t>
      </w:r>
      <w:bookmarkEnd w:id="1310"/>
    </w:p>
    <w:p>
      <w:pPr>
        <w:pStyle w:val="10"/>
        <w:adjustRightInd w:val="0"/>
        <w:snapToGrid w:val="0"/>
        <w:spacing w:beforeAutospacing="0" w:afterAutospacing="0" w:line="596" w:lineRule="exact"/>
        <w:ind w:firstLine="643" w:firstLineChars="200"/>
        <w:jc w:val="both"/>
        <w:rPr>
          <w:rFonts w:ascii="仿宋" w:hAnsi="仿宋" w:eastAsia="仿宋" w:cs="仿宋"/>
          <w:color w:val="000000"/>
          <w:sz w:val="32"/>
          <w:szCs w:val="32"/>
          <w:lang w:eastAsia="zh-Hans" w:bidi="ar"/>
        </w:rPr>
      </w:pPr>
      <w:r>
        <w:rPr>
          <w:rFonts w:hint="eastAsia" w:ascii="仿宋" w:hAnsi="仿宋" w:eastAsia="仿宋" w:cs="仿宋"/>
          <w:b/>
          <w:bCs/>
          <w:color w:val="000000"/>
          <w:sz w:val="32"/>
          <w:szCs w:val="32"/>
          <w:lang w:bidi="ar"/>
        </w:rPr>
        <w:t>第十</w:t>
      </w:r>
      <w:r>
        <w:rPr>
          <w:rFonts w:hint="eastAsia" w:ascii="仿宋" w:hAnsi="仿宋" w:eastAsia="仿宋" w:cs="仿宋"/>
          <w:b/>
          <w:bCs/>
          <w:color w:val="000000"/>
          <w:sz w:val="32"/>
          <w:szCs w:val="32"/>
          <w:lang w:eastAsia="zh-Hans" w:bidi="ar"/>
        </w:rPr>
        <w:t>三</w:t>
      </w:r>
      <w:r>
        <w:rPr>
          <w:rFonts w:hint="eastAsia" w:ascii="仿宋" w:hAnsi="仿宋" w:eastAsia="仿宋" w:cs="仿宋"/>
          <w:b/>
          <w:bCs/>
          <w:color w:val="000000"/>
          <w:sz w:val="32"/>
          <w:szCs w:val="32"/>
          <w:lang w:bidi="ar"/>
        </w:rPr>
        <w:t>条</w:t>
      </w:r>
      <w:r>
        <w:rPr>
          <w:rFonts w:hint="eastAsia" w:ascii="仿宋" w:hAnsi="仿宋" w:eastAsia="仿宋" w:cs="仿宋"/>
          <w:color w:val="000000"/>
          <w:sz w:val="32"/>
          <w:szCs w:val="32"/>
          <w:lang w:bidi="ar"/>
        </w:rPr>
        <w:t xml:space="preserve"> </w:t>
      </w:r>
      <w:r>
        <w:rPr>
          <w:rFonts w:hint="eastAsia" w:ascii="仿宋" w:hAnsi="仿宋" w:eastAsia="仿宋" w:cs="仿宋"/>
          <w:color w:val="000000"/>
          <w:sz w:val="32"/>
          <w:szCs w:val="32"/>
          <w:lang w:eastAsia="zh-Hans" w:bidi="ar"/>
        </w:rPr>
        <w:t>学校学术委会会秘书处负责受理科研失信行为的举报。对媒体公开报道、其他学术机构或者社会组织主动披露的涉及我校人员的科研失信行为，学校学术委会会秘书处负责受理。</w:t>
      </w:r>
    </w:p>
    <w:p>
      <w:pPr>
        <w:pStyle w:val="10"/>
        <w:adjustRightInd w:val="0"/>
        <w:snapToGrid w:val="0"/>
        <w:spacing w:beforeAutospacing="0" w:afterAutospacing="0" w:line="596" w:lineRule="exact"/>
        <w:ind w:firstLine="643" w:firstLineChars="200"/>
        <w:jc w:val="both"/>
        <w:rPr>
          <w:rFonts w:ascii="仿宋" w:hAnsi="仿宋" w:eastAsia="仿宋" w:cs="仿宋"/>
          <w:color w:val="000000"/>
          <w:sz w:val="32"/>
          <w:szCs w:val="32"/>
          <w:lang w:bidi="ar"/>
        </w:rPr>
      </w:pPr>
      <w:r>
        <w:rPr>
          <w:rFonts w:ascii="仿宋" w:hAnsi="仿宋" w:eastAsia="仿宋" w:cs="仿宋"/>
          <w:b/>
          <w:bCs/>
          <w:color w:val="000000"/>
          <w:sz w:val="32"/>
          <w:szCs w:val="32"/>
          <w:lang w:bidi="ar"/>
        </w:rPr>
        <w:t>第十</w:t>
      </w:r>
      <w:r>
        <w:rPr>
          <w:rFonts w:hint="eastAsia" w:ascii="仿宋" w:hAnsi="仿宋" w:eastAsia="仿宋" w:cs="仿宋"/>
          <w:b/>
          <w:bCs/>
          <w:color w:val="000000"/>
          <w:sz w:val="32"/>
          <w:szCs w:val="32"/>
          <w:lang w:eastAsia="zh-Hans" w:bidi="ar"/>
        </w:rPr>
        <w:t>四</w:t>
      </w:r>
      <w:r>
        <w:rPr>
          <w:rFonts w:ascii="仿宋" w:hAnsi="仿宋" w:eastAsia="仿宋" w:cs="仿宋"/>
          <w:b/>
          <w:bCs/>
          <w:color w:val="000000"/>
          <w:sz w:val="32"/>
          <w:szCs w:val="32"/>
          <w:lang w:bidi="ar"/>
        </w:rPr>
        <w:t>条</w:t>
      </w:r>
      <w:r>
        <w:rPr>
          <w:rFonts w:hint="eastAsia" w:ascii="仿宋" w:hAnsi="仿宋" w:eastAsia="仿宋" w:cs="仿宋"/>
          <w:b/>
          <w:bCs/>
          <w:color w:val="000000"/>
          <w:sz w:val="32"/>
          <w:szCs w:val="32"/>
          <w:lang w:bidi="ar"/>
        </w:rPr>
        <w:t xml:space="preserve"> </w:t>
      </w:r>
      <w:r>
        <w:rPr>
          <w:rFonts w:hint="eastAsia" w:ascii="仿宋" w:hAnsi="仿宋" w:eastAsia="仿宋" w:cs="仿宋"/>
          <w:color w:val="000000"/>
          <w:sz w:val="32"/>
          <w:szCs w:val="32"/>
          <w:lang w:bidi="ar"/>
        </w:rPr>
        <w:t>对科研失信行为的举报，一般应当以书面形式实名提出，并符合下列条件：</w:t>
      </w:r>
    </w:p>
    <w:p>
      <w:pPr>
        <w:pStyle w:val="10"/>
        <w:adjustRightInd w:val="0"/>
        <w:snapToGrid w:val="0"/>
        <w:spacing w:beforeAutospacing="0" w:afterAutospacing="0" w:line="596" w:lineRule="exact"/>
        <w:ind w:firstLine="640" w:firstLineChars="200"/>
        <w:rPr>
          <w:rFonts w:ascii="仿宋" w:hAnsi="仿宋" w:eastAsia="仿宋" w:cs="仿宋"/>
          <w:color w:val="000000"/>
          <w:sz w:val="32"/>
          <w:szCs w:val="32"/>
          <w:lang w:bidi="ar"/>
        </w:rPr>
      </w:pPr>
      <w:r>
        <w:rPr>
          <w:rFonts w:hint="eastAsia" w:ascii="仿宋" w:hAnsi="仿宋" w:eastAsia="仿宋" w:cs="仿宋"/>
          <w:color w:val="000000"/>
          <w:sz w:val="32"/>
          <w:szCs w:val="32"/>
          <w:lang w:bidi="ar"/>
        </w:rPr>
        <w:t>（一）</w:t>
      </w:r>
      <w:r>
        <w:rPr>
          <w:rFonts w:ascii="仿宋" w:hAnsi="仿宋" w:eastAsia="仿宋" w:cs="仿宋"/>
          <w:color w:val="000000"/>
          <w:sz w:val="32"/>
          <w:szCs w:val="32"/>
          <w:lang w:bidi="ar"/>
        </w:rPr>
        <w:t>有明确的举报对象；</w:t>
      </w:r>
    </w:p>
    <w:p>
      <w:pPr>
        <w:pStyle w:val="10"/>
        <w:adjustRightInd w:val="0"/>
        <w:snapToGrid w:val="0"/>
        <w:spacing w:beforeAutospacing="0" w:afterAutospacing="0" w:line="596" w:lineRule="exact"/>
        <w:ind w:firstLine="640" w:firstLineChars="200"/>
        <w:rPr>
          <w:rFonts w:ascii="仿宋" w:hAnsi="仿宋" w:eastAsia="仿宋" w:cs="仿宋"/>
          <w:color w:val="000000"/>
          <w:sz w:val="32"/>
          <w:szCs w:val="32"/>
          <w:lang w:bidi="ar"/>
        </w:rPr>
      </w:pPr>
      <w:r>
        <w:rPr>
          <w:rFonts w:ascii="仿宋" w:hAnsi="仿宋" w:eastAsia="仿宋" w:cs="仿宋"/>
          <w:color w:val="000000"/>
          <w:sz w:val="32"/>
          <w:szCs w:val="32"/>
          <w:lang w:bidi="ar"/>
        </w:rPr>
        <w:t>（二）有明确的违规事实；</w:t>
      </w:r>
    </w:p>
    <w:p>
      <w:pPr>
        <w:pStyle w:val="10"/>
        <w:adjustRightInd w:val="0"/>
        <w:snapToGrid w:val="0"/>
        <w:spacing w:beforeAutospacing="0" w:afterAutospacing="0" w:line="596" w:lineRule="exact"/>
        <w:ind w:firstLine="640" w:firstLineChars="200"/>
        <w:rPr>
          <w:rFonts w:ascii="仿宋" w:hAnsi="仿宋" w:eastAsia="仿宋" w:cs="仿宋"/>
          <w:color w:val="000000"/>
          <w:sz w:val="32"/>
          <w:szCs w:val="32"/>
          <w:lang w:bidi="ar"/>
        </w:rPr>
      </w:pPr>
      <w:r>
        <w:rPr>
          <w:rFonts w:ascii="仿宋" w:hAnsi="仿宋" w:eastAsia="仿宋" w:cs="仿宋"/>
          <w:color w:val="000000"/>
          <w:sz w:val="32"/>
          <w:szCs w:val="32"/>
          <w:lang w:bidi="ar"/>
        </w:rPr>
        <w:t>（三）有客观、明确的证据材料或查证线索。</w:t>
      </w:r>
    </w:p>
    <w:p>
      <w:pPr>
        <w:pStyle w:val="10"/>
        <w:adjustRightInd w:val="0"/>
        <w:snapToGrid w:val="0"/>
        <w:spacing w:beforeAutospacing="0" w:afterAutospacing="0" w:line="596" w:lineRule="exact"/>
        <w:rPr>
          <w:rFonts w:ascii="仿宋" w:hAnsi="仿宋" w:eastAsia="仿宋" w:cs="仿宋"/>
          <w:color w:val="000000"/>
          <w:sz w:val="32"/>
          <w:szCs w:val="32"/>
          <w:lang w:eastAsia="zh-Hans" w:bidi="ar"/>
        </w:rPr>
      </w:pPr>
      <w:r>
        <w:rPr>
          <w:rFonts w:hint="eastAsia" w:ascii="仿宋" w:hAnsi="仿宋" w:eastAsia="仿宋" w:cs="仿宋"/>
          <w:color w:val="000000"/>
          <w:sz w:val="32"/>
          <w:szCs w:val="32"/>
          <w:lang w:eastAsia="zh-Hans" w:bidi="ar"/>
        </w:rPr>
        <w:t>以匿名方式举报，但事实清楚、证据充分或者线索明确的，应视情况予以受理。</w:t>
      </w:r>
    </w:p>
    <w:p>
      <w:pPr>
        <w:pStyle w:val="10"/>
        <w:adjustRightInd w:val="0"/>
        <w:snapToGrid w:val="0"/>
        <w:spacing w:beforeAutospacing="0" w:afterAutospacing="0" w:line="596" w:lineRule="exact"/>
        <w:ind w:firstLine="643" w:firstLineChars="200"/>
        <w:jc w:val="both"/>
        <w:rPr>
          <w:rFonts w:ascii="仿宋" w:hAnsi="仿宋" w:eastAsia="仿宋" w:cs="仿宋"/>
          <w:color w:val="000000"/>
          <w:sz w:val="32"/>
          <w:szCs w:val="32"/>
          <w:lang w:bidi="ar"/>
        </w:rPr>
      </w:pPr>
      <w:r>
        <w:rPr>
          <w:rFonts w:ascii="仿宋" w:hAnsi="仿宋" w:eastAsia="仿宋" w:cs="仿宋"/>
          <w:b/>
          <w:bCs/>
          <w:color w:val="000000"/>
          <w:sz w:val="32"/>
          <w:szCs w:val="32"/>
          <w:lang w:bidi="ar"/>
        </w:rPr>
        <w:t>第十</w:t>
      </w:r>
      <w:r>
        <w:rPr>
          <w:rFonts w:hint="eastAsia" w:ascii="仿宋" w:hAnsi="仿宋" w:eastAsia="仿宋" w:cs="仿宋"/>
          <w:b/>
          <w:bCs/>
          <w:color w:val="000000"/>
          <w:sz w:val="32"/>
          <w:szCs w:val="32"/>
          <w:lang w:eastAsia="zh-Hans" w:bidi="ar"/>
        </w:rPr>
        <w:t>五</w:t>
      </w:r>
      <w:r>
        <w:rPr>
          <w:rFonts w:ascii="仿宋" w:hAnsi="仿宋" w:eastAsia="仿宋" w:cs="仿宋"/>
          <w:b/>
          <w:bCs/>
          <w:color w:val="000000"/>
          <w:sz w:val="32"/>
          <w:szCs w:val="32"/>
          <w:lang w:bidi="ar"/>
        </w:rPr>
        <w:t>条</w:t>
      </w:r>
      <w:r>
        <w:rPr>
          <w:rFonts w:hint="eastAsia" w:ascii="仿宋" w:hAnsi="仿宋" w:eastAsia="仿宋" w:cs="仿宋"/>
          <w:b/>
          <w:bCs/>
          <w:color w:val="000000"/>
          <w:sz w:val="32"/>
          <w:szCs w:val="32"/>
          <w:lang w:bidi="ar"/>
        </w:rPr>
        <w:t xml:space="preserve"> </w:t>
      </w:r>
      <w:r>
        <w:rPr>
          <w:rFonts w:ascii="仿宋" w:hAnsi="仿宋" w:eastAsia="仿宋" w:cs="仿宋"/>
          <w:color w:val="000000"/>
          <w:sz w:val="32"/>
          <w:szCs w:val="32"/>
          <w:lang w:bidi="ar"/>
        </w:rPr>
        <w:t>下列举报，不予受理：</w:t>
      </w:r>
    </w:p>
    <w:p>
      <w:pPr>
        <w:pStyle w:val="10"/>
        <w:adjustRightInd w:val="0"/>
        <w:snapToGrid w:val="0"/>
        <w:spacing w:beforeAutospacing="0" w:afterAutospacing="0" w:line="596" w:lineRule="exact"/>
        <w:ind w:firstLine="640" w:firstLineChars="200"/>
        <w:jc w:val="both"/>
        <w:rPr>
          <w:rFonts w:ascii="仿宋" w:hAnsi="仿宋" w:eastAsia="仿宋" w:cs="仿宋"/>
          <w:color w:val="000000"/>
          <w:sz w:val="32"/>
          <w:szCs w:val="32"/>
          <w:lang w:bidi="ar"/>
        </w:rPr>
      </w:pPr>
      <w:r>
        <w:rPr>
          <w:rFonts w:ascii="仿宋" w:hAnsi="仿宋" w:eastAsia="仿宋" w:cs="仿宋"/>
          <w:color w:val="000000"/>
          <w:sz w:val="32"/>
          <w:szCs w:val="32"/>
          <w:lang w:bidi="ar"/>
        </w:rPr>
        <w:t>（一）举报内容不属于科研失信行为的；</w:t>
      </w:r>
    </w:p>
    <w:p>
      <w:pPr>
        <w:pStyle w:val="10"/>
        <w:adjustRightInd w:val="0"/>
        <w:snapToGrid w:val="0"/>
        <w:spacing w:beforeAutospacing="0" w:afterAutospacing="0" w:line="596" w:lineRule="exact"/>
        <w:ind w:firstLine="640" w:firstLineChars="200"/>
        <w:jc w:val="both"/>
        <w:rPr>
          <w:rFonts w:ascii="仿宋" w:hAnsi="仿宋" w:eastAsia="仿宋" w:cs="仿宋"/>
          <w:color w:val="000000"/>
          <w:sz w:val="32"/>
          <w:szCs w:val="32"/>
          <w:lang w:bidi="ar"/>
        </w:rPr>
      </w:pPr>
      <w:r>
        <w:rPr>
          <w:rFonts w:ascii="仿宋" w:hAnsi="仿宋" w:eastAsia="仿宋" w:cs="仿宋"/>
          <w:color w:val="000000"/>
          <w:sz w:val="32"/>
          <w:szCs w:val="32"/>
          <w:lang w:bidi="ar"/>
        </w:rPr>
        <w:t>（二）没有明确的证据和可查线索的；</w:t>
      </w:r>
    </w:p>
    <w:p>
      <w:pPr>
        <w:pStyle w:val="10"/>
        <w:adjustRightInd w:val="0"/>
        <w:snapToGrid w:val="0"/>
        <w:spacing w:beforeAutospacing="0" w:afterAutospacing="0" w:line="596" w:lineRule="exact"/>
        <w:ind w:firstLine="640" w:firstLineChars="200"/>
        <w:jc w:val="both"/>
        <w:rPr>
          <w:rFonts w:ascii="仿宋" w:hAnsi="仿宋" w:eastAsia="仿宋" w:cs="仿宋"/>
          <w:color w:val="000000"/>
          <w:sz w:val="32"/>
          <w:szCs w:val="32"/>
          <w:lang w:bidi="ar"/>
        </w:rPr>
      </w:pPr>
      <w:r>
        <w:rPr>
          <w:rFonts w:ascii="仿宋" w:hAnsi="仿宋" w:eastAsia="仿宋" w:cs="仿宋"/>
          <w:color w:val="000000"/>
          <w:sz w:val="32"/>
          <w:szCs w:val="32"/>
          <w:lang w:bidi="ar"/>
        </w:rPr>
        <w:t>（三）对同一对象重复举报且无新的证据、线索的；</w:t>
      </w:r>
    </w:p>
    <w:p>
      <w:pPr>
        <w:pStyle w:val="10"/>
        <w:adjustRightInd w:val="0"/>
        <w:snapToGrid w:val="0"/>
        <w:spacing w:beforeAutospacing="0" w:afterAutospacing="0" w:line="596" w:lineRule="exact"/>
        <w:ind w:firstLine="640" w:firstLineChars="200"/>
        <w:jc w:val="both"/>
        <w:rPr>
          <w:rFonts w:ascii="仿宋" w:hAnsi="仿宋" w:eastAsia="仿宋" w:cs="仿宋"/>
          <w:color w:val="000000"/>
          <w:sz w:val="32"/>
          <w:szCs w:val="32"/>
          <w:lang w:bidi="ar"/>
        </w:rPr>
      </w:pPr>
      <w:r>
        <w:rPr>
          <w:rFonts w:ascii="仿宋" w:hAnsi="仿宋" w:eastAsia="仿宋" w:cs="仿宋"/>
          <w:color w:val="000000"/>
          <w:sz w:val="32"/>
          <w:szCs w:val="32"/>
          <w:lang w:bidi="ar"/>
        </w:rPr>
        <w:t>（四）已经做出生效处理决定且无新的证据、线索的。</w:t>
      </w:r>
    </w:p>
    <w:p>
      <w:pPr>
        <w:pStyle w:val="10"/>
        <w:spacing w:beforeAutospacing="0" w:afterAutospacing="0" w:line="596" w:lineRule="exact"/>
        <w:ind w:firstLine="643" w:firstLineChars="200"/>
        <w:jc w:val="both"/>
        <w:rPr>
          <w:rFonts w:ascii="仿宋" w:hAnsi="仿宋" w:eastAsia="仿宋" w:cs="仿宋"/>
          <w:color w:val="000000"/>
          <w:sz w:val="32"/>
          <w:szCs w:val="32"/>
          <w:lang w:eastAsia="zh-Hans" w:bidi="ar"/>
        </w:rPr>
      </w:pPr>
      <w:r>
        <w:rPr>
          <w:rFonts w:ascii="仿宋" w:hAnsi="仿宋" w:eastAsia="仿宋" w:cs="仿宋"/>
          <w:b/>
          <w:bCs/>
          <w:color w:val="000000"/>
          <w:sz w:val="32"/>
          <w:szCs w:val="32"/>
          <w:lang w:bidi="ar"/>
        </w:rPr>
        <w:t>第十</w:t>
      </w:r>
      <w:r>
        <w:rPr>
          <w:rFonts w:hint="eastAsia" w:ascii="仿宋" w:hAnsi="仿宋" w:eastAsia="仿宋" w:cs="仿宋"/>
          <w:b/>
          <w:bCs/>
          <w:color w:val="000000"/>
          <w:sz w:val="32"/>
          <w:szCs w:val="32"/>
          <w:lang w:eastAsia="zh-Hans" w:bidi="ar"/>
        </w:rPr>
        <w:t>六</w:t>
      </w:r>
      <w:r>
        <w:rPr>
          <w:rFonts w:ascii="仿宋" w:hAnsi="仿宋" w:eastAsia="仿宋" w:cs="仿宋"/>
          <w:b/>
          <w:bCs/>
          <w:color w:val="000000"/>
          <w:sz w:val="32"/>
          <w:szCs w:val="32"/>
          <w:lang w:bidi="ar"/>
        </w:rPr>
        <w:t>条</w:t>
      </w:r>
      <w:r>
        <w:rPr>
          <w:rFonts w:hint="eastAsia" w:ascii="仿宋" w:hAnsi="仿宋" w:eastAsia="仿宋" w:cs="仿宋"/>
          <w:b/>
          <w:bCs/>
          <w:color w:val="000000"/>
          <w:sz w:val="32"/>
          <w:szCs w:val="32"/>
          <w:lang w:bidi="ar"/>
        </w:rPr>
        <w:t xml:space="preserve"> </w:t>
      </w:r>
      <w:r>
        <w:rPr>
          <w:rFonts w:ascii="仿宋" w:hAnsi="仿宋" w:eastAsia="仿宋" w:cs="仿宋"/>
          <w:color w:val="000000"/>
          <w:sz w:val="32"/>
          <w:szCs w:val="32"/>
          <w:lang w:bidi="ar"/>
        </w:rPr>
        <w:t>接到举报15个工作日</w:t>
      </w:r>
      <w:r>
        <w:rPr>
          <w:rFonts w:hint="eastAsia" w:ascii="仿宋" w:hAnsi="仿宋" w:eastAsia="仿宋" w:cs="仿宋"/>
          <w:color w:val="000000"/>
          <w:sz w:val="32"/>
          <w:szCs w:val="32"/>
          <w:lang w:eastAsia="zh-Hans" w:bidi="ar"/>
        </w:rPr>
        <w:t>（原则上）完成</w:t>
      </w:r>
      <w:r>
        <w:rPr>
          <w:rFonts w:ascii="仿宋" w:hAnsi="仿宋" w:eastAsia="仿宋" w:cs="仿宋"/>
          <w:color w:val="000000"/>
          <w:sz w:val="32"/>
          <w:szCs w:val="32"/>
          <w:lang w:bidi="ar"/>
        </w:rPr>
        <w:t>初核。初核由2名</w:t>
      </w:r>
      <w:r>
        <w:rPr>
          <w:rFonts w:hint="eastAsia" w:ascii="仿宋" w:hAnsi="仿宋" w:eastAsia="仿宋" w:cs="仿宋"/>
          <w:color w:val="000000"/>
          <w:sz w:val="32"/>
          <w:szCs w:val="32"/>
          <w:lang w:eastAsia="zh-Hans" w:bidi="ar"/>
        </w:rPr>
        <w:t>及以上</w:t>
      </w:r>
      <w:r>
        <w:rPr>
          <w:rFonts w:ascii="仿宋" w:hAnsi="仿宋" w:eastAsia="仿宋" w:cs="仿宋"/>
          <w:color w:val="000000"/>
          <w:sz w:val="32"/>
          <w:szCs w:val="32"/>
          <w:lang w:bidi="ar"/>
        </w:rPr>
        <w:t>工作人员进行。初核符合受理条件的，予以受理。其中，属于</w:t>
      </w:r>
      <w:r>
        <w:rPr>
          <w:rFonts w:hint="eastAsia" w:ascii="仿宋" w:hAnsi="仿宋" w:eastAsia="仿宋" w:cs="仿宋"/>
          <w:color w:val="000000"/>
          <w:sz w:val="32"/>
          <w:szCs w:val="32"/>
          <w:lang w:eastAsia="zh-Hans" w:bidi="ar"/>
        </w:rPr>
        <w:t>学校</w:t>
      </w:r>
      <w:r>
        <w:rPr>
          <w:rFonts w:ascii="仿宋" w:hAnsi="仿宋" w:eastAsia="仿宋" w:cs="仿宋"/>
          <w:color w:val="000000"/>
          <w:sz w:val="32"/>
          <w:szCs w:val="32"/>
          <w:lang w:bidi="ar"/>
        </w:rPr>
        <w:t>职责范围的，由</w:t>
      </w:r>
      <w:r>
        <w:rPr>
          <w:rFonts w:hint="eastAsia" w:ascii="仿宋" w:hAnsi="仿宋" w:eastAsia="仿宋" w:cs="仿宋"/>
          <w:color w:val="000000"/>
          <w:sz w:val="32"/>
          <w:szCs w:val="32"/>
          <w:lang w:eastAsia="zh-Hans" w:bidi="ar"/>
        </w:rPr>
        <w:t>学校</w:t>
      </w:r>
      <w:r>
        <w:rPr>
          <w:rFonts w:ascii="仿宋" w:hAnsi="仿宋" w:eastAsia="仿宋" w:cs="仿宋"/>
          <w:color w:val="000000"/>
          <w:sz w:val="32"/>
          <w:szCs w:val="32"/>
          <w:lang w:bidi="ar"/>
        </w:rPr>
        <w:t>调查；不属于</w:t>
      </w:r>
      <w:r>
        <w:rPr>
          <w:rFonts w:hint="eastAsia" w:ascii="仿宋" w:hAnsi="仿宋" w:eastAsia="仿宋" w:cs="仿宋"/>
          <w:color w:val="000000"/>
          <w:sz w:val="32"/>
          <w:szCs w:val="32"/>
          <w:lang w:eastAsia="zh-Hans" w:bidi="ar"/>
        </w:rPr>
        <w:t>学校</w:t>
      </w:r>
      <w:r>
        <w:rPr>
          <w:rFonts w:ascii="仿宋" w:hAnsi="仿宋" w:eastAsia="仿宋" w:cs="仿宋"/>
          <w:color w:val="000000"/>
          <w:sz w:val="32"/>
          <w:szCs w:val="32"/>
          <w:lang w:bidi="ar"/>
        </w:rPr>
        <w:t>职责范围的，可转送相关责任单位或告知举报人向相关责任单位举报。举报受理情况在完成初核后5个工作日</w:t>
      </w:r>
      <w:r>
        <w:rPr>
          <w:rFonts w:hint="eastAsia" w:ascii="仿宋" w:hAnsi="仿宋" w:eastAsia="仿宋" w:cs="仿宋"/>
          <w:color w:val="000000"/>
          <w:sz w:val="32"/>
          <w:szCs w:val="32"/>
          <w:lang w:eastAsia="zh-Hans" w:bidi="ar"/>
        </w:rPr>
        <w:t>（原则上）</w:t>
      </w:r>
      <w:r>
        <w:rPr>
          <w:rFonts w:ascii="仿宋" w:hAnsi="仿宋" w:eastAsia="仿宋" w:cs="仿宋"/>
          <w:color w:val="000000"/>
          <w:sz w:val="32"/>
          <w:szCs w:val="32"/>
          <w:lang w:bidi="ar"/>
        </w:rPr>
        <w:t>内通知实名举报人，不予受理的应说明情况。举报人可以对不予受理提出异议并说明理由，符合受理条件的，应当受理；异议不成立的，不予受理。</w:t>
      </w:r>
    </w:p>
    <w:p>
      <w:pPr>
        <w:widowControl/>
        <w:spacing w:line="596" w:lineRule="exact"/>
        <w:ind w:firstLine="643" w:firstLineChars="200"/>
        <w:jc w:val="left"/>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eastAsia="zh-Hans" w:bidi="ar"/>
        </w:rPr>
        <w:t>第十七条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eastAsia="zh-Hans" w:bidi="ar"/>
        </w:rPr>
        <w:t>处理程序和要求。</w:t>
      </w:r>
      <w:r>
        <w:rPr>
          <w:rFonts w:ascii="仿宋" w:hAnsi="仿宋" w:eastAsia="仿宋" w:cs="仿宋"/>
          <w:color w:val="000000"/>
          <w:kern w:val="0"/>
          <w:sz w:val="32"/>
          <w:szCs w:val="32"/>
          <w:lang w:eastAsia="zh-Hans" w:bidi="ar"/>
        </w:rPr>
        <w:t>调查应包括行政调查和学术评议。行政调查由</w:t>
      </w:r>
      <w:r>
        <w:rPr>
          <w:rFonts w:hint="eastAsia" w:ascii="仿宋" w:hAnsi="仿宋" w:eastAsia="仿宋" w:cs="仿宋"/>
          <w:color w:val="000000"/>
          <w:kern w:val="0"/>
          <w:sz w:val="32"/>
          <w:szCs w:val="32"/>
          <w:lang w:eastAsia="zh-Hans" w:bidi="ar"/>
        </w:rPr>
        <w:t>学校学校学术委员会秘书处</w:t>
      </w:r>
      <w:r>
        <w:rPr>
          <w:rFonts w:ascii="仿宋" w:hAnsi="仿宋" w:eastAsia="仿宋" w:cs="仿宋"/>
          <w:color w:val="000000"/>
          <w:kern w:val="0"/>
          <w:sz w:val="32"/>
          <w:szCs w:val="32"/>
          <w:lang w:eastAsia="zh-Hans" w:bidi="ar"/>
        </w:rPr>
        <w:t>组织对案件的事实情况进行调查。学术评议由</w:t>
      </w:r>
      <w:r>
        <w:rPr>
          <w:rFonts w:hint="eastAsia" w:ascii="仿宋" w:hAnsi="仿宋" w:eastAsia="仿宋" w:cs="仿宋"/>
          <w:color w:val="000000"/>
          <w:kern w:val="0"/>
          <w:sz w:val="32"/>
          <w:szCs w:val="32"/>
          <w:lang w:eastAsia="zh-Hans" w:bidi="ar"/>
        </w:rPr>
        <w:t>学校</w:t>
      </w:r>
      <w:r>
        <w:rPr>
          <w:rFonts w:ascii="仿宋" w:hAnsi="仿宋" w:eastAsia="仿宋" w:cs="仿宋"/>
          <w:color w:val="000000"/>
          <w:kern w:val="0"/>
          <w:sz w:val="32"/>
          <w:szCs w:val="32"/>
          <w:lang w:eastAsia="zh-Hans" w:bidi="ar"/>
        </w:rPr>
        <w:t>学术委员会</w:t>
      </w:r>
      <w:r>
        <w:rPr>
          <w:rFonts w:hint="eastAsia" w:ascii="仿宋" w:hAnsi="仿宋" w:eastAsia="仿宋" w:cs="仿宋"/>
          <w:color w:val="000000"/>
          <w:kern w:val="0"/>
          <w:sz w:val="32"/>
          <w:szCs w:val="32"/>
          <w:lang w:bidi="ar"/>
        </w:rPr>
        <w:t>按照相关程序组织开展调查</w:t>
      </w:r>
      <w:r>
        <w:rPr>
          <w:rFonts w:hint="eastAsia" w:ascii="仿宋" w:hAnsi="仿宋" w:eastAsia="仿宋" w:cs="仿宋"/>
          <w:color w:val="000000"/>
          <w:kern w:val="0"/>
          <w:sz w:val="32"/>
          <w:szCs w:val="32"/>
          <w:lang w:eastAsia="zh-Hans" w:bidi="ar"/>
        </w:rPr>
        <w:t>，</w:t>
      </w:r>
      <w:r>
        <w:rPr>
          <w:rFonts w:hint="eastAsia" w:ascii="仿宋" w:hAnsi="仿宋" w:eastAsia="仿宋" w:cs="仿宋"/>
          <w:color w:val="000000"/>
          <w:kern w:val="0"/>
          <w:sz w:val="32"/>
          <w:szCs w:val="32"/>
          <w:lang w:bidi="ar"/>
        </w:rPr>
        <w:t>提供学术判断（包括学术不端行为责任人的确认、调查过程、事实认定及理由、调查结论等），提出认定</w:t>
      </w:r>
      <w:r>
        <w:rPr>
          <w:rFonts w:hint="eastAsia" w:ascii="仿宋" w:hAnsi="仿宋" w:eastAsia="仿宋" w:cs="仿宋"/>
          <w:color w:val="000000"/>
          <w:kern w:val="0"/>
          <w:sz w:val="32"/>
          <w:szCs w:val="32"/>
          <w:lang w:eastAsia="zh-Hans" w:bidi="ar"/>
        </w:rPr>
        <w:t>和</w:t>
      </w:r>
      <w:r>
        <w:rPr>
          <w:rFonts w:hint="eastAsia" w:ascii="仿宋" w:hAnsi="仿宋" w:eastAsia="仿宋" w:cs="仿宋"/>
          <w:color w:val="000000"/>
          <w:kern w:val="0"/>
          <w:sz w:val="32"/>
          <w:szCs w:val="32"/>
          <w:lang w:bidi="ar"/>
        </w:rPr>
        <w:t>初步处理意见</w:t>
      </w:r>
      <w:r>
        <w:rPr>
          <w:rFonts w:hint="eastAsia" w:ascii="仿宋" w:hAnsi="仿宋" w:eastAsia="仿宋" w:cs="仿宋"/>
          <w:color w:val="000000"/>
          <w:kern w:val="0"/>
          <w:sz w:val="32"/>
          <w:szCs w:val="32"/>
          <w:lang w:eastAsia="zh-Hans" w:bidi="ar"/>
        </w:rPr>
        <w:t>。</w:t>
      </w:r>
    </w:p>
    <w:p>
      <w:pPr>
        <w:widowControl/>
        <w:spacing w:line="596" w:lineRule="exact"/>
        <w:ind w:firstLine="643" w:firstLineChars="200"/>
        <w:jc w:val="left"/>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eastAsia="zh-Hans" w:bidi="ar"/>
        </w:rPr>
        <w:t>第十八条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bidi="ar"/>
        </w:rPr>
        <w:t>学院</w:t>
      </w:r>
      <w:r>
        <w:rPr>
          <w:rFonts w:hint="eastAsia" w:ascii="仿宋" w:hAnsi="仿宋" w:eastAsia="仿宋" w:cs="仿宋"/>
          <w:color w:val="000000"/>
          <w:kern w:val="0"/>
          <w:sz w:val="32"/>
          <w:szCs w:val="32"/>
          <w:lang w:eastAsia="zh-Hans" w:bidi="ar"/>
        </w:rPr>
        <w:t>监察部门</w:t>
      </w:r>
      <w:r>
        <w:rPr>
          <w:rFonts w:hint="eastAsia" w:ascii="仿宋" w:hAnsi="仿宋" w:eastAsia="仿宋" w:cs="仿宋"/>
          <w:color w:val="000000"/>
          <w:kern w:val="0"/>
          <w:sz w:val="32"/>
          <w:szCs w:val="32"/>
          <w:lang w:bidi="ar"/>
        </w:rPr>
        <w:t>对科研人员违反学术道德规范行为进行惩戒。根据情节轻重，可给予通报批评、诫勉谈话、组织处理、纪律处分、解除聘用合同等处理，并责令限期改正，撤销或追缴违规所得。涉嫌违法的移送司法部门处理。以上处理方式，可以单独做出，也可以并用。</w:t>
      </w:r>
    </w:p>
    <w:p>
      <w:pPr>
        <w:widowControl/>
        <w:spacing w:line="596" w:lineRule="exact"/>
        <w:ind w:firstLine="643" w:firstLineChars="200"/>
        <w:jc w:val="left"/>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eastAsia="zh-Hans" w:bidi="ar"/>
        </w:rPr>
        <w:t>第十九条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bidi="ar"/>
        </w:rPr>
        <w:t>科</w:t>
      </w:r>
      <w:r>
        <w:rPr>
          <w:rFonts w:ascii="仿宋" w:hAnsi="仿宋" w:eastAsia="仿宋" w:cs="仿宋"/>
          <w:color w:val="000000"/>
          <w:kern w:val="0"/>
          <w:sz w:val="32"/>
          <w:szCs w:val="32"/>
          <w:lang w:bidi="ar"/>
        </w:rPr>
        <w:t>研诚信案件自决定受理之日起6个月内</w:t>
      </w:r>
      <w:r>
        <w:rPr>
          <w:rFonts w:hint="eastAsia" w:ascii="仿宋" w:hAnsi="仿宋" w:eastAsia="仿宋" w:cs="仿宋"/>
          <w:color w:val="000000"/>
          <w:kern w:val="0"/>
          <w:sz w:val="32"/>
          <w:szCs w:val="32"/>
          <w:lang w:eastAsia="zh-Hans" w:bidi="ar"/>
        </w:rPr>
        <w:t>（原则上）</w:t>
      </w:r>
      <w:r>
        <w:rPr>
          <w:rFonts w:ascii="仿宋" w:hAnsi="仿宋" w:eastAsia="仿宋" w:cs="仿宋"/>
          <w:color w:val="000000"/>
          <w:kern w:val="0"/>
          <w:sz w:val="32"/>
          <w:szCs w:val="32"/>
          <w:lang w:bidi="ar"/>
        </w:rPr>
        <w:t>完成调查</w:t>
      </w:r>
      <w:r>
        <w:rPr>
          <w:rFonts w:hint="eastAsia" w:ascii="仿宋" w:hAnsi="仿宋" w:eastAsia="仿宋" w:cs="仿宋"/>
          <w:color w:val="000000"/>
          <w:kern w:val="0"/>
          <w:sz w:val="32"/>
          <w:szCs w:val="32"/>
          <w:lang w:bidi="ar"/>
        </w:rPr>
        <w:t>。</w:t>
      </w:r>
      <w:r>
        <w:rPr>
          <w:rFonts w:ascii="仿宋" w:hAnsi="仿宋" w:eastAsia="仿宋" w:cs="仿宋"/>
          <w:color w:val="000000"/>
          <w:kern w:val="0"/>
          <w:sz w:val="32"/>
          <w:szCs w:val="32"/>
          <w:lang w:bidi="ar"/>
        </w:rPr>
        <w:t>特别重大复杂的案件，在规定期限内仍不能完成调查的，经</w:t>
      </w:r>
      <w:r>
        <w:rPr>
          <w:rFonts w:hint="eastAsia" w:ascii="仿宋" w:hAnsi="仿宋" w:eastAsia="仿宋" w:cs="仿宋"/>
          <w:color w:val="000000"/>
          <w:kern w:val="0"/>
          <w:sz w:val="32"/>
          <w:szCs w:val="32"/>
          <w:lang w:eastAsia="zh-Hans" w:bidi="ar"/>
        </w:rPr>
        <w:t>学校</w:t>
      </w:r>
      <w:r>
        <w:rPr>
          <w:rFonts w:ascii="仿宋" w:hAnsi="仿宋" w:eastAsia="仿宋" w:cs="仿宋"/>
          <w:color w:val="000000"/>
          <w:kern w:val="0"/>
          <w:sz w:val="32"/>
          <w:szCs w:val="32"/>
          <w:lang w:bidi="ar"/>
        </w:rPr>
        <w:t>批准后可延长调查期限，延长时间最长不得超过一年。上级机关和有关部门移交的案件，调查延期情况应向移交机关或部门报备。</w:t>
      </w:r>
    </w:p>
    <w:p>
      <w:pPr>
        <w:widowControl/>
        <w:spacing w:line="596" w:lineRule="exact"/>
        <w:ind w:firstLine="643" w:firstLineChars="200"/>
        <w:jc w:val="left"/>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eastAsia="zh-Hans" w:bidi="ar"/>
        </w:rPr>
        <w:t>第二十条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bidi="ar"/>
        </w:rPr>
        <w:t>处分决定须由</w:t>
      </w:r>
      <w:r>
        <w:rPr>
          <w:rFonts w:hint="eastAsia" w:ascii="仿宋" w:hAnsi="仿宋" w:eastAsia="仿宋" w:cs="仿宋"/>
          <w:color w:val="000000"/>
          <w:kern w:val="0"/>
          <w:sz w:val="32"/>
          <w:szCs w:val="32"/>
          <w:lang w:eastAsia="zh-Hans" w:bidi="ar"/>
        </w:rPr>
        <w:t>校长</w:t>
      </w:r>
      <w:r>
        <w:rPr>
          <w:rFonts w:hint="eastAsia" w:ascii="仿宋" w:hAnsi="仿宋" w:eastAsia="仿宋" w:cs="仿宋"/>
          <w:color w:val="000000"/>
          <w:kern w:val="0"/>
          <w:sz w:val="32"/>
          <w:szCs w:val="32"/>
          <w:lang w:bidi="ar"/>
        </w:rPr>
        <w:t>办公会</w:t>
      </w:r>
      <w:r>
        <w:rPr>
          <w:rFonts w:hint="eastAsia" w:ascii="仿宋" w:hAnsi="仿宋" w:eastAsia="仿宋" w:cs="仿宋"/>
          <w:color w:val="000000"/>
          <w:kern w:val="0"/>
          <w:sz w:val="32"/>
          <w:szCs w:val="32"/>
          <w:lang w:eastAsia="zh-Hans" w:bidi="ar"/>
        </w:rPr>
        <w:t>、党委会</w:t>
      </w:r>
      <w:r>
        <w:rPr>
          <w:rFonts w:hint="eastAsia" w:ascii="仿宋" w:hAnsi="仿宋" w:eastAsia="仿宋" w:cs="仿宋"/>
          <w:color w:val="000000"/>
          <w:kern w:val="0"/>
          <w:sz w:val="32"/>
          <w:szCs w:val="32"/>
          <w:lang w:bidi="ar"/>
        </w:rPr>
        <w:t>通过；处分决定书应送达被举报人。</w:t>
      </w:r>
    </w:p>
    <w:p>
      <w:pPr>
        <w:widowControl/>
        <w:spacing w:line="596" w:lineRule="exact"/>
        <w:ind w:firstLine="643" w:firstLineChars="200"/>
        <w:jc w:val="left"/>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eastAsia="zh-Hans" w:bidi="ar"/>
        </w:rPr>
        <w:t>第二十一条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bidi="ar"/>
        </w:rPr>
        <w:t xml:space="preserve">举报人或者学术不端行为责任人对处理决定不服的，可以在收到处理决定之日起 </w:t>
      </w:r>
      <w:r>
        <w:rPr>
          <w:rFonts w:ascii="仿宋" w:hAnsi="仿宋" w:eastAsia="仿宋" w:cs="仿宋"/>
          <w:color w:val="000000"/>
          <w:kern w:val="0"/>
          <w:sz w:val="32"/>
          <w:szCs w:val="32"/>
          <w:lang w:bidi="ar"/>
        </w:rPr>
        <w:t>15</w:t>
      </w:r>
      <w:r>
        <w:rPr>
          <w:rFonts w:hint="eastAsia" w:ascii="仿宋" w:hAnsi="仿宋" w:eastAsia="仿宋" w:cs="仿宋"/>
          <w:color w:val="000000"/>
          <w:kern w:val="0"/>
          <w:sz w:val="32"/>
          <w:szCs w:val="32"/>
          <w:lang w:bidi="ar"/>
        </w:rPr>
        <w:t xml:space="preserve"> 日内，以书面形式向学术道德委员会办公室提出异议或者复核申请。</w:t>
      </w:r>
    </w:p>
    <w:p>
      <w:pPr>
        <w:widowControl/>
        <w:spacing w:line="596" w:lineRule="exact"/>
        <w:ind w:firstLine="643" w:firstLineChars="200"/>
        <w:jc w:val="left"/>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eastAsia="zh-Hans" w:bidi="ar"/>
        </w:rPr>
        <w:t>第二十</w:t>
      </w:r>
      <w:r>
        <w:rPr>
          <w:rFonts w:hint="eastAsia" w:ascii="仿宋" w:hAnsi="仿宋" w:eastAsia="仿宋" w:cs="仿宋"/>
          <w:b/>
          <w:bCs/>
          <w:color w:val="000000"/>
          <w:kern w:val="0"/>
          <w:sz w:val="32"/>
          <w:szCs w:val="32"/>
          <w:lang w:bidi="ar"/>
        </w:rPr>
        <w:t>二</w:t>
      </w:r>
      <w:r>
        <w:rPr>
          <w:rFonts w:hint="eastAsia" w:ascii="仿宋" w:hAnsi="仿宋" w:eastAsia="仿宋" w:cs="仿宋"/>
          <w:b/>
          <w:bCs/>
          <w:color w:val="000000"/>
          <w:kern w:val="0"/>
          <w:sz w:val="32"/>
          <w:szCs w:val="32"/>
          <w:lang w:eastAsia="zh-Hans" w:bidi="ar"/>
        </w:rPr>
        <w:t>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bidi="ar"/>
        </w:rPr>
        <w:t xml:space="preserve">学校收到异议或者复核申请后，交由学术委员会组织讨论，并于 15 </w:t>
      </w:r>
      <w:r>
        <w:rPr>
          <w:rFonts w:hint="eastAsia" w:ascii="仿宋" w:hAnsi="仿宋" w:eastAsia="仿宋" w:cs="仿宋"/>
          <w:color w:val="000000"/>
          <w:kern w:val="0"/>
          <w:sz w:val="32"/>
          <w:szCs w:val="32"/>
          <w:lang w:eastAsia="zh-Hans" w:bidi="ar"/>
        </w:rPr>
        <w:t>个工作</w:t>
      </w:r>
      <w:r>
        <w:rPr>
          <w:rFonts w:hint="eastAsia" w:ascii="仿宋" w:hAnsi="仿宋" w:eastAsia="仿宋" w:cs="仿宋"/>
          <w:color w:val="000000"/>
          <w:kern w:val="0"/>
          <w:sz w:val="32"/>
          <w:szCs w:val="32"/>
          <w:lang w:bidi="ar"/>
        </w:rPr>
        <w:t>日内</w:t>
      </w:r>
      <w:r>
        <w:rPr>
          <w:rFonts w:hint="eastAsia" w:ascii="仿宋" w:hAnsi="仿宋" w:eastAsia="仿宋" w:cs="仿宋"/>
          <w:color w:val="000000"/>
          <w:kern w:val="0"/>
          <w:sz w:val="32"/>
          <w:szCs w:val="32"/>
          <w:lang w:eastAsia="zh-Hans" w:bidi="ar"/>
        </w:rPr>
        <w:t>（原则上）</w:t>
      </w:r>
      <w:r>
        <w:rPr>
          <w:rFonts w:hint="eastAsia" w:ascii="仿宋" w:hAnsi="仿宋" w:eastAsia="仿宋" w:cs="仿宋"/>
          <w:color w:val="000000"/>
          <w:kern w:val="0"/>
          <w:sz w:val="32"/>
          <w:szCs w:val="32"/>
          <w:lang w:bidi="ar"/>
        </w:rPr>
        <w:t>作出是否受理的决定。决定受理的，学术委员会可以另行组织调查组或者委托第三方机构进行调查；决定不予受理的，学校书面通知当事人。</w:t>
      </w:r>
    </w:p>
    <w:p>
      <w:pPr>
        <w:widowControl/>
        <w:spacing w:line="596" w:lineRule="exact"/>
        <w:ind w:firstLine="643" w:firstLineChars="200"/>
        <w:jc w:val="left"/>
        <w:rPr>
          <w:rFonts w:ascii="黑体" w:hAnsi="黑体" w:eastAsia="黑体" w:cs="黑体"/>
          <w:b/>
          <w:bCs/>
          <w:color w:val="000000"/>
          <w:kern w:val="0"/>
          <w:sz w:val="32"/>
          <w:szCs w:val="32"/>
          <w:lang w:eastAsia="zh-Hans" w:bidi="ar"/>
        </w:rPr>
      </w:pPr>
      <w:r>
        <w:rPr>
          <w:rFonts w:hint="eastAsia" w:ascii="仿宋" w:hAnsi="仿宋" w:eastAsia="仿宋" w:cs="仿宋"/>
          <w:b/>
          <w:bCs/>
          <w:color w:val="000000"/>
          <w:kern w:val="0"/>
          <w:sz w:val="32"/>
          <w:szCs w:val="32"/>
          <w:lang w:eastAsia="zh-Hans" w:bidi="ar"/>
        </w:rPr>
        <w:t>第二十</w:t>
      </w:r>
      <w:r>
        <w:rPr>
          <w:rFonts w:hint="eastAsia" w:ascii="仿宋" w:hAnsi="仿宋" w:eastAsia="仿宋" w:cs="仿宋"/>
          <w:b/>
          <w:bCs/>
          <w:color w:val="000000"/>
          <w:kern w:val="0"/>
          <w:sz w:val="32"/>
          <w:szCs w:val="32"/>
          <w:lang w:bidi="ar"/>
        </w:rPr>
        <w:t>三</w:t>
      </w:r>
      <w:r>
        <w:rPr>
          <w:rFonts w:hint="eastAsia" w:ascii="仿宋" w:hAnsi="仿宋" w:eastAsia="仿宋" w:cs="仿宋"/>
          <w:b/>
          <w:bCs/>
          <w:color w:val="000000"/>
          <w:kern w:val="0"/>
          <w:sz w:val="32"/>
          <w:szCs w:val="32"/>
          <w:lang w:eastAsia="zh-Hans" w:bidi="ar"/>
        </w:rPr>
        <w:t>条</w:t>
      </w:r>
      <w:r>
        <w:rPr>
          <w:rFonts w:hint="eastAsia" w:ascii="仿宋" w:hAnsi="仿宋" w:eastAsia="仿宋" w:cs="仿宋"/>
          <w:b/>
          <w:bCs/>
          <w:color w:val="000000"/>
          <w:kern w:val="0"/>
          <w:sz w:val="32"/>
          <w:szCs w:val="32"/>
          <w:lang w:bidi="ar"/>
        </w:rPr>
        <w:t xml:space="preserve"> </w:t>
      </w:r>
      <w:r>
        <w:rPr>
          <w:rFonts w:hint="eastAsia" w:ascii="仿宋" w:hAnsi="仿宋" w:eastAsia="仿宋" w:cs="仿宋"/>
          <w:color w:val="000000"/>
          <w:kern w:val="0"/>
          <w:sz w:val="32"/>
          <w:szCs w:val="32"/>
          <w:lang w:bidi="ar"/>
        </w:rPr>
        <w:t>当事人对复核决定不服，仍以同一事实和理由提出异议或者申请复核的，不再予以受理；向有关主管部门提出申诉的，按照相关规定执行。</w:t>
      </w:r>
    </w:p>
    <w:p>
      <w:pPr>
        <w:widowControl/>
        <w:spacing w:line="596" w:lineRule="exact"/>
        <w:jc w:val="center"/>
        <w:rPr>
          <w:rFonts w:ascii="黑体" w:hAnsi="黑体" w:eastAsia="黑体" w:cs="黑体"/>
          <w:b/>
          <w:bCs/>
          <w:color w:val="000000"/>
          <w:kern w:val="0"/>
          <w:sz w:val="32"/>
          <w:szCs w:val="32"/>
          <w:lang w:eastAsia="zh-Hans" w:bidi="ar"/>
        </w:rPr>
      </w:pPr>
    </w:p>
    <w:p>
      <w:pPr>
        <w:widowControl/>
        <w:spacing w:line="596" w:lineRule="exact"/>
        <w:jc w:val="center"/>
        <w:outlineLvl w:val="9"/>
        <w:rPr>
          <w:rFonts w:ascii="黑体" w:hAnsi="黑体" w:eastAsia="黑体" w:cs="黑体"/>
          <w:b/>
          <w:bCs/>
          <w:color w:val="000000"/>
          <w:kern w:val="0"/>
          <w:sz w:val="32"/>
          <w:szCs w:val="32"/>
          <w:lang w:bidi="ar"/>
        </w:rPr>
      </w:pPr>
      <w:bookmarkStart w:id="1311" w:name="_Toc24554_WPSOffice_Level1"/>
      <w:r>
        <w:rPr>
          <w:rFonts w:hint="eastAsia" w:ascii="黑体" w:hAnsi="黑体" w:eastAsia="黑体" w:cs="黑体"/>
          <w:b/>
          <w:bCs/>
          <w:color w:val="000000"/>
          <w:kern w:val="0"/>
          <w:sz w:val="32"/>
          <w:szCs w:val="32"/>
          <w:lang w:eastAsia="zh-Hans" w:bidi="ar"/>
        </w:rPr>
        <w:t>第五章</w:t>
      </w:r>
      <w:r>
        <w:rPr>
          <w:rFonts w:hint="eastAsia" w:ascii="黑体" w:hAnsi="黑体" w:eastAsia="黑体" w:cs="黑体"/>
          <w:b/>
          <w:bCs/>
          <w:color w:val="000000"/>
          <w:kern w:val="0"/>
          <w:sz w:val="32"/>
          <w:szCs w:val="32"/>
          <w:lang w:bidi="ar"/>
        </w:rPr>
        <w:t xml:space="preserve">  附  则</w:t>
      </w:r>
      <w:bookmarkEnd w:id="1311"/>
    </w:p>
    <w:p>
      <w:pPr>
        <w:pStyle w:val="10"/>
        <w:spacing w:beforeAutospacing="0" w:afterAutospacing="0" w:line="596" w:lineRule="exact"/>
        <w:ind w:firstLine="643" w:firstLineChars="200"/>
        <w:jc w:val="both"/>
        <w:rPr>
          <w:rFonts w:ascii="仿宋" w:hAnsi="仿宋" w:eastAsia="仿宋" w:cs="仿宋"/>
          <w:color w:val="000000"/>
          <w:sz w:val="32"/>
          <w:szCs w:val="32"/>
          <w:lang w:bidi="ar"/>
        </w:rPr>
      </w:pPr>
      <w:r>
        <w:rPr>
          <w:rFonts w:hint="eastAsia" w:ascii="仿宋" w:hAnsi="仿宋" w:eastAsia="仿宋" w:cs="仿宋"/>
          <w:b/>
          <w:bCs/>
          <w:color w:val="000000"/>
          <w:sz w:val="32"/>
          <w:szCs w:val="32"/>
          <w:lang w:bidi="ar"/>
        </w:rPr>
        <w:t>第二十</w:t>
      </w:r>
      <w:r>
        <w:rPr>
          <w:rFonts w:hint="eastAsia" w:ascii="仿宋" w:hAnsi="仿宋" w:eastAsia="仿宋" w:cs="仿宋"/>
          <w:b/>
          <w:bCs/>
          <w:color w:val="000000"/>
          <w:sz w:val="32"/>
          <w:szCs w:val="32"/>
          <w:lang w:eastAsia="zh-Hans" w:bidi="ar"/>
        </w:rPr>
        <w:t>四</w:t>
      </w:r>
      <w:r>
        <w:rPr>
          <w:rFonts w:hint="eastAsia" w:ascii="仿宋" w:hAnsi="仿宋" w:eastAsia="仿宋" w:cs="仿宋"/>
          <w:b/>
          <w:bCs/>
          <w:color w:val="000000"/>
          <w:sz w:val="32"/>
          <w:szCs w:val="32"/>
          <w:lang w:bidi="ar"/>
        </w:rPr>
        <w:t xml:space="preserve">条 </w:t>
      </w:r>
      <w:r>
        <w:rPr>
          <w:rFonts w:hint="eastAsia" w:ascii="仿宋" w:hAnsi="仿宋" w:eastAsia="仿宋" w:cs="仿宋"/>
          <w:color w:val="000000"/>
          <w:sz w:val="32"/>
          <w:szCs w:val="32"/>
          <w:lang w:bidi="ar"/>
        </w:rPr>
        <w:t>本办法由学校学术委员会</w:t>
      </w:r>
      <w:r>
        <w:rPr>
          <w:rFonts w:hint="eastAsia" w:ascii="仿宋" w:hAnsi="仿宋" w:eastAsia="仿宋" w:cs="仿宋"/>
          <w:color w:val="000000"/>
          <w:sz w:val="32"/>
          <w:szCs w:val="32"/>
          <w:lang w:eastAsia="zh-Hans" w:bidi="ar"/>
        </w:rPr>
        <w:t>秘书处（科技开发与校企合作处）</w:t>
      </w:r>
      <w:r>
        <w:rPr>
          <w:rFonts w:hint="eastAsia" w:ascii="仿宋" w:hAnsi="仿宋" w:eastAsia="仿宋" w:cs="仿宋"/>
          <w:color w:val="000000"/>
          <w:sz w:val="32"/>
          <w:szCs w:val="32"/>
          <w:lang w:bidi="ar"/>
        </w:rPr>
        <w:t>负责解释。</w:t>
      </w:r>
    </w:p>
    <w:p>
      <w:pPr>
        <w:pStyle w:val="10"/>
        <w:spacing w:beforeAutospacing="0" w:afterAutospacing="0" w:line="596" w:lineRule="exact"/>
        <w:ind w:firstLine="643" w:firstLineChars="200"/>
        <w:jc w:val="both"/>
        <w:rPr>
          <w:rFonts w:ascii="仿宋" w:hAnsi="仿宋" w:eastAsia="仿宋" w:cs="仿宋"/>
          <w:color w:val="000000"/>
          <w:sz w:val="32"/>
          <w:szCs w:val="32"/>
          <w:lang w:bidi="ar"/>
        </w:rPr>
      </w:pPr>
      <w:r>
        <w:rPr>
          <w:rFonts w:hint="eastAsia" w:ascii="仿宋" w:hAnsi="仿宋" w:eastAsia="仿宋" w:cs="仿宋"/>
          <w:b/>
          <w:bCs/>
          <w:color w:val="000000"/>
          <w:sz w:val="32"/>
          <w:szCs w:val="32"/>
          <w:lang w:bidi="ar"/>
        </w:rPr>
        <w:t>第二十</w:t>
      </w:r>
      <w:r>
        <w:rPr>
          <w:rFonts w:hint="eastAsia" w:ascii="仿宋" w:hAnsi="仿宋" w:eastAsia="仿宋" w:cs="仿宋"/>
          <w:b/>
          <w:bCs/>
          <w:color w:val="000000"/>
          <w:sz w:val="32"/>
          <w:szCs w:val="32"/>
          <w:lang w:eastAsia="zh-Hans" w:bidi="ar"/>
        </w:rPr>
        <w:t>五</w:t>
      </w:r>
      <w:r>
        <w:rPr>
          <w:rFonts w:hint="eastAsia" w:ascii="仿宋" w:hAnsi="仿宋" w:eastAsia="仿宋" w:cs="仿宋"/>
          <w:b/>
          <w:bCs/>
          <w:color w:val="000000"/>
          <w:sz w:val="32"/>
          <w:szCs w:val="32"/>
          <w:lang w:bidi="ar"/>
        </w:rPr>
        <w:t xml:space="preserve">条 </w:t>
      </w:r>
      <w:r>
        <w:rPr>
          <w:rFonts w:hint="eastAsia" w:ascii="仿宋" w:hAnsi="仿宋" w:eastAsia="仿宋" w:cs="仿宋"/>
          <w:color w:val="000000"/>
          <w:sz w:val="32"/>
          <w:szCs w:val="32"/>
          <w:lang w:bidi="ar"/>
        </w:rPr>
        <w:t>本办法中列举的科研失信行为包括但不限于上述内容，具体以上级相关部门出台的文件为准。</w:t>
      </w:r>
    </w:p>
    <w:p>
      <w:pPr>
        <w:pStyle w:val="10"/>
        <w:spacing w:beforeAutospacing="0" w:afterAutospacing="0" w:line="596" w:lineRule="exact"/>
        <w:ind w:firstLine="643" w:firstLineChars="200"/>
        <w:jc w:val="both"/>
        <w:rPr>
          <w:rFonts w:ascii="仿宋" w:hAnsi="仿宋" w:eastAsia="仿宋" w:cs="仿宋"/>
          <w:color w:val="000000"/>
          <w:sz w:val="32"/>
          <w:szCs w:val="32"/>
          <w:lang w:bidi="ar"/>
        </w:rPr>
      </w:pPr>
      <w:r>
        <w:rPr>
          <w:rFonts w:hint="eastAsia" w:ascii="仿宋" w:hAnsi="仿宋" w:eastAsia="仿宋" w:cs="仿宋"/>
          <w:b/>
          <w:bCs/>
          <w:color w:val="000000"/>
          <w:sz w:val="32"/>
          <w:szCs w:val="32"/>
          <w:lang w:bidi="ar"/>
        </w:rPr>
        <w:t>第二十</w:t>
      </w:r>
      <w:r>
        <w:rPr>
          <w:rFonts w:hint="eastAsia" w:ascii="仿宋" w:hAnsi="仿宋" w:eastAsia="仿宋" w:cs="仿宋"/>
          <w:b/>
          <w:bCs/>
          <w:color w:val="000000"/>
          <w:sz w:val="32"/>
          <w:szCs w:val="32"/>
          <w:lang w:eastAsia="zh-Hans" w:bidi="ar"/>
        </w:rPr>
        <w:t>六</w:t>
      </w:r>
      <w:r>
        <w:rPr>
          <w:rFonts w:hint="eastAsia" w:ascii="仿宋" w:hAnsi="仿宋" w:eastAsia="仿宋" w:cs="仿宋"/>
          <w:b/>
          <w:bCs/>
          <w:color w:val="000000"/>
          <w:sz w:val="32"/>
          <w:szCs w:val="32"/>
          <w:lang w:bidi="ar"/>
        </w:rPr>
        <w:t xml:space="preserve">条 </w:t>
      </w:r>
      <w:r>
        <w:rPr>
          <w:rFonts w:hint="eastAsia" w:ascii="仿宋" w:hAnsi="仿宋" w:eastAsia="仿宋" w:cs="仿宋"/>
          <w:color w:val="000000"/>
          <w:sz w:val="32"/>
          <w:szCs w:val="32"/>
          <w:lang w:bidi="ar"/>
        </w:rPr>
        <w:t>本办法自颁布之日起实施</w:t>
      </w:r>
      <w:r>
        <w:rPr>
          <w:rFonts w:hint="eastAsia" w:ascii="仿宋" w:hAnsi="仿宋" w:eastAsia="仿宋" w:cs="仿宋"/>
          <w:color w:val="000000"/>
          <w:sz w:val="32"/>
          <w:szCs w:val="32"/>
          <w:lang w:eastAsia="zh-Hans" w:bidi="ar"/>
        </w:rPr>
        <w:t>。</w:t>
      </w:r>
    </w:p>
    <w:p>
      <w:pPr>
        <w:spacing w:line="596" w:lineRule="exact"/>
        <w:jc w:val="center"/>
        <w:rPr>
          <w:rFonts w:hint="eastAsia"/>
          <w:b/>
          <w:color w:val="000000"/>
          <w:sz w:val="36"/>
          <w:szCs w:val="36"/>
        </w:rPr>
      </w:pPr>
    </w:p>
    <w:p>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312" w:name="_Toc2074"/>
      <w:bookmarkStart w:id="1313" w:name="_Toc18497_WPSOffice_Level1"/>
      <w:bookmarkStart w:id="1314" w:name="_Toc1181"/>
      <w:bookmarkStart w:id="1315" w:name="_Toc31025"/>
      <w:r>
        <w:rPr>
          <w:rFonts w:hint="eastAsia"/>
          <w:b/>
          <w:color w:val="000000"/>
          <w:sz w:val="36"/>
          <w:szCs w:val="36"/>
        </w:rPr>
        <w:t>柳州职业技术学院科</w:t>
      </w:r>
      <w:r>
        <w:rPr>
          <w:rFonts w:hint="eastAsia"/>
          <w:b/>
          <w:color w:val="000000"/>
          <w:sz w:val="36"/>
          <w:szCs w:val="36"/>
          <w:lang w:eastAsia="zh-Hans"/>
        </w:rPr>
        <w:t>研</w:t>
      </w:r>
      <w:r>
        <w:rPr>
          <w:rFonts w:hint="eastAsia"/>
          <w:b/>
          <w:color w:val="000000"/>
          <w:sz w:val="36"/>
          <w:szCs w:val="36"/>
        </w:rPr>
        <w:t>创新团队管理办法（试行）</w:t>
      </w:r>
      <w:bookmarkEnd w:id="1312"/>
      <w:bookmarkEnd w:id="1313"/>
      <w:bookmarkEnd w:id="1314"/>
      <w:bookmarkEnd w:id="1315"/>
    </w:p>
    <w:p>
      <w:pPr>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（柳职院字〔2021〕67 号）</w:t>
      </w:r>
    </w:p>
    <w:p>
      <w:pPr>
        <w:spacing w:line="596" w:lineRule="exact"/>
        <w:jc w:val="center"/>
        <w:rPr>
          <w:b/>
          <w:color w:val="000000"/>
          <w:sz w:val="36"/>
          <w:szCs w:val="36"/>
        </w:rPr>
      </w:pPr>
    </w:p>
    <w:p>
      <w:pPr>
        <w:spacing w:line="596" w:lineRule="exact"/>
        <w:jc w:val="center"/>
        <w:outlineLvl w:val="9"/>
        <w:rPr>
          <w:rFonts w:hint="eastAsia" w:ascii="黑体" w:hAnsi="黑体" w:eastAsia="黑体"/>
          <w:b/>
          <w:sz w:val="32"/>
          <w:szCs w:val="32"/>
        </w:rPr>
      </w:pPr>
      <w:bookmarkStart w:id="1316" w:name="_Toc212_WPSOffice_Level1"/>
      <w:r>
        <w:rPr>
          <w:rFonts w:hint="eastAsia" w:ascii="黑体" w:hAnsi="黑体" w:eastAsia="黑体"/>
          <w:b/>
          <w:sz w:val="32"/>
          <w:szCs w:val="32"/>
        </w:rPr>
        <w:t>第一章  总 则</w:t>
      </w:r>
      <w:bookmarkEnd w:id="1316"/>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为培养和造就高水平科研创新团队和团队</w:t>
      </w:r>
      <w:r>
        <w:rPr>
          <w:rFonts w:hint="eastAsia" w:ascii="仿宋_GB2312" w:eastAsia="仿宋_GB2312"/>
          <w:sz w:val="32"/>
          <w:szCs w:val="32"/>
          <w:lang w:eastAsia="zh-Hans"/>
        </w:rPr>
        <w:t>科研</w:t>
      </w:r>
      <w:r>
        <w:rPr>
          <w:rFonts w:hint="eastAsia" w:ascii="仿宋_GB2312" w:eastAsia="仿宋_GB2312"/>
          <w:sz w:val="32"/>
          <w:szCs w:val="32"/>
        </w:rPr>
        <w:t>带头人，提高学校的</w:t>
      </w:r>
      <w:r>
        <w:rPr>
          <w:rFonts w:hint="eastAsia" w:ascii="仿宋_GB2312" w:eastAsia="仿宋_GB2312"/>
          <w:sz w:val="32"/>
          <w:szCs w:val="32"/>
          <w:lang w:eastAsia="zh-Hans"/>
        </w:rPr>
        <w:t>科研</w:t>
      </w:r>
      <w:r>
        <w:rPr>
          <w:rFonts w:hint="eastAsia" w:ascii="仿宋_GB2312" w:eastAsia="仿宋_GB2312"/>
          <w:sz w:val="32"/>
          <w:szCs w:val="32"/>
        </w:rPr>
        <w:t>创新水平，不断提升学校的科研综合竞争力，结合学校实际，特制定本办法。</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本办法所指科研创新团队(以下简称“</w:t>
      </w:r>
      <w:r>
        <w:rPr>
          <w:rFonts w:hint="eastAsia" w:ascii="仿宋_GB2312" w:eastAsia="仿宋_GB2312"/>
          <w:sz w:val="32"/>
          <w:szCs w:val="32"/>
          <w:lang w:eastAsia="zh-Hans"/>
        </w:rPr>
        <w:t>创新</w:t>
      </w:r>
      <w:r>
        <w:rPr>
          <w:rFonts w:hint="eastAsia" w:ascii="仿宋_GB2312" w:eastAsia="仿宋_GB2312"/>
          <w:sz w:val="32"/>
          <w:szCs w:val="32"/>
        </w:rPr>
        <w:t>团队”)是学校以科研创新和社会服务为目的，以</w:t>
      </w:r>
      <w:r>
        <w:rPr>
          <w:rFonts w:hint="eastAsia" w:ascii="仿宋_GB2312" w:eastAsia="仿宋_GB2312"/>
          <w:sz w:val="32"/>
          <w:szCs w:val="32"/>
          <w:lang w:eastAsia="zh-Hans"/>
        </w:rPr>
        <w:t>科研</w:t>
      </w:r>
      <w:r>
        <w:rPr>
          <w:rFonts w:hint="eastAsia" w:ascii="仿宋_GB2312" w:eastAsia="仿宋_GB2312"/>
          <w:sz w:val="32"/>
          <w:szCs w:val="32"/>
        </w:rPr>
        <w:t>带头人为核心，具有相对稳定的研究领域和相对稳定、优势互补的合作成员组成的组织。</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第三条</w:t>
      </w:r>
      <w:r>
        <w:rPr>
          <w:rFonts w:hint="eastAsia" w:ascii="仿宋_GB2312" w:eastAsia="仿宋_GB2312"/>
          <w:sz w:val="32"/>
          <w:szCs w:val="32"/>
          <w:lang w:eastAsia="zh-Hans"/>
        </w:rPr>
        <w:t xml:space="preserve"> 创新</w:t>
      </w:r>
      <w:r>
        <w:rPr>
          <w:rFonts w:hint="eastAsia" w:ascii="仿宋_GB2312" w:eastAsia="仿宋_GB2312"/>
          <w:sz w:val="32"/>
          <w:szCs w:val="32"/>
        </w:rPr>
        <w:t>团队的主要任务是开展科学技术研究和技术服务、</w:t>
      </w:r>
      <w:r>
        <w:rPr>
          <w:rFonts w:ascii="仿宋_GB2312" w:eastAsia="仿宋_GB2312"/>
          <w:sz w:val="32"/>
          <w:szCs w:val="32"/>
        </w:rPr>
        <w:t>创新</w:t>
      </w:r>
      <w:r>
        <w:rPr>
          <w:rFonts w:hint="eastAsia" w:ascii="仿宋_GB2312" w:eastAsia="仿宋_GB2312"/>
          <w:sz w:val="32"/>
          <w:szCs w:val="32"/>
        </w:rPr>
        <w:t>创新攻关，产出标志性</w:t>
      </w:r>
      <w:r>
        <w:rPr>
          <w:rFonts w:ascii="仿宋_GB2312" w:eastAsia="仿宋_GB2312"/>
          <w:sz w:val="32"/>
          <w:szCs w:val="32"/>
        </w:rPr>
        <w:t>创新</w:t>
      </w:r>
      <w:r>
        <w:rPr>
          <w:rFonts w:hint="eastAsia" w:ascii="仿宋_GB2312" w:eastAsia="仿宋_GB2312"/>
          <w:sz w:val="32"/>
          <w:szCs w:val="32"/>
        </w:rPr>
        <w:t>成果，推动</w:t>
      </w:r>
      <w:r>
        <w:rPr>
          <w:rFonts w:hint="eastAsia" w:ascii="仿宋_GB2312" w:eastAsia="仿宋_GB2312"/>
          <w:sz w:val="32"/>
          <w:szCs w:val="32"/>
          <w:lang w:eastAsia="zh-Hans"/>
        </w:rPr>
        <w:t>各类</w:t>
      </w:r>
      <w:r>
        <w:rPr>
          <w:rFonts w:hint="eastAsia" w:ascii="仿宋_GB2312" w:eastAsia="仿宋_GB2312"/>
          <w:sz w:val="32"/>
          <w:szCs w:val="32"/>
        </w:rPr>
        <w:t>科研</w:t>
      </w:r>
      <w:r>
        <w:rPr>
          <w:rFonts w:hint="eastAsia" w:ascii="仿宋_GB2312" w:eastAsia="仿宋_GB2312"/>
          <w:sz w:val="32"/>
          <w:szCs w:val="32"/>
          <w:lang w:eastAsia="zh-Hans"/>
        </w:rPr>
        <w:t>平台</w:t>
      </w:r>
      <w:r>
        <w:rPr>
          <w:rFonts w:hint="eastAsia" w:ascii="仿宋_GB2312" w:eastAsia="仿宋_GB2312"/>
          <w:sz w:val="32"/>
          <w:szCs w:val="32"/>
        </w:rPr>
        <w:t>建设，为</w:t>
      </w:r>
      <w:r>
        <w:rPr>
          <w:rFonts w:hint="eastAsia" w:ascii="仿宋_GB2312" w:eastAsia="仿宋_GB2312"/>
          <w:sz w:val="32"/>
          <w:szCs w:val="32"/>
          <w:lang w:eastAsia="zh-Hans"/>
        </w:rPr>
        <w:t>平台</w:t>
      </w:r>
      <w:r>
        <w:rPr>
          <w:rFonts w:hint="eastAsia" w:ascii="仿宋_GB2312" w:eastAsia="仿宋_GB2312"/>
          <w:sz w:val="32"/>
          <w:szCs w:val="32"/>
        </w:rPr>
        <w:t>建设提供科研支撑，提升学校</w:t>
      </w:r>
      <w:r>
        <w:rPr>
          <w:rFonts w:ascii="仿宋_GB2312" w:eastAsia="仿宋_GB2312"/>
          <w:sz w:val="32"/>
          <w:szCs w:val="32"/>
        </w:rPr>
        <w:t>创新</w:t>
      </w:r>
      <w:r>
        <w:rPr>
          <w:rFonts w:hint="eastAsia" w:ascii="仿宋_GB2312" w:eastAsia="仿宋_GB2312"/>
          <w:sz w:val="32"/>
          <w:szCs w:val="32"/>
        </w:rPr>
        <w:t>创新能力，支撑学校</w:t>
      </w:r>
      <w:r>
        <w:rPr>
          <w:rFonts w:hint="eastAsia" w:ascii="仿宋_GB2312" w:eastAsia="仿宋_GB2312"/>
          <w:sz w:val="32"/>
          <w:szCs w:val="32"/>
          <w:lang w:eastAsia="zh-Hans"/>
        </w:rPr>
        <w:t>专业</w:t>
      </w:r>
      <w:r>
        <w:rPr>
          <w:rFonts w:hint="eastAsia" w:ascii="仿宋_GB2312" w:eastAsia="仿宋_GB2312"/>
          <w:sz w:val="32"/>
          <w:szCs w:val="32"/>
        </w:rPr>
        <w:t>发展</w:t>
      </w:r>
      <w:r>
        <w:rPr>
          <w:rFonts w:hint="eastAsia" w:ascii="仿宋_GB2312" w:eastAsia="仿宋_GB2312"/>
          <w:sz w:val="32"/>
          <w:szCs w:val="32"/>
          <w:lang w:eastAsia="zh-Hans"/>
        </w:rPr>
        <w:t>。</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第四条</w:t>
      </w:r>
      <w:r>
        <w:rPr>
          <w:rFonts w:hint="eastAsia" w:ascii="仿宋_GB2312" w:eastAsia="仿宋_GB2312"/>
          <w:sz w:val="32"/>
          <w:szCs w:val="32"/>
          <w:lang w:eastAsia="zh-Hans"/>
        </w:rPr>
        <w:t xml:space="preserve"> </w:t>
      </w:r>
      <w:r>
        <w:rPr>
          <w:rFonts w:hint="eastAsia" w:ascii="仿宋_GB2312" w:eastAsia="仿宋_GB2312"/>
          <w:sz w:val="32"/>
          <w:szCs w:val="32"/>
        </w:rPr>
        <w:t>鼓励各</w:t>
      </w:r>
      <w:r>
        <w:rPr>
          <w:rFonts w:hint="eastAsia" w:ascii="仿宋_GB2312" w:eastAsia="仿宋_GB2312"/>
          <w:sz w:val="32"/>
          <w:szCs w:val="32"/>
          <w:lang w:eastAsia="zh-Hans"/>
        </w:rPr>
        <w:t>二级</w:t>
      </w:r>
      <w:r>
        <w:rPr>
          <w:rFonts w:hint="eastAsia" w:ascii="仿宋_GB2312" w:eastAsia="仿宋_GB2312"/>
          <w:sz w:val="32"/>
          <w:szCs w:val="32"/>
        </w:rPr>
        <w:t>学院根据自身发展的需要，结合</w:t>
      </w:r>
      <w:r>
        <w:rPr>
          <w:rFonts w:hint="eastAsia" w:ascii="仿宋_GB2312" w:eastAsia="仿宋_GB2312"/>
          <w:sz w:val="32"/>
          <w:szCs w:val="32"/>
          <w:lang w:eastAsia="zh-Hans"/>
        </w:rPr>
        <w:t>学校人才工作室、专职科研岗</w:t>
      </w:r>
      <w:r>
        <w:rPr>
          <w:rFonts w:hint="eastAsia" w:ascii="仿宋_GB2312" w:eastAsia="仿宋_GB2312"/>
          <w:sz w:val="32"/>
          <w:szCs w:val="32"/>
        </w:rPr>
        <w:t>岗位、</w:t>
      </w:r>
      <w:r>
        <w:rPr>
          <w:rFonts w:hint="eastAsia" w:ascii="仿宋_GB2312" w:eastAsia="仿宋_GB2312"/>
          <w:sz w:val="32"/>
          <w:szCs w:val="32"/>
          <w:lang w:eastAsia="zh-Hans"/>
        </w:rPr>
        <w:t>柔性引进人才</w:t>
      </w:r>
      <w:r>
        <w:rPr>
          <w:rFonts w:hint="eastAsia" w:ascii="仿宋_GB2312" w:eastAsia="仿宋_GB2312"/>
          <w:sz w:val="32"/>
          <w:szCs w:val="32"/>
        </w:rPr>
        <w:t>团队</w:t>
      </w:r>
      <w:r>
        <w:rPr>
          <w:rFonts w:hint="eastAsia" w:ascii="仿宋_GB2312" w:eastAsia="仿宋_GB2312"/>
          <w:sz w:val="32"/>
          <w:szCs w:val="32"/>
          <w:lang w:eastAsia="zh-Hans"/>
        </w:rPr>
        <w:t>等</w:t>
      </w:r>
      <w:r>
        <w:rPr>
          <w:rFonts w:hint="eastAsia" w:ascii="仿宋_GB2312" w:eastAsia="仿宋_GB2312"/>
          <w:sz w:val="32"/>
          <w:szCs w:val="32"/>
        </w:rPr>
        <w:t>，形成多专业、多层次的创新团队体系。鼓励跨专业组建创新团队。</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第五条</w:t>
      </w:r>
      <w:r>
        <w:rPr>
          <w:rFonts w:ascii="仿宋_GB2312" w:eastAsia="仿宋_GB2312"/>
          <w:sz w:val="32"/>
          <w:szCs w:val="32"/>
          <w:lang w:eastAsia="zh-Hans"/>
        </w:rPr>
        <w:t xml:space="preserve"> </w:t>
      </w:r>
      <w:r>
        <w:rPr>
          <w:rFonts w:hint="eastAsia" w:ascii="仿宋_GB2312" w:eastAsia="仿宋_GB2312"/>
          <w:sz w:val="32"/>
          <w:szCs w:val="32"/>
        </w:rPr>
        <w:t>团队建设遵循“自主申报，专家评审，择优支持，目标考核”的原则，建设周期3年。</w:t>
      </w:r>
    </w:p>
    <w:p>
      <w:pPr>
        <w:widowControl/>
        <w:adjustRightInd w:val="0"/>
        <w:snapToGrid w:val="0"/>
        <w:spacing w:line="500" w:lineRule="exact"/>
        <w:ind w:firstLine="360" w:firstLineChars="150"/>
        <w:rPr>
          <w:rFonts w:hint="eastAsia" w:ascii="宋体" w:hAnsi="宋体" w:cs="宋体"/>
          <w:kern w:val="0"/>
          <w:sz w:val="24"/>
          <w:lang w:eastAsia="zh-Hans"/>
        </w:rPr>
      </w:pPr>
    </w:p>
    <w:p>
      <w:pPr>
        <w:spacing w:line="596" w:lineRule="exact"/>
        <w:jc w:val="center"/>
        <w:outlineLvl w:val="9"/>
        <w:rPr>
          <w:rFonts w:hint="eastAsia" w:ascii="黑体" w:hAnsi="黑体" w:eastAsia="黑体"/>
          <w:b/>
          <w:sz w:val="32"/>
          <w:szCs w:val="32"/>
          <w:lang w:eastAsia="zh-Hans"/>
        </w:rPr>
      </w:pPr>
      <w:bookmarkStart w:id="1317" w:name="_Toc25157_WPSOffice_Level1"/>
      <w:r>
        <w:rPr>
          <w:rFonts w:hint="eastAsia" w:ascii="黑体" w:hAnsi="黑体" w:eastAsia="黑体"/>
          <w:b/>
          <w:sz w:val="32"/>
          <w:szCs w:val="32"/>
          <w:lang w:eastAsia="zh-Hans"/>
        </w:rPr>
        <w:t>第二章</w:t>
      </w:r>
      <w:r>
        <w:rPr>
          <w:rFonts w:ascii="黑体" w:hAnsi="黑体" w:eastAsia="黑体"/>
          <w:b/>
          <w:sz w:val="32"/>
          <w:szCs w:val="32"/>
          <w:lang w:eastAsia="zh-Hans"/>
        </w:rPr>
        <w:t xml:space="preserve"> </w:t>
      </w:r>
      <w:r>
        <w:rPr>
          <w:rFonts w:hint="eastAsia" w:ascii="黑体" w:hAnsi="黑体" w:eastAsia="黑体"/>
          <w:b/>
          <w:sz w:val="32"/>
          <w:szCs w:val="32"/>
          <w:lang w:eastAsia="zh-Hans"/>
        </w:rPr>
        <w:t>管理职责</w:t>
      </w:r>
      <w:bookmarkEnd w:id="1317"/>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 xml:space="preserve">第六条 </w:t>
      </w:r>
      <w:r>
        <w:rPr>
          <w:rFonts w:hint="eastAsia" w:ascii="仿宋_GB2312" w:eastAsia="仿宋_GB2312"/>
          <w:sz w:val="32"/>
          <w:szCs w:val="32"/>
          <w:lang w:eastAsia="zh-Hans"/>
        </w:rPr>
        <w:t>科技</w:t>
      </w:r>
      <w:r>
        <w:rPr>
          <w:rFonts w:hint="eastAsia" w:ascii="仿宋_GB2312" w:eastAsia="仿宋_GB2312"/>
          <w:sz w:val="32"/>
          <w:szCs w:val="32"/>
        </w:rPr>
        <w:t>开发与校企合作处是学校</w:t>
      </w:r>
      <w:r>
        <w:rPr>
          <w:rFonts w:hint="eastAsia" w:ascii="仿宋_GB2312" w:eastAsia="仿宋_GB2312"/>
          <w:sz w:val="32"/>
          <w:szCs w:val="32"/>
          <w:lang w:eastAsia="zh-Hans"/>
        </w:rPr>
        <w:t>创新团队</w:t>
      </w:r>
      <w:r>
        <w:rPr>
          <w:rFonts w:hint="eastAsia" w:ascii="仿宋_GB2312" w:eastAsia="仿宋_GB2312"/>
          <w:sz w:val="32"/>
          <w:szCs w:val="32"/>
        </w:rPr>
        <w:t>的管理</w:t>
      </w:r>
      <w:r>
        <w:rPr>
          <w:rFonts w:hint="eastAsia" w:ascii="仿宋_GB2312" w:eastAsia="仿宋_GB2312"/>
          <w:sz w:val="32"/>
          <w:szCs w:val="32"/>
          <w:lang w:eastAsia="zh-Hans"/>
        </w:rPr>
        <w:t>部门</w:t>
      </w:r>
      <w:r>
        <w:rPr>
          <w:rFonts w:hint="eastAsia" w:ascii="仿宋_GB2312" w:eastAsia="仿宋_GB2312"/>
          <w:sz w:val="32"/>
          <w:szCs w:val="32"/>
        </w:rPr>
        <w:t>，主要职责：</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（一）</w:t>
      </w:r>
      <w:r>
        <w:rPr>
          <w:rFonts w:hint="eastAsia" w:ascii="仿宋_GB2312" w:eastAsia="仿宋_GB2312"/>
          <w:sz w:val="32"/>
          <w:szCs w:val="32"/>
        </w:rPr>
        <w:t>组织制定学校</w:t>
      </w:r>
      <w:r>
        <w:rPr>
          <w:rFonts w:hint="eastAsia" w:ascii="仿宋_GB2312" w:eastAsia="仿宋_GB2312"/>
          <w:sz w:val="32"/>
          <w:szCs w:val="32"/>
          <w:lang w:eastAsia="zh-Hans"/>
        </w:rPr>
        <w:t>创新团队</w:t>
      </w:r>
      <w:r>
        <w:rPr>
          <w:rFonts w:hint="eastAsia" w:ascii="仿宋_GB2312" w:eastAsia="仿宋_GB2312"/>
          <w:sz w:val="32"/>
          <w:szCs w:val="32"/>
        </w:rPr>
        <w:t>整体发展规划。</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（二）</w:t>
      </w:r>
      <w:r>
        <w:rPr>
          <w:rFonts w:hint="eastAsia" w:ascii="仿宋_GB2312" w:eastAsia="仿宋_GB2312"/>
          <w:sz w:val="32"/>
          <w:szCs w:val="32"/>
        </w:rPr>
        <w:t>组织</w:t>
      </w:r>
      <w:r>
        <w:rPr>
          <w:rFonts w:hint="eastAsia" w:ascii="仿宋_GB2312" w:eastAsia="仿宋_GB2312"/>
          <w:sz w:val="32"/>
          <w:szCs w:val="32"/>
          <w:lang w:eastAsia="zh-Hans"/>
        </w:rPr>
        <w:t>创新团队</w:t>
      </w:r>
      <w:r>
        <w:rPr>
          <w:rFonts w:hint="eastAsia" w:ascii="仿宋_GB2312" w:eastAsia="仿宋_GB2312"/>
          <w:sz w:val="32"/>
          <w:szCs w:val="32"/>
        </w:rPr>
        <w:t>的立项论证、检查评估。</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（三）</w:t>
      </w:r>
      <w:r>
        <w:rPr>
          <w:rFonts w:hint="eastAsia" w:ascii="仿宋_GB2312" w:eastAsia="仿宋_GB2312"/>
          <w:sz w:val="32"/>
          <w:szCs w:val="32"/>
        </w:rPr>
        <w:t>遴选、推荐国家、省部级、市厅级</w:t>
      </w:r>
      <w:r>
        <w:rPr>
          <w:rFonts w:hint="eastAsia" w:ascii="仿宋_GB2312" w:eastAsia="仿宋_GB2312"/>
          <w:sz w:val="32"/>
          <w:szCs w:val="32"/>
          <w:lang w:eastAsia="zh-Hans"/>
        </w:rPr>
        <w:t>创新团队</w:t>
      </w:r>
      <w:r>
        <w:rPr>
          <w:rFonts w:hint="eastAsia" w:ascii="仿宋_GB2312" w:eastAsia="仿宋_GB2312"/>
          <w:sz w:val="32"/>
          <w:szCs w:val="32"/>
        </w:rPr>
        <w:t>。</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（四）</w:t>
      </w:r>
      <w:r>
        <w:rPr>
          <w:rFonts w:hint="eastAsia" w:ascii="仿宋_GB2312" w:eastAsia="仿宋_GB2312"/>
          <w:sz w:val="32"/>
          <w:szCs w:val="32"/>
        </w:rPr>
        <w:t>服务、指导和监督</w:t>
      </w:r>
      <w:r>
        <w:rPr>
          <w:rFonts w:hint="eastAsia" w:ascii="仿宋_GB2312" w:eastAsia="仿宋_GB2312"/>
          <w:sz w:val="32"/>
          <w:szCs w:val="32"/>
          <w:lang w:eastAsia="zh-Hans"/>
        </w:rPr>
        <w:t>创新团队</w:t>
      </w:r>
      <w:r>
        <w:rPr>
          <w:rFonts w:hint="eastAsia" w:ascii="仿宋_GB2312" w:eastAsia="仿宋_GB2312"/>
          <w:sz w:val="32"/>
          <w:szCs w:val="32"/>
        </w:rPr>
        <w:t>建设。</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（五）</w:t>
      </w:r>
      <w:r>
        <w:rPr>
          <w:rFonts w:hint="eastAsia" w:ascii="仿宋_GB2312" w:eastAsia="仿宋_GB2312"/>
          <w:sz w:val="32"/>
          <w:szCs w:val="32"/>
        </w:rPr>
        <w:t>协调解决</w:t>
      </w:r>
      <w:r>
        <w:rPr>
          <w:rFonts w:hint="eastAsia" w:ascii="仿宋_GB2312" w:eastAsia="仿宋_GB2312"/>
          <w:sz w:val="32"/>
          <w:szCs w:val="32"/>
          <w:lang w:eastAsia="zh-Hans"/>
        </w:rPr>
        <w:t>创新团队</w:t>
      </w:r>
      <w:r>
        <w:rPr>
          <w:rFonts w:hint="eastAsia" w:ascii="仿宋_GB2312" w:eastAsia="仿宋_GB2312"/>
          <w:sz w:val="32"/>
          <w:szCs w:val="32"/>
        </w:rPr>
        <w:t>建设和运行中出现的重大问题。</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第七条</w:t>
      </w:r>
      <w:r>
        <w:rPr>
          <w:rFonts w:hint="eastAsia" w:ascii="仿宋_GB2312" w:eastAsia="仿宋_GB2312"/>
          <w:sz w:val="32"/>
          <w:szCs w:val="32"/>
          <w:lang w:eastAsia="zh-Hans"/>
        </w:rPr>
        <w:t xml:space="preserve"> 创新团队</w:t>
      </w:r>
      <w:r>
        <w:rPr>
          <w:rFonts w:hint="eastAsia" w:ascii="仿宋_GB2312" w:eastAsia="仿宋_GB2312"/>
          <w:sz w:val="32"/>
          <w:szCs w:val="32"/>
        </w:rPr>
        <w:t>负责人</w:t>
      </w:r>
      <w:r>
        <w:rPr>
          <w:rFonts w:hint="eastAsia" w:ascii="仿宋_GB2312" w:eastAsia="仿宋_GB2312"/>
          <w:sz w:val="32"/>
          <w:szCs w:val="32"/>
          <w:lang w:eastAsia="zh-Hans"/>
        </w:rPr>
        <w:t>所在二级学院</w:t>
      </w:r>
      <w:r>
        <w:rPr>
          <w:rFonts w:hint="eastAsia" w:ascii="仿宋_GB2312" w:eastAsia="仿宋_GB2312"/>
          <w:sz w:val="32"/>
          <w:szCs w:val="32"/>
        </w:rPr>
        <w:t>（</w:t>
      </w:r>
      <w:r>
        <w:rPr>
          <w:rFonts w:hint="eastAsia" w:ascii="仿宋_GB2312" w:eastAsia="仿宋_GB2312"/>
          <w:sz w:val="32"/>
          <w:szCs w:val="32"/>
          <w:lang w:eastAsia="zh-Hans"/>
        </w:rPr>
        <w:t>部门</w:t>
      </w:r>
      <w:r>
        <w:rPr>
          <w:rFonts w:hint="eastAsia" w:ascii="仿宋_GB2312" w:eastAsia="仿宋_GB2312"/>
          <w:sz w:val="32"/>
          <w:szCs w:val="32"/>
        </w:rPr>
        <w:t>）</w:t>
      </w:r>
      <w:r>
        <w:rPr>
          <w:rFonts w:hint="eastAsia" w:ascii="仿宋_GB2312" w:eastAsia="仿宋_GB2312"/>
          <w:sz w:val="32"/>
          <w:szCs w:val="32"/>
          <w:lang w:eastAsia="zh-Hans"/>
        </w:rPr>
        <w:t>负责统筹资源，为创新团队创造有利科研条件</w:t>
      </w:r>
      <w:r>
        <w:rPr>
          <w:rFonts w:hint="eastAsia" w:ascii="仿宋_GB2312" w:eastAsia="仿宋_GB2312"/>
          <w:sz w:val="32"/>
          <w:szCs w:val="32"/>
        </w:rPr>
        <w:t>，主要职责：</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（一）</w:t>
      </w:r>
      <w:r>
        <w:rPr>
          <w:rFonts w:hint="eastAsia" w:ascii="仿宋_GB2312" w:eastAsia="仿宋_GB2312"/>
          <w:sz w:val="32"/>
          <w:szCs w:val="32"/>
        </w:rPr>
        <w:t>组织</w:t>
      </w:r>
      <w:r>
        <w:rPr>
          <w:rFonts w:hint="eastAsia" w:ascii="仿宋_GB2312" w:eastAsia="仿宋_GB2312"/>
          <w:sz w:val="32"/>
          <w:szCs w:val="32"/>
          <w:lang w:eastAsia="zh-Hans"/>
        </w:rPr>
        <w:t>创新团队</w:t>
      </w:r>
      <w:r>
        <w:rPr>
          <w:rFonts w:hint="eastAsia" w:ascii="仿宋_GB2312" w:eastAsia="仿宋_GB2312"/>
          <w:sz w:val="32"/>
          <w:szCs w:val="32"/>
        </w:rPr>
        <w:t>的立项申请。</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（二）</w:t>
      </w:r>
      <w:r>
        <w:rPr>
          <w:rFonts w:hint="eastAsia" w:ascii="仿宋_GB2312" w:eastAsia="仿宋_GB2312"/>
          <w:sz w:val="32"/>
          <w:szCs w:val="32"/>
        </w:rPr>
        <w:t>提供</w:t>
      </w:r>
      <w:r>
        <w:rPr>
          <w:rFonts w:hint="eastAsia" w:ascii="仿宋_GB2312" w:eastAsia="仿宋_GB2312"/>
          <w:sz w:val="32"/>
          <w:szCs w:val="32"/>
          <w:lang w:eastAsia="zh-Hans"/>
        </w:rPr>
        <w:t>创新团队</w:t>
      </w:r>
      <w:r>
        <w:rPr>
          <w:rFonts w:hint="eastAsia" w:ascii="仿宋_GB2312" w:eastAsia="仿宋_GB2312"/>
          <w:sz w:val="32"/>
          <w:szCs w:val="32"/>
        </w:rPr>
        <w:t>建设的配套条件和后勤保障。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（三）</w:t>
      </w:r>
      <w:r>
        <w:rPr>
          <w:rFonts w:hint="eastAsia" w:ascii="仿宋_GB2312" w:eastAsia="仿宋_GB2312"/>
          <w:sz w:val="32"/>
          <w:szCs w:val="32"/>
        </w:rPr>
        <w:t>遴选、推荐</w:t>
      </w:r>
      <w:r>
        <w:rPr>
          <w:rFonts w:ascii="仿宋_GB2312" w:eastAsia="仿宋_GB2312"/>
          <w:sz w:val="32"/>
          <w:szCs w:val="32"/>
        </w:rPr>
        <w:t>创新</w:t>
      </w:r>
      <w:r>
        <w:rPr>
          <w:rFonts w:hint="eastAsia" w:ascii="仿宋_GB2312" w:eastAsia="仿宋_GB2312"/>
          <w:sz w:val="32"/>
          <w:szCs w:val="32"/>
          <w:lang w:eastAsia="zh-Hans"/>
        </w:rPr>
        <w:t>团队</w:t>
      </w:r>
      <w:r>
        <w:rPr>
          <w:rFonts w:hint="eastAsia" w:ascii="仿宋_GB2312" w:eastAsia="仿宋_GB2312"/>
          <w:sz w:val="32"/>
          <w:szCs w:val="32"/>
        </w:rPr>
        <w:t>负责人，落实</w:t>
      </w:r>
      <w:r>
        <w:rPr>
          <w:rFonts w:ascii="仿宋_GB2312" w:eastAsia="仿宋_GB2312"/>
          <w:sz w:val="32"/>
          <w:szCs w:val="32"/>
        </w:rPr>
        <w:t>创新</w:t>
      </w:r>
      <w:r>
        <w:rPr>
          <w:rFonts w:hint="eastAsia" w:ascii="仿宋_GB2312" w:eastAsia="仿宋_GB2312"/>
          <w:sz w:val="32"/>
          <w:szCs w:val="32"/>
          <w:lang w:eastAsia="zh-Hans"/>
        </w:rPr>
        <w:t>团队</w:t>
      </w:r>
      <w:r>
        <w:rPr>
          <w:rFonts w:hint="eastAsia" w:ascii="仿宋_GB2312" w:eastAsia="仿宋_GB2312"/>
          <w:sz w:val="32"/>
          <w:szCs w:val="32"/>
        </w:rPr>
        <w:t>的人员配备。</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（四）</w:t>
      </w:r>
      <w:r>
        <w:rPr>
          <w:rFonts w:hint="eastAsia" w:ascii="仿宋_GB2312" w:eastAsia="仿宋_GB2312"/>
          <w:sz w:val="32"/>
          <w:szCs w:val="32"/>
        </w:rPr>
        <w:t>做好</w:t>
      </w:r>
      <w:r>
        <w:rPr>
          <w:rFonts w:ascii="仿宋_GB2312" w:eastAsia="仿宋_GB2312"/>
          <w:sz w:val="32"/>
          <w:szCs w:val="32"/>
        </w:rPr>
        <w:t>创新</w:t>
      </w:r>
      <w:r>
        <w:rPr>
          <w:rFonts w:hint="eastAsia" w:ascii="仿宋_GB2312" w:eastAsia="仿宋_GB2312"/>
          <w:sz w:val="32"/>
          <w:szCs w:val="32"/>
          <w:lang w:eastAsia="zh-Hans"/>
        </w:rPr>
        <w:t>团队</w:t>
      </w:r>
      <w:r>
        <w:rPr>
          <w:rFonts w:hint="eastAsia" w:ascii="仿宋_GB2312" w:eastAsia="仿宋_GB2312"/>
          <w:sz w:val="32"/>
          <w:szCs w:val="32"/>
        </w:rPr>
        <w:t>检查评估相关工作。</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第八条</w:t>
      </w:r>
      <w:r>
        <w:rPr>
          <w:rFonts w:ascii="仿宋_GB2312" w:eastAsia="仿宋_GB2312"/>
          <w:sz w:val="32"/>
          <w:szCs w:val="32"/>
          <w:lang w:eastAsia="zh-Hans"/>
        </w:rPr>
        <w:t xml:space="preserve"> </w:t>
      </w:r>
      <w:r>
        <w:rPr>
          <w:rFonts w:hint="eastAsia" w:ascii="仿宋_GB2312" w:eastAsia="仿宋_GB2312"/>
          <w:sz w:val="32"/>
          <w:szCs w:val="32"/>
          <w:lang w:eastAsia="zh-Hans"/>
        </w:rPr>
        <w:t>创新团队负责人主要职责</w:t>
      </w:r>
      <w:r>
        <w:rPr>
          <w:rFonts w:hint="eastAsia" w:ascii="仿宋_GB2312" w:eastAsia="仿宋_GB2312"/>
          <w:sz w:val="32"/>
          <w:szCs w:val="32"/>
        </w:rPr>
        <w:t>：</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（一）负责提出团队成员组成和调整建议名单，并培养团队成员，形成合理的科研梯队。</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（二）根据本研究方向发展动态和趋势，制定团队研究发展规划和工作计划，提出团队的研究内容、措施和目标，并组织落实。</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（三）凝练团队学术方向，养成团队合作精神，营造团队学术氛围，培养团队协作理念，形成团队学术特</w:t>
      </w:r>
      <w:bookmarkStart w:id="1318" w:name="_Toc7358_WPSOffice_Level1"/>
      <w:r>
        <w:rPr>
          <w:rFonts w:hint="eastAsia" w:ascii="仿宋_GB2312" w:eastAsia="仿宋_GB2312"/>
          <w:sz w:val="32"/>
          <w:szCs w:val="32"/>
          <w:lang w:eastAsia="zh-Hans"/>
        </w:rPr>
        <w:t>色。</w:t>
      </w:r>
    </w:p>
    <w:p>
      <w:pPr>
        <w:spacing w:line="596" w:lineRule="exact"/>
        <w:ind w:left="638" w:leftChars="304"/>
        <w:rPr>
          <w:rFonts w:hint="eastAsia" w:ascii="仿宋_GB2312" w:eastAsia="仿宋_GB2312"/>
          <w:sz w:val="32"/>
          <w:szCs w:val="32"/>
          <w:lang w:eastAsia="zh-Hans"/>
        </w:rPr>
      </w:pPr>
      <w:r>
        <w:rPr>
          <w:rFonts w:hint="eastAsia" w:ascii="仿宋_GB2312" w:eastAsia="仿宋_GB2312"/>
          <w:sz w:val="32"/>
          <w:szCs w:val="32"/>
          <w:lang w:eastAsia="zh-Hans"/>
        </w:rPr>
        <w:t>（四</w:t>
      </w:r>
      <w:r>
        <w:rPr>
          <w:rFonts w:hint="eastAsia" w:ascii="仿宋_GB2312" w:eastAsia="仿宋_GB2312"/>
          <w:sz w:val="32"/>
          <w:szCs w:val="32"/>
        </w:rPr>
        <w:t>）</w:t>
      </w:r>
      <w:r>
        <w:rPr>
          <w:rFonts w:hint="eastAsia" w:ascii="仿宋_GB2312" w:eastAsia="仿宋_GB2312"/>
          <w:sz w:val="32"/>
          <w:szCs w:val="32"/>
          <w:lang w:eastAsia="zh-Hans"/>
        </w:rPr>
        <w:t>负责制定团队工作规程和负责团</w:t>
      </w:r>
      <w:bookmarkEnd w:id="1318"/>
      <w:r>
        <w:rPr>
          <w:rFonts w:hint="eastAsia" w:ascii="仿宋_GB2312" w:eastAsia="仿宋_GB2312"/>
          <w:sz w:val="32"/>
          <w:szCs w:val="32"/>
          <w:lang w:eastAsia="zh-Hans"/>
        </w:rPr>
        <w:t>队日常管理工作。</w:t>
      </w:r>
      <w:r>
        <w:rPr>
          <w:rFonts w:hint="eastAsia" w:ascii="仿宋_GB2312" w:eastAsia="仿宋_GB2312"/>
          <w:sz w:val="32"/>
          <w:szCs w:val="32"/>
        </w:rPr>
        <w:t>（五）</w:t>
      </w:r>
      <w:r>
        <w:rPr>
          <w:rFonts w:hint="eastAsia" w:ascii="仿宋_GB2312" w:eastAsia="仿宋_GB2312"/>
          <w:sz w:val="32"/>
          <w:szCs w:val="32"/>
          <w:lang w:eastAsia="zh-Hans"/>
        </w:rPr>
        <w:t>组织团队开展学术交流活动和申报各级各类科学研究</w:t>
      </w:r>
    </w:p>
    <w:p>
      <w:pPr>
        <w:spacing w:line="596" w:lineRule="exact"/>
        <w:rPr>
          <w:rFonts w:hint="eastAsia" w:ascii="仿宋_GB2312" w:eastAsia="仿宋_GB2312"/>
          <w:sz w:val="32"/>
          <w:szCs w:val="32"/>
          <w:lang w:eastAsia="zh-Hans"/>
        </w:rPr>
      </w:pPr>
      <w:r>
        <w:rPr>
          <w:rFonts w:hint="eastAsia" w:ascii="仿宋_GB2312" w:eastAsia="仿宋_GB2312"/>
          <w:sz w:val="32"/>
          <w:szCs w:val="32"/>
          <w:lang w:eastAsia="zh-Hans"/>
        </w:rPr>
        <w:t>项目，并组织落实和完成承担的研究任务。</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（六）负责落实目标责任制，完成团队目标任务。</w:t>
      </w:r>
    </w:p>
    <w:p>
      <w:pPr>
        <w:spacing w:line="596" w:lineRule="exact"/>
        <w:jc w:val="center"/>
        <w:outlineLvl w:val="9"/>
        <w:rPr>
          <w:rFonts w:hint="eastAsia" w:ascii="黑体" w:hAnsi="黑体" w:eastAsia="黑体"/>
          <w:b/>
          <w:sz w:val="32"/>
          <w:szCs w:val="32"/>
          <w:lang w:eastAsia="zh-Hans"/>
        </w:rPr>
      </w:pPr>
      <w:bookmarkStart w:id="1319" w:name="_Toc15525_WPSOffice_Level1"/>
      <w:r>
        <w:rPr>
          <w:rFonts w:hint="eastAsia" w:ascii="黑体" w:hAnsi="黑体" w:eastAsia="黑体"/>
          <w:b/>
          <w:sz w:val="32"/>
          <w:szCs w:val="32"/>
          <w:lang w:eastAsia="zh-Hans"/>
        </w:rPr>
        <w:t>第三章 设立条件</w:t>
      </w:r>
      <w:bookmarkEnd w:id="1319"/>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第九条</w:t>
      </w:r>
      <w:r>
        <w:rPr>
          <w:rFonts w:ascii="仿宋_GB2312" w:eastAsia="仿宋_GB2312"/>
          <w:sz w:val="32"/>
          <w:szCs w:val="32"/>
          <w:lang w:eastAsia="zh-Hans"/>
        </w:rPr>
        <w:t xml:space="preserve">  </w:t>
      </w:r>
      <w:r>
        <w:rPr>
          <w:rFonts w:hint="eastAsia" w:ascii="仿宋_GB2312" w:eastAsia="仿宋_GB2312"/>
          <w:sz w:val="32"/>
          <w:szCs w:val="32"/>
          <w:lang w:eastAsia="zh-Hans"/>
        </w:rPr>
        <w:t>创新团队的设立须符合以下要求：</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（一）研究方向：有明确的研究目标和稳定的研究方向。紧密围绕国家、</w:t>
      </w:r>
      <w:r>
        <w:rPr>
          <w:rFonts w:hint="eastAsia" w:ascii="仿宋_GB2312" w:eastAsia="仿宋_GB2312"/>
          <w:sz w:val="32"/>
          <w:szCs w:val="32"/>
        </w:rPr>
        <w:t>自治区、柳州</w:t>
      </w:r>
      <w:r>
        <w:rPr>
          <w:rFonts w:hint="eastAsia" w:ascii="仿宋_GB2312" w:eastAsia="仿宋_GB2312"/>
          <w:sz w:val="32"/>
          <w:szCs w:val="32"/>
          <w:lang w:eastAsia="zh-Hans"/>
        </w:rPr>
        <w:t>市中长期</w:t>
      </w:r>
      <w:r>
        <w:rPr>
          <w:rFonts w:ascii="仿宋_GB2312" w:eastAsia="仿宋_GB2312"/>
          <w:sz w:val="32"/>
          <w:szCs w:val="32"/>
          <w:lang w:eastAsia="zh-Hans"/>
        </w:rPr>
        <w:t>创新</w:t>
      </w:r>
      <w:r>
        <w:rPr>
          <w:rFonts w:hint="eastAsia" w:ascii="仿宋_GB2312" w:eastAsia="仿宋_GB2312"/>
          <w:sz w:val="32"/>
          <w:szCs w:val="32"/>
          <w:lang w:eastAsia="zh-Hans"/>
        </w:rPr>
        <w:t>发展规划、区域性社会经济发展中的热点问题，开展创新性研究，与学校和二级学院确定的重点专业或科研领域有相对应的研究方向。</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二）团队带头人：团队负责人应具有副高以上职称或博士学位，近五年主持完成市厅级及以上科研课题2项以上或累计科研经费到账5万元以上或获得过市厅级以上科研奖励，年龄原则上不超过55岁（特别优秀者可适当放宽）</w:t>
      </w:r>
      <w:r>
        <w:rPr>
          <w:rFonts w:hint="eastAsia" w:ascii="仿宋_GB2312" w:eastAsia="仿宋_GB2312"/>
          <w:sz w:val="32"/>
          <w:szCs w:val="32"/>
        </w:rPr>
        <w:t>。</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（三）科研支撑条件：创新团队必须依托校级及以上科研平台（工程技术研究中心、社科基地等），具有相对完备的研究条件支撑。</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（四）科研梯队：团队主要成员一般应由5-10人组成，全体成员中副高以上职称或博士学位人员不少于</w:t>
      </w:r>
      <w:r>
        <w:rPr>
          <w:rFonts w:hint="eastAsia" w:ascii="仿宋_GB2312" w:eastAsia="仿宋_GB2312"/>
          <w:sz w:val="32"/>
          <w:szCs w:val="32"/>
        </w:rPr>
        <w:t>1</w:t>
      </w:r>
      <w:r>
        <w:rPr>
          <w:rFonts w:hint="eastAsia" w:ascii="仿宋_GB2312" w:eastAsia="仿宋_GB2312"/>
          <w:sz w:val="32"/>
          <w:szCs w:val="32"/>
          <w:lang w:eastAsia="zh-Hans"/>
        </w:rPr>
        <w:t>名。团队成员之间有科学的互补性和良好的科研合作基础，科研创新团队成员之间不得交叉。</w:t>
      </w:r>
    </w:p>
    <w:p>
      <w:pPr>
        <w:spacing w:line="596" w:lineRule="exact"/>
        <w:ind w:firstLine="640" w:firstLineChars="200"/>
        <w:rPr>
          <w:rFonts w:hint="eastAsia" w:ascii="宋体" w:hAnsi="宋体" w:cs="宋体"/>
          <w:sz w:val="24"/>
        </w:rPr>
      </w:pPr>
      <w:r>
        <w:rPr>
          <w:rFonts w:hint="eastAsia" w:ascii="仿宋_GB2312" w:eastAsia="仿宋_GB2312"/>
          <w:sz w:val="32"/>
          <w:szCs w:val="32"/>
          <w:lang w:eastAsia="zh-Hans"/>
        </w:rPr>
        <w:t>（五）前期研究基础：</w:t>
      </w:r>
      <w:r>
        <w:rPr>
          <w:rFonts w:ascii="仿宋_GB2312" w:eastAsia="仿宋_GB2312"/>
          <w:sz w:val="32"/>
          <w:szCs w:val="32"/>
        </w:rPr>
        <w:t>团队成员的总成果必须满足以下条件：近三年，在</w:t>
      </w:r>
      <w:r>
        <w:rPr>
          <w:rFonts w:hint="eastAsia" w:ascii="仿宋_GB2312" w:eastAsia="仿宋_GB2312"/>
          <w:sz w:val="32"/>
          <w:szCs w:val="32"/>
          <w:lang w:eastAsia="zh-Hans"/>
        </w:rPr>
        <w:t>中文核心及以上</w:t>
      </w:r>
      <w:r>
        <w:rPr>
          <w:rFonts w:ascii="仿宋_GB2312" w:eastAsia="仿宋_GB2312"/>
          <w:sz w:val="32"/>
          <w:szCs w:val="32"/>
        </w:rPr>
        <w:t>期刊发表学术论文4篇以上，或公开出版与团队研究方向（领域）基本一致的专著1部以上；近三年，团队成员主持</w:t>
      </w:r>
      <w:r>
        <w:rPr>
          <w:rFonts w:hint="eastAsia" w:ascii="仿宋_GB2312" w:eastAsia="仿宋_GB2312"/>
          <w:sz w:val="32"/>
          <w:szCs w:val="32"/>
          <w:lang w:eastAsia="zh-Hans"/>
        </w:rPr>
        <w:t>省部</w:t>
      </w:r>
      <w:r>
        <w:rPr>
          <w:rFonts w:ascii="仿宋_GB2312" w:eastAsia="仿宋_GB2312"/>
          <w:sz w:val="32"/>
          <w:szCs w:val="32"/>
        </w:rPr>
        <w:t>级项目1项以上，或主持</w:t>
      </w:r>
      <w:r>
        <w:rPr>
          <w:rFonts w:hint="eastAsia" w:ascii="仿宋_GB2312" w:eastAsia="仿宋_GB2312"/>
          <w:sz w:val="32"/>
          <w:szCs w:val="32"/>
          <w:lang w:eastAsia="zh-Hans"/>
        </w:rPr>
        <w:t>市厅级</w:t>
      </w:r>
      <w:r>
        <w:rPr>
          <w:rFonts w:ascii="仿宋_GB2312" w:eastAsia="仿宋_GB2312"/>
          <w:sz w:val="32"/>
          <w:szCs w:val="32"/>
        </w:rPr>
        <w:t>级项目3项以上；近三年，团队成员为成果完成人的省部级科研成果奖1项，或发明</w:t>
      </w:r>
      <w:r>
        <w:rPr>
          <w:rFonts w:hint="eastAsia" w:ascii="仿宋_GB2312" w:eastAsia="仿宋_GB2312"/>
          <w:sz w:val="32"/>
          <w:szCs w:val="32"/>
          <w:lang w:eastAsia="zh-Hans"/>
        </w:rPr>
        <w:t>授权</w:t>
      </w:r>
      <w:r>
        <w:rPr>
          <w:rFonts w:ascii="仿宋_GB2312" w:eastAsia="仿宋_GB2312"/>
          <w:sz w:val="32"/>
          <w:szCs w:val="32"/>
        </w:rPr>
        <w:t>专利2项。</w:t>
      </w:r>
    </w:p>
    <w:p>
      <w:pPr>
        <w:spacing w:line="596" w:lineRule="exact"/>
        <w:jc w:val="center"/>
        <w:outlineLvl w:val="9"/>
        <w:rPr>
          <w:rFonts w:hint="eastAsia" w:ascii="黑体" w:hAnsi="黑体" w:eastAsia="黑体"/>
          <w:b/>
          <w:sz w:val="32"/>
          <w:szCs w:val="32"/>
          <w:lang w:eastAsia="zh-Hans"/>
        </w:rPr>
      </w:pPr>
      <w:bookmarkStart w:id="1320" w:name="_Toc3013_WPSOffice_Level1"/>
      <w:r>
        <w:rPr>
          <w:rFonts w:hint="eastAsia" w:ascii="黑体" w:hAnsi="黑体" w:eastAsia="黑体"/>
          <w:b/>
          <w:sz w:val="32"/>
          <w:szCs w:val="32"/>
          <w:lang w:eastAsia="zh-Hans"/>
        </w:rPr>
        <w:t>第四章</w:t>
      </w:r>
      <w:r>
        <w:rPr>
          <w:rFonts w:ascii="黑体" w:hAnsi="黑体" w:eastAsia="黑体"/>
          <w:b/>
          <w:sz w:val="32"/>
          <w:szCs w:val="32"/>
          <w:lang w:eastAsia="zh-Hans"/>
        </w:rPr>
        <w:t xml:space="preserve"> </w:t>
      </w:r>
      <w:r>
        <w:rPr>
          <w:rFonts w:hint="eastAsia" w:ascii="黑体" w:hAnsi="黑体" w:eastAsia="黑体"/>
          <w:b/>
          <w:sz w:val="32"/>
          <w:szCs w:val="32"/>
        </w:rPr>
        <w:t>设立、变更与撤销程序</w:t>
      </w:r>
      <w:bookmarkEnd w:id="1320"/>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第十条</w:t>
      </w:r>
      <w:r>
        <w:rPr>
          <w:rFonts w:ascii="仿宋_GB2312" w:eastAsia="仿宋_GB2312"/>
          <w:sz w:val="32"/>
          <w:szCs w:val="32"/>
          <w:lang w:eastAsia="zh-Hans"/>
        </w:rPr>
        <w:t xml:space="preserve"> </w:t>
      </w:r>
      <w:r>
        <w:rPr>
          <w:rFonts w:hint="eastAsia" w:ascii="仿宋_GB2312" w:hAnsi="宋体" w:eastAsia="仿宋_GB2312" w:cs="仿宋_GB2312"/>
          <w:color w:val="000000"/>
          <w:kern w:val="0"/>
          <w:sz w:val="32"/>
          <w:szCs w:val="32"/>
          <w:lang w:bidi="ar"/>
        </w:rPr>
        <w:t>创新团队每年上半年开展申报。</w:t>
      </w:r>
      <w:r>
        <w:rPr>
          <w:rFonts w:hint="eastAsia" w:ascii="仿宋_GB2312" w:eastAsia="仿宋_GB2312"/>
          <w:sz w:val="32"/>
          <w:szCs w:val="32"/>
          <w:lang w:eastAsia="zh-Hans"/>
        </w:rPr>
        <w:t>符合创新团队立项申请基本条件二级学院</w:t>
      </w:r>
      <w:r>
        <w:rPr>
          <w:rFonts w:hint="eastAsia" w:ascii="仿宋_GB2312" w:eastAsia="仿宋_GB2312"/>
          <w:sz w:val="32"/>
          <w:szCs w:val="32"/>
        </w:rPr>
        <w:t>（</w:t>
      </w:r>
      <w:r>
        <w:rPr>
          <w:rFonts w:hint="eastAsia" w:ascii="仿宋_GB2312" w:eastAsia="仿宋_GB2312"/>
          <w:sz w:val="32"/>
          <w:szCs w:val="32"/>
          <w:lang w:eastAsia="zh-Hans"/>
        </w:rPr>
        <w:t>部门</w:t>
      </w:r>
      <w:r>
        <w:rPr>
          <w:rFonts w:hint="eastAsia" w:ascii="仿宋_GB2312" w:eastAsia="仿宋_GB2312"/>
          <w:sz w:val="32"/>
          <w:szCs w:val="32"/>
        </w:rPr>
        <w:t>）</w:t>
      </w:r>
      <w:r>
        <w:rPr>
          <w:rFonts w:hint="eastAsia" w:ascii="仿宋_GB2312" w:eastAsia="仿宋_GB2312"/>
          <w:sz w:val="32"/>
          <w:szCs w:val="32"/>
          <w:lang w:eastAsia="zh-Hans"/>
        </w:rPr>
        <w:t>，填写《柳州职业技术学院科研创新团队申请书》，经二级学院</w:t>
      </w:r>
      <w:r>
        <w:rPr>
          <w:rFonts w:hint="eastAsia" w:ascii="仿宋_GB2312" w:eastAsia="仿宋_GB2312"/>
          <w:sz w:val="32"/>
          <w:szCs w:val="32"/>
        </w:rPr>
        <w:t>（部门）</w:t>
      </w:r>
      <w:r>
        <w:rPr>
          <w:rFonts w:hint="eastAsia" w:ascii="仿宋_GB2312" w:eastAsia="仿宋_GB2312"/>
          <w:sz w:val="32"/>
          <w:szCs w:val="32"/>
          <w:lang w:eastAsia="zh-Hans"/>
        </w:rPr>
        <w:t>负责人签署意见后，报送到学校</w:t>
      </w:r>
      <w:r>
        <w:rPr>
          <w:rFonts w:hint="eastAsia" w:ascii="仿宋_GB2312" w:eastAsia="仿宋_GB2312"/>
          <w:sz w:val="32"/>
          <w:szCs w:val="32"/>
        </w:rPr>
        <w:t>科技</w:t>
      </w:r>
      <w:r>
        <w:rPr>
          <w:rFonts w:hint="eastAsia" w:ascii="仿宋_GB2312" w:eastAsia="仿宋_GB2312"/>
          <w:sz w:val="32"/>
          <w:szCs w:val="32"/>
          <w:lang w:eastAsia="zh-Hans"/>
        </w:rPr>
        <w:t>开发</w:t>
      </w:r>
      <w:r>
        <w:rPr>
          <w:rFonts w:hint="eastAsia" w:ascii="仿宋_GB2312" w:eastAsia="仿宋_GB2312"/>
          <w:sz w:val="32"/>
          <w:szCs w:val="32"/>
        </w:rPr>
        <w:t>与校企合作</w:t>
      </w:r>
      <w:r>
        <w:rPr>
          <w:rFonts w:hint="eastAsia" w:ascii="仿宋_GB2312" w:eastAsia="仿宋_GB2312"/>
          <w:sz w:val="32"/>
          <w:szCs w:val="32"/>
          <w:lang w:eastAsia="zh-Hans"/>
        </w:rPr>
        <w:t>处。</w:t>
      </w:r>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第十一条</w:t>
      </w:r>
      <w:r>
        <w:rPr>
          <w:rFonts w:ascii="仿宋_GB2312" w:eastAsia="仿宋_GB2312"/>
          <w:sz w:val="32"/>
          <w:szCs w:val="32"/>
          <w:lang w:eastAsia="zh-Hans"/>
        </w:rPr>
        <w:t xml:space="preserve"> </w:t>
      </w:r>
      <w:r>
        <w:rPr>
          <w:rFonts w:hint="eastAsia" w:ascii="仿宋_GB2312" w:eastAsia="仿宋_GB2312"/>
          <w:sz w:val="32"/>
          <w:szCs w:val="32"/>
        </w:rPr>
        <w:t>由</w:t>
      </w:r>
      <w:r>
        <w:rPr>
          <w:rFonts w:hint="eastAsia" w:ascii="仿宋_GB2312" w:eastAsia="仿宋_GB2312"/>
          <w:sz w:val="32"/>
          <w:szCs w:val="32"/>
          <w:lang w:eastAsia="zh-Hans"/>
        </w:rPr>
        <w:t>科技</w:t>
      </w:r>
      <w:r>
        <w:rPr>
          <w:rFonts w:hint="eastAsia" w:ascii="仿宋_GB2312" w:eastAsia="仿宋_GB2312"/>
          <w:sz w:val="32"/>
          <w:szCs w:val="32"/>
        </w:rPr>
        <w:t>开发与校企合作</w:t>
      </w:r>
      <w:r>
        <w:rPr>
          <w:rFonts w:hint="eastAsia" w:ascii="仿宋_GB2312" w:eastAsia="仿宋_GB2312"/>
          <w:sz w:val="32"/>
          <w:szCs w:val="32"/>
          <w:lang w:eastAsia="zh-Hans"/>
        </w:rPr>
        <w:t>处组织专家对</w:t>
      </w:r>
      <w:r>
        <w:rPr>
          <w:rFonts w:hint="eastAsia" w:ascii="仿宋_GB2312" w:eastAsia="仿宋_GB2312"/>
          <w:sz w:val="32"/>
          <w:szCs w:val="32"/>
        </w:rPr>
        <w:t>创新团队</w:t>
      </w:r>
      <w:r>
        <w:rPr>
          <w:rFonts w:hint="eastAsia" w:ascii="仿宋_GB2312" w:eastAsia="仿宋_GB2312"/>
          <w:sz w:val="32"/>
          <w:szCs w:val="32"/>
          <w:lang w:eastAsia="zh-Hans"/>
        </w:rPr>
        <w:t>的申请进行论证，报校长办公会议审定同意后发文公布</w:t>
      </w:r>
      <w:r>
        <w:rPr>
          <w:rFonts w:hint="eastAsia" w:ascii="仿宋_GB2312" w:eastAsia="仿宋_GB2312"/>
          <w:sz w:val="32"/>
          <w:szCs w:val="32"/>
        </w:rPr>
        <w:t>。</w:t>
      </w:r>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第十二条</w:t>
      </w:r>
      <w:r>
        <w:rPr>
          <w:rFonts w:ascii="仿宋_GB2312" w:eastAsia="仿宋_GB2312"/>
          <w:sz w:val="32"/>
          <w:szCs w:val="32"/>
          <w:lang w:eastAsia="zh-Hans"/>
        </w:rPr>
        <w:t xml:space="preserve"> </w:t>
      </w:r>
      <w:r>
        <w:rPr>
          <w:rFonts w:hint="eastAsia" w:ascii="仿宋_GB2312" w:eastAsia="仿宋_GB2312"/>
          <w:sz w:val="32"/>
          <w:szCs w:val="32"/>
          <w:lang w:eastAsia="zh-Hans"/>
        </w:rPr>
        <w:t>创新团队变更</w:t>
      </w:r>
      <w:r>
        <w:rPr>
          <w:rFonts w:hint="eastAsia" w:ascii="仿宋_GB2312" w:eastAsia="仿宋_GB2312"/>
          <w:sz w:val="32"/>
          <w:szCs w:val="32"/>
        </w:rPr>
        <w:t>研究方向</w:t>
      </w:r>
      <w:r>
        <w:rPr>
          <w:rFonts w:hint="eastAsia" w:ascii="仿宋_GB2312" w:eastAsia="仿宋_GB2312"/>
          <w:sz w:val="32"/>
          <w:szCs w:val="32"/>
          <w:lang w:eastAsia="zh-Hans"/>
        </w:rPr>
        <w:t>、团队负责人</w:t>
      </w:r>
      <w:r>
        <w:rPr>
          <w:rFonts w:hint="eastAsia" w:ascii="仿宋_GB2312" w:eastAsia="仿宋_GB2312"/>
          <w:sz w:val="32"/>
          <w:szCs w:val="32"/>
        </w:rPr>
        <w:t>等重大事项</w:t>
      </w:r>
      <w:r>
        <w:rPr>
          <w:rFonts w:hint="eastAsia" w:ascii="仿宋_GB2312" w:eastAsia="仿宋_GB2312"/>
          <w:sz w:val="32"/>
          <w:szCs w:val="32"/>
          <w:lang w:eastAsia="zh-Hans"/>
        </w:rPr>
        <w:t>，须提交书面申请报科技</w:t>
      </w:r>
      <w:r>
        <w:rPr>
          <w:rFonts w:hint="eastAsia" w:ascii="仿宋_GB2312" w:eastAsia="仿宋_GB2312"/>
          <w:sz w:val="32"/>
          <w:szCs w:val="32"/>
        </w:rPr>
        <w:t>开发与校企合作</w:t>
      </w:r>
      <w:r>
        <w:rPr>
          <w:rFonts w:hint="eastAsia" w:ascii="仿宋_GB2312" w:eastAsia="仿宋_GB2312"/>
          <w:sz w:val="32"/>
          <w:szCs w:val="32"/>
          <w:lang w:eastAsia="zh-Hans"/>
        </w:rPr>
        <w:t>处核准，经分管科研的校领导审定并发文公布</w:t>
      </w:r>
      <w:r>
        <w:rPr>
          <w:rFonts w:hint="eastAsia" w:ascii="仿宋_GB2312" w:eastAsia="仿宋_GB2312"/>
          <w:sz w:val="32"/>
          <w:szCs w:val="32"/>
        </w:rPr>
        <w:t>。</w:t>
      </w:r>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第十三条</w:t>
      </w:r>
      <w:r>
        <w:rPr>
          <w:rFonts w:ascii="仿宋_GB2312" w:eastAsia="仿宋_GB2312"/>
          <w:sz w:val="32"/>
          <w:szCs w:val="32"/>
          <w:lang w:eastAsia="zh-Hans"/>
        </w:rPr>
        <w:t xml:space="preserve"> </w:t>
      </w:r>
      <w:r>
        <w:rPr>
          <w:rFonts w:hint="eastAsia" w:ascii="仿宋_GB2312" w:eastAsia="仿宋_GB2312"/>
          <w:sz w:val="32"/>
          <w:szCs w:val="32"/>
          <w:lang w:eastAsia="zh-Hans"/>
        </w:rPr>
        <w:t>创新团队若主动要求撤销、合并或分立，须先向科技</w:t>
      </w:r>
      <w:r>
        <w:rPr>
          <w:rFonts w:hint="eastAsia" w:ascii="仿宋_GB2312" w:eastAsia="仿宋_GB2312"/>
          <w:sz w:val="32"/>
          <w:szCs w:val="32"/>
        </w:rPr>
        <w:t>开发与校企合作</w:t>
      </w:r>
      <w:r>
        <w:rPr>
          <w:rFonts w:hint="eastAsia" w:ascii="仿宋_GB2312" w:eastAsia="仿宋_GB2312"/>
          <w:sz w:val="32"/>
          <w:szCs w:val="32"/>
          <w:lang w:eastAsia="zh-Hans"/>
        </w:rPr>
        <w:t>处提交申请，报校长办公会议审定同意后发文公布。</w:t>
      </w:r>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第十四条</w:t>
      </w:r>
      <w:r>
        <w:rPr>
          <w:rFonts w:ascii="仿宋_GB2312" w:eastAsia="仿宋_GB2312"/>
          <w:b/>
          <w:bCs/>
          <w:sz w:val="32"/>
          <w:szCs w:val="32"/>
          <w:lang w:eastAsia="zh-Hans"/>
        </w:rPr>
        <w:t xml:space="preserve"> </w:t>
      </w:r>
      <w:r>
        <w:rPr>
          <w:rFonts w:hint="eastAsia" w:ascii="仿宋_GB2312" w:eastAsia="仿宋_GB2312"/>
          <w:sz w:val="32"/>
          <w:szCs w:val="32"/>
        </w:rPr>
        <w:t>其它相关程序按照上级管理部门相关要求执行。</w:t>
      </w:r>
    </w:p>
    <w:p>
      <w:pPr>
        <w:spacing w:line="596" w:lineRule="exact"/>
        <w:jc w:val="center"/>
        <w:outlineLvl w:val="9"/>
        <w:rPr>
          <w:rFonts w:hint="eastAsia" w:ascii="黑体" w:hAnsi="黑体" w:eastAsia="黑体"/>
          <w:b/>
          <w:sz w:val="32"/>
          <w:szCs w:val="32"/>
          <w:lang w:eastAsia="zh-Hans"/>
        </w:rPr>
      </w:pPr>
      <w:bookmarkStart w:id="1321" w:name="_Toc3900_WPSOffice_Level1"/>
      <w:r>
        <w:rPr>
          <w:rFonts w:hint="eastAsia" w:ascii="黑体" w:hAnsi="黑体" w:eastAsia="黑体"/>
          <w:b/>
          <w:sz w:val="32"/>
          <w:szCs w:val="32"/>
          <w:lang w:eastAsia="zh-Hans"/>
        </w:rPr>
        <w:t>第</w:t>
      </w:r>
      <w:r>
        <w:rPr>
          <w:rFonts w:hint="eastAsia" w:ascii="黑体" w:hAnsi="黑体" w:eastAsia="黑体"/>
          <w:b/>
          <w:sz w:val="32"/>
          <w:szCs w:val="32"/>
        </w:rPr>
        <w:t>五</w:t>
      </w:r>
      <w:r>
        <w:rPr>
          <w:rFonts w:hint="eastAsia" w:ascii="黑体" w:hAnsi="黑体" w:eastAsia="黑体"/>
          <w:b/>
          <w:sz w:val="32"/>
          <w:szCs w:val="32"/>
          <w:lang w:eastAsia="zh-Hans"/>
        </w:rPr>
        <w:t xml:space="preserve">章 </w:t>
      </w:r>
      <w:r>
        <w:rPr>
          <w:rFonts w:hint="eastAsia" w:ascii="黑体" w:hAnsi="黑体" w:eastAsia="黑体"/>
          <w:b/>
          <w:sz w:val="32"/>
          <w:szCs w:val="32"/>
        </w:rPr>
        <w:t>管理</w:t>
      </w:r>
      <w:r>
        <w:rPr>
          <w:rFonts w:hint="eastAsia" w:ascii="黑体" w:hAnsi="黑体" w:eastAsia="黑体"/>
          <w:b/>
          <w:sz w:val="32"/>
          <w:szCs w:val="32"/>
          <w:lang w:eastAsia="zh-Hans"/>
        </w:rPr>
        <w:t>和考核</w:t>
      </w:r>
      <w:bookmarkEnd w:id="1321"/>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第十五条</w:t>
      </w:r>
      <w:r>
        <w:rPr>
          <w:rFonts w:ascii="仿宋_GB2312" w:eastAsia="仿宋_GB2312"/>
          <w:sz w:val="32"/>
          <w:szCs w:val="32"/>
          <w:lang w:eastAsia="zh-Hans"/>
        </w:rPr>
        <w:t xml:space="preserve"> </w:t>
      </w:r>
      <w:r>
        <w:rPr>
          <w:rFonts w:hint="eastAsia" w:ascii="仿宋_GB2312" w:eastAsia="仿宋_GB2312"/>
          <w:sz w:val="32"/>
          <w:szCs w:val="32"/>
        </w:rPr>
        <w:t>创新团队获批立项后，</w:t>
      </w:r>
      <w:r>
        <w:rPr>
          <w:rFonts w:hint="eastAsia" w:ascii="仿宋_GB2312" w:eastAsia="仿宋_GB2312"/>
          <w:sz w:val="32"/>
          <w:szCs w:val="32"/>
          <w:lang w:eastAsia="zh-Hans"/>
        </w:rPr>
        <w:t>应</w:t>
      </w:r>
      <w:r>
        <w:rPr>
          <w:rFonts w:hint="eastAsia" w:ascii="仿宋_GB2312" w:eastAsia="仿宋_GB2312"/>
          <w:sz w:val="32"/>
          <w:szCs w:val="32"/>
        </w:rPr>
        <w:t>明确研究内容、预期目标及标志性成果，突出重点任务、建设举措和路径</w:t>
      </w:r>
      <w:r>
        <w:rPr>
          <w:rFonts w:hint="eastAsia" w:ascii="仿宋_GB2312" w:eastAsia="仿宋_GB2312"/>
          <w:sz w:val="32"/>
          <w:szCs w:val="32"/>
          <w:lang w:eastAsia="zh-Hans"/>
        </w:rPr>
        <w:t>。</w:t>
      </w:r>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第十六条</w:t>
      </w:r>
      <w:r>
        <w:rPr>
          <w:rFonts w:ascii="仿宋_GB2312" w:eastAsia="仿宋_GB2312"/>
          <w:sz w:val="32"/>
          <w:szCs w:val="32"/>
          <w:lang w:eastAsia="zh-Hans"/>
        </w:rPr>
        <w:t xml:space="preserve"> </w:t>
      </w:r>
      <w:r>
        <w:rPr>
          <w:rFonts w:hint="eastAsia" w:ascii="仿宋_GB2312" w:eastAsia="仿宋_GB2312"/>
          <w:sz w:val="32"/>
          <w:szCs w:val="32"/>
          <w:lang w:eastAsia="zh-Hans"/>
        </w:rPr>
        <w:t>支持方式</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（一）</w:t>
      </w:r>
      <w:r>
        <w:rPr>
          <w:rFonts w:hint="eastAsia" w:ascii="仿宋_GB2312" w:eastAsia="仿宋_GB2312"/>
          <w:sz w:val="32"/>
          <w:szCs w:val="32"/>
        </w:rPr>
        <w:t>创新团队建设以项目立项的形式予以资助</w:t>
      </w:r>
      <w:r>
        <w:rPr>
          <w:rFonts w:hint="eastAsia" w:ascii="仿宋_GB2312" w:eastAsia="仿宋_GB2312"/>
          <w:sz w:val="32"/>
          <w:szCs w:val="32"/>
          <w:lang w:eastAsia="zh-Hans"/>
        </w:rPr>
        <w:t>，资助期限为</w:t>
      </w:r>
      <w:r>
        <w:rPr>
          <w:rFonts w:ascii="仿宋_GB2312" w:eastAsia="仿宋_GB2312"/>
          <w:sz w:val="32"/>
          <w:szCs w:val="32"/>
          <w:lang w:eastAsia="zh-Hans"/>
        </w:rPr>
        <w:t>3</w:t>
      </w:r>
      <w:r>
        <w:rPr>
          <w:rFonts w:hint="eastAsia" w:ascii="仿宋_GB2312" w:eastAsia="仿宋_GB2312"/>
          <w:sz w:val="32"/>
          <w:szCs w:val="32"/>
          <w:lang w:eastAsia="zh-Hans"/>
        </w:rPr>
        <w:t>年，</w:t>
      </w:r>
      <w:r>
        <w:rPr>
          <w:rFonts w:hint="eastAsia" w:ascii="仿宋_GB2312" w:eastAsia="仿宋_GB2312"/>
          <w:sz w:val="32"/>
          <w:szCs w:val="32"/>
        </w:rPr>
        <w:t>自然科学类创新团队</w:t>
      </w:r>
      <w:r>
        <w:rPr>
          <w:rFonts w:hint="eastAsia" w:ascii="仿宋_GB2312" w:eastAsia="仿宋_GB2312"/>
          <w:sz w:val="32"/>
          <w:szCs w:val="32"/>
          <w:lang w:eastAsia="zh-Hans"/>
        </w:rPr>
        <w:t>资助经费</w:t>
      </w:r>
      <w:r>
        <w:rPr>
          <w:rFonts w:hint="eastAsia" w:ascii="仿宋_GB2312" w:eastAsia="仿宋_GB2312"/>
          <w:sz w:val="32"/>
          <w:szCs w:val="32"/>
        </w:rPr>
        <w:t>合计不超过30</w:t>
      </w:r>
      <w:r>
        <w:rPr>
          <w:rFonts w:hint="eastAsia" w:ascii="仿宋_GB2312" w:eastAsia="仿宋_GB2312"/>
          <w:sz w:val="32"/>
          <w:szCs w:val="32"/>
          <w:lang w:eastAsia="zh-Hans"/>
        </w:rPr>
        <w:t>万元</w:t>
      </w:r>
      <w:r>
        <w:rPr>
          <w:rFonts w:hint="eastAsia" w:ascii="仿宋_GB2312" w:eastAsia="仿宋_GB2312"/>
          <w:sz w:val="32"/>
          <w:szCs w:val="32"/>
        </w:rPr>
        <w:t>，人文社科类创新团队</w:t>
      </w:r>
      <w:r>
        <w:rPr>
          <w:rFonts w:hint="eastAsia" w:ascii="仿宋_GB2312" w:eastAsia="仿宋_GB2312"/>
          <w:sz w:val="32"/>
          <w:szCs w:val="32"/>
          <w:lang w:eastAsia="zh-Hans"/>
        </w:rPr>
        <w:t>资助经费</w:t>
      </w:r>
      <w:r>
        <w:rPr>
          <w:rFonts w:hint="eastAsia" w:ascii="仿宋_GB2312" w:eastAsia="仿宋_GB2312"/>
          <w:sz w:val="32"/>
          <w:szCs w:val="32"/>
        </w:rPr>
        <w:t>合计不超过15</w:t>
      </w:r>
      <w:r>
        <w:rPr>
          <w:rFonts w:hint="eastAsia" w:ascii="仿宋_GB2312" w:eastAsia="仿宋_GB2312"/>
          <w:sz w:val="32"/>
          <w:szCs w:val="32"/>
          <w:lang w:eastAsia="zh-Hans"/>
        </w:rPr>
        <w:t>万元。主要用于建设期内的科研工作和人才培养工作，经费一次核定，分年度下拨。</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lang w:eastAsia="zh-Hans"/>
        </w:rPr>
        <w:t>（二）</w:t>
      </w:r>
      <w:r>
        <w:rPr>
          <w:rFonts w:ascii="仿宋_GB2312" w:eastAsia="仿宋_GB2312"/>
          <w:sz w:val="32"/>
          <w:szCs w:val="32"/>
        </w:rPr>
        <w:t>在申报省级及以上团队时予以优先推荐。</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（三）</w:t>
      </w:r>
      <w:r>
        <w:rPr>
          <w:rFonts w:ascii="仿宋_GB2312" w:eastAsia="仿宋_GB2312"/>
          <w:sz w:val="32"/>
          <w:szCs w:val="32"/>
        </w:rPr>
        <w:t>在申报</w:t>
      </w:r>
      <w:r>
        <w:rPr>
          <w:rFonts w:hint="eastAsia" w:ascii="仿宋_GB2312" w:eastAsia="仿宋_GB2312"/>
          <w:sz w:val="32"/>
          <w:szCs w:val="32"/>
          <w:lang w:eastAsia="zh-Hans"/>
        </w:rPr>
        <w:t>校级课题</w:t>
      </w:r>
      <w:r>
        <w:rPr>
          <w:rFonts w:ascii="仿宋_GB2312" w:eastAsia="仿宋_GB2312"/>
          <w:sz w:val="32"/>
          <w:szCs w:val="32"/>
        </w:rPr>
        <w:t>及其他</w:t>
      </w:r>
      <w:r>
        <w:rPr>
          <w:rFonts w:hint="eastAsia" w:ascii="仿宋_GB2312" w:eastAsia="仿宋_GB2312"/>
          <w:sz w:val="32"/>
          <w:szCs w:val="32"/>
          <w:lang w:eastAsia="zh-Hans"/>
        </w:rPr>
        <w:t>上级课题</w:t>
      </w:r>
      <w:r>
        <w:rPr>
          <w:rFonts w:ascii="仿宋_GB2312" w:eastAsia="仿宋_GB2312"/>
          <w:sz w:val="32"/>
          <w:szCs w:val="32"/>
        </w:rPr>
        <w:t>时予以优先资助或推荐</w:t>
      </w:r>
      <w:r>
        <w:rPr>
          <w:rFonts w:hint="eastAsia" w:ascii="仿宋_GB2312" w:eastAsia="仿宋_GB2312"/>
          <w:sz w:val="32"/>
          <w:szCs w:val="32"/>
          <w:lang w:eastAsia="zh-Hans"/>
        </w:rPr>
        <w:t>。</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（四）优先推荐科研创新团队负责人及核心成员聘任专职科研岗。</w:t>
      </w:r>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第十七条</w:t>
      </w:r>
      <w:r>
        <w:rPr>
          <w:rFonts w:ascii="仿宋_GB2312" w:eastAsia="仿宋_GB2312"/>
          <w:sz w:val="32"/>
          <w:szCs w:val="32"/>
          <w:lang w:eastAsia="zh-Hans"/>
        </w:rPr>
        <w:t xml:space="preserve"> </w:t>
      </w:r>
      <w:r>
        <w:rPr>
          <w:rFonts w:hint="eastAsia" w:ascii="仿宋_GB2312" w:eastAsia="仿宋_GB2312"/>
          <w:sz w:val="32"/>
          <w:szCs w:val="32"/>
          <w:lang w:eastAsia="zh-Hans"/>
        </w:rPr>
        <w:t>科研任务</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（一）建设期内</w:t>
      </w:r>
      <w:r>
        <w:rPr>
          <w:rFonts w:ascii="仿宋_GB2312" w:eastAsia="仿宋_GB2312"/>
          <w:sz w:val="32"/>
          <w:szCs w:val="32"/>
          <w:lang w:eastAsia="zh-Hans"/>
        </w:rPr>
        <w:t>成功申报</w:t>
      </w:r>
      <w:r>
        <w:rPr>
          <w:rFonts w:hint="eastAsia" w:ascii="仿宋_GB2312" w:eastAsia="仿宋_GB2312"/>
          <w:sz w:val="32"/>
          <w:szCs w:val="32"/>
          <w:lang w:eastAsia="zh-Hans"/>
        </w:rPr>
        <w:t>市厅级</w:t>
      </w:r>
      <w:r>
        <w:rPr>
          <w:rFonts w:ascii="仿宋_GB2312" w:eastAsia="仿宋_GB2312"/>
          <w:sz w:val="32"/>
          <w:szCs w:val="32"/>
          <w:lang w:eastAsia="zh-Hans"/>
        </w:rPr>
        <w:t>以上项目3项</w:t>
      </w:r>
      <w:r>
        <w:rPr>
          <w:rFonts w:hint="eastAsia" w:ascii="仿宋_GB2312" w:eastAsia="仿宋_GB2312"/>
          <w:sz w:val="32"/>
          <w:szCs w:val="32"/>
          <w:lang w:eastAsia="zh-Hans"/>
        </w:rPr>
        <w:t>以上，累计到账经费自然科学</w:t>
      </w:r>
      <w:r>
        <w:rPr>
          <w:rFonts w:hint="eastAsia" w:ascii="仿宋_GB2312" w:eastAsia="仿宋_GB2312"/>
          <w:sz w:val="32"/>
          <w:szCs w:val="32"/>
        </w:rPr>
        <w:t>类</w:t>
      </w:r>
      <w:r>
        <w:rPr>
          <w:rFonts w:ascii="仿宋_GB2312" w:eastAsia="仿宋_GB2312"/>
          <w:sz w:val="32"/>
          <w:szCs w:val="32"/>
          <w:lang w:eastAsia="zh-Hans"/>
        </w:rPr>
        <w:t>20</w:t>
      </w:r>
      <w:r>
        <w:rPr>
          <w:rFonts w:hint="eastAsia" w:ascii="仿宋_GB2312" w:eastAsia="仿宋_GB2312"/>
          <w:sz w:val="32"/>
          <w:szCs w:val="32"/>
          <w:lang w:eastAsia="zh-Hans"/>
        </w:rPr>
        <w:t>万元以上，人文社科</w:t>
      </w:r>
      <w:r>
        <w:rPr>
          <w:rFonts w:hint="eastAsia" w:ascii="仿宋_GB2312" w:eastAsia="仿宋_GB2312"/>
          <w:sz w:val="32"/>
          <w:szCs w:val="32"/>
        </w:rPr>
        <w:t>类</w:t>
      </w:r>
      <w:r>
        <w:rPr>
          <w:rFonts w:ascii="仿宋_GB2312" w:eastAsia="仿宋_GB2312"/>
          <w:sz w:val="32"/>
          <w:szCs w:val="32"/>
          <w:lang w:eastAsia="zh-Hans"/>
        </w:rPr>
        <w:t>10</w:t>
      </w:r>
      <w:r>
        <w:rPr>
          <w:rFonts w:hint="eastAsia" w:ascii="仿宋_GB2312" w:eastAsia="仿宋_GB2312"/>
          <w:sz w:val="32"/>
          <w:szCs w:val="32"/>
          <w:lang w:eastAsia="zh-Hans"/>
        </w:rPr>
        <w:t>万元以上；或承担横向项目</w:t>
      </w:r>
      <w:r>
        <w:rPr>
          <w:rFonts w:ascii="仿宋_GB2312" w:eastAsia="仿宋_GB2312"/>
          <w:sz w:val="32"/>
          <w:szCs w:val="32"/>
          <w:lang w:eastAsia="zh-Hans"/>
        </w:rPr>
        <w:t>1</w:t>
      </w:r>
      <w:r>
        <w:rPr>
          <w:rFonts w:hint="eastAsia" w:ascii="仿宋_GB2312" w:eastAsia="仿宋_GB2312"/>
          <w:sz w:val="32"/>
          <w:szCs w:val="32"/>
          <w:lang w:eastAsia="zh-Hans"/>
        </w:rPr>
        <w:t>项以上，累计到账经费自然科学</w:t>
      </w:r>
      <w:r>
        <w:rPr>
          <w:rFonts w:hint="eastAsia" w:ascii="仿宋_GB2312" w:eastAsia="仿宋_GB2312"/>
          <w:sz w:val="32"/>
          <w:szCs w:val="32"/>
        </w:rPr>
        <w:t>类</w:t>
      </w:r>
      <w:r>
        <w:rPr>
          <w:rFonts w:ascii="仿宋_GB2312" w:eastAsia="仿宋_GB2312"/>
          <w:sz w:val="32"/>
          <w:szCs w:val="32"/>
          <w:lang w:eastAsia="zh-Hans"/>
        </w:rPr>
        <w:t>40</w:t>
      </w:r>
      <w:r>
        <w:rPr>
          <w:rFonts w:hint="eastAsia" w:ascii="仿宋_GB2312" w:eastAsia="仿宋_GB2312"/>
          <w:sz w:val="32"/>
          <w:szCs w:val="32"/>
          <w:lang w:eastAsia="zh-Hans"/>
        </w:rPr>
        <w:t>万元以上，人文社科</w:t>
      </w:r>
      <w:r>
        <w:rPr>
          <w:rFonts w:hint="eastAsia" w:ascii="仿宋_GB2312" w:eastAsia="仿宋_GB2312"/>
          <w:sz w:val="32"/>
          <w:szCs w:val="32"/>
        </w:rPr>
        <w:t>类</w:t>
      </w:r>
      <w:r>
        <w:rPr>
          <w:rFonts w:ascii="仿宋_GB2312" w:eastAsia="仿宋_GB2312"/>
          <w:sz w:val="32"/>
          <w:szCs w:val="32"/>
          <w:lang w:eastAsia="zh-Hans"/>
        </w:rPr>
        <w:t>20</w:t>
      </w:r>
      <w:r>
        <w:rPr>
          <w:rFonts w:hint="eastAsia" w:ascii="仿宋_GB2312" w:eastAsia="仿宋_GB2312"/>
          <w:sz w:val="32"/>
          <w:szCs w:val="32"/>
          <w:lang w:eastAsia="zh-Hans"/>
        </w:rPr>
        <w:t>万元以上。</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（二）建设期</w:t>
      </w:r>
      <w:r>
        <w:rPr>
          <w:rFonts w:ascii="仿宋_GB2312" w:eastAsia="仿宋_GB2312"/>
          <w:sz w:val="32"/>
          <w:szCs w:val="32"/>
          <w:lang w:eastAsia="zh-Hans"/>
        </w:rPr>
        <w:t>内发表本研究领域</w:t>
      </w:r>
      <w:r>
        <w:rPr>
          <w:rFonts w:hint="eastAsia" w:ascii="仿宋_GB2312" w:eastAsia="仿宋_GB2312"/>
          <w:sz w:val="32"/>
          <w:szCs w:val="32"/>
          <w:lang w:eastAsia="zh-Hans"/>
        </w:rPr>
        <w:t>中文核心期刊</w:t>
      </w:r>
      <w:r>
        <w:rPr>
          <w:rFonts w:hint="eastAsia" w:ascii="仿宋_GB2312" w:eastAsia="仿宋_GB2312"/>
          <w:sz w:val="32"/>
          <w:szCs w:val="32"/>
        </w:rPr>
        <w:t>及</w:t>
      </w:r>
      <w:r>
        <w:rPr>
          <w:rFonts w:ascii="仿宋_GB2312" w:eastAsia="仿宋_GB2312"/>
          <w:sz w:val="32"/>
          <w:szCs w:val="32"/>
          <w:lang w:eastAsia="zh-Hans"/>
        </w:rPr>
        <w:t>以上学术论文6篇</w:t>
      </w:r>
      <w:r>
        <w:rPr>
          <w:rFonts w:hint="eastAsia" w:ascii="仿宋_GB2312" w:eastAsia="仿宋_GB2312"/>
          <w:sz w:val="32"/>
          <w:szCs w:val="32"/>
          <w:lang w:eastAsia="zh-Hans"/>
        </w:rPr>
        <w:t>以上</w:t>
      </w:r>
      <w:r>
        <w:rPr>
          <w:rFonts w:ascii="仿宋_GB2312" w:eastAsia="仿宋_GB2312"/>
          <w:sz w:val="32"/>
          <w:szCs w:val="32"/>
          <w:lang w:eastAsia="zh-Hans"/>
        </w:rPr>
        <w:t>，或本研究领域SCI论文2篇</w:t>
      </w:r>
      <w:r>
        <w:rPr>
          <w:rFonts w:hint="eastAsia" w:ascii="仿宋_GB2312" w:eastAsia="仿宋_GB2312"/>
          <w:sz w:val="32"/>
          <w:szCs w:val="32"/>
          <w:lang w:eastAsia="zh-Hans"/>
        </w:rPr>
        <w:t>以上，或</w:t>
      </w:r>
      <w:r>
        <w:rPr>
          <w:rFonts w:ascii="仿宋_GB2312" w:eastAsia="仿宋_GB2312"/>
          <w:sz w:val="32"/>
          <w:szCs w:val="32"/>
          <w:lang w:eastAsia="zh-Hans"/>
        </w:rPr>
        <w:t>授权国家发明专利6项</w:t>
      </w:r>
      <w:r>
        <w:rPr>
          <w:rFonts w:hint="eastAsia" w:ascii="仿宋_GB2312" w:eastAsia="仿宋_GB2312"/>
          <w:sz w:val="32"/>
          <w:szCs w:val="32"/>
          <w:lang w:eastAsia="zh-Hans"/>
        </w:rPr>
        <w:t>以上，或学术专著</w:t>
      </w:r>
      <w:r>
        <w:rPr>
          <w:rFonts w:ascii="仿宋_GB2312" w:eastAsia="仿宋_GB2312"/>
          <w:sz w:val="32"/>
          <w:szCs w:val="32"/>
          <w:lang w:eastAsia="zh-Hans"/>
        </w:rPr>
        <w:t>1</w:t>
      </w:r>
      <w:r>
        <w:rPr>
          <w:rFonts w:hint="eastAsia" w:ascii="仿宋_GB2312" w:eastAsia="仿宋_GB2312"/>
          <w:sz w:val="32"/>
          <w:szCs w:val="32"/>
          <w:lang w:eastAsia="zh-Hans"/>
        </w:rPr>
        <w:t>部以上。</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（三）获授权发明专利</w:t>
      </w:r>
      <w:r>
        <w:rPr>
          <w:rFonts w:ascii="仿宋_GB2312" w:eastAsia="仿宋_GB2312"/>
          <w:sz w:val="32"/>
          <w:szCs w:val="32"/>
          <w:lang w:eastAsia="zh-Hans"/>
        </w:rPr>
        <w:t>2</w:t>
      </w:r>
      <w:r>
        <w:rPr>
          <w:rFonts w:hint="eastAsia" w:ascii="仿宋_GB2312" w:eastAsia="仿宋_GB2312"/>
          <w:sz w:val="32"/>
          <w:szCs w:val="32"/>
          <w:lang w:eastAsia="zh-Hans"/>
        </w:rPr>
        <w:t>项，并经现场应用或成果转化后，为学校创造经济收益累计</w:t>
      </w:r>
      <w:r>
        <w:rPr>
          <w:rFonts w:ascii="仿宋_GB2312" w:eastAsia="仿宋_GB2312"/>
          <w:sz w:val="32"/>
          <w:szCs w:val="32"/>
          <w:lang w:eastAsia="zh-Hans"/>
        </w:rPr>
        <w:t>2</w:t>
      </w:r>
      <w:r>
        <w:rPr>
          <w:rFonts w:hint="eastAsia" w:ascii="仿宋_GB2312" w:eastAsia="仿宋_GB2312"/>
          <w:sz w:val="32"/>
          <w:szCs w:val="32"/>
          <w:lang w:eastAsia="zh-Hans"/>
        </w:rPr>
        <w:t>0万元以上；或</w:t>
      </w:r>
      <w:r>
        <w:rPr>
          <w:rFonts w:ascii="仿宋_GB2312" w:eastAsia="仿宋_GB2312"/>
          <w:sz w:val="32"/>
          <w:szCs w:val="32"/>
          <w:lang w:eastAsia="zh-Hans"/>
        </w:rPr>
        <w:t>1</w:t>
      </w:r>
      <w:r>
        <w:rPr>
          <w:rFonts w:hint="eastAsia" w:ascii="仿宋_GB2312" w:eastAsia="仿宋_GB2312"/>
          <w:sz w:val="32"/>
          <w:szCs w:val="32"/>
          <w:lang w:eastAsia="zh-Hans"/>
        </w:rPr>
        <w:t>项以上研究成果被市厅级及以上领导的肯定性批示。</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（四）建设期内组织开展对外技术交流活动3次，技术培训或学术讲座、技术报告3次。</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第十八条</w:t>
      </w:r>
      <w:r>
        <w:rPr>
          <w:rFonts w:ascii="仿宋_GB2312" w:eastAsia="仿宋_GB2312"/>
          <w:sz w:val="32"/>
          <w:szCs w:val="32"/>
          <w:lang w:eastAsia="zh-Hans"/>
        </w:rPr>
        <w:t xml:space="preserve"> </w:t>
      </w:r>
      <w:r>
        <w:rPr>
          <w:rFonts w:hint="eastAsia" w:ascii="仿宋_GB2312" w:eastAsia="仿宋_GB2312"/>
          <w:sz w:val="32"/>
          <w:szCs w:val="32"/>
          <w:lang w:eastAsia="zh-Hans"/>
        </w:rPr>
        <w:t>创新团队</w:t>
      </w:r>
      <w:r>
        <w:rPr>
          <w:rFonts w:hint="eastAsia" w:ascii="仿宋_GB2312" w:eastAsia="仿宋_GB2312"/>
          <w:sz w:val="32"/>
          <w:szCs w:val="32"/>
        </w:rPr>
        <w:t>运行管理实行</w:t>
      </w:r>
      <w:r>
        <w:rPr>
          <w:rFonts w:hint="eastAsia" w:ascii="仿宋_GB2312" w:eastAsia="仿宋_GB2312"/>
          <w:sz w:val="32"/>
          <w:szCs w:val="32"/>
          <w:lang w:eastAsia="zh-Hans"/>
        </w:rPr>
        <w:t>团队</w:t>
      </w:r>
      <w:r>
        <w:rPr>
          <w:rFonts w:hint="eastAsia" w:ascii="仿宋_GB2312" w:eastAsia="仿宋_GB2312"/>
          <w:sz w:val="32"/>
          <w:szCs w:val="32"/>
        </w:rPr>
        <w:t>负责人负责制，对</w:t>
      </w:r>
      <w:r>
        <w:rPr>
          <w:rFonts w:hint="eastAsia" w:ascii="仿宋_GB2312" w:eastAsia="仿宋_GB2312"/>
          <w:sz w:val="32"/>
          <w:szCs w:val="32"/>
          <w:lang w:eastAsia="zh-Hans"/>
        </w:rPr>
        <w:t>创新团队</w:t>
      </w:r>
      <w:r>
        <w:rPr>
          <w:rFonts w:hint="eastAsia" w:ascii="仿宋_GB2312" w:eastAsia="仿宋_GB2312"/>
          <w:sz w:val="32"/>
          <w:szCs w:val="32"/>
        </w:rPr>
        <w:t>的日常工作全面负责，组织各项</w:t>
      </w:r>
      <w:r>
        <w:rPr>
          <w:rFonts w:hint="eastAsia" w:ascii="仿宋_GB2312" w:eastAsia="仿宋_GB2312"/>
          <w:sz w:val="32"/>
          <w:szCs w:val="32"/>
          <w:lang w:eastAsia="zh-Hans"/>
        </w:rPr>
        <w:t>科研工作</w:t>
      </w:r>
      <w:r>
        <w:rPr>
          <w:rFonts w:hint="eastAsia" w:ascii="仿宋_GB2312" w:eastAsia="仿宋_GB2312"/>
          <w:sz w:val="32"/>
          <w:szCs w:val="32"/>
        </w:rPr>
        <w:t>开展。</w:t>
      </w:r>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第十九条</w:t>
      </w:r>
      <w:r>
        <w:rPr>
          <w:rFonts w:ascii="仿宋_GB2312" w:eastAsia="仿宋_GB2312"/>
          <w:sz w:val="32"/>
          <w:szCs w:val="32"/>
          <w:lang w:eastAsia="zh-Hans"/>
        </w:rPr>
        <w:t xml:space="preserve"> </w:t>
      </w:r>
      <w:r>
        <w:rPr>
          <w:rFonts w:hint="eastAsia" w:ascii="仿宋_GB2312" w:eastAsia="仿宋_GB2312"/>
          <w:sz w:val="32"/>
          <w:szCs w:val="32"/>
          <w:lang w:eastAsia="zh-Hans"/>
        </w:rPr>
        <w:t>创新团队</w:t>
      </w:r>
      <w:r>
        <w:rPr>
          <w:rFonts w:hint="eastAsia" w:ascii="仿宋_GB2312" w:eastAsia="仿宋_GB2312"/>
          <w:sz w:val="32"/>
          <w:szCs w:val="32"/>
        </w:rPr>
        <w:t>应做好人员、</w:t>
      </w:r>
      <w:r>
        <w:rPr>
          <w:rFonts w:ascii="仿宋_GB2312" w:eastAsia="仿宋_GB2312"/>
          <w:sz w:val="32"/>
          <w:szCs w:val="32"/>
        </w:rPr>
        <w:t>创新</w:t>
      </w:r>
      <w:r>
        <w:rPr>
          <w:rFonts w:hint="eastAsia" w:ascii="仿宋_GB2312" w:eastAsia="仿宋_GB2312"/>
          <w:sz w:val="32"/>
          <w:szCs w:val="32"/>
        </w:rPr>
        <w:t>项目、</w:t>
      </w:r>
      <w:r>
        <w:rPr>
          <w:rFonts w:ascii="仿宋_GB2312" w:eastAsia="仿宋_GB2312"/>
          <w:sz w:val="32"/>
          <w:szCs w:val="32"/>
        </w:rPr>
        <w:t>创新</w:t>
      </w:r>
      <w:r>
        <w:rPr>
          <w:rFonts w:hint="eastAsia" w:ascii="仿宋_GB2312" w:eastAsia="仿宋_GB2312"/>
          <w:sz w:val="32"/>
          <w:szCs w:val="32"/>
        </w:rPr>
        <w:t>成果等的管理和信息归档工作。</w:t>
      </w:r>
      <w:r>
        <w:rPr>
          <w:rFonts w:hint="eastAsia" w:ascii="仿宋_GB2312" w:eastAsia="仿宋_GB2312"/>
          <w:sz w:val="32"/>
          <w:szCs w:val="32"/>
          <w:lang w:eastAsia="zh-Hans"/>
        </w:rPr>
        <w:t>科研创新团队</w:t>
      </w:r>
      <w:r>
        <w:rPr>
          <w:rFonts w:hint="eastAsia" w:ascii="仿宋_GB2312" w:eastAsia="仿宋_GB2312"/>
          <w:sz w:val="32"/>
          <w:szCs w:val="32"/>
        </w:rPr>
        <w:t>信息及团队成员变更，应及时在学校科研管理系统中备案。</w:t>
      </w:r>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第二十条</w:t>
      </w:r>
      <w:r>
        <w:rPr>
          <w:rFonts w:ascii="仿宋_GB2312" w:eastAsia="仿宋_GB2312"/>
          <w:sz w:val="32"/>
          <w:szCs w:val="32"/>
          <w:lang w:eastAsia="zh-Hans"/>
        </w:rPr>
        <w:t xml:space="preserve"> </w:t>
      </w:r>
      <w:r>
        <w:rPr>
          <w:rFonts w:hint="eastAsia" w:ascii="仿宋_GB2312" w:eastAsia="仿宋_GB2312"/>
          <w:sz w:val="32"/>
          <w:szCs w:val="32"/>
          <w:lang w:eastAsia="zh-Hans"/>
        </w:rPr>
        <w:t>创新团队考核分为年度考核和期满考核。</w:t>
      </w:r>
    </w:p>
    <w:p>
      <w:pPr>
        <w:spacing w:line="596" w:lineRule="exact"/>
        <w:ind w:firstLine="640" w:firstLineChars="200"/>
        <w:rPr>
          <w:rFonts w:hint="eastAsia" w:ascii="仿宋_GB2312" w:eastAsia="仿宋_GB2312"/>
          <w:sz w:val="32"/>
          <w:szCs w:val="32"/>
          <w:lang w:eastAsia="zh-Hans"/>
        </w:rPr>
      </w:pPr>
      <w:r>
        <w:rPr>
          <w:rFonts w:hint="eastAsia" w:ascii="仿宋_GB2312" w:eastAsia="仿宋_GB2312"/>
          <w:sz w:val="32"/>
          <w:szCs w:val="32"/>
          <w:lang w:eastAsia="zh-Hans"/>
        </w:rPr>
        <w:t>年度考核由团队负责人所在二级学院</w:t>
      </w:r>
      <w:r>
        <w:rPr>
          <w:rFonts w:hint="eastAsia" w:ascii="仿宋_GB2312" w:eastAsia="仿宋_GB2312"/>
          <w:sz w:val="32"/>
          <w:szCs w:val="32"/>
        </w:rPr>
        <w:t>（</w:t>
      </w:r>
      <w:r>
        <w:rPr>
          <w:rFonts w:hint="eastAsia" w:ascii="仿宋_GB2312" w:eastAsia="仿宋_GB2312"/>
          <w:sz w:val="32"/>
          <w:szCs w:val="32"/>
          <w:lang w:eastAsia="zh-Hans"/>
        </w:rPr>
        <w:t>部门</w:t>
      </w:r>
      <w:r>
        <w:rPr>
          <w:rFonts w:hint="eastAsia" w:ascii="仿宋_GB2312" w:eastAsia="仿宋_GB2312"/>
          <w:sz w:val="32"/>
          <w:szCs w:val="32"/>
        </w:rPr>
        <w:t>）</w:t>
      </w:r>
      <w:r>
        <w:rPr>
          <w:rFonts w:hint="eastAsia" w:ascii="仿宋_GB2312" w:eastAsia="仿宋_GB2312"/>
          <w:sz w:val="32"/>
          <w:szCs w:val="32"/>
          <w:lang w:eastAsia="zh-Hans"/>
        </w:rPr>
        <w:t>组织考核，</w:t>
      </w:r>
      <w:r>
        <w:rPr>
          <w:rFonts w:hint="eastAsia" w:ascii="仿宋_GB2312" w:eastAsia="仿宋_GB2312"/>
          <w:sz w:val="32"/>
          <w:szCs w:val="32"/>
        </w:rPr>
        <w:t>考核</w:t>
      </w:r>
      <w:r>
        <w:rPr>
          <w:rFonts w:hint="eastAsia" w:ascii="仿宋_GB2312" w:eastAsia="仿宋_GB2312"/>
          <w:sz w:val="32"/>
          <w:szCs w:val="32"/>
          <w:lang w:eastAsia="zh-Hans"/>
        </w:rPr>
        <w:t>结果分为</w:t>
      </w:r>
      <w:r>
        <w:rPr>
          <w:rFonts w:hint="eastAsia" w:ascii="仿宋_GB2312" w:eastAsia="仿宋_GB2312"/>
          <w:sz w:val="32"/>
          <w:szCs w:val="32"/>
        </w:rPr>
        <w:t>优秀、合格</w:t>
      </w:r>
      <w:r>
        <w:rPr>
          <w:rFonts w:hint="eastAsia" w:ascii="仿宋_GB2312" w:eastAsia="仿宋_GB2312"/>
          <w:sz w:val="32"/>
          <w:szCs w:val="32"/>
          <w:lang w:eastAsia="zh-Hans"/>
        </w:rPr>
        <w:t>、不合格，报科技</w:t>
      </w:r>
      <w:r>
        <w:rPr>
          <w:rFonts w:hint="eastAsia" w:ascii="仿宋_GB2312" w:eastAsia="仿宋_GB2312"/>
          <w:sz w:val="32"/>
          <w:szCs w:val="32"/>
        </w:rPr>
        <w:t>开发与校企合作处</w:t>
      </w:r>
      <w:r>
        <w:rPr>
          <w:rFonts w:hint="eastAsia" w:ascii="仿宋_GB2312" w:eastAsia="仿宋_GB2312"/>
          <w:sz w:val="32"/>
          <w:szCs w:val="32"/>
          <w:lang w:eastAsia="zh-Hans"/>
        </w:rPr>
        <w:t>备案。考核合格以上的创</w:t>
      </w:r>
      <w:bookmarkStart w:id="1322" w:name="_Toc27726_WPSOffice_Level1"/>
      <w:r>
        <w:rPr>
          <w:rFonts w:hint="eastAsia" w:ascii="仿宋_GB2312" w:eastAsia="仿宋_GB2312"/>
          <w:sz w:val="32"/>
          <w:szCs w:val="32"/>
          <w:lang w:eastAsia="zh-Hans"/>
        </w:rPr>
        <w:t>新团队，按照计划持续资助</w:t>
      </w:r>
      <w:r>
        <w:rPr>
          <w:rFonts w:hint="eastAsia" w:ascii="仿宋_GB2312" w:eastAsia="仿宋_GB2312"/>
          <w:sz w:val="32"/>
          <w:szCs w:val="32"/>
        </w:rPr>
        <w:t>；</w:t>
      </w:r>
      <w:r>
        <w:rPr>
          <w:rFonts w:hint="eastAsia" w:ascii="仿宋_GB2312" w:eastAsia="仿宋_GB2312"/>
          <w:sz w:val="32"/>
          <w:szCs w:val="32"/>
          <w:lang w:eastAsia="zh-Hans"/>
        </w:rPr>
        <w:t>考核不合格</w:t>
      </w:r>
      <w:bookmarkEnd w:id="1322"/>
      <w:r>
        <w:rPr>
          <w:rFonts w:hint="eastAsia" w:ascii="仿宋_GB2312" w:eastAsia="仿宋_GB2312"/>
          <w:sz w:val="32"/>
          <w:szCs w:val="32"/>
          <w:lang w:eastAsia="zh-Hans"/>
        </w:rPr>
        <w:t>团队，暂停资</w:t>
      </w:r>
      <w:bookmarkStart w:id="1323" w:name="_Toc9467_WPSOffice_Level1"/>
      <w:r>
        <w:rPr>
          <w:rFonts w:hint="eastAsia" w:ascii="仿宋_GB2312" w:eastAsia="仿宋_GB2312"/>
          <w:sz w:val="32"/>
          <w:szCs w:val="32"/>
          <w:lang w:eastAsia="zh-Hans"/>
        </w:rPr>
        <w:t>助，给予一年的整改期</w:t>
      </w:r>
      <w:r>
        <w:rPr>
          <w:rFonts w:hint="eastAsia" w:ascii="仿宋_GB2312" w:eastAsia="仿宋_GB2312"/>
          <w:sz w:val="32"/>
          <w:szCs w:val="32"/>
        </w:rPr>
        <w:t>；</w:t>
      </w:r>
      <w:r>
        <w:rPr>
          <w:rFonts w:hint="eastAsia" w:ascii="仿宋_GB2312" w:eastAsia="仿宋_GB2312"/>
          <w:sz w:val="32"/>
          <w:szCs w:val="32"/>
          <w:lang w:eastAsia="zh-Hans"/>
        </w:rPr>
        <w:t>整改后仍然考核不合格</w:t>
      </w:r>
      <w:bookmarkEnd w:id="1323"/>
      <w:r>
        <w:rPr>
          <w:rFonts w:hint="eastAsia" w:ascii="仿宋_GB2312" w:eastAsia="仿宋_GB2312"/>
          <w:sz w:val="32"/>
          <w:szCs w:val="32"/>
          <w:lang w:eastAsia="zh-Hans"/>
        </w:rPr>
        <w:t>的创</w:t>
      </w:r>
      <w:bookmarkStart w:id="1324" w:name="_Toc25932_WPSOffice_Level1"/>
      <w:r>
        <w:rPr>
          <w:rFonts w:hint="eastAsia" w:ascii="仿宋_GB2312" w:eastAsia="仿宋_GB2312"/>
          <w:sz w:val="32"/>
          <w:szCs w:val="32"/>
          <w:lang w:eastAsia="zh-Hans"/>
        </w:rPr>
        <w:t>新团队，科技</w:t>
      </w:r>
      <w:r>
        <w:rPr>
          <w:rFonts w:hint="eastAsia" w:ascii="仿宋_GB2312" w:eastAsia="仿宋_GB2312"/>
          <w:sz w:val="32"/>
          <w:szCs w:val="32"/>
        </w:rPr>
        <w:t>开发与校企合作</w:t>
      </w:r>
      <w:r>
        <w:rPr>
          <w:rFonts w:hint="eastAsia" w:ascii="仿宋_GB2312" w:eastAsia="仿宋_GB2312"/>
          <w:sz w:val="32"/>
          <w:szCs w:val="32"/>
          <w:lang w:eastAsia="zh-Hans"/>
        </w:rPr>
        <w:t>处提交撤销创新团队申请，报</w:t>
      </w:r>
      <w:bookmarkEnd w:id="1324"/>
      <w:r>
        <w:rPr>
          <w:rFonts w:hint="eastAsia" w:ascii="仿宋_GB2312" w:eastAsia="仿宋_GB2312"/>
          <w:sz w:val="32"/>
          <w:szCs w:val="32"/>
          <w:lang w:eastAsia="zh-Hans"/>
        </w:rPr>
        <w:t>校长办公会审定同意后发文撤销。</w:t>
      </w:r>
    </w:p>
    <w:p>
      <w:pPr>
        <w:spacing w:line="596" w:lineRule="exact"/>
        <w:ind w:firstLine="640" w:firstLineChars="200"/>
        <w:rPr>
          <w:rFonts w:ascii="仿宋_GB2312" w:eastAsia="仿宋_GB2312"/>
          <w:sz w:val="32"/>
          <w:szCs w:val="32"/>
          <w:lang w:eastAsia="zh-Hans"/>
        </w:rPr>
      </w:pPr>
      <w:r>
        <w:rPr>
          <w:rFonts w:hint="eastAsia" w:ascii="仿宋_GB2312" w:eastAsia="仿宋_GB2312"/>
          <w:sz w:val="32"/>
          <w:szCs w:val="32"/>
          <w:lang w:eastAsia="zh-Hans"/>
        </w:rPr>
        <w:t>建设期满考核由科技开发与校企</w:t>
      </w:r>
      <w:r>
        <w:rPr>
          <w:rFonts w:hint="eastAsia" w:ascii="仿宋_GB2312" w:eastAsia="仿宋_GB2312"/>
          <w:sz w:val="32"/>
          <w:szCs w:val="32"/>
        </w:rPr>
        <w:t>处</w:t>
      </w:r>
      <w:r>
        <w:rPr>
          <w:rFonts w:hint="eastAsia" w:ascii="仿宋_GB2312" w:eastAsia="仿宋_GB2312"/>
          <w:sz w:val="32"/>
          <w:szCs w:val="32"/>
          <w:lang w:eastAsia="zh-Hans"/>
        </w:rPr>
        <w:t>合作负责组织，建设期满3个月内，由团队负责人提交建设总结报告，科技开发与校企合作</w:t>
      </w:r>
      <w:r>
        <w:rPr>
          <w:rFonts w:hint="eastAsia" w:ascii="仿宋_GB2312" w:eastAsia="仿宋_GB2312"/>
          <w:sz w:val="32"/>
          <w:szCs w:val="32"/>
        </w:rPr>
        <w:t>处</w:t>
      </w:r>
      <w:r>
        <w:rPr>
          <w:rFonts w:hint="eastAsia" w:ascii="仿宋_GB2312" w:eastAsia="仿宋_GB2312"/>
          <w:sz w:val="32"/>
          <w:szCs w:val="32"/>
          <w:lang w:eastAsia="zh-Hans"/>
        </w:rPr>
        <w:t>组建专家组，对创新团队建设成效进行考核。</w:t>
      </w:r>
      <w:r>
        <w:rPr>
          <w:rFonts w:hint="eastAsia" w:ascii="仿宋_GB2312" w:eastAsia="仿宋_GB2312"/>
          <w:sz w:val="32"/>
          <w:szCs w:val="32"/>
        </w:rPr>
        <w:t>考核</w:t>
      </w:r>
      <w:r>
        <w:rPr>
          <w:rFonts w:hint="eastAsia" w:ascii="仿宋_GB2312" w:eastAsia="仿宋_GB2312"/>
          <w:sz w:val="32"/>
          <w:szCs w:val="32"/>
          <w:lang w:eastAsia="zh-Hans"/>
        </w:rPr>
        <w:t>结果分为</w:t>
      </w:r>
      <w:r>
        <w:rPr>
          <w:rFonts w:hint="eastAsia" w:ascii="仿宋_GB2312" w:eastAsia="仿宋_GB2312"/>
          <w:sz w:val="32"/>
          <w:szCs w:val="32"/>
        </w:rPr>
        <w:t>优秀、合格</w:t>
      </w:r>
      <w:r>
        <w:rPr>
          <w:rFonts w:hint="eastAsia" w:ascii="仿宋_GB2312" w:eastAsia="仿宋_GB2312"/>
          <w:sz w:val="32"/>
          <w:szCs w:val="32"/>
          <w:lang w:eastAsia="zh-Hans"/>
        </w:rPr>
        <w:t>、不合格</w:t>
      </w:r>
      <w:r>
        <w:rPr>
          <w:rFonts w:hint="eastAsia" w:ascii="仿宋_GB2312" w:eastAsia="仿宋_GB2312"/>
          <w:sz w:val="32"/>
          <w:szCs w:val="32"/>
        </w:rPr>
        <w:t>。考核</w:t>
      </w:r>
      <w:r>
        <w:rPr>
          <w:rFonts w:hint="eastAsia" w:ascii="仿宋_GB2312" w:eastAsia="仿宋_GB2312"/>
          <w:sz w:val="32"/>
          <w:szCs w:val="32"/>
          <w:lang w:eastAsia="zh-Hans"/>
        </w:rPr>
        <w:t>结果为</w:t>
      </w:r>
      <w:r>
        <w:rPr>
          <w:rFonts w:hint="eastAsia" w:ascii="仿宋_GB2312" w:eastAsia="仿宋_GB2312"/>
          <w:sz w:val="32"/>
          <w:szCs w:val="32"/>
        </w:rPr>
        <w:t>优秀</w:t>
      </w:r>
      <w:r>
        <w:rPr>
          <w:rFonts w:hint="eastAsia" w:ascii="仿宋_GB2312" w:eastAsia="仿宋_GB2312"/>
          <w:sz w:val="32"/>
          <w:szCs w:val="32"/>
          <w:lang w:eastAsia="zh-Hans"/>
        </w:rPr>
        <w:t>的创新团队，学校将进行下一个建设周期的滚动资助</w:t>
      </w:r>
      <w:r>
        <w:rPr>
          <w:rFonts w:hint="eastAsia" w:ascii="仿宋_GB2312" w:eastAsia="仿宋_GB2312"/>
          <w:sz w:val="32"/>
          <w:szCs w:val="32"/>
        </w:rPr>
        <w:t>；</w:t>
      </w:r>
      <w:r>
        <w:rPr>
          <w:rFonts w:hint="eastAsia" w:ascii="仿宋_GB2312" w:eastAsia="仿宋_GB2312"/>
          <w:sz w:val="32"/>
          <w:szCs w:val="32"/>
          <w:lang w:eastAsia="zh-Hans"/>
        </w:rPr>
        <w:t>考核结果为合格的创新团队，可根据需要申请滚动支持</w:t>
      </w:r>
      <w:r>
        <w:rPr>
          <w:rFonts w:hint="eastAsia" w:ascii="仿宋_GB2312" w:eastAsia="仿宋_GB2312"/>
          <w:sz w:val="32"/>
          <w:szCs w:val="32"/>
        </w:rPr>
        <w:t>；</w:t>
      </w:r>
      <w:r>
        <w:rPr>
          <w:rFonts w:hint="eastAsia" w:ascii="仿宋_GB2312" w:eastAsia="仿宋_GB2312"/>
          <w:sz w:val="32"/>
          <w:szCs w:val="32"/>
          <w:lang w:eastAsia="zh-Hans"/>
        </w:rPr>
        <w:t>考核不合格的创新团队，科技</w:t>
      </w:r>
      <w:r>
        <w:rPr>
          <w:rFonts w:hint="eastAsia" w:ascii="仿宋_GB2312" w:eastAsia="仿宋_GB2312"/>
          <w:sz w:val="32"/>
          <w:szCs w:val="32"/>
        </w:rPr>
        <w:t>开发与校企合作</w:t>
      </w:r>
      <w:r>
        <w:rPr>
          <w:rFonts w:hint="eastAsia" w:ascii="仿宋_GB2312" w:eastAsia="仿宋_GB2312"/>
          <w:sz w:val="32"/>
          <w:szCs w:val="32"/>
          <w:lang w:eastAsia="zh-Hans"/>
        </w:rPr>
        <w:t>处提交撤销创新团队申请，报校长办公会审定同意后发文撤销。</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第二十一条</w:t>
      </w:r>
      <w:r>
        <w:rPr>
          <w:rFonts w:ascii="仿宋_GB2312" w:eastAsia="仿宋_GB2312"/>
          <w:b/>
          <w:bCs/>
          <w:sz w:val="32"/>
          <w:szCs w:val="32"/>
          <w:lang w:eastAsia="zh-Hans"/>
        </w:rPr>
        <w:t xml:space="preserve"> </w:t>
      </w:r>
      <w:r>
        <w:rPr>
          <w:rFonts w:hint="eastAsia" w:ascii="仿宋_GB2312" w:eastAsia="仿宋_GB2312"/>
          <w:sz w:val="32"/>
          <w:szCs w:val="32"/>
        </w:rPr>
        <w:t>创新团队建设期内进入</w:t>
      </w:r>
      <w:r>
        <w:rPr>
          <w:rFonts w:hint="eastAsia" w:ascii="仿宋_GB2312" w:eastAsia="仿宋_GB2312"/>
          <w:sz w:val="32"/>
          <w:szCs w:val="32"/>
          <w:lang w:eastAsia="zh-Hans"/>
        </w:rPr>
        <w:t>市厅级</w:t>
      </w:r>
      <w:r>
        <w:rPr>
          <w:rFonts w:hint="eastAsia" w:ascii="仿宋_GB2312" w:eastAsia="仿宋_GB2312"/>
          <w:sz w:val="32"/>
          <w:szCs w:val="32"/>
        </w:rPr>
        <w:t>及以上创新团队序列的</w:t>
      </w:r>
      <w:r>
        <w:rPr>
          <w:rFonts w:hint="eastAsia" w:ascii="仿宋_GB2312" w:eastAsia="仿宋_GB2312"/>
          <w:sz w:val="32"/>
          <w:szCs w:val="32"/>
          <w:lang w:eastAsia="zh-Hans"/>
        </w:rPr>
        <w:t>；或主持或主要参与（学校排名前三）立项国家级科研项目；主持或主要参与（学校排名前二）立项省部级重点（重大）科研项目；或获得省部级级以上科研成果奖，</w:t>
      </w:r>
      <w:r>
        <w:rPr>
          <w:rFonts w:hint="eastAsia" w:ascii="仿宋_GB2312" w:eastAsia="仿宋_GB2312"/>
          <w:sz w:val="32"/>
          <w:szCs w:val="32"/>
        </w:rPr>
        <w:t>建设期满免予考核，直接认定为优秀。</w:t>
      </w:r>
    </w:p>
    <w:p>
      <w:pPr>
        <w:spacing w:line="596" w:lineRule="exact"/>
        <w:ind w:firstLine="643" w:firstLineChars="200"/>
        <w:rPr>
          <w:rFonts w:hint="eastAsia" w:ascii="仿宋_GB2312" w:eastAsia="仿宋_GB2312"/>
          <w:sz w:val="32"/>
          <w:szCs w:val="32"/>
          <w:lang w:eastAsia="zh-Hans"/>
        </w:rPr>
      </w:pPr>
      <w:r>
        <w:rPr>
          <w:rFonts w:hint="eastAsia" w:ascii="仿宋_GB2312" w:eastAsia="仿宋_GB2312"/>
          <w:b/>
          <w:bCs/>
          <w:sz w:val="32"/>
          <w:szCs w:val="32"/>
          <w:lang w:eastAsia="zh-Hans"/>
        </w:rPr>
        <w:t>第二十二条</w:t>
      </w:r>
      <w:r>
        <w:rPr>
          <w:rFonts w:ascii="仿宋_GB2312" w:eastAsia="仿宋_GB2312"/>
          <w:sz w:val="32"/>
          <w:szCs w:val="32"/>
          <w:lang w:eastAsia="zh-Hans"/>
        </w:rPr>
        <w:t xml:space="preserve"> </w:t>
      </w:r>
      <w:r>
        <w:rPr>
          <w:rFonts w:hint="eastAsia" w:ascii="仿宋_GB2312" w:eastAsia="仿宋_GB2312"/>
          <w:sz w:val="32"/>
          <w:szCs w:val="32"/>
          <w:lang w:eastAsia="zh-Hans"/>
        </w:rPr>
        <w:t>创新团队不能按时接受期满考核的，创新团队负责人须于建设期满前3个月提出延期申请，经所在二级学院和部门同意后，报科技</w:t>
      </w:r>
      <w:r>
        <w:rPr>
          <w:rFonts w:hint="eastAsia" w:ascii="仿宋_GB2312" w:eastAsia="仿宋_GB2312"/>
          <w:sz w:val="32"/>
          <w:szCs w:val="32"/>
        </w:rPr>
        <w:t>开发与校企合作</w:t>
      </w:r>
      <w:r>
        <w:rPr>
          <w:rFonts w:hint="eastAsia" w:ascii="仿宋_GB2312" w:eastAsia="仿宋_GB2312"/>
          <w:sz w:val="32"/>
          <w:szCs w:val="32"/>
          <w:lang w:eastAsia="zh-Hans"/>
        </w:rPr>
        <w:t>处审批。延期考核时间最长不超过1年。</w:t>
      </w:r>
    </w:p>
    <w:p>
      <w:pPr>
        <w:spacing w:line="596" w:lineRule="exact"/>
        <w:jc w:val="center"/>
        <w:outlineLvl w:val="9"/>
        <w:rPr>
          <w:rFonts w:hint="eastAsia" w:ascii="黑体" w:hAnsi="黑体" w:eastAsia="黑体"/>
          <w:b/>
          <w:sz w:val="32"/>
          <w:szCs w:val="32"/>
        </w:rPr>
      </w:pPr>
      <w:bookmarkStart w:id="1325" w:name="_Toc22433_WPSOffice_Level1"/>
      <w:r>
        <w:rPr>
          <w:rFonts w:hint="eastAsia" w:ascii="黑体" w:hAnsi="黑体" w:eastAsia="黑体"/>
          <w:b/>
          <w:sz w:val="32"/>
          <w:szCs w:val="32"/>
        </w:rPr>
        <w:t>第六章 附 则</w:t>
      </w:r>
      <w:bookmarkEnd w:id="1325"/>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第二十</w:t>
      </w:r>
      <w:r>
        <w:rPr>
          <w:rFonts w:hint="eastAsia" w:ascii="仿宋_GB2312" w:eastAsia="仿宋_GB2312"/>
          <w:b/>
          <w:bCs/>
          <w:sz w:val="32"/>
          <w:szCs w:val="32"/>
        </w:rPr>
        <w:t>三</w:t>
      </w:r>
      <w:r>
        <w:rPr>
          <w:rFonts w:hint="eastAsia" w:ascii="仿宋_GB2312" w:eastAsia="仿宋_GB2312"/>
          <w:b/>
          <w:bCs/>
          <w:sz w:val="32"/>
          <w:szCs w:val="32"/>
          <w:lang w:eastAsia="zh-Hans"/>
        </w:rPr>
        <w:t>条</w:t>
      </w:r>
      <w:r>
        <w:rPr>
          <w:rFonts w:ascii="仿宋_GB2312" w:eastAsia="仿宋_GB2312"/>
          <w:sz w:val="32"/>
          <w:szCs w:val="32"/>
          <w:lang w:eastAsia="zh-Hans"/>
        </w:rPr>
        <w:t xml:space="preserve"> </w:t>
      </w:r>
      <w:r>
        <w:rPr>
          <w:rFonts w:hint="eastAsia" w:ascii="仿宋_GB2312" w:eastAsia="仿宋_GB2312"/>
          <w:sz w:val="32"/>
          <w:szCs w:val="32"/>
          <w:lang w:eastAsia="zh-Hans"/>
        </w:rPr>
        <w:t>如有与上级部门管理办法不符的，按上级相关管理办法执行</w:t>
      </w:r>
      <w:r>
        <w:rPr>
          <w:rFonts w:hint="eastAsia" w:ascii="仿宋_GB2312" w:eastAsia="仿宋_GB2312"/>
          <w:sz w:val="32"/>
          <w:szCs w:val="32"/>
        </w:rPr>
        <w:t>。</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lang w:eastAsia="zh-Hans"/>
        </w:rPr>
        <w:t>第二十</w:t>
      </w:r>
      <w:r>
        <w:rPr>
          <w:rFonts w:hint="eastAsia" w:ascii="仿宋_GB2312" w:eastAsia="仿宋_GB2312"/>
          <w:b/>
          <w:bCs/>
          <w:sz w:val="32"/>
          <w:szCs w:val="32"/>
        </w:rPr>
        <w:t>四</w:t>
      </w:r>
      <w:r>
        <w:rPr>
          <w:rFonts w:hint="eastAsia" w:ascii="仿宋_GB2312" w:eastAsia="仿宋_GB2312"/>
          <w:b/>
          <w:bCs/>
          <w:sz w:val="32"/>
          <w:szCs w:val="32"/>
          <w:lang w:eastAsia="zh-Hans"/>
        </w:rPr>
        <w:t>条</w:t>
      </w:r>
      <w:r>
        <w:rPr>
          <w:rFonts w:ascii="仿宋_GB2312" w:eastAsia="仿宋_GB2312"/>
          <w:sz w:val="32"/>
          <w:szCs w:val="32"/>
          <w:lang w:eastAsia="zh-Hans"/>
        </w:rPr>
        <w:t xml:space="preserve"> </w:t>
      </w:r>
      <w:r>
        <w:rPr>
          <w:rFonts w:hint="eastAsia" w:ascii="仿宋_GB2312" w:eastAsia="仿宋_GB2312"/>
          <w:sz w:val="32"/>
          <w:szCs w:val="32"/>
        </w:rPr>
        <w:t>本办法由</w:t>
      </w:r>
      <w:r>
        <w:rPr>
          <w:rFonts w:hint="eastAsia" w:ascii="仿宋_GB2312" w:eastAsia="仿宋_GB2312"/>
          <w:sz w:val="32"/>
          <w:szCs w:val="32"/>
          <w:lang w:eastAsia="zh-Hans"/>
        </w:rPr>
        <w:t>科技开发</w:t>
      </w:r>
      <w:r>
        <w:rPr>
          <w:rFonts w:hint="eastAsia" w:ascii="仿宋_GB2312" w:eastAsia="仿宋_GB2312"/>
          <w:sz w:val="32"/>
          <w:szCs w:val="32"/>
        </w:rPr>
        <w:t>与校企合作处负责最终解释。</w:t>
      </w:r>
    </w:p>
    <w:p>
      <w:pPr>
        <w:keepNext/>
        <w:keepLines/>
        <w:pageBreakBefore w:val="0"/>
        <w:widowControl w:val="0"/>
        <w:kinsoku/>
        <w:wordWrap/>
        <w:overflowPunct/>
        <w:topLinePunct w:val="0"/>
        <w:autoSpaceDE/>
        <w:autoSpaceDN/>
        <w:bidi w:val="0"/>
        <w:adjustRightInd/>
        <w:snapToGrid/>
        <w:spacing w:line="413" w:lineRule="auto"/>
        <w:ind w:firstLine="640" w:firstLineChars="200"/>
        <w:textAlignment w:val="auto"/>
        <w:outlineLvl w:val="9"/>
        <w:rPr>
          <w:rFonts w:hint="eastAsia" w:eastAsia="黑体"/>
          <w:color w:val="000000"/>
          <w:sz w:val="32"/>
          <w:szCs w:val="32"/>
        </w:rPr>
      </w:pPr>
      <w:r>
        <w:rPr>
          <w:rFonts w:hint="eastAsia" w:ascii="仿宋_GB2312" w:hAnsi="Times New Roman" w:eastAsia="仿宋_GB2312"/>
          <w:sz w:val="32"/>
          <w:szCs w:val="32"/>
          <w:lang w:eastAsia="zh-Hans"/>
        </w:rPr>
        <w:t>第二十</w:t>
      </w:r>
      <w:r>
        <w:rPr>
          <w:rFonts w:hint="eastAsia" w:ascii="仿宋_GB2312" w:hAnsi="Times New Roman" w:eastAsia="仿宋_GB2312"/>
          <w:sz w:val="32"/>
          <w:szCs w:val="32"/>
        </w:rPr>
        <w:t>五</w:t>
      </w:r>
      <w:r>
        <w:rPr>
          <w:rFonts w:hint="eastAsia" w:ascii="仿宋_GB2312" w:hAnsi="Times New Roman" w:eastAsia="仿宋_GB2312"/>
          <w:sz w:val="32"/>
          <w:szCs w:val="32"/>
          <w:lang w:eastAsia="zh-Hans"/>
        </w:rPr>
        <w:t>条</w:t>
      </w:r>
      <w:r>
        <w:rPr>
          <w:rFonts w:hint="eastAsia" w:ascii="仿宋_GB2312" w:hAnsi="Times New Roman" w:eastAsia="仿宋_GB2312"/>
          <w:sz w:val="32"/>
          <w:szCs w:val="32"/>
        </w:rPr>
        <w:t xml:space="preserve"> </w:t>
      </w:r>
      <w:r>
        <w:rPr>
          <w:rFonts w:hint="eastAsia" w:ascii="仿宋_GB2312" w:hAnsi="Times New Roman" w:eastAsia="仿宋_GB2312"/>
          <w:b w:val="0"/>
          <w:bCs w:val="0"/>
          <w:sz w:val="32"/>
          <w:szCs w:val="32"/>
        </w:rPr>
        <w:t>本办法自发文日起实施。</w:t>
      </w:r>
    </w:p>
    <w:p>
      <w:pPr>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pageBreakBefore w:val="0"/>
        <w:widowControl w:val="0"/>
        <w:kinsoku/>
        <w:wordWrap/>
        <w:overflowPunct/>
        <w:topLinePunct w:val="0"/>
        <w:autoSpaceDE/>
        <w:autoSpaceDN/>
        <w:bidi w:val="0"/>
        <w:adjustRightInd/>
        <w:snapToGrid/>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326" w:name="_Toc18617"/>
      <w:bookmarkStart w:id="1327" w:name="_Toc20843"/>
      <w:bookmarkStart w:id="1328" w:name="_Toc14469_WPSOffice_Level1"/>
      <w:r>
        <w:rPr>
          <w:rFonts w:hint="eastAsia"/>
          <w:b/>
          <w:color w:val="000000"/>
          <w:sz w:val="36"/>
          <w:szCs w:val="36"/>
        </w:rPr>
        <w:t>柳州职业技术学院关于产业学院建设的指导意见</w:t>
      </w:r>
      <w:bookmarkEnd w:id="1224"/>
      <w:bookmarkEnd w:id="1326"/>
      <w:bookmarkEnd w:id="1327"/>
      <w:bookmarkEnd w:id="1328"/>
    </w:p>
    <w:p>
      <w:pPr>
        <w:widowControl/>
        <w:jc w:val="center"/>
        <w:outlineLvl w:val="9"/>
        <w:rPr>
          <w:rFonts w:hint="eastAsia" w:ascii="仿宋_GB2312" w:eastAsia="仿宋_GB2312"/>
          <w:sz w:val="32"/>
          <w:szCs w:val="32"/>
        </w:rPr>
      </w:pPr>
      <w:r>
        <w:rPr>
          <w:rFonts w:hint="eastAsia" w:ascii="仿宋_GB2312" w:eastAsia="仿宋_GB2312"/>
          <w:sz w:val="32"/>
          <w:szCs w:val="32"/>
        </w:rPr>
        <w:t xml:space="preserve"> (柳职院字〔2021〕44 号)</w:t>
      </w:r>
    </w:p>
    <w:p>
      <w:pPr>
        <w:spacing w:line="596" w:lineRule="exact"/>
        <w:jc w:val="center"/>
        <w:rPr>
          <w:b/>
          <w:color w:val="000000"/>
          <w:sz w:val="36"/>
          <w:szCs w:val="36"/>
        </w:rPr>
      </w:pP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为持续提升学校产教融合、校企合作水平，更好地服务地方经济发展，根据《国家职业教育改革实施方案》国发〔2019〕4号、《现代产业学院建设指南（试行）》（教高厅函〔2020〕16号）、《广西壮族自治区关于推进高等职业学校产业学院建设的指导意见》（桂教职成〔2020〕60号）等文件精神，全面深化人才培养供给侧结构性改革，促进教育链、人才链与产业链、创新链有机衔接，现就我校产业学院建设提出如下指导意见。</w:t>
      </w:r>
    </w:p>
    <w:p>
      <w:pPr>
        <w:spacing w:line="596" w:lineRule="exact"/>
        <w:ind w:firstLine="643" w:firstLineChars="200"/>
        <w:jc w:val="left"/>
        <w:outlineLvl w:val="9"/>
        <w:rPr>
          <w:rFonts w:hint="eastAsia" w:ascii="黑体" w:hAnsi="黑体" w:eastAsia="黑体"/>
          <w:b/>
          <w:sz w:val="32"/>
          <w:szCs w:val="32"/>
        </w:rPr>
      </w:pPr>
      <w:bookmarkStart w:id="1329" w:name="_Toc4177_WPSOffice_Level1"/>
      <w:r>
        <w:rPr>
          <w:rFonts w:hint="eastAsia" w:ascii="黑体" w:hAnsi="黑体" w:eastAsia="黑体"/>
          <w:b/>
          <w:sz w:val="32"/>
          <w:szCs w:val="32"/>
        </w:rPr>
        <w:t>一、指导思想</w:t>
      </w:r>
      <w:bookmarkEnd w:id="1329"/>
    </w:p>
    <w:p>
      <w:pPr>
        <w:spacing w:line="596" w:lineRule="exact"/>
        <w:ind w:firstLine="640" w:firstLineChars="200"/>
        <w:rPr>
          <w:rFonts w:ascii="仿宋_GB2312" w:eastAsia="仿宋_GB2312"/>
          <w:sz w:val="32"/>
          <w:szCs w:val="32"/>
        </w:rPr>
      </w:pPr>
      <w:r>
        <w:rPr>
          <w:rFonts w:ascii="仿宋_GB2312" w:eastAsia="仿宋_GB2312"/>
          <w:sz w:val="32"/>
          <w:szCs w:val="32"/>
        </w:rPr>
        <w:t>以习近平新时代中国特色社会主义思想为指导，全面贯彻党的十九大、十九届</w:t>
      </w:r>
      <w:r>
        <w:rPr>
          <w:rFonts w:hint="eastAsia" w:ascii="仿宋_GB2312" w:eastAsia="仿宋_GB2312"/>
          <w:sz w:val="32"/>
          <w:szCs w:val="32"/>
        </w:rPr>
        <w:t>五</w:t>
      </w:r>
      <w:r>
        <w:rPr>
          <w:rFonts w:ascii="仿宋_GB2312" w:eastAsia="仿宋_GB2312"/>
          <w:sz w:val="32"/>
          <w:szCs w:val="32"/>
        </w:rPr>
        <w:t>中全会和全国教育大会精神，落实自治区</w:t>
      </w:r>
      <w:r>
        <w:rPr>
          <w:rFonts w:hint="eastAsia" w:ascii="仿宋_GB2312" w:eastAsia="仿宋_GB2312"/>
          <w:sz w:val="32"/>
          <w:szCs w:val="32"/>
        </w:rPr>
        <w:t>和柳州市</w:t>
      </w:r>
      <w:r>
        <w:rPr>
          <w:rFonts w:ascii="仿宋_GB2312" w:eastAsia="仿宋_GB2312"/>
          <w:sz w:val="32"/>
          <w:szCs w:val="32"/>
        </w:rPr>
        <w:t>关于职业教育改革的决策部署，全面深化产教融合、校企合作，服务产业转型升级和区域经济发展需求，指导各</w:t>
      </w:r>
      <w:r>
        <w:rPr>
          <w:rFonts w:hint="eastAsia" w:ascii="仿宋_GB2312" w:eastAsia="仿宋_GB2312"/>
          <w:sz w:val="32"/>
          <w:szCs w:val="32"/>
        </w:rPr>
        <w:t>二级学院</w:t>
      </w:r>
      <w:r>
        <w:rPr>
          <w:rFonts w:ascii="仿宋_GB2312" w:eastAsia="仿宋_GB2312"/>
          <w:sz w:val="32"/>
          <w:szCs w:val="32"/>
        </w:rPr>
        <w:t>科学规划、大胆创新，稳步推进产业学院内涵建设和质量提升，为汇聚发展新动能、推动</w:t>
      </w:r>
      <w:r>
        <w:rPr>
          <w:rFonts w:hint="eastAsia" w:ascii="仿宋_GB2312" w:eastAsia="仿宋_GB2312"/>
          <w:sz w:val="32"/>
          <w:szCs w:val="32"/>
        </w:rPr>
        <w:t>学校</w:t>
      </w:r>
      <w:r>
        <w:rPr>
          <w:rFonts w:ascii="仿宋_GB2312" w:eastAsia="仿宋_GB2312"/>
          <w:sz w:val="32"/>
          <w:szCs w:val="32"/>
        </w:rPr>
        <w:t>高质量发展提供科技与人才的有力支撑。</w:t>
      </w:r>
    </w:p>
    <w:p>
      <w:pPr>
        <w:spacing w:line="596" w:lineRule="exact"/>
        <w:ind w:firstLine="643" w:firstLineChars="200"/>
        <w:jc w:val="left"/>
        <w:outlineLvl w:val="9"/>
        <w:rPr>
          <w:rFonts w:hint="eastAsia" w:ascii="黑体" w:hAnsi="黑体" w:eastAsia="黑体"/>
          <w:b/>
          <w:sz w:val="32"/>
          <w:szCs w:val="32"/>
        </w:rPr>
      </w:pPr>
      <w:bookmarkStart w:id="1330" w:name="_Toc24436_WPSOffice_Level1"/>
      <w:r>
        <w:rPr>
          <w:rFonts w:hint="eastAsia" w:ascii="黑体" w:hAnsi="黑体" w:eastAsia="黑体"/>
          <w:b/>
          <w:sz w:val="32"/>
          <w:szCs w:val="32"/>
        </w:rPr>
        <w:t>二、建设原则</w:t>
      </w:r>
      <w:bookmarkEnd w:id="1330"/>
      <w:r>
        <w:rPr>
          <w:rFonts w:hint="eastAsia" w:ascii="黑体" w:hAnsi="黑体" w:eastAsia="黑体"/>
          <w:b/>
          <w:sz w:val="32"/>
          <w:szCs w:val="32"/>
        </w:rPr>
        <w:t xml:space="preserve"> </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 xml:space="preserve">（一）育人为本 </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产</w:t>
      </w:r>
      <w:bookmarkStart w:id="1331" w:name="_Toc1025_WPSOffice_Level1"/>
      <w:r>
        <w:rPr>
          <w:rFonts w:hint="eastAsia" w:ascii="仿宋_GB2312" w:eastAsia="仿宋_GB2312"/>
          <w:sz w:val="32"/>
          <w:szCs w:val="32"/>
        </w:rPr>
        <w:t>业学院建设各项工作必须以立德树人为根本，紧紧</w:t>
      </w:r>
      <w:bookmarkEnd w:id="1331"/>
      <w:r>
        <w:rPr>
          <w:rFonts w:hint="eastAsia" w:ascii="仿宋_GB2312" w:eastAsia="仿宋_GB2312"/>
          <w:sz w:val="32"/>
          <w:szCs w:val="32"/>
        </w:rPr>
        <w:t xml:space="preserve">围绕人才培养的中心任务展开。通过产业学院建设，推动学校人才培养供给与产业链需求紧密对接，培养和造就符合行业发展需要的高素质专业人才，支撑和引领产业发展。 </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 xml:space="preserve">（二）服务产业 </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产业学院建设必须选准具体服务的产业链、创新链，精确分析我校学科专业与产业链、创新链的对应关系，突出我校专业优势，明确服务定位和发展方向。 </w:t>
      </w:r>
    </w:p>
    <w:p>
      <w:pPr>
        <w:spacing w:line="596" w:lineRule="exact"/>
        <w:ind w:firstLine="643" w:firstLineChars="200"/>
        <w:outlineLvl w:val="9"/>
        <w:rPr>
          <w:rFonts w:hint="eastAsia" w:ascii="仿宋_GB2312" w:eastAsia="仿宋_GB2312"/>
          <w:sz w:val="32"/>
          <w:szCs w:val="32"/>
        </w:rPr>
      </w:pPr>
      <w:r>
        <w:rPr>
          <w:rFonts w:hint="eastAsia" w:ascii="楷体_GB2312" w:hAnsi="仿宋" w:eastAsia="楷体_GB2312"/>
          <w:b/>
          <w:sz w:val="32"/>
          <w:szCs w:val="32"/>
        </w:rPr>
        <w:t>（三）产教融合</w:t>
      </w:r>
      <w:r>
        <w:rPr>
          <w:rFonts w:hint="eastAsia" w:ascii="仿宋_GB2312" w:eastAsia="仿宋_GB2312"/>
          <w:sz w:val="32"/>
          <w:szCs w:val="32"/>
        </w:rPr>
        <w:t xml:space="preserve"> </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产业学院建设将人才培养、教师专业化发展、实训实习实践、学生创新创业、企业服务科技创新功能有机结合，促进产教融合、科教融合，打造集产、学、研、转、创、用于一体，互补、互利、互动、多赢的实体性人才培养创新平台。</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 xml:space="preserve">（四）共建共管 </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产业学院建设将充分发挥学校与地方政府、行业协会、企业机构等双方、多方的办学主体作用，共同建设、共同管理、共享资源、共担责任。</w:t>
      </w:r>
    </w:p>
    <w:p>
      <w:pPr>
        <w:spacing w:line="596" w:lineRule="exact"/>
        <w:ind w:firstLine="643" w:firstLineChars="200"/>
        <w:jc w:val="left"/>
        <w:outlineLvl w:val="9"/>
        <w:rPr>
          <w:rFonts w:hint="eastAsia" w:ascii="黑体" w:hAnsi="黑体" w:eastAsia="黑体"/>
          <w:b/>
          <w:sz w:val="32"/>
          <w:szCs w:val="32"/>
        </w:rPr>
      </w:pPr>
      <w:bookmarkStart w:id="1332" w:name="_Toc23720_WPSOffice_Level1"/>
      <w:r>
        <w:rPr>
          <w:rFonts w:hint="eastAsia" w:ascii="黑体" w:hAnsi="黑体" w:eastAsia="黑体"/>
          <w:b/>
          <w:sz w:val="32"/>
          <w:szCs w:val="32"/>
        </w:rPr>
        <w:t>三、建设目标</w:t>
      </w:r>
      <w:bookmarkEnd w:id="1332"/>
      <w:r>
        <w:rPr>
          <w:rFonts w:hint="eastAsia" w:ascii="黑体" w:hAnsi="黑体" w:eastAsia="黑体"/>
          <w:b/>
          <w:sz w:val="32"/>
          <w:szCs w:val="32"/>
        </w:rPr>
        <w:t xml:space="preserve"> </w:t>
      </w:r>
    </w:p>
    <w:p>
      <w:pPr>
        <w:spacing w:line="596" w:lineRule="exact"/>
        <w:ind w:firstLine="640" w:firstLineChars="200"/>
        <w:rPr>
          <w:rFonts w:hint="eastAsia" w:ascii="黑体" w:hAnsi="黑体" w:eastAsia="黑体"/>
          <w:b/>
          <w:sz w:val="32"/>
          <w:szCs w:val="32"/>
        </w:rPr>
      </w:pPr>
      <w:r>
        <w:rPr>
          <w:rFonts w:hint="eastAsia" w:ascii="仿宋_GB2312" w:eastAsia="仿宋_GB2312"/>
          <w:sz w:val="32"/>
          <w:szCs w:val="32"/>
        </w:rPr>
        <w:t>依托学校高水平专业（群）和优势特色专业，以区域支柱产业、战略性新兴产业和优势特色产业需求为导向，建设7个产教深度融合、产业特色鲜明、辐射能力强的产业学院，通过产业学院推进育人模式改革，培养一大批支撑区域产业发展的新时代应用型技术技能人才。到2023年，建成3个引领改革、支撑发展、特色鲜明的自治区级示范性产业学院。</w:t>
      </w:r>
    </w:p>
    <w:p>
      <w:pPr>
        <w:widowControl/>
        <w:adjustRightInd w:val="0"/>
        <w:snapToGrid w:val="0"/>
        <w:spacing w:line="596" w:lineRule="exact"/>
        <w:ind w:firstLine="643" w:firstLineChars="200"/>
        <w:outlineLvl w:val="9"/>
        <w:rPr>
          <w:rFonts w:ascii="宋体" w:hAnsi="宋体" w:cs="宋体"/>
          <w:color w:val="000000"/>
          <w:kern w:val="0"/>
          <w:sz w:val="32"/>
          <w:szCs w:val="32"/>
          <w:lang w:bidi="ar"/>
        </w:rPr>
      </w:pPr>
      <w:bookmarkStart w:id="1333" w:name="_Toc6816_WPSOffice_Level1"/>
      <w:r>
        <w:rPr>
          <w:rFonts w:hint="eastAsia" w:ascii="黑体" w:hAnsi="黑体" w:eastAsia="黑体"/>
          <w:b/>
          <w:sz w:val="32"/>
          <w:szCs w:val="32"/>
        </w:rPr>
        <w:t>四、建设范围与内容</w:t>
      </w:r>
      <w:bookmarkEnd w:id="1333"/>
      <w:r>
        <w:rPr>
          <w:rFonts w:hint="eastAsia" w:ascii="宋体" w:hAnsi="宋体" w:cs="宋体"/>
          <w:color w:val="000000"/>
          <w:kern w:val="0"/>
          <w:sz w:val="32"/>
          <w:szCs w:val="32"/>
          <w:lang w:bidi="ar"/>
        </w:rPr>
        <w:t xml:space="preserve"> </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 xml:space="preserve">我校机电工程学院、汽车工程学院、电子信息工程学院、环境与食品工程学院、财经与物流管理学院、贸易与旅游管理学院、艺术学院七个二级学院根据专业建设以及区域产业发展，联合政府、产业园区、行业协会、企业等，整合相关学科专业教师、科研团队、教学科研平台资源，共建产业学院，建设内容包括： </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（一）创新人才培养模式</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面向产业转型发展和区域经济社会需求，以强化学生职业胜任力和持续发展能力为目标，以提高学生实践和创新能力为重点，深化产教深度融合、校企合作，创新人才培养方案、课程体系、方式方法、保障机制等。推进“引企入教”，推进启发式、探究式等教学方法改革和合作式、任务式、项目式、企业实操教学等培养模式综合改革，促进课程内容与技术发展衔接、教学过程与生产过程对接、人才培养与产业需求融合。协调推进多主体之间开放合作，整合多主体创新要素和资源，凝练产教深度融合、多方协同育人的应用型人才培养模式。</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（二）提升专业建设质量</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围绕区域重点发展领域，深化专业内涵建设，主动调整专业结构，着力打造特色优势专业，推动专业集群式发展。紧密对接产业链，实现多专业交叉复合，支撑同一产业链的若干关联专业快速发展。打破原有专业之间的壁垒，整合、优化现有教学设施及实训基地资源，形成宽基础、模块化、共享型的专业群发展格局。</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（三）开发校企合作课程</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引导行业企业深度参与教材编制和课程建设，设计课程体系、优化课程结构。加快课程教学内容迭代，关注行业创新链条的动态发展，推动课程内容与行业标准、生产流程、项目开发等产业需求科学对接，建设高质量校企合作课程、教材和案例集。</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（四）建设高水平产教融合实训基地</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基于行业企业的产品、技术和生产流程，创新多主体间的合作模式，构建基于产业发展和创新需求的实践教学和实训实习环境。统筹各类实践教学资源，充分利用产业园、行业龙头企业等优质资源，构建功能集约、开放共享、高效运行的专业类或跨专业类实践教学平台。通过引进企业研发平台、生产基地，建设兼具生产、教学、研发、创新创业功能的校企一体、产学研用协同的大型实验、实训实习基地。</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（五）校企共建“双师型”教师队伍</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探索校企人才双向流动机制，实施选聘行业协会、企业业务骨干、优秀技术和管理人才到学校任教，共建教师企业实践岗位，开展校企师资交流、研讨、培训等业务，将产业学院建设成高水平“双师型”教师培养培训基地。</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（六）搭建产学研服务平台</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学校和企业整合双方资源，建设联合实验室（研发中心），发挥学校人才与专业综合性优势，围绕产业技术创新关键问题开展协同创新，推动应用科学研究成果的转化和应用，促进产业转型升级。强化校企联合开展技术攻关、产品研发、成果转化、项目孵化等工作，共同完成教学科研任务，共享研究成果，产出一批科技创新成果，提升产业创新发展竞争力。大力推动科教融合，将研究成果及时引入教学过程，促进科研与人才培养积极互动，发挥产学研合作示范影响，提升服务产业能力。</w:t>
      </w:r>
    </w:p>
    <w:p>
      <w:pPr>
        <w:spacing w:line="596" w:lineRule="exact"/>
        <w:ind w:firstLine="643" w:firstLineChars="200"/>
        <w:outlineLvl w:val="9"/>
        <w:rPr>
          <w:rFonts w:hint="eastAsia" w:ascii="楷体_GB2312" w:hAnsi="仿宋" w:eastAsia="楷体_GB2312"/>
          <w:b/>
          <w:sz w:val="32"/>
          <w:szCs w:val="32"/>
        </w:rPr>
      </w:pPr>
      <w:r>
        <w:rPr>
          <w:rFonts w:hint="eastAsia" w:ascii="楷体_GB2312" w:hAnsi="仿宋" w:eastAsia="楷体_GB2312"/>
          <w:b/>
          <w:sz w:val="32"/>
          <w:szCs w:val="32"/>
        </w:rPr>
        <w:t>（七）完善管理体制机制</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强化政府、产业园区、行业协会、企业等多元主体协同，形成共建共管的组织架构，探索理事会、混合所有制等治理模式，建</w:t>
      </w:r>
      <w:bookmarkStart w:id="1334" w:name="_Toc27864_WPSOffice_Level1"/>
      <w:r>
        <w:rPr>
          <w:rFonts w:hint="eastAsia" w:ascii="仿宋_GB2312" w:eastAsia="仿宋_GB2312"/>
          <w:sz w:val="32"/>
          <w:szCs w:val="32"/>
        </w:rPr>
        <w:t>设科学高效、保障有力的制度体系。充分考虑</w:t>
      </w:r>
      <w:bookmarkEnd w:id="1334"/>
      <w:r>
        <w:rPr>
          <w:rFonts w:hint="eastAsia" w:ascii="仿宋_GB2312" w:eastAsia="仿宋_GB2312"/>
          <w:sz w:val="32"/>
          <w:szCs w:val="32"/>
        </w:rPr>
        <w:t>区域、行业、产业特点，结合自身禀赋特征，优化创新资源配置模式，增强“自我造血”能力，实现教育链、创新链、产业链的深度融合。</w:t>
      </w:r>
    </w:p>
    <w:p>
      <w:pPr>
        <w:widowControl/>
        <w:adjustRightInd w:val="0"/>
        <w:snapToGrid w:val="0"/>
        <w:spacing w:line="596" w:lineRule="exact"/>
        <w:ind w:firstLine="643" w:firstLineChars="200"/>
        <w:outlineLvl w:val="9"/>
        <w:rPr>
          <w:rFonts w:hint="eastAsia" w:ascii="黑体" w:hAnsi="黑体" w:eastAsia="黑体"/>
          <w:b/>
          <w:sz w:val="32"/>
          <w:szCs w:val="32"/>
        </w:rPr>
      </w:pPr>
      <w:bookmarkStart w:id="1335" w:name="_Toc8108_WPSOffice_Level1"/>
      <w:r>
        <w:rPr>
          <w:rFonts w:hint="eastAsia" w:ascii="黑体" w:hAnsi="黑体" w:eastAsia="黑体"/>
          <w:b/>
          <w:sz w:val="32"/>
          <w:szCs w:val="32"/>
        </w:rPr>
        <w:t>五、保障措施</w:t>
      </w:r>
      <w:bookmarkEnd w:id="1335"/>
    </w:p>
    <w:p>
      <w:pPr>
        <w:spacing w:line="596" w:lineRule="exact"/>
        <w:ind w:firstLine="643" w:firstLineChars="200"/>
        <w:rPr>
          <w:rFonts w:hint="eastAsia" w:ascii="仿宋_GB2312" w:eastAsia="仿宋_GB2312"/>
          <w:sz w:val="32"/>
          <w:szCs w:val="32"/>
        </w:rPr>
      </w:pPr>
      <w:r>
        <w:rPr>
          <w:rFonts w:hint="eastAsia" w:ascii="楷体_GB2312" w:hAnsi="仿宋" w:eastAsia="楷体_GB2312"/>
          <w:b/>
          <w:sz w:val="32"/>
          <w:szCs w:val="32"/>
        </w:rPr>
        <w:t>（一）强化组织领导。</w:t>
      </w:r>
      <w:r>
        <w:rPr>
          <w:rFonts w:hint="eastAsia" w:ascii="仿宋_GB2312" w:eastAsia="仿宋_GB2312"/>
          <w:sz w:val="32"/>
          <w:szCs w:val="32"/>
        </w:rPr>
        <w:t>学校成立产业学院建设工作领导小组领导统筹推动有关工作，各二级学院要高度重视产业学院的内涵建设，成立专项工作组，明确责任分工，制定产业学院建设方案，扎实推进各项建设改革任务落地，保证在建设期内圆满完成建设任务。</w:t>
      </w:r>
    </w:p>
    <w:p>
      <w:pPr>
        <w:spacing w:line="596" w:lineRule="exact"/>
        <w:ind w:firstLine="643" w:firstLineChars="200"/>
        <w:rPr>
          <w:rFonts w:hint="eastAsia" w:ascii="仿宋_GB2312" w:eastAsia="仿宋_GB2312"/>
          <w:sz w:val="32"/>
          <w:szCs w:val="32"/>
        </w:rPr>
      </w:pPr>
      <w:r>
        <w:rPr>
          <w:rFonts w:hint="eastAsia" w:ascii="楷体_GB2312" w:hAnsi="仿宋" w:eastAsia="楷体_GB2312"/>
          <w:b/>
          <w:sz w:val="32"/>
          <w:szCs w:val="32"/>
        </w:rPr>
        <w:t>（二）强化政策激励。</w:t>
      </w:r>
      <w:r>
        <w:rPr>
          <w:rFonts w:hint="eastAsia" w:ascii="仿宋_GB2312" w:eastAsia="仿宋_GB2312"/>
          <w:sz w:val="32"/>
          <w:szCs w:val="32"/>
        </w:rPr>
        <w:t>学校根据产业学院建设加大政策和资金支持力度，协调各方资源，激发产业学院主体办学活力。鼓励相关行业、企业配套投入，形成多元投入、协同建设模式。</w:t>
      </w:r>
    </w:p>
    <w:p>
      <w:pPr>
        <w:spacing w:line="596" w:lineRule="exact"/>
        <w:ind w:firstLine="643" w:firstLineChars="200"/>
        <w:rPr>
          <w:rFonts w:hint="eastAsia" w:ascii="仿宋_GB2312" w:eastAsia="仿宋_GB2312"/>
          <w:sz w:val="32"/>
          <w:szCs w:val="32"/>
        </w:rPr>
      </w:pPr>
      <w:r>
        <w:rPr>
          <w:rFonts w:hint="eastAsia" w:ascii="楷体_GB2312" w:hAnsi="仿宋" w:eastAsia="楷体_GB2312"/>
          <w:b/>
          <w:sz w:val="32"/>
          <w:szCs w:val="32"/>
        </w:rPr>
        <w:t>（三）营造良好氛围。</w:t>
      </w:r>
      <w:r>
        <w:rPr>
          <w:rFonts w:hint="eastAsia" w:ascii="仿宋_GB2312" w:eastAsia="仿宋_GB2312"/>
          <w:sz w:val="32"/>
          <w:szCs w:val="32"/>
        </w:rPr>
        <w:t>各相关部门及二级学院加强对建设产业学院的政策宣传和引导，营造推进产业学院建设的良好氛围；组织开展产学合作的理论研究与实践研究，及时总结产业学院建设的成功案例和经验，促进产学合作可持续发展。</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336" w:name="_Toc15988"/>
      <w:bookmarkStart w:id="1337" w:name="_Toc21891"/>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338" w:name="_Toc11981"/>
      <w:bookmarkStart w:id="1339" w:name="_Toc29854_WPSOffice_Level1"/>
      <w:r>
        <w:rPr>
          <w:rFonts w:hint="eastAsia"/>
          <w:b/>
          <w:color w:val="000000"/>
          <w:sz w:val="36"/>
          <w:szCs w:val="36"/>
        </w:rPr>
        <w:t>柳州职业技术学院校企合作工作管理办法（试行）</w:t>
      </w:r>
      <w:bookmarkEnd w:id="1336"/>
      <w:bookmarkEnd w:id="1337"/>
      <w:bookmarkEnd w:id="1338"/>
      <w:bookmarkEnd w:id="1339"/>
    </w:p>
    <w:p>
      <w:pPr>
        <w:widowControl/>
        <w:jc w:val="center"/>
        <w:outlineLvl w:val="9"/>
        <w:rPr>
          <w:rFonts w:hint="eastAsia" w:ascii="仿宋_GB2312" w:eastAsia="仿宋_GB2312"/>
          <w:sz w:val="32"/>
          <w:szCs w:val="32"/>
        </w:rPr>
      </w:pPr>
      <w:r>
        <w:rPr>
          <w:rFonts w:hint="eastAsia" w:ascii="仿宋_GB2312" w:eastAsia="仿宋_GB2312"/>
          <w:sz w:val="32"/>
          <w:szCs w:val="32"/>
        </w:rPr>
        <w:t xml:space="preserve"> (柳职院字〔2021〕45 号)</w:t>
      </w:r>
    </w:p>
    <w:p>
      <w:pPr>
        <w:spacing w:line="596" w:lineRule="exact"/>
        <w:jc w:val="center"/>
        <w:rPr>
          <w:b/>
          <w:color w:val="000000"/>
          <w:sz w:val="36"/>
          <w:szCs w:val="36"/>
        </w:rPr>
      </w:pP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为进一步推动我校校企合作工作，加强科学化、规范化管理，提高校企合作工作的质量和水平，根据《国家产教融合建设试点实施方案》（发改社会〔2019〕1558号）、《职业教育提质培优行动计划（2020—2023年）》（教职成〔2020〕7号）、《柳州市深化产教融合实施方案》（柳政规〔2019〕44号）等文件精神，结合我校实际，特制定本办法。</w:t>
      </w:r>
    </w:p>
    <w:p>
      <w:pPr>
        <w:spacing w:line="596" w:lineRule="exact"/>
        <w:ind w:firstLine="640" w:firstLineChars="200"/>
        <w:rPr>
          <w:rFonts w:hint="eastAsia" w:ascii="仿宋_GB2312" w:eastAsia="仿宋_GB2312"/>
          <w:sz w:val="32"/>
          <w:szCs w:val="32"/>
        </w:rPr>
      </w:pPr>
    </w:p>
    <w:p>
      <w:pPr>
        <w:jc w:val="center"/>
        <w:outlineLvl w:val="9"/>
        <w:rPr>
          <w:rFonts w:ascii="宋体" w:hAnsi="宋体"/>
          <w:color w:val="000000"/>
          <w:sz w:val="32"/>
          <w:szCs w:val="32"/>
        </w:rPr>
      </w:pPr>
      <w:bookmarkStart w:id="1340" w:name="_Toc9913_WPSOffice_Level1"/>
      <w:r>
        <w:rPr>
          <w:rFonts w:hint="eastAsia" w:ascii="黑体" w:hAnsi="黑体" w:eastAsia="黑体"/>
          <w:b/>
          <w:sz w:val="32"/>
          <w:szCs w:val="32"/>
        </w:rPr>
        <w:t>第一章  合作条件</w:t>
      </w:r>
      <w:bookmarkEnd w:id="1340"/>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第一条  </w:t>
      </w:r>
      <w:r>
        <w:rPr>
          <w:rFonts w:hint="eastAsia" w:ascii="仿宋_GB2312" w:eastAsia="仿宋_GB2312"/>
          <w:sz w:val="32"/>
          <w:szCs w:val="32"/>
        </w:rPr>
        <w:t>校企合作企业：具有独立的法人资格，遵守国家法律法规，具有可持续发展的能力、较好的业绩和较高的合作诚信度的优质企业。</w:t>
      </w:r>
    </w:p>
    <w:p>
      <w:pPr>
        <w:spacing w:line="596" w:lineRule="exact"/>
        <w:ind w:firstLine="320" w:firstLineChars="100"/>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第二条  </w:t>
      </w:r>
      <w:r>
        <w:rPr>
          <w:rFonts w:hint="eastAsia" w:ascii="仿宋_GB2312" w:eastAsia="仿宋_GB2312"/>
          <w:sz w:val="32"/>
          <w:szCs w:val="32"/>
        </w:rPr>
        <w:t>校企合作项目：能促进教学、科研水平提升，带动招生、就业良性循环，适应社会需求和学校发展需要。</w:t>
      </w:r>
    </w:p>
    <w:p>
      <w:pPr>
        <w:spacing w:line="596" w:lineRule="exact"/>
        <w:rPr>
          <w:rFonts w:hint="eastAsia" w:ascii="仿宋_GB2312" w:eastAsia="仿宋_GB2312"/>
          <w:sz w:val="32"/>
          <w:szCs w:val="32"/>
        </w:rPr>
      </w:pPr>
    </w:p>
    <w:p>
      <w:pPr>
        <w:jc w:val="center"/>
        <w:outlineLvl w:val="9"/>
        <w:rPr>
          <w:rFonts w:ascii="宋体" w:hAnsi="宋体"/>
          <w:color w:val="000000"/>
          <w:sz w:val="32"/>
          <w:szCs w:val="32"/>
        </w:rPr>
      </w:pPr>
      <w:bookmarkStart w:id="1341" w:name="_Toc9737_WPSOffice_Level1"/>
      <w:r>
        <w:rPr>
          <w:rFonts w:hint="eastAsia" w:ascii="黑体" w:hAnsi="黑体" w:eastAsia="黑体"/>
          <w:b/>
          <w:sz w:val="32"/>
          <w:szCs w:val="32"/>
        </w:rPr>
        <w:t>第二章  组织机构与职责</w:t>
      </w:r>
      <w:bookmarkEnd w:id="1341"/>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校企合作处是学校校企合作工作的职能部门，具体组织、管理、协调学校校企合作工作。各行政部门及二级学院是校企合作项目的具体实施单位，负责校企合作项目的日常管理。</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校企合作处的主要职责：</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1.构建校企合作管理体系，建立健全校企合作运作机制及各项管理制度。</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2.加强学校与相关政府部门、行业组织、企事业单位的联系，探索创新校企合作模式，拓宽校企合作的渠道，推进校企合作深度和广度的发展。</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3.积极推动、协调学校各行政部门及二级学院开展校企合作工作，协助解决校企合作推进过程中的困难和问题。</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4.负责学校校企合作项目的立项论证，合同（协议）的审查；实施过程中的监督检查；项目终止时的验收等管理工作。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5.负责学校重大校企合作交流、研讨、总结表彰等工作，总结和推广校企合作先进经验，巩固、拓展、提升校企合作成果。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6.负责学校校企合作项目立项报告、合同（协议）、实施过程性文件、验收总结报告等有关档案资料收集、整理和立卷归档工作。</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各行政部门及二级学院的主要职责：</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1.负责本部门校企合作业务拓展，探索创新校企合作模式，拓宽合作渠道，组织开展校企合作项目的调研、洽谈，拓展、提升校企合作内涵。</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2.负责本部门有关校企合作项目的立项论证，协议拟定及审批。</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3.负责本部门校企合作项目的管理与运行、成果统计、项目总结及推广工作。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4.负责本部门校企合作项目有关的资产及资金管理使用，严格按照学校国有资产及资金管理相关制度要求做好管理工作。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5.负责本部门校企合作交流、研讨、总结等工作，总结和推广校企合作先进经验，拓展、提升校企合作成果。</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6.负责本部门校企合作项目立项报告、合同（协议）、实施过程性文件、验收总结报告等有关档案资料收集、整理和立卷归档工作。重要文件报校企合作处存档。</w:t>
      </w:r>
    </w:p>
    <w:p>
      <w:pPr>
        <w:spacing w:line="596" w:lineRule="exact"/>
        <w:ind w:firstLine="640" w:firstLineChars="200"/>
        <w:rPr>
          <w:rFonts w:hint="eastAsia" w:ascii="仿宋_GB2312" w:eastAsia="仿宋_GB2312"/>
          <w:sz w:val="32"/>
          <w:szCs w:val="32"/>
        </w:rPr>
      </w:pPr>
    </w:p>
    <w:p>
      <w:pPr>
        <w:jc w:val="center"/>
        <w:outlineLvl w:val="9"/>
        <w:rPr>
          <w:rFonts w:ascii="宋体" w:hAnsi="宋体"/>
          <w:b/>
          <w:bCs/>
          <w:color w:val="000000"/>
          <w:sz w:val="32"/>
          <w:szCs w:val="32"/>
        </w:rPr>
      </w:pPr>
      <w:bookmarkStart w:id="1342" w:name="_Toc11747_WPSOffice_Level1"/>
      <w:r>
        <w:rPr>
          <w:rFonts w:hint="eastAsia" w:ascii="黑体" w:hAnsi="黑体" w:eastAsia="黑体"/>
          <w:b/>
          <w:sz w:val="32"/>
          <w:szCs w:val="32"/>
        </w:rPr>
        <w:t>第三章  项目管理</w:t>
      </w:r>
      <w:bookmarkEnd w:id="1342"/>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项目立项</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 xml:space="preserve">1.按照学校有关要求，各行政部门及二级学院主动对接合作单位，交流协商，明确合作意向，引入高质量校企合作项目。  </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2.行政部门或二</w:t>
      </w:r>
      <w:bookmarkStart w:id="1343" w:name="_Toc30621_WPSOffice_Level1"/>
      <w:r>
        <w:rPr>
          <w:rFonts w:hint="eastAsia" w:ascii="仿宋_GB2312" w:eastAsia="仿宋_GB2312"/>
          <w:sz w:val="32"/>
          <w:szCs w:val="32"/>
        </w:rPr>
        <w:t>级学院组织本部门相关人员对合作项目进行可行性</w:t>
      </w:r>
      <w:bookmarkEnd w:id="1343"/>
      <w:r>
        <w:rPr>
          <w:rFonts w:hint="eastAsia" w:ascii="仿宋_GB2312" w:eastAsia="仿宋_GB2312"/>
          <w:sz w:val="32"/>
          <w:szCs w:val="32"/>
        </w:rPr>
        <w:t>论证，论证通过后，向校企合作处提起校级审核。</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协议管理</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1.通过立项的校企合作项目，由项目负责部门与合作单位协商沟通，在学校统一制订的校企合作协议模板基础上，补充完善具体条款，形成校企合作协议书初稿。合作双方按照本单位合同会签流程提起合同审议，双方审议通过完成签署盖章后，合同由校企合作处及项目负责部门备案存档。</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2.校企合作协议依据学校相关要求进行管理。</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项目实施</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1.校企合作项目由负责部门具体实施，实行项目责任人负责制，对项目建设运行进行有效管理推进。</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2.校企合作项目在实施过程中，校企合作处积极协调解决项目运行中出现的问题，定期或不定期地督促检查项目任务的落实状况，保障项目顺利运行。</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项目完成</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校企合作项目完成时，项目负责部门及时进行总结，10个工作日内报校企合作处。</w:t>
      </w:r>
    </w:p>
    <w:p>
      <w:pPr>
        <w:rPr>
          <w:rFonts w:hint="eastAsia" w:ascii="黑体" w:hAnsi="黑体" w:eastAsia="黑体"/>
          <w:b/>
          <w:sz w:val="32"/>
          <w:szCs w:val="32"/>
        </w:rPr>
      </w:pPr>
    </w:p>
    <w:p>
      <w:pPr>
        <w:jc w:val="center"/>
        <w:outlineLvl w:val="9"/>
        <w:rPr>
          <w:rFonts w:hint="eastAsia" w:ascii="黑体" w:hAnsi="黑体" w:eastAsia="黑体"/>
          <w:b/>
          <w:sz w:val="32"/>
          <w:szCs w:val="32"/>
        </w:rPr>
      </w:pPr>
      <w:bookmarkStart w:id="1344" w:name="_Toc28902_WPSOffice_Level1"/>
      <w:r>
        <w:rPr>
          <w:rFonts w:hint="eastAsia" w:ascii="黑体" w:hAnsi="黑体" w:eastAsia="黑体"/>
          <w:b/>
          <w:sz w:val="32"/>
          <w:szCs w:val="32"/>
        </w:rPr>
        <w:t>第四章  附则</w:t>
      </w:r>
      <w:bookmarkEnd w:id="1344"/>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第十条  </w:t>
      </w:r>
      <w:r>
        <w:rPr>
          <w:rFonts w:hint="eastAsia" w:ascii="仿宋_GB2312" w:eastAsia="仿宋_GB2312"/>
          <w:sz w:val="32"/>
          <w:szCs w:val="32"/>
        </w:rPr>
        <w:t>本办法由校企合作处负责解释。</w:t>
      </w:r>
    </w:p>
    <w:p>
      <w:pPr>
        <w:spacing w:line="596" w:lineRule="exact"/>
        <w:ind w:firstLine="643" w:firstLineChars="200"/>
        <w:rPr>
          <w:rFonts w:ascii="仿宋_GB2312" w:hAnsi="宋体" w:eastAsia="仿宋_GB2312" w:cs="宋体"/>
          <w:bCs/>
          <w:sz w:val="32"/>
          <w:szCs w:val="32"/>
        </w:rPr>
      </w:pPr>
      <w:r>
        <w:rPr>
          <w:rFonts w:hint="eastAsia" w:ascii="仿宋_GB2312" w:eastAsia="仿宋_GB2312"/>
          <w:b/>
          <w:bCs/>
          <w:sz w:val="32"/>
          <w:szCs w:val="32"/>
        </w:rPr>
        <w:t xml:space="preserve">第十一条  </w:t>
      </w:r>
      <w:r>
        <w:rPr>
          <w:rFonts w:hint="eastAsia" w:ascii="仿宋_GB2312" w:eastAsia="仿宋_GB2312"/>
          <w:sz w:val="32"/>
          <w:szCs w:val="32"/>
        </w:rPr>
        <w:t>本办法自印发之日起施行。2018年6月22日印发的《柳州职业技术学院校企合作项目管理办法》（柳职院字）〔2018〕29 号）同时废止。</w:t>
      </w:r>
    </w:p>
    <w:p>
      <w:pPr>
        <w:adjustRightInd w:val="0"/>
        <w:snapToGrid w:val="0"/>
        <w:spacing w:line="360" w:lineRule="auto"/>
        <w:jc w:val="center"/>
        <w:outlineLvl w:val="9"/>
        <w:rPr>
          <w:rFonts w:hint="eastAsia"/>
          <w:b/>
          <w:bCs/>
          <w:sz w:val="40"/>
          <w:szCs w:val="48"/>
        </w:rPr>
      </w:pPr>
      <w:r>
        <w:rPr>
          <w:rFonts w:ascii="仿宋_GB2312" w:hAnsi="宋体" w:eastAsia="仿宋_GB2312" w:cs="宋体"/>
          <w:bCs/>
          <w:sz w:val="32"/>
          <w:szCs w:val="32"/>
        </w:rPr>
        <w:br w:type="page"/>
      </w:r>
      <w:bookmarkStart w:id="1345" w:name="_Toc28212"/>
      <w:bookmarkStart w:id="1346" w:name="_Toc5208_WPSOffice_Level1"/>
      <w:bookmarkStart w:id="1347" w:name="_Toc28305"/>
      <w:bookmarkStart w:id="1348" w:name="_Toc11342"/>
      <w:r>
        <w:rPr>
          <w:rFonts w:hint="eastAsia"/>
          <w:b/>
          <w:color w:val="000000"/>
          <w:sz w:val="36"/>
          <w:szCs w:val="36"/>
        </w:rPr>
        <w:t>柳州职业技术学院产业学院管理办法（试行）</w:t>
      </w:r>
      <w:bookmarkEnd w:id="1345"/>
      <w:bookmarkEnd w:id="1346"/>
      <w:bookmarkEnd w:id="1347"/>
      <w:bookmarkEnd w:id="1348"/>
    </w:p>
    <w:p>
      <w:pPr>
        <w:adjustRightInd w:val="0"/>
        <w:snapToGrid w:val="0"/>
        <w:spacing w:line="360" w:lineRule="auto"/>
        <w:jc w:val="center"/>
        <w:outlineLvl w:val="9"/>
        <w:rPr>
          <w:rFonts w:hint="eastAsia" w:ascii="仿宋_GB2312" w:eastAsia="仿宋_GB2312"/>
          <w:sz w:val="32"/>
          <w:szCs w:val="32"/>
        </w:rPr>
      </w:pPr>
      <w:r>
        <w:rPr>
          <w:rFonts w:hint="eastAsia" w:ascii="仿宋_GB2312" w:hAnsi="宋体" w:eastAsia="仿宋_GB2312" w:cs="宋体"/>
          <w:bCs/>
          <w:sz w:val="32"/>
          <w:szCs w:val="32"/>
        </w:rPr>
        <w:t>(</w:t>
      </w:r>
      <w:r>
        <w:rPr>
          <w:rFonts w:hint="eastAsia" w:ascii="仿宋_GB2312" w:eastAsia="仿宋_GB2312"/>
          <w:sz w:val="32"/>
          <w:szCs w:val="32"/>
        </w:rPr>
        <w:t>柳职院字〔2021〕46 号)</w:t>
      </w:r>
    </w:p>
    <w:p>
      <w:pPr>
        <w:spacing w:line="596" w:lineRule="exact"/>
        <w:jc w:val="center"/>
        <w:rPr>
          <w:b/>
          <w:color w:val="000000"/>
          <w:sz w:val="36"/>
          <w:szCs w:val="36"/>
        </w:rPr>
      </w:pP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为进一步推动学校产业学院持续快速发展，理顺产业学院管理体制，加强科学化、规范化管理，充分发挥产业学院在人才培养、科学研究、社会服务等方面的重要作用，根据国家相关法律、法规及文件要求，结合我校实际，特制定本办法。</w:t>
      </w:r>
    </w:p>
    <w:p>
      <w:pPr>
        <w:widowControl/>
        <w:spacing w:line="596" w:lineRule="exact"/>
        <w:jc w:val="center"/>
        <w:outlineLvl w:val="9"/>
        <w:rPr>
          <w:rFonts w:ascii="黑体" w:hAnsi="宋体" w:eastAsia="黑体" w:cs="黑体"/>
          <w:color w:val="000000"/>
          <w:kern w:val="0"/>
          <w:sz w:val="32"/>
          <w:szCs w:val="32"/>
          <w:lang w:bidi="ar"/>
        </w:rPr>
      </w:pPr>
      <w:bookmarkStart w:id="1349" w:name="_Toc12286_WPSOffice_Level1"/>
      <w:r>
        <w:rPr>
          <w:rFonts w:hint="eastAsia" w:ascii="黑体" w:hAnsi="黑体" w:eastAsia="黑体"/>
          <w:b/>
          <w:sz w:val="32"/>
          <w:szCs w:val="32"/>
        </w:rPr>
        <w:t>第一章 产业学院的设立</w:t>
      </w:r>
      <w:bookmarkEnd w:id="1349"/>
      <w:r>
        <w:rPr>
          <w:rFonts w:ascii="黑体" w:hAnsi="宋体" w:eastAsia="黑体" w:cs="黑体"/>
          <w:color w:val="000000"/>
          <w:kern w:val="0"/>
          <w:sz w:val="32"/>
          <w:szCs w:val="32"/>
          <w:lang w:bidi="ar"/>
        </w:rPr>
        <w:t xml:space="preserve"> </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第一条  </w:t>
      </w:r>
      <w:r>
        <w:rPr>
          <w:rFonts w:hint="eastAsia" w:ascii="仿宋_GB2312" w:eastAsia="仿宋_GB2312"/>
          <w:sz w:val="32"/>
          <w:szCs w:val="32"/>
        </w:rPr>
        <w:t xml:space="preserve">设立程序 </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（一）二级学院撰写产业学院建设方案，向校企合作处提出申请。</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（二）校企合作处牵头组织学校各相关部门进行论证。</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（三）校长办公会及党委会审批。</w:t>
      </w:r>
    </w:p>
    <w:p>
      <w:pPr>
        <w:widowControl/>
        <w:adjustRightInd w:val="0"/>
        <w:snapToGrid w:val="0"/>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第二条  </w:t>
      </w:r>
      <w:r>
        <w:rPr>
          <w:rFonts w:hint="eastAsia" w:ascii="仿宋_GB2312" w:eastAsia="仿宋_GB2312"/>
          <w:sz w:val="32"/>
          <w:szCs w:val="32"/>
        </w:rPr>
        <w:t>产业学院实行校企双挂牌，学校授予二级学院及校外合作单位“XXX 产业学院”牌匾。</w:t>
      </w:r>
    </w:p>
    <w:p>
      <w:pPr>
        <w:widowControl/>
        <w:spacing w:line="596" w:lineRule="exact"/>
        <w:jc w:val="center"/>
        <w:outlineLvl w:val="9"/>
        <w:rPr>
          <w:rFonts w:ascii="黑体" w:hAnsi="宋体" w:eastAsia="黑体" w:cs="黑体"/>
          <w:color w:val="000000"/>
          <w:kern w:val="0"/>
          <w:sz w:val="32"/>
          <w:szCs w:val="32"/>
          <w:lang w:bidi="ar"/>
        </w:rPr>
      </w:pPr>
      <w:bookmarkStart w:id="1350" w:name="_Toc10442_WPSOffice_Level1"/>
      <w:r>
        <w:rPr>
          <w:rFonts w:hint="eastAsia" w:ascii="黑体" w:hAnsi="黑体" w:eastAsia="黑体"/>
          <w:b/>
          <w:sz w:val="32"/>
          <w:szCs w:val="32"/>
        </w:rPr>
        <w:t>第二章 组织机构与职责</w:t>
      </w:r>
      <w:bookmarkEnd w:id="1350"/>
    </w:p>
    <w:p>
      <w:pPr>
        <w:widowControl/>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第三条  </w:t>
      </w:r>
      <w:r>
        <w:rPr>
          <w:rFonts w:hint="eastAsia" w:ascii="仿宋_GB2312" w:eastAsia="仿宋_GB2312"/>
          <w:sz w:val="32"/>
          <w:szCs w:val="32"/>
        </w:rPr>
        <w:t>产业学院运行模式。</w:t>
      </w:r>
    </w:p>
    <w:p>
      <w:pPr>
        <w:widowControl/>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一是理事会制。理事会单位按理事会章程选举产生，实行理事会领导下的院长负责制。二是实行双院长负责制。双院长由学校和共建单位分别担任，院长的职责：</w:t>
      </w:r>
    </w:p>
    <w:p>
      <w:pPr>
        <w:widowControl/>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（一）主持产业学院全面工作，负责拟订和实施产业学院发展规划、基本规章制度、重大教学科研项目、年度工作计划。</w:t>
      </w:r>
    </w:p>
    <w:p>
      <w:pPr>
        <w:widowControl/>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（二）负责开展产业学院教学、科学研究和社会服务等活动，创新人才培养机制，提高人才培养质量，推进文化传承创新，服务区域经济社会发展，把产业学院办出特色。</w:t>
      </w:r>
    </w:p>
    <w:p>
      <w:pPr>
        <w:widowControl/>
        <w:adjustRightInd w:val="0"/>
        <w:snapToGrid w:val="0"/>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第四条  </w:t>
      </w:r>
      <w:r>
        <w:rPr>
          <w:rFonts w:hint="eastAsia" w:ascii="仿宋_GB2312" w:eastAsia="仿宋_GB2312"/>
          <w:sz w:val="32"/>
          <w:szCs w:val="32"/>
        </w:rPr>
        <w:t>产业学院下设办公室，负责起草产业学院相关工作报告，做好外联工作，完成产业学院文件资料的收集、整理、归档、申报工作。</w:t>
      </w:r>
    </w:p>
    <w:p>
      <w:pPr>
        <w:widowControl/>
        <w:spacing w:line="596" w:lineRule="exact"/>
        <w:jc w:val="center"/>
        <w:outlineLvl w:val="9"/>
        <w:rPr>
          <w:rFonts w:hint="eastAsia" w:ascii="黑体" w:hAnsi="黑体" w:eastAsia="黑体"/>
          <w:b/>
          <w:sz w:val="32"/>
          <w:szCs w:val="32"/>
        </w:rPr>
      </w:pPr>
      <w:bookmarkStart w:id="1351" w:name="_Toc542_WPSOffice_Level1"/>
      <w:r>
        <w:rPr>
          <w:rFonts w:hint="eastAsia" w:ascii="黑体" w:hAnsi="黑体" w:eastAsia="黑体"/>
          <w:b/>
          <w:sz w:val="32"/>
          <w:szCs w:val="32"/>
        </w:rPr>
        <w:t>第三章 运行管理</w:t>
      </w:r>
      <w:bookmarkEnd w:id="1351"/>
    </w:p>
    <w:p>
      <w:pPr>
        <w:widowControl/>
        <w:adjustRightInd w:val="0"/>
        <w:snapToGrid w:val="0"/>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第五条  </w:t>
      </w:r>
      <w:r>
        <w:rPr>
          <w:rFonts w:hint="eastAsia" w:ascii="仿宋_GB2312" w:eastAsia="仿宋_GB2312"/>
          <w:sz w:val="32"/>
          <w:szCs w:val="32"/>
        </w:rPr>
        <w:t>产业学院原则上主要依托所属二级学院行政组织机构开展各项工作。</w:t>
      </w:r>
    </w:p>
    <w:p>
      <w:pPr>
        <w:widowControl/>
        <w:adjustRightInd w:val="0"/>
        <w:snapToGrid w:val="0"/>
        <w:spacing w:line="596" w:lineRule="exact"/>
        <w:ind w:firstLine="643" w:firstLineChars="200"/>
        <w:rPr>
          <w:rFonts w:ascii="宋体" w:hAnsi="宋体" w:cs="宋体"/>
          <w:b/>
          <w:color w:val="000000"/>
          <w:kern w:val="0"/>
          <w:sz w:val="32"/>
          <w:szCs w:val="32"/>
          <w:lang w:bidi="ar"/>
        </w:rPr>
      </w:pPr>
      <w:r>
        <w:rPr>
          <w:rFonts w:hint="eastAsia" w:ascii="仿宋_GB2312" w:eastAsia="仿宋_GB2312"/>
          <w:b/>
          <w:bCs/>
          <w:sz w:val="32"/>
          <w:szCs w:val="32"/>
        </w:rPr>
        <w:t xml:space="preserve">第六条  </w:t>
      </w:r>
      <w:r>
        <w:rPr>
          <w:rFonts w:hint="eastAsia" w:ascii="仿宋_GB2312" w:eastAsia="仿宋_GB2312"/>
          <w:sz w:val="32"/>
          <w:szCs w:val="32"/>
        </w:rPr>
        <w:t>产业学院成立校企双方共同组成的日常管理运营组织、执行机构，并建立定期沟通机制。</w:t>
      </w:r>
    </w:p>
    <w:p>
      <w:pPr>
        <w:widowControl/>
        <w:spacing w:line="596" w:lineRule="exact"/>
        <w:ind w:firstLine="640"/>
        <w:rPr>
          <w:rFonts w:hint="eastAsia" w:ascii="仿宋_GB2312" w:eastAsia="仿宋_GB2312"/>
          <w:sz w:val="32"/>
          <w:szCs w:val="32"/>
        </w:rPr>
      </w:pPr>
      <w:r>
        <w:rPr>
          <w:rFonts w:hint="eastAsia" w:ascii="仿宋_GB2312" w:eastAsia="仿宋_GB2312"/>
          <w:b/>
          <w:bCs/>
          <w:sz w:val="32"/>
          <w:szCs w:val="32"/>
        </w:rPr>
        <w:t xml:space="preserve">第七条  </w:t>
      </w:r>
      <w:r>
        <w:rPr>
          <w:rFonts w:hint="eastAsia" w:ascii="仿宋_GB2312" w:eastAsia="仿宋_GB2312"/>
          <w:sz w:val="32"/>
          <w:szCs w:val="32"/>
        </w:rPr>
        <w:t xml:space="preserve">产业学院资金按照财政专项管理办法和学校、企业资金管理办法使用。 </w:t>
      </w:r>
    </w:p>
    <w:p>
      <w:pPr>
        <w:widowControl/>
        <w:spacing w:line="596" w:lineRule="exact"/>
        <w:jc w:val="center"/>
        <w:outlineLvl w:val="9"/>
        <w:rPr>
          <w:rFonts w:hint="eastAsia" w:ascii="黑体" w:hAnsi="黑体" w:eastAsia="黑体"/>
          <w:b/>
          <w:sz w:val="32"/>
          <w:szCs w:val="32"/>
        </w:rPr>
      </w:pPr>
      <w:bookmarkStart w:id="1352" w:name="_Toc30249_WPSOffice_Level1"/>
      <w:r>
        <w:rPr>
          <w:rFonts w:hint="eastAsia" w:ascii="黑体" w:hAnsi="黑体" w:eastAsia="黑体"/>
          <w:b/>
          <w:sz w:val="32"/>
          <w:szCs w:val="32"/>
        </w:rPr>
        <w:t>第四章 考核评价</w:t>
      </w:r>
      <w:bookmarkEnd w:id="1352"/>
    </w:p>
    <w:p>
      <w:pPr>
        <w:widowControl/>
        <w:spacing w:line="596" w:lineRule="exact"/>
        <w:ind w:firstLine="643" w:firstLineChars="200"/>
        <w:jc w:val="left"/>
        <w:rPr>
          <w:rFonts w:hint="eastAsia" w:ascii="仿宋_GB2312" w:eastAsia="仿宋_GB2312"/>
          <w:sz w:val="32"/>
          <w:szCs w:val="32"/>
        </w:rPr>
      </w:pPr>
      <w:r>
        <w:rPr>
          <w:rFonts w:hint="eastAsia" w:ascii="仿宋_GB2312" w:eastAsia="仿宋_GB2312"/>
          <w:b/>
          <w:bCs/>
          <w:sz w:val="32"/>
          <w:szCs w:val="32"/>
        </w:rPr>
        <w:t xml:space="preserve">第八条  </w:t>
      </w:r>
      <w:r>
        <w:rPr>
          <w:rFonts w:hint="eastAsia" w:ascii="仿宋_GB2312" w:eastAsia="仿宋_GB2312"/>
          <w:sz w:val="32"/>
          <w:szCs w:val="32"/>
        </w:rPr>
        <w:t>学校产业学院建设工作领导小组每年开展一次产业学院考核工作，考核标准详见附件“柳州职业技术学院产业学院建设考核指标体系（暂行）”。</w:t>
      </w:r>
    </w:p>
    <w:p>
      <w:pPr>
        <w:widowControl/>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第九条  </w:t>
      </w:r>
      <w:r>
        <w:rPr>
          <w:rFonts w:hint="eastAsia" w:ascii="仿宋_GB2312" w:eastAsia="仿宋_GB2312"/>
          <w:sz w:val="32"/>
          <w:szCs w:val="32"/>
        </w:rPr>
        <w:t>评估考核结果不合格的产业学院，限期进行整改。</w:t>
      </w:r>
    </w:p>
    <w:p>
      <w:pPr>
        <w:widowControl/>
        <w:spacing w:line="596" w:lineRule="exact"/>
        <w:ind w:firstLine="640" w:firstLineChars="200"/>
        <w:rPr>
          <w:rFonts w:hint="eastAsia" w:ascii="仿宋_GB2312" w:eastAsia="仿宋_GB2312"/>
          <w:sz w:val="32"/>
          <w:szCs w:val="32"/>
        </w:rPr>
      </w:pPr>
    </w:p>
    <w:p>
      <w:pPr>
        <w:widowControl/>
        <w:spacing w:line="596" w:lineRule="exact"/>
        <w:jc w:val="center"/>
        <w:outlineLvl w:val="9"/>
        <w:rPr>
          <w:rFonts w:hint="eastAsia" w:ascii="黑体" w:hAnsi="黑体" w:eastAsia="黑体"/>
          <w:b/>
          <w:sz w:val="32"/>
          <w:szCs w:val="32"/>
        </w:rPr>
      </w:pPr>
      <w:bookmarkStart w:id="1353" w:name="_Toc30824_WPSOffice_Level1"/>
      <w:r>
        <w:rPr>
          <w:rFonts w:hint="eastAsia" w:ascii="黑体" w:hAnsi="黑体" w:eastAsia="黑体"/>
          <w:b/>
          <w:sz w:val="32"/>
          <w:szCs w:val="32"/>
        </w:rPr>
        <w:t>第五章 终止和退出机制</w:t>
      </w:r>
      <w:bookmarkEnd w:id="1353"/>
    </w:p>
    <w:p>
      <w:pPr>
        <w:widowControl/>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第十条</w:t>
      </w:r>
      <w:r>
        <w:rPr>
          <w:rFonts w:hint="eastAsia" w:ascii="黑体" w:hAnsi="宋体" w:eastAsia="黑体" w:cs="黑体"/>
          <w:kern w:val="0"/>
          <w:sz w:val="32"/>
          <w:szCs w:val="32"/>
          <w:lang w:bidi="ar"/>
        </w:rPr>
        <w:t xml:space="preserve"> </w:t>
      </w:r>
      <w:r>
        <w:rPr>
          <w:rFonts w:hint="eastAsia" w:ascii="仿宋_GB2312" w:eastAsia="仿宋_GB2312"/>
          <w:sz w:val="32"/>
          <w:szCs w:val="32"/>
        </w:rPr>
        <w:t xml:space="preserve">产业学院自发起各方签约之日起成立。协议期满时，经合作各方友好协商，可续签合作协议。如不再续签，则合作终止。 </w:t>
      </w:r>
    </w:p>
    <w:p>
      <w:pPr>
        <w:widowControl/>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第十一条</w:t>
      </w:r>
      <w:r>
        <w:rPr>
          <w:rFonts w:ascii="仿宋_GB2312" w:hAnsi="仿宋_GB2312" w:eastAsia="仿宋_GB2312" w:cs="仿宋_GB2312"/>
          <w:b/>
          <w:kern w:val="0"/>
          <w:sz w:val="32"/>
          <w:szCs w:val="32"/>
          <w:lang w:bidi="ar"/>
        </w:rPr>
        <w:t xml:space="preserve"> </w:t>
      </w:r>
      <w:r>
        <w:rPr>
          <w:rFonts w:hint="eastAsia" w:ascii="仿宋_GB2312" w:eastAsia="仿宋_GB2312"/>
          <w:sz w:val="32"/>
          <w:szCs w:val="32"/>
        </w:rPr>
        <w:t xml:space="preserve">共建单位具有以下条件之一的，合作终止。 </w:t>
      </w:r>
    </w:p>
    <w:p>
      <w:pPr>
        <w:widowControl/>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（一）共建单位因业务转型或内部调整等原因而申请退出的。 </w:t>
      </w:r>
    </w:p>
    <w:p>
      <w:pPr>
        <w:widowControl/>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（二）共建单位出现严重违法、违规以及违约行为，在行业内造成恶劣影响的。 </w:t>
      </w:r>
    </w:p>
    <w:p>
      <w:pPr>
        <w:widowControl/>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（三）共建单位不履行相应的产业学院章程或管理办法约定的。 </w:t>
      </w:r>
    </w:p>
    <w:p>
      <w:pPr>
        <w:widowControl/>
        <w:spacing w:line="596" w:lineRule="exact"/>
        <w:jc w:val="center"/>
        <w:outlineLvl w:val="9"/>
        <w:rPr>
          <w:rFonts w:hint="eastAsia" w:ascii="黑体" w:hAnsi="黑体" w:eastAsia="黑体"/>
          <w:b/>
          <w:sz w:val="32"/>
          <w:szCs w:val="32"/>
        </w:rPr>
      </w:pPr>
      <w:bookmarkStart w:id="1354" w:name="_Toc31542_WPSOffice_Level1"/>
      <w:r>
        <w:rPr>
          <w:rFonts w:hint="eastAsia" w:ascii="黑体" w:hAnsi="黑体" w:eastAsia="黑体"/>
          <w:b/>
          <w:sz w:val="32"/>
          <w:szCs w:val="32"/>
        </w:rPr>
        <w:t>第六章 附则</w:t>
      </w:r>
      <w:bookmarkEnd w:id="1354"/>
    </w:p>
    <w:p>
      <w:pPr>
        <w:widowControl/>
        <w:spacing w:line="596" w:lineRule="exact"/>
        <w:ind w:firstLine="643" w:firstLineChars="200"/>
        <w:jc w:val="left"/>
        <w:rPr>
          <w:rFonts w:hint="eastAsia" w:ascii="仿宋_GB2312" w:eastAsia="仿宋_GB2312"/>
          <w:sz w:val="32"/>
          <w:szCs w:val="32"/>
        </w:rPr>
      </w:pPr>
      <w:r>
        <w:rPr>
          <w:rFonts w:hint="eastAsia" w:ascii="仿宋_GB2312" w:eastAsia="仿宋_GB2312"/>
          <w:b/>
          <w:bCs/>
          <w:sz w:val="32"/>
          <w:szCs w:val="32"/>
        </w:rPr>
        <w:t>第十二条</w:t>
      </w:r>
      <w:r>
        <w:rPr>
          <w:rFonts w:ascii="仿宋_GB2312" w:hAnsi="仿宋_GB2312" w:eastAsia="仿宋_GB2312" w:cs="仿宋_GB2312"/>
          <w:b/>
          <w:color w:val="000000"/>
          <w:kern w:val="0"/>
          <w:sz w:val="32"/>
          <w:szCs w:val="32"/>
          <w:lang w:bidi="ar"/>
        </w:rPr>
        <w:t xml:space="preserve"> </w:t>
      </w:r>
      <w:r>
        <w:rPr>
          <w:rFonts w:hint="eastAsia" w:ascii="仿宋_GB2312" w:hAnsi="仿宋_GB2312" w:eastAsia="仿宋_GB2312" w:cs="仿宋_GB2312"/>
          <w:b/>
          <w:color w:val="000000"/>
          <w:kern w:val="0"/>
          <w:sz w:val="32"/>
          <w:szCs w:val="32"/>
          <w:lang w:bidi="ar"/>
        </w:rPr>
        <w:t xml:space="preserve"> </w:t>
      </w:r>
      <w:r>
        <w:rPr>
          <w:rFonts w:hint="eastAsia" w:ascii="仿宋_GB2312" w:eastAsia="仿宋_GB2312"/>
          <w:sz w:val="32"/>
          <w:szCs w:val="32"/>
        </w:rPr>
        <w:t xml:space="preserve">本办法解释权归科技开发与校企合作处。 </w:t>
      </w:r>
    </w:p>
    <w:p>
      <w:pPr>
        <w:widowControl/>
        <w:spacing w:line="596" w:lineRule="exact"/>
        <w:ind w:firstLine="643" w:firstLineChars="200"/>
        <w:jc w:val="left"/>
        <w:rPr>
          <w:rFonts w:hint="eastAsia" w:ascii="宋体" w:hAnsi="宋体" w:cs="宋体"/>
          <w:color w:val="000000"/>
          <w:kern w:val="0"/>
          <w:sz w:val="32"/>
          <w:szCs w:val="32"/>
          <w:lang w:bidi="ar"/>
        </w:rPr>
      </w:pPr>
      <w:r>
        <w:rPr>
          <w:rFonts w:hint="eastAsia" w:ascii="仿宋_GB2312" w:eastAsia="仿宋_GB2312"/>
          <w:b/>
          <w:bCs/>
          <w:sz w:val="32"/>
          <w:szCs w:val="32"/>
        </w:rPr>
        <w:t>第十三条</w:t>
      </w:r>
      <w:r>
        <w:rPr>
          <w:rFonts w:hint="eastAsia" w:ascii="黑体" w:hAnsi="宋体" w:eastAsia="黑体" w:cs="黑体"/>
          <w:color w:val="000000"/>
          <w:kern w:val="0"/>
          <w:sz w:val="32"/>
          <w:szCs w:val="32"/>
          <w:lang w:bidi="ar"/>
        </w:rPr>
        <w:t xml:space="preserve">  </w:t>
      </w:r>
      <w:r>
        <w:rPr>
          <w:rFonts w:hint="eastAsia" w:ascii="仿宋_GB2312" w:eastAsia="仿宋_GB2312"/>
          <w:sz w:val="32"/>
          <w:szCs w:val="32"/>
        </w:rPr>
        <w:t>本办法自印发之日起实施。</w:t>
      </w:r>
    </w:p>
    <w:p>
      <w:pPr>
        <w:widowControl/>
        <w:spacing w:line="360" w:lineRule="auto"/>
        <w:jc w:val="left"/>
        <w:rPr>
          <w:rFonts w:hint="eastAsia" w:ascii="宋体" w:hAnsi="宋体" w:cs="宋体"/>
          <w:color w:val="000000"/>
          <w:kern w:val="0"/>
          <w:sz w:val="32"/>
          <w:szCs w:val="32"/>
          <w:lang w:bidi="ar"/>
        </w:rPr>
      </w:pP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附件：柳州职业技术学院产业学院建设考核指标体系（暂行）</w:t>
      </w:r>
    </w:p>
    <w:p>
      <w:pPr>
        <w:rPr>
          <w:rFonts w:eastAsia="黑体"/>
          <w:color w:val="000000"/>
          <w:sz w:val="32"/>
          <w:szCs w:val="32"/>
        </w:rPr>
      </w:pPr>
      <w:r>
        <w:rPr>
          <w:rFonts w:eastAsia="黑体"/>
          <w:color w:val="000000"/>
          <w:sz w:val="32"/>
          <w:szCs w:val="32"/>
        </w:rPr>
        <w:br w:type="page"/>
      </w:r>
    </w:p>
    <w:p>
      <w:pPr>
        <w:spacing w:line="540" w:lineRule="exact"/>
        <w:jc w:val="left"/>
        <w:rPr>
          <w:rFonts w:hint="eastAsia" w:eastAsia="黑体"/>
          <w:color w:val="FF0000"/>
          <w:sz w:val="32"/>
          <w:szCs w:val="32"/>
        </w:rPr>
      </w:pPr>
      <w:r>
        <w:rPr>
          <w:rFonts w:eastAsia="黑体"/>
          <w:color w:val="000000"/>
          <w:sz w:val="32"/>
          <w:szCs w:val="32"/>
        </w:rPr>
        <w:t>附件</w:t>
      </w:r>
      <w:r>
        <w:rPr>
          <w:rFonts w:hint="eastAsia" w:eastAsia="黑体"/>
          <w:color w:val="000000"/>
          <w:sz w:val="32"/>
          <w:szCs w:val="32"/>
        </w:rPr>
        <w:t>：</w:t>
      </w:r>
    </w:p>
    <w:p>
      <w:pPr>
        <w:spacing w:line="596" w:lineRule="exact"/>
        <w:jc w:val="center"/>
        <w:outlineLvl w:val="9"/>
        <w:rPr>
          <w:rFonts w:hint="eastAsia"/>
          <w:b/>
          <w:color w:val="000000"/>
          <w:sz w:val="36"/>
          <w:szCs w:val="36"/>
        </w:rPr>
      </w:pPr>
      <w:bookmarkStart w:id="1355" w:name="_Toc10264_WPSOffice_Level1"/>
      <w:r>
        <w:rPr>
          <w:rFonts w:hint="eastAsia"/>
          <w:b/>
          <w:color w:val="000000"/>
          <w:sz w:val="36"/>
          <w:szCs w:val="36"/>
        </w:rPr>
        <w:t>柳州职业技术学院产业学院建设考核指标体系（暂行）</w:t>
      </w:r>
      <w:bookmarkEnd w:id="1355"/>
    </w:p>
    <w:p>
      <w:pPr>
        <w:spacing w:line="596" w:lineRule="exact"/>
        <w:jc w:val="center"/>
        <w:rPr>
          <w:rFonts w:hint="eastAsia"/>
          <w:b/>
          <w:color w:val="000000"/>
          <w:sz w:val="36"/>
          <w:szCs w:val="36"/>
        </w:rPr>
      </w:pPr>
    </w:p>
    <w:tbl>
      <w:tblPr>
        <w:tblStyle w:val="14"/>
        <w:tblW w:w="82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6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pStyle w:val="23"/>
              <w:widowControl w:val="0"/>
              <w:adjustRightInd w:val="0"/>
              <w:snapToGrid w:val="0"/>
              <w:spacing w:before="0" w:beforeAutospacing="0" w:after="0" w:afterAutospacing="0" w:line="360" w:lineRule="exact"/>
              <w:jc w:val="center"/>
              <w:rPr>
                <w:rFonts w:hint="eastAsia" w:ascii="Times New Roman" w:hAnsi="Times New Roman" w:eastAsia="黑体" w:cs="Times New Roman"/>
                <w:color w:val="000000"/>
                <w:sz w:val="28"/>
                <w:szCs w:val="28"/>
              </w:rPr>
            </w:pPr>
            <w:r>
              <w:rPr>
                <w:rFonts w:ascii="Times New Roman" w:hAnsi="Times New Roman" w:eastAsia="黑体" w:cs="Times New Roman"/>
                <w:color w:val="000000"/>
                <w:sz w:val="28"/>
                <w:szCs w:val="28"/>
              </w:rPr>
              <w:t>指标</w:t>
            </w:r>
            <w:r>
              <w:rPr>
                <w:rFonts w:hint="eastAsia" w:ascii="Times New Roman" w:hAnsi="Times New Roman" w:eastAsia="黑体" w:cs="Times New Roman"/>
                <w:color w:val="000000"/>
                <w:sz w:val="28"/>
                <w:szCs w:val="28"/>
              </w:rPr>
              <w:t>名称</w:t>
            </w:r>
          </w:p>
        </w:tc>
        <w:tc>
          <w:tcPr>
            <w:tcW w:w="6583" w:type="dxa"/>
            <w:vAlign w:val="center"/>
          </w:tcPr>
          <w:p>
            <w:pPr>
              <w:pStyle w:val="23"/>
              <w:widowControl w:val="0"/>
              <w:adjustRightInd w:val="0"/>
              <w:snapToGrid w:val="0"/>
              <w:spacing w:before="156" w:beforeLines="50" w:beforeAutospacing="0" w:after="156" w:afterLines="50" w:afterAutospacing="0"/>
              <w:jc w:val="center"/>
              <w:rPr>
                <w:rFonts w:ascii="Times New Roman" w:hAnsi="Times New Roman" w:eastAsia="黑体" w:cs="Times New Roman"/>
                <w:color w:val="000000"/>
                <w:sz w:val="28"/>
                <w:szCs w:val="28"/>
              </w:rPr>
            </w:pPr>
            <w:r>
              <w:rPr>
                <w:rFonts w:hint="eastAsia" w:ascii="Times New Roman" w:hAnsi="Times New Roman" w:eastAsia="黑体" w:cs="Times New Roman"/>
                <w:color w:val="000000"/>
                <w:sz w:val="28"/>
                <w:szCs w:val="28"/>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3" w:hRule="atLeast"/>
          <w:jc w:val="center"/>
        </w:trPr>
        <w:tc>
          <w:tcPr>
            <w:tcW w:w="1700" w:type="dxa"/>
            <w:vAlign w:val="center"/>
          </w:tcPr>
          <w:p>
            <w:pPr>
              <w:pStyle w:val="23"/>
              <w:widowControl w:val="0"/>
              <w:adjustRightInd w:val="0"/>
              <w:snapToGrid w:val="0"/>
              <w:spacing w:before="0" w:beforeAutospacing="0" w:after="0" w:afterAutospacing="0" w:line="360" w:lineRule="exact"/>
              <w:jc w:val="center"/>
              <w:rPr>
                <w:rFonts w:hint="eastAsia" w:ascii="Times New Roman" w:hAnsi="Times New Roman" w:eastAsia="仿宋_GB2312" w:cs="Times New Roman"/>
                <w:color w:val="000000"/>
              </w:rPr>
            </w:pPr>
            <w:r>
              <w:rPr>
                <w:rFonts w:hint="eastAsia" w:ascii="Times New Roman" w:hAnsi="Times New Roman" w:eastAsia="仿宋_GB2312" w:cs="Times New Roman"/>
                <w:color w:val="000000"/>
              </w:rPr>
              <w:t>管理机制</w:t>
            </w:r>
          </w:p>
          <w:p>
            <w:pPr>
              <w:pStyle w:val="23"/>
              <w:widowControl w:val="0"/>
              <w:adjustRightInd w:val="0"/>
              <w:snapToGrid w:val="0"/>
              <w:spacing w:before="0" w:beforeAutospacing="0" w:after="0" w:afterAutospacing="0" w:line="360" w:lineRule="exact"/>
              <w:jc w:val="center"/>
              <w:rPr>
                <w:rFonts w:ascii="Times New Roman" w:hAnsi="Times New Roman" w:eastAsia="仿宋_GB2312" w:cs="Times New Roman"/>
                <w:color w:val="000000"/>
              </w:rPr>
            </w:pPr>
            <w:r>
              <w:rPr>
                <w:rFonts w:hint="eastAsia" w:ascii="Times New Roman" w:hAnsi="Times New Roman" w:eastAsia="仿宋_GB2312" w:cs="Times New Roman"/>
                <w:color w:val="000000"/>
              </w:rPr>
              <w:t>（25分）</w:t>
            </w:r>
          </w:p>
        </w:tc>
        <w:tc>
          <w:tcPr>
            <w:tcW w:w="6583" w:type="dxa"/>
            <w:vAlign w:val="center"/>
          </w:tcPr>
          <w:p>
            <w:pPr>
              <w:pStyle w:val="23"/>
              <w:widowControl w:val="0"/>
              <w:adjustRightInd w:val="0"/>
              <w:snapToGrid w:val="0"/>
              <w:spacing w:before="0" w:beforeAutospacing="0" w:after="0" w:afterAutospacing="0" w:line="360" w:lineRule="exact"/>
              <w:jc w:val="both"/>
              <w:rPr>
                <w:rFonts w:hint="eastAsia" w:eastAsia="仿宋_GB2312"/>
                <w:color w:val="000000"/>
              </w:rPr>
            </w:pPr>
            <w:r>
              <w:rPr>
                <w:rFonts w:hint="eastAsia" w:eastAsia="仿宋_GB2312"/>
                <w:color w:val="000000"/>
              </w:rPr>
              <w:t>成立校企双方共同组成的日常管理运营组织、执行机构；制定</w:t>
            </w:r>
            <w:r>
              <w:rPr>
                <w:rFonts w:hint="eastAsia" w:ascii="Times New Roman" w:hAnsi="Times New Roman" w:eastAsia="仿宋_GB2312" w:cs="Times New Roman"/>
                <w:color w:val="000000"/>
              </w:rPr>
              <w:t>年度工作计划以及完成工作总结；</w:t>
            </w:r>
            <w:r>
              <w:rPr>
                <w:rFonts w:hint="eastAsia" w:eastAsia="仿宋_GB2312"/>
                <w:color w:val="000000"/>
              </w:rPr>
              <w:t>每年定期召开理事会会议或产业学院会议；</w:t>
            </w:r>
            <w:r>
              <w:rPr>
                <w:rFonts w:ascii="Times New Roman" w:hAnsi="Times New Roman" w:eastAsia="仿宋_GB2312" w:cs="Times New Roman"/>
              </w:rPr>
              <w:t>具备较完善的产业学院相关制度。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1700" w:type="dxa"/>
            <w:vAlign w:val="center"/>
          </w:tcPr>
          <w:p>
            <w:pPr>
              <w:pStyle w:val="23"/>
              <w:widowControl w:val="0"/>
              <w:adjustRightInd w:val="0"/>
              <w:snapToGrid w:val="0"/>
              <w:spacing w:before="0" w:beforeAutospacing="0" w:after="0" w:afterAutospacing="0" w:line="360" w:lineRule="exact"/>
              <w:jc w:val="center"/>
              <w:rPr>
                <w:rFonts w:hint="eastAsia" w:ascii="Times New Roman" w:hAnsi="Times New Roman" w:eastAsia="仿宋_GB2312" w:cs="Times New Roman"/>
              </w:rPr>
            </w:pPr>
            <w:r>
              <w:rPr>
                <w:rFonts w:hint="eastAsia" w:ascii="Times New Roman" w:hAnsi="Times New Roman" w:eastAsia="仿宋_GB2312" w:cs="Times New Roman"/>
              </w:rPr>
              <w:t>人才培养模式</w:t>
            </w:r>
          </w:p>
          <w:p>
            <w:pPr>
              <w:pStyle w:val="23"/>
              <w:widowControl w:val="0"/>
              <w:adjustRightInd w:val="0"/>
              <w:snapToGrid w:val="0"/>
              <w:spacing w:before="0" w:beforeAutospacing="0" w:after="0" w:afterAutospacing="0" w:line="360" w:lineRule="exact"/>
              <w:jc w:val="center"/>
              <w:rPr>
                <w:rFonts w:ascii="Times New Roman" w:hAnsi="Times New Roman" w:eastAsia="仿宋_GB2312" w:cs="Times New Roman"/>
              </w:rPr>
            </w:pPr>
            <w:r>
              <w:rPr>
                <w:rFonts w:hint="eastAsia" w:ascii="Times New Roman" w:hAnsi="Times New Roman" w:eastAsia="仿宋_GB2312" w:cs="Times New Roman"/>
              </w:rPr>
              <w:t>（10分）</w:t>
            </w:r>
          </w:p>
        </w:tc>
        <w:tc>
          <w:tcPr>
            <w:tcW w:w="6583" w:type="dxa"/>
            <w:vAlign w:val="center"/>
          </w:tcPr>
          <w:p>
            <w:pPr>
              <w:spacing w:line="360" w:lineRule="exact"/>
              <w:rPr>
                <w:rFonts w:hint="eastAsia" w:eastAsia="仿宋_GB2312"/>
                <w:color w:val="000000"/>
              </w:rPr>
            </w:pPr>
            <w:r>
              <w:rPr>
                <w:rFonts w:hint="eastAsia" w:ascii="宋体" w:hAnsi="宋体" w:eastAsia="仿宋_GB2312" w:cs="宋体"/>
                <w:color w:val="000000"/>
                <w:kern w:val="0"/>
                <w:sz w:val="24"/>
              </w:rPr>
              <w:t>校企双方共同制定人才培养方案。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1700" w:type="dxa"/>
            <w:vAlign w:val="center"/>
          </w:tcPr>
          <w:p>
            <w:pPr>
              <w:pStyle w:val="23"/>
              <w:widowControl w:val="0"/>
              <w:adjustRightInd w:val="0"/>
              <w:snapToGrid w:val="0"/>
              <w:spacing w:before="0" w:beforeAutospacing="0" w:after="0" w:afterAutospacing="0" w:line="360" w:lineRule="exact"/>
              <w:jc w:val="center"/>
              <w:rPr>
                <w:rFonts w:ascii="Times New Roman" w:hAnsi="Times New Roman" w:eastAsia="仿宋_GB2312" w:cs="Times New Roman"/>
              </w:rPr>
            </w:pPr>
            <w:r>
              <w:rPr>
                <w:rFonts w:hint="eastAsia" w:ascii="Times New Roman" w:hAnsi="Times New Roman" w:eastAsia="仿宋_GB2312" w:cs="Times New Roman"/>
              </w:rPr>
              <w:t>教学资源</w:t>
            </w:r>
            <w:r>
              <w:rPr>
                <w:rFonts w:ascii="Times New Roman" w:hAnsi="Times New Roman" w:eastAsia="仿宋_GB2312" w:cs="Times New Roman"/>
              </w:rPr>
              <w:t>建设</w:t>
            </w:r>
            <w:r>
              <w:rPr>
                <w:rFonts w:hint="eastAsia" w:ascii="Times New Roman" w:hAnsi="Times New Roman" w:eastAsia="仿宋_GB2312" w:cs="Times New Roman"/>
              </w:rPr>
              <w:t>（5分）</w:t>
            </w:r>
          </w:p>
        </w:tc>
        <w:tc>
          <w:tcPr>
            <w:tcW w:w="6583" w:type="dxa"/>
            <w:vAlign w:val="center"/>
          </w:tcPr>
          <w:p>
            <w:pPr>
              <w:spacing w:line="360" w:lineRule="exact"/>
              <w:rPr>
                <w:rFonts w:eastAsia="仿宋_GB2312"/>
                <w:color w:val="000000"/>
                <w:sz w:val="24"/>
              </w:rPr>
            </w:pPr>
            <w:r>
              <w:rPr>
                <w:rFonts w:hint="eastAsia" w:eastAsia="仿宋_GB2312"/>
                <w:sz w:val="24"/>
              </w:rPr>
              <w:t>校企联合开发教材、课程、案例库等多样化教学资源。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700" w:type="dxa"/>
            <w:vAlign w:val="center"/>
          </w:tcPr>
          <w:p>
            <w:pPr>
              <w:pStyle w:val="23"/>
              <w:widowControl w:val="0"/>
              <w:adjustRightInd w:val="0"/>
              <w:snapToGrid w:val="0"/>
              <w:spacing w:before="0" w:beforeAutospacing="0" w:after="0" w:afterAutospacing="0" w:line="360" w:lineRule="exact"/>
              <w:jc w:val="center"/>
              <w:rPr>
                <w:rFonts w:hint="eastAsia" w:ascii="Times New Roman" w:hAnsi="Times New Roman" w:eastAsia="仿宋_GB2312" w:cs="Times New Roman"/>
              </w:rPr>
            </w:pPr>
            <w:r>
              <w:rPr>
                <w:rFonts w:ascii="Times New Roman" w:hAnsi="Times New Roman" w:eastAsia="仿宋_GB2312" w:cs="Times New Roman"/>
              </w:rPr>
              <w:t>教学</w:t>
            </w:r>
            <w:r>
              <w:rPr>
                <w:rFonts w:hint="eastAsia" w:ascii="Times New Roman" w:hAnsi="Times New Roman" w:eastAsia="仿宋_GB2312" w:cs="Times New Roman"/>
              </w:rPr>
              <w:t>团队</w:t>
            </w:r>
            <w:r>
              <w:rPr>
                <w:rFonts w:ascii="Times New Roman" w:hAnsi="Times New Roman" w:eastAsia="仿宋_GB2312" w:cs="Times New Roman"/>
              </w:rPr>
              <w:t>建设</w:t>
            </w:r>
          </w:p>
          <w:p>
            <w:pPr>
              <w:pStyle w:val="23"/>
              <w:widowControl w:val="0"/>
              <w:adjustRightInd w:val="0"/>
              <w:snapToGrid w:val="0"/>
              <w:spacing w:before="0" w:beforeAutospacing="0" w:after="0" w:afterAutospacing="0" w:line="360" w:lineRule="exact"/>
              <w:jc w:val="center"/>
              <w:rPr>
                <w:rFonts w:ascii="Times New Roman" w:hAnsi="Times New Roman" w:eastAsia="仿宋_GB2312" w:cs="Times New Roman"/>
              </w:rPr>
            </w:pPr>
            <w:r>
              <w:rPr>
                <w:rFonts w:hint="eastAsia" w:ascii="Times New Roman" w:hAnsi="Times New Roman" w:eastAsia="仿宋_GB2312" w:cs="Times New Roman"/>
              </w:rPr>
              <w:t>（5分）</w:t>
            </w:r>
          </w:p>
        </w:tc>
        <w:tc>
          <w:tcPr>
            <w:tcW w:w="6583" w:type="dxa"/>
            <w:vAlign w:val="center"/>
          </w:tcPr>
          <w:p>
            <w:pPr>
              <w:spacing w:line="360" w:lineRule="exact"/>
              <w:rPr>
                <w:rFonts w:eastAsia="仿宋_GB2312"/>
                <w:color w:val="000000"/>
                <w:sz w:val="24"/>
              </w:rPr>
            </w:pPr>
            <w:r>
              <w:rPr>
                <w:rFonts w:hint="eastAsia" w:eastAsia="仿宋_GB2312"/>
                <w:sz w:val="24"/>
              </w:rPr>
              <w:t>企业专家到校担任课程教学任务；</w:t>
            </w:r>
            <w:r>
              <w:rPr>
                <w:rFonts w:eastAsia="仿宋_GB2312"/>
                <w:sz w:val="24"/>
              </w:rPr>
              <w:t>建立</w:t>
            </w:r>
            <w:r>
              <w:rPr>
                <w:rFonts w:hint="eastAsia" w:eastAsia="仿宋_GB2312"/>
                <w:sz w:val="24"/>
              </w:rPr>
              <w:t>“双师型”教师企业实践或培训基地，</w:t>
            </w:r>
            <w:r>
              <w:rPr>
                <w:rFonts w:hint="eastAsia" w:eastAsia="仿宋_GB2312"/>
                <w:kern w:val="0"/>
                <w:sz w:val="24"/>
              </w:rPr>
              <w:t>专任教师到行业企业挂职工作和实践锻炼。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4" w:hRule="atLeast"/>
          <w:jc w:val="center"/>
        </w:trPr>
        <w:tc>
          <w:tcPr>
            <w:tcW w:w="1700" w:type="dxa"/>
            <w:vAlign w:val="center"/>
          </w:tcPr>
          <w:p>
            <w:pPr>
              <w:pStyle w:val="23"/>
              <w:widowControl w:val="0"/>
              <w:adjustRightInd w:val="0"/>
              <w:snapToGrid w:val="0"/>
              <w:spacing w:before="0" w:beforeAutospacing="0" w:after="0" w:afterAutospacing="0" w:line="360" w:lineRule="exact"/>
              <w:jc w:val="center"/>
              <w:rPr>
                <w:rFonts w:hint="eastAsia" w:ascii="Times New Roman" w:hAnsi="Times New Roman" w:eastAsia="仿宋_GB2312" w:cs="Times New Roman"/>
              </w:rPr>
            </w:pPr>
            <w:r>
              <w:rPr>
                <w:rFonts w:hint="eastAsia" w:ascii="Times New Roman" w:hAnsi="Times New Roman" w:eastAsia="仿宋_GB2312" w:cs="Times New Roman"/>
              </w:rPr>
              <w:t>实践基地建设</w:t>
            </w:r>
          </w:p>
          <w:p>
            <w:pPr>
              <w:pStyle w:val="23"/>
              <w:widowControl w:val="0"/>
              <w:adjustRightInd w:val="0"/>
              <w:snapToGrid w:val="0"/>
              <w:spacing w:before="0" w:beforeAutospacing="0" w:after="0" w:afterAutospacing="0" w:line="360" w:lineRule="exact"/>
              <w:jc w:val="center"/>
              <w:rPr>
                <w:rFonts w:ascii="Times New Roman" w:hAnsi="Times New Roman" w:eastAsia="仿宋_GB2312" w:cs="Times New Roman"/>
              </w:rPr>
            </w:pPr>
            <w:r>
              <w:rPr>
                <w:rFonts w:hint="eastAsia" w:ascii="Times New Roman" w:hAnsi="Times New Roman" w:eastAsia="仿宋_GB2312" w:cs="Times New Roman"/>
              </w:rPr>
              <w:t>（5分）</w:t>
            </w:r>
          </w:p>
        </w:tc>
        <w:tc>
          <w:tcPr>
            <w:tcW w:w="6583" w:type="dxa"/>
            <w:vAlign w:val="center"/>
          </w:tcPr>
          <w:p>
            <w:pPr>
              <w:spacing w:line="360" w:lineRule="exact"/>
              <w:rPr>
                <w:rFonts w:hint="eastAsia" w:eastAsia="仿宋_GB2312"/>
                <w:kern w:val="0"/>
                <w:sz w:val="24"/>
              </w:rPr>
            </w:pPr>
            <w:r>
              <w:rPr>
                <w:rFonts w:hint="eastAsia" w:eastAsia="仿宋_GB2312"/>
                <w:kern w:val="0"/>
                <w:sz w:val="24"/>
              </w:rPr>
              <w:t>共建集实践教学、社会培训、企业真实生产和社会技术服务于一体的高水平专业化产教融合实训基地等学生实践基地，</w:t>
            </w:r>
            <w:r>
              <w:rPr>
                <w:rFonts w:hint="eastAsia" w:eastAsia="仿宋_GB2312"/>
                <w:sz w:val="24"/>
              </w:rPr>
              <w:t>学生</w:t>
            </w:r>
            <w:r>
              <w:rPr>
                <w:rFonts w:eastAsia="仿宋_GB2312"/>
                <w:sz w:val="24"/>
              </w:rPr>
              <w:t>在企业</w:t>
            </w:r>
            <w:r>
              <w:rPr>
                <w:rFonts w:hint="eastAsia" w:eastAsia="仿宋_GB2312"/>
                <w:kern w:val="0"/>
                <w:sz w:val="24"/>
              </w:rPr>
              <w:t>实践基地</w:t>
            </w:r>
            <w:r>
              <w:rPr>
                <w:rFonts w:hint="eastAsia" w:eastAsia="仿宋_GB2312"/>
                <w:sz w:val="24"/>
              </w:rPr>
              <w:t>进行实训、创业创新活动、</w:t>
            </w:r>
            <w:r>
              <w:rPr>
                <w:rFonts w:eastAsia="仿宋_GB2312"/>
                <w:sz w:val="24"/>
              </w:rPr>
              <w:t>顶岗实习</w:t>
            </w:r>
            <w:r>
              <w:rPr>
                <w:rFonts w:hint="eastAsia" w:eastAsia="仿宋_GB2312"/>
                <w:sz w:val="24"/>
              </w:rPr>
              <w:t>和就业等。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7" w:hRule="atLeast"/>
          <w:jc w:val="center"/>
        </w:trPr>
        <w:tc>
          <w:tcPr>
            <w:tcW w:w="1700" w:type="dxa"/>
            <w:vAlign w:val="center"/>
          </w:tcPr>
          <w:p>
            <w:pPr>
              <w:pStyle w:val="23"/>
              <w:widowControl w:val="0"/>
              <w:adjustRightInd w:val="0"/>
              <w:snapToGrid w:val="0"/>
              <w:spacing w:before="0" w:beforeAutospacing="0" w:after="0" w:afterAutospacing="0" w:line="360" w:lineRule="exact"/>
              <w:jc w:val="center"/>
              <w:rPr>
                <w:rFonts w:ascii="Times New Roman" w:hAnsi="Times New Roman" w:eastAsia="仿宋_GB2312" w:cs="Times New Roman"/>
                <w:color w:val="000000"/>
              </w:rPr>
            </w:pPr>
            <w:r>
              <w:rPr>
                <w:rFonts w:hint="eastAsia" w:ascii="Times New Roman" w:hAnsi="Times New Roman" w:eastAsia="仿宋_GB2312" w:cs="Times New Roman"/>
                <w:color w:val="000000"/>
              </w:rPr>
              <w:t>科学研究</w:t>
            </w:r>
          </w:p>
          <w:p>
            <w:pPr>
              <w:pStyle w:val="23"/>
              <w:widowControl w:val="0"/>
              <w:adjustRightInd w:val="0"/>
              <w:snapToGrid w:val="0"/>
              <w:spacing w:before="0" w:beforeAutospacing="0" w:after="0" w:afterAutospacing="0" w:line="360" w:lineRule="exact"/>
              <w:jc w:val="center"/>
              <w:rPr>
                <w:rFonts w:ascii="Times New Roman" w:hAnsi="Times New Roman" w:eastAsia="仿宋_GB2312" w:cs="Times New Roman"/>
                <w:color w:val="000000"/>
              </w:rPr>
            </w:pPr>
            <w:r>
              <w:rPr>
                <w:rFonts w:hint="eastAsia" w:ascii="Times New Roman" w:hAnsi="Times New Roman" w:eastAsia="仿宋_GB2312" w:cs="Times New Roman"/>
                <w:color w:val="000000"/>
              </w:rPr>
              <w:t>（25分）</w:t>
            </w:r>
          </w:p>
        </w:tc>
        <w:tc>
          <w:tcPr>
            <w:tcW w:w="6583" w:type="dxa"/>
            <w:vAlign w:val="center"/>
          </w:tcPr>
          <w:p>
            <w:pPr>
              <w:spacing w:line="340" w:lineRule="exact"/>
              <w:rPr>
                <w:rFonts w:hint="eastAsia" w:ascii="宋体" w:hAnsi="宋体" w:cs="宋体"/>
                <w:color w:val="000000"/>
                <w:sz w:val="24"/>
              </w:rPr>
            </w:pPr>
            <w:r>
              <w:rPr>
                <w:rFonts w:eastAsia="仿宋_GB2312"/>
                <w:sz w:val="24"/>
              </w:rPr>
              <w:t>联合开展</w:t>
            </w:r>
            <w:r>
              <w:rPr>
                <w:rFonts w:hint="eastAsia" w:eastAsia="仿宋_GB2312"/>
                <w:sz w:val="24"/>
              </w:rPr>
              <w:t>企业共性关键技术攻关、产品技术研发、成果转化和项目孵化</w:t>
            </w:r>
            <w:r>
              <w:rPr>
                <w:rFonts w:eastAsia="仿宋_GB2312"/>
                <w:sz w:val="24"/>
              </w:rPr>
              <w:t>等工作，促进科技成果转化和产业化</w:t>
            </w:r>
            <w:r>
              <w:rPr>
                <w:rFonts w:hint="eastAsia" w:eastAsia="仿宋_GB2312"/>
                <w:sz w:val="24"/>
              </w:rPr>
              <w:t>；</w:t>
            </w:r>
            <w:r>
              <w:rPr>
                <w:rFonts w:eastAsia="仿宋_GB2312"/>
                <w:color w:val="000000"/>
                <w:sz w:val="24"/>
              </w:rPr>
              <w:t>共建</w:t>
            </w:r>
            <w:r>
              <w:rPr>
                <w:rFonts w:hint="eastAsia" w:eastAsia="仿宋_GB2312"/>
                <w:color w:val="000000"/>
                <w:sz w:val="24"/>
              </w:rPr>
              <w:t>协同创新中心、技术研发中心、联合实验室</w:t>
            </w:r>
            <w:r>
              <w:rPr>
                <w:rFonts w:eastAsia="仿宋_GB2312"/>
                <w:color w:val="000000"/>
                <w:sz w:val="24"/>
              </w:rPr>
              <w:t>等</w:t>
            </w:r>
            <w:r>
              <w:rPr>
                <w:rFonts w:hint="eastAsia" w:eastAsia="仿宋_GB2312"/>
                <w:color w:val="000000"/>
                <w:sz w:val="24"/>
              </w:rPr>
              <w:t>；</w:t>
            </w:r>
            <w:r>
              <w:rPr>
                <w:rFonts w:hint="eastAsia" w:eastAsia="仿宋_GB2312"/>
                <w:sz w:val="24"/>
              </w:rPr>
              <w:t>与政府、企事业单位开展科研项目合作、产学研合作，共同申报课题、主动承担各类委托课题。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6" w:hRule="atLeast"/>
          <w:jc w:val="center"/>
        </w:trPr>
        <w:tc>
          <w:tcPr>
            <w:tcW w:w="1700" w:type="dxa"/>
            <w:vAlign w:val="center"/>
          </w:tcPr>
          <w:p>
            <w:pPr>
              <w:pStyle w:val="23"/>
              <w:widowControl w:val="0"/>
              <w:adjustRightInd w:val="0"/>
              <w:snapToGrid w:val="0"/>
              <w:spacing w:before="0" w:beforeAutospacing="0" w:after="0" w:afterAutospacing="0" w:line="360" w:lineRule="exact"/>
              <w:ind w:firstLine="240" w:firstLineChars="100"/>
              <w:jc w:val="both"/>
              <w:rPr>
                <w:rFonts w:hint="eastAsia" w:ascii="Times New Roman" w:hAnsi="Times New Roman" w:eastAsia="仿宋_GB2312" w:cs="Times New Roman"/>
                <w:color w:val="000000"/>
              </w:rPr>
            </w:pPr>
            <w:r>
              <w:rPr>
                <w:rFonts w:hint="eastAsia" w:ascii="Times New Roman" w:hAnsi="Times New Roman" w:eastAsia="仿宋_GB2312" w:cs="Times New Roman"/>
                <w:color w:val="000000"/>
              </w:rPr>
              <w:t>社会服务</w:t>
            </w:r>
          </w:p>
          <w:p>
            <w:pPr>
              <w:pStyle w:val="23"/>
              <w:widowControl w:val="0"/>
              <w:adjustRightInd w:val="0"/>
              <w:snapToGrid w:val="0"/>
              <w:spacing w:before="0" w:beforeAutospacing="0" w:after="0" w:afterAutospacing="0" w:line="360" w:lineRule="exact"/>
              <w:ind w:firstLine="240" w:firstLineChars="100"/>
              <w:jc w:val="both"/>
              <w:rPr>
                <w:rFonts w:ascii="Times New Roman" w:hAnsi="Times New Roman" w:eastAsia="仿宋_GB2312" w:cs="Times New Roman"/>
                <w:color w:val="000000"/>
              </w:rPr>
            </w:pPr>
            <w:r>
              <w:rPr>
                <w:rFonts w:hint="eastAsia" w:ascii="Times New Roman" w:hAnsi="Times New Roman" w:eastAsia="仿宋_GB2312" w:cs="Times New Roman"/>
                <w:color w:val="000000"/>
              </w:rPr>
              <w:t>（25分）</w:t>
            </w:r>
          </w:p>
        </w:tc>
        <w:tc>
          <w:tcPr>
            <w:tcW w:w="6583" w:type="dxa"/>
            <w:vAlign w:val="center"/>
          </w:tcPr>
          <w:p>
            <w:pPr>
              <w:adjustRightInd w:val="0"/>
              <w:snapToGrid w:val="0"/>
              <w:spacing w:line="360" w:lineRule="exact"/>
              <w:rPr>
                <w:rFonts w:hint="eastAsia" w:eastAsia="仿宋_GB2312"/>
                <w:sz w:val="24"/>
              </w:rPr>
            </w:pPr>
            <w:r>
              <w:rPr>
                <w:rFonts w:hint="eastAsia" w:eastAsia="仿宋_GB2312"/>
                <w:sz w:val="24"/>
              </w:rPr>
              <w:t>为企业解决技术</w:t>
            </w:r>
            <w:r>
              <w:rPr>
                <w:rFonts w:eastAsia="仿宋_GB2312"/>
                <w:sz w:val="24"/>
              </w:rPr>
              <w:t>或管理问题，帮助企业显著提升</w:t>
            </w:r>
            <w:r>
              <w:rPr>
                <w:rFonts w:hint="eastAsia" w:eastAsia="仿宋_GB2312"/>
                <w:sz w:val="24"/>
              </w:rPr>
              <w:t>经济效益；</w:t>
            </w:r>
          </w:p>
          <w:p>
            <w:pPr>
              <w:adjustRightInd w:val="0"/>
              <w:snapToGrid w:val="0"/>
              <w:spacing w:line="360" w:lineRule="exact"/>
              <w:rPr>
                <w:rFonts w:eastAsia="仿宋_GB2312"/>
                <w:sz w:val="24"/>
              </w:rPr>
            </w:pPr>
            <w:r>
              <w:rPr>
                <w:rFonts w:hint="eastAsia" w:ascii="仿宋" w:hAnsi="仿宋" w:eastAsia="仿宋" w:cs="仿宋"/>
                <w:sz w:val="24"/>
              </w:rPr>
              <w:t>面向企业和社会</w:t>
            </w:r>
            <w:r>
              <w:rPr>
                <w:rFonts w:hint="eastAsia" w:eastAsia="仿宋_GB2312"/>
                <w:sz w:val="24"/>
              </w:rPr>
              <w:t>开展职业技能培训以及技能等级认定、职业</w:t>
            </w:r>
            <w:r>
              <w:rPr>
                <w:rFonts w:hint="eastAsia" w:ascii="仿宋" w:hAnsi="仿宋" w:eastAsia="仿宋" w:cs="仿宋"/>
                <w:sz w:val="24"/>
              </w:rPr>
              <w:t>体验（研学）培训、职业师资培训、社区培训等宽领域、多层次、多类型培训服务。</w:t>
            </w:r>
          </w:p>
        </w:tc>
      </w:tr>
    </w:tbl>
    <w:p>
      <w:pPr>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356" w:name="_Toc19389_WPSOffice_Level1"/>
      <w:bookmarkStart w:id="1357" w:name="_Toc1034"/>
      <w:bookmarkStart w:id="1358" w:name="_Toc137"/>
      <w:bookmarkStart w:id="1359" w:name="_Toc9452"/>
      <w:r>
        <w:rPr>
          <w:rFonts w:hint="eastAsia"/>
          <w:b/>
          <w:color w:val="000000"/>
          <w:sz w:val="36"/>
          <w:szCs w:val="36"/>
        </w:rPr>
        <w:t>柳州职业技术学院社会服务对外合作项目管理办法（试行）</w:t>
      </w:r>
      <w:bookmarkEnd w:id="1356"/>
      <w:bookmarkEnd w:id="1357"/>
      <w:bookmarkEnd w:id="1358"/>
      <w:bookmarkEnd w:id="1359"/>
    </w:p>
    <w:p>
      <w:pPr>
        <w:widowControl/>
        <w:jc w:val="center"/>
        <w:outlineLvl w:val="9"/>
        <w:rPr>
          <w:rFonts w:hint="eastAsia" w:ascii="仿宋_GB2312" w:eastAsia="仿宋_GB2312"/>
          <w:sz w:val="32"/>
          <w:szCs w:val="32"/>
        </w:rPr>
      </w:pPr>
      <w:r>
        <w:rPr>
          <w:rFonts w:hint="eastAsia" w:ascii="仿宋_GB2312" w:eastAsia="仿宋_GB2312"/>
          <w:sz w:val="32"/>
          <w:szCs w:val="32"/>
        </w:rPr>
        <w:t xml:space="preserve"> (柳职院字〔2021〕29号)</w:t>
      </w:r>
    </w:p>
    <w:p>
      <w:pPr>
        <w:spacing w:line="580" w:lineRule="exact"/>
        <w:ind w:firstLine="640" w:firstLineChars="200"/>
        <w:rPr>
          <w:rFonts w:hint="eastAsia" w:ascii="楷体" w:hAnsi="楷体" w:eastAsia="楷体" w:cs="楷体"/>
          <w:sz w:val="32"/>
          <w:szCs w:val="32"/>
        </w:rPr>
      </w:pPr>
    </w:p>
    <w:p>
      <w:pPr>
        <w:spacing w:line="580" w:lineRule="exact"/>
        <w:jc w:val="center"/>
        <w:outlineLvl w:val="9"/>
        <w:rPr>
          <w:rFonts w:hint="eastAsia" w:ascii="黑体" w:hAnsi="黑体" w:eastAsia="黑体"/>
          <w:b/>
          <w:sz w:val="32"/>
          <w:szCs w:val="32"/>
        </w:rPr>
      </w:pPr>
      <w:bookmarkStart w:id="1360" w:name="_Toc17248_WPSOffice_Level1"/>
      <w:r>
        <w:rPr>
          <w:rFonts w:hint="eastAsia" w:ascii="黑体" w:hAnsi="黑体" w:eastAsia="黑体"/>
          <w:b/>
          <w:sz w:val="32"/>
          <w:szCs w:val="32"/>
        </w:rPr>
        <w:t>第一章  总  则</w:t>
      </w:r>
      <w:bookmarkEnd w:id="1360"/>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推进学校社会服务合作项目工作制度化、规范化管理，提高合作培训的质量和水平，增强学校社会培训服务能力，实现协同育人，培养应用型、复合型人才，提高学校人才培养与培训质量和学生就业能力，根据《国家职业教育改革实施方案》和《职业教育提质培优行动计划（2020—2023年）》等文件精神，结合我校建设与发展实际情况，制定本办法。</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本管理办法适用于学校与培训咨询机构（以下简称“合作方”）在非学历教育培训、非全日制学历教育、企业管理咨询服务等方面开展的项目合作（以下简称“合作项目”）。</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合作项目应遵循优势互补、资源共享、平等自愿、互惠互利的原则，实现合作共赢、共同发展。</w:t>
      </w:r>
    </w:p>
    <w:p>
      <w:pPr>
        <w:spacing w:line="580" w:lineRule="exact"/>
        <w:ind w:firstLine="640" w:firstLineChars="200"/>
        <w:rPr>
          <w:rFonts w:hint="eastAsia" w:ascii="仿宋_GB2312" w:eastAsia="仿宋_GB2312"/>
          <w:sz w:val="32"/>
          <w:szCs w:val="32"/>
        </w:rPr>
      </w:pPr>
    </w:p>
    <w:p>
      <w:pPr>
        <w:spacing w:line="580" w:lineRule="exact"/>
        <w:jc w:val="center"/>
        <w:outlineLvl w:val="9"/>
        <w:rPr>
          <w:rFonts w:hint="eastAsia" w:ascii="黑体" w:hAnsi="黑体" w:eastAsia="黑体"/>
          <w:b/>
          <w:sz w:val="32"/>
          <w:szCs w:val="32"/>
        </w:rPr>
      </w:pPr>
      <w:bookmarkStart w:id="1361" w:name="_Toc20589_WPSOffice_Level1"/>
      <w:r>
        <w:rPr>
          <w:rFonts w:hint="eastAsia" w:ascii="黑体" w:hAnsi="黑体" w:eastAsia="黑体"/>
          <w:b/>
          <w:sz w:val="32"/>
          <w:szCs w:val="32"/>
        </w:rPr>
        <w:t>第二章  合  作</w:t>
      </w:r>
      <w:bookmarkEnd w:id="1361"/>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合作方必须进行了合法登记、注册、具有独立的法人资格，在非学历教育培训或非全日制学历教育具有可持续发展的能力和较好的业绩，在行业内有较高的知名度、诚信度；有专门负责社会培训的管理团队和业务团队，具有融入和参与学校合作培训的全过程管理和执行的能力。</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合作方的遴选，原则上按照我校服务采购的有关管理办法和流程执行。确定后作为项目合作方，我校与之签定合作协议。</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开展的合作项目应符合国家、自治区相关的政策要求，是国家、自治区、柳州市及我校有必要或有需求的项目。</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合作项目纳入我校统一的管理和质量保障体系，确保人才培养与培训质量。</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第八条 </w:t>
      </w:r>
      <w:r>
        <w:rPr>
          <w:rFonts w:hint="eastAsia" w:ascii="仿宋_GB2312" w:eastAsia="仿宋_GB2312"/>
          <w:sz w:val="32"/>
          <w:szCs w:val="32"/>
        </w:rPr>
        <w:t>合作项目一般采用“项目制”模式，项目实施合作协议开展，为保证单一项目的有效组织，必要时，在协议框架进一步明确以下信息：合作项目名称、合作形式、合作内容、责任与义务、费用结算、合作时间、目标值等内容。以上补充信息可通过会议纪要由合作双方确定。</w:t>
      </w:r>
    </w:p>
    <w:p>
      <w:pPr>
        <w:spacing w:line="580" w:lineRule="exact"/>
        <w:ind w:firstLine="640" w:firstLineChars="200"/>
        <w:rPr>
          <w:rFonts w:hint="eastAsia" w:ascii="仿宋_GB2312" w:eastAsia="仿宋_GB2312"/>
          <w:sz w:val="32"/>
          <w:szCs w:val="32"/>
        </w:rPr>
      </w:pPr>
    </w:p>
    <w:p>
      <w:pPr>
        <w:spacing w:line="580" w:lineRule="exact"/>
        <w:jc w:val="center"/>
        <w:outlineLvl w:val="9"/>
        <w:rPr>
          <w:rFonts w:hint="eastAsia" w:ascii="黑体" w:hAnsi="黑体" w:eastAsia="黑体"/>
          <w:b/>
          <w:sz w:val="32"/>
          <w:szCs w:val="32"/>
        </w:rPr>
      </w:pPr>
      <w:bookmarkStart w:id="1362" w:name="_Toc14931_WPSOffice_Level1"/>
      <w:r>
        <w:rPr>
          <w:rFonts w:hint="eastAsia" w:ascii="黑体" w:hAnsi="黑体" w:eastAsia="黑体"/>
          <w:b/>
          <w:sz w:val="32"/>
          <w:szCs w:val="32"/>
        </w:rPr>
        <w:t>第三章  合同管理</w:t>
      </w:r>
      <w:bookmarkEnd w:id="1362"/>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上级政府部门格式合同不需再通过校内合同协议会签流程。</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委托方以发“委托函”的形式委托我校开展的项目不再需要签订合同协议。</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除上述两种情况之外，其它情况原则上需签订合同协议。特殊情况按照“一事一议”制度执行。</w:t>
      </w:r>
    </w:p>
    <w:p>
      <w:pPr>
        <w:spacing w:line="580" w:lineRule="exact"/>
        <w:ind w:firstLine="640" w:firstLineChars="200"/>
        <w:rPr>
          <w:rFonts w:hint="eastAsia" w:ascii="仿宋_GB2312" w:eastAsia="仿宋_GB2312"/>
          <w:sz w:val="32"/>
          <w:szCs w:val="32"/>
        </w:rPr>
      </w:pPr>
    </w:p>
    <w:p>
      <w:pPr>
        <w:spacing w:line="580" w:lineRule="exact"/>
        <w:jc w:val="center"/>
        <w:outlineLvl w:val="9"/>
        <w:rPr>
          <w:rFonts w:hint="eastAsia" w:ascii="黑体" w:hAnsi="黑体" w:eastAsia="黑体"/>
          <w:b/>
          <w:sz w:val="32"/>
          <w:szCs w:val="32"/>
        </w:rPr>
      </w:pPr>
      <w:bookmarkStart w:id="1363" w:name="_Toc17068_WPSOffice_Level1"/>
      <w:r>
        <w:rPr>
          <w:rFonts w:hint="eastAsia" w:ascii="黑体" w:hAnsi="黑体" w:eastAsia="黑体"/>
          <w:b/>
          <w:sz w:val="32"/>
          <w:szCs w:val="32"/>
        </w:rPr>
        <w:t>第四章  组织管理</w:t>
      </w:r>
      <w:bookmarkEnd w:id="1363"/>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我校合作项目的组织、管理、协调由继续教育学院代表学校行使相应的职责。</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各二级学院开展培训备案程序：</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一）备案：各二级学院及相关部门根据自身资源优势与社会需求情况寻找对口的合作单位，经协商，达成初步合作意向，凡符合合作培训基本要求的，由承办部门向继续教育学院提交备案资料，需包含如下内容：</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1.培训方式及培训方案；</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2.培训教学实施保障；</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3.培训成本预算；</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4.开展合作培训的风险评估分析；</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（二）实施：合作培训项目备案后，由承办部门组织实施。</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（三）经费划拨：由继续教育学院出具划拨单给财务处进行划拨。</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（四）绩效评价：承办部门每半年对合作培训项目进行绩效评价，合作培训绩效评价结果报继续教育学院备案。</w:t>
      </w:r>
    </w:p>
    <w:p>
      <w:pPr>
        <w:spacing w:line="580" w:lineRule="exact"/>
        <w:ind w:firstLine="640" w:firstLineChars="200"/>
        <w:rPr>
          <w:rFonts w:hint="eastAsia" w:ascii="仿宋_GB2312" w:eastAsia="仿宋_GB2312"/>
          <w:sz w:val="32"/>
          <w:szCs w:val="32"/>
        </w:rPr>
      </w:pPr>
    </w:p>
    <w:p>
      <w:pPr>
        <w:spacing w:line="580" w:lineRule="exact"/>
        <w:jc w:val="center"/>
        <w:outlineLvl w:val="9"/>
        <w:rPr>
          <w:rFonts w:hint="eastAsia" w:ascii="黑体" w:hAnsi="黑体" w:eastAsia="黑体"/>
          <w:b/>
          <w:sz w:val="32"/>
          <w:szCs w:val="32"/>
        </w:rPr>
      </w:pPr>
      <w:bookmarkStart w:id="1364" w:name="_Toc11251_WPSOffice_Level1"/>
      <w:r>
        <w:rPr>
          <w:rFonts w:hint="eastAsia" w:ascii="黑体" w:hAnsi="黑体" w:eastAsia="黑体"/>
          <w:b/>
          <w:sz w:val="32"/>
          <w:szCs w:val="32"/>
        </w:rPr>
        <w:t>第五章 项目收益管理</w:t>
      </w:r>
      <w:bookmarkEnd w:id="1364"/>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合作培训项目的收费标准，应严格遵照有关部门核定的价格标准执行，属于市场调节价格的，遵照市场价格执行。</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合作双方有关收益分配，按照如下原则确定：</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一）收费主体为学校方，合作项目收入全部上交到学校财务账户，不得体外循环或设立小金库。合作方的收益，一律由我校财务根据双方协议约定的收益分配比例转账到合作方账户，合作方的收益到账后由合作方出具合法的发票 ；</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（二）合作项目的收益分配比例如下：</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1.我校提供资质，合作方负责招生及实施项目：由合作方承担组织生源、培训管理、培训场所、培训成本等（含培训师资讲课费、管理人员费、市场开发费、耗材、水电费等），学校方提供资源或资质的，属于学历教育的项目，原则上学校方应得收益不能低于项目总收入的20%；属于非学历教育项目的，原则上学校方应得收益不能低于项目总收入的25%；属于技能培训和等级认定项目的，原则上学校方应得收益不低于项目总收入的20%；我校负责招生（获取业务）且我校为合同主体，合作方实施培训项目并支付成本，原则上学校方应得收益不能低于项目总收入30%。</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2.合作方提供资质，我校负责招生及实施项目：由合作方提供资质或资源，学校方负责组织生源、培训管理、培训场所、培训成本等项目（含培训师资讲课费、管理人员费、市场开发费、耗材、水电费等），原则上学校方应得收益不能低于项目总收入的70%。</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3.合作方代理招生，我校实施培训项目：合作方仅负责组织生源，由学校提供资质或资源，并负责实施培训全过程，学校方收益不能低于项目培训总收入的80%（市区培训项目）或者70%（县级培训项目）。双方各自承担相关成本支出</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4.共同开发项目：合作双方在社会服务领域进行合作，共同</w:t>
      </w:r>
      <w:bookmarkStart w:id="1365" w:name="_Toc2785_WPSOffice_Level1"/>
      <w:r>
        <w:rPr>
          <w:rFonts w:hint="eastAsia" w:ascii="仿宋_GB2312" w:eastAsia="仿宋_GB2312"/>
          <w:sz w:val="32"/>
          <w:szCs w:val="32"/>
        </w:rPr>
        <w:t>合作开发项目，并在资源整合、课程研发、师资、市场</w:t>
      </w:r>
      <w:bookmarkEnd w:id="1365"/>
      <w:r>
        <w:rPr>
          <w:rFonts w:hint="eastAsia" w:ascii="仿宋_GB2312" w:eastAsia="仿宋_GB2312"/>
          <w:sz w:val="32"/>
          <w:szCs w:val="32"/>
        </w:rPr>
        <w:t>、教材编撰等方</w:t>
      </w:r>
      <w:bookmarkStart w:id="1366" w:name="_Toc27663_WPSOffice_Level1"/>
      <w:r>
        <w:rPr>
          <w:rFonts w:hint="eastAsia" w:ascii="仿宋_GB2312" w:eastAsia="仿宋_GB2312"/>
          <w:sz w:val="32"/>
          <w:szCs w:val="32"/>
        </w:rPr>
        <w:t>面进行全方位合作，收益分成比例以及成本支出</w:t>
      </w:r>
      <w:bookmarkEnd w:id="1366"/>
      <w:r>
        <w:rPr>
          <w:rFonts w:hint="eastAsia" w:ascii="仿宋_GB2312" w:eastAsia="仿宋_GB2312"/>
          <w:sz w:val="32"/>
          <w:szCs w:val="32"/>
        </w:rPr>
        <w:t>等</w:t>
      </w:r>
      <w:bookmarkStart w:id="1367" w:name="_Toc5763_WPSOffice_Level1"/>
      <w:r>
        <w:rPr>
          <w:rFonts w:hint="eastAsia" w:ascii="仿宋_GB2312" w:eastAsia="仿宋_GB2312"/>
          <w:sz w:val="32"/>
          <w:szCs w:val="32"/>
        </w:rPr>
        <w:t>由双方事先协商，按照“一事</w:t>
      </w:r>
      <w:bookmarkEnd w:id="1367"/>
      <w:r>
        <w:rPr>
          <w:rFonts w:hint="eastAsia" w:ascii="仿宋_GB2312" w:eastAsia="仿宋_GB2312"/>
          <w:sz w:val="32"/>
          <w:szCs w:val="32"/>
        </w:rPr>
        <w:t>一</w:t>
      </w:r>
      <w:bookmarkStart w:id="1368" w:name="_Toc4187_WPSOffice_Level1"/>
      <w:r>
        <w:rPr>
          <w:rFonts w:hint="eastAsia" w:ascii="仿宋_GB2312" w:eastAsia="仿宋_GB2312"/>
          <w:sz w:val="32"/>
          <w:szCs w:val="32"/>
        </w:rPr>
        <w:t>议”制度执行。</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5</w:t>
      </w:r>
      <w:bookmarkEnd w:id="1368"/>
      <w:r>
        <w:rPr>
          <w:rFonts w:hint="eastAsia" w:ascii="仿宋_GB2312" w:eastAsia="仿宋_GB2312"/>
          <w:sz w:val="32"/>
          <w:szCs w:val="32"/>
        </w:rPr>
        <w:t>.</w:t>
      </w:r>
      <w:bookmarkStart w:id="1369" w:name="_Toc19882_WPSOffice_Level1"/>
      <w:r>
        <w:rPr>
          <w:rFonts w:hint="eastAsia" w:ascii="仿宋_GB2312" w:eastAsia="仿宋_GB2312"/>
          <w:sz w:val="32"/>
          <w:szCs w:val="32"/>
        </w:rPr>
        <w:t>职业体验（研学）项目，我校</w:t>
      </w:r>
      <w:bookmarkEnd w:id="1369"/>
      <w:r>
        <w:rPr>
          <w:rFonts w:hint="eastAsia" w:ascii="仿宋_GB2312" w:eastAsia="仿宋_GB2312"/>
          <w:sz w:val="32"/>
          <w:szCs w:val="32"/>
        </w:rPr>
        <w:t>提</w:t>
      </w:r>
      <w:bookmarkStart w:id="1370" w:name="_Toc4582_WPSOffice_Level1"/>
      <w:r>
        <w:rPr>
          <w:rFonts w:hint="eastAsia" w:ascii="仿宋_GB2312" w:eastAsia="仿宋_GB2312"/>
          <w:sz w:val="32"/>
          <w:szCs w:val="32"/>
        </w:rPr>
        <w:t>供资质、场地和课程</w:t>
      </w:r>
      <w:bookmarkEnd w:id="1370"/>
      <w:r>
        <w:rPr>
          <w:rFonts w:hint="eastAsia" w:ascii="仿宋_GB2312" w:eastAsia="仿宋_GB2312"/>
          <w:sz w:val="32"/>
          <w:szCs w:val="32"/>
        </w:rPr>
        <w:t>实施，</w:t>
      </w:r>
      <w:bookmarkStart w:id="1371" w:name="_Toc6820_WPSOffice_Level1"/>
      <w:r>
        <w:rPr>
          <w:rFonts w:hint="eastAsia" w:ascii="仿宋_GB2312" w:eastAsia="仿宋_GB2312"/>
          <w:sz w:val="32"/>
          <w:szCs w:val="32"/>
        </w:rPr>
        <w:t>合作方负</w:t>
      </w:r>
      <w:bookmarkEnd w:id="1371"/>
      <w:r>
        <w:rPr>
          <w:rFonts w:hint="eastAsia" w:ascii="仿宋_GB2312" w:eastAsia="仿宋_GB2312"/>
          <w:sz w:val="32"/>
          <w:szCs w:val="32"/>
        </w:rPr>
        <w:t>责</w:t>
      </w:r>
      <w:bookmarkStart w:id="1372" w:name="_Toc25154_WPSOffice_Level1"/>
      <w:r>
        <w:rPr>
          <w:rFonts w:hint="eastAsia" w:ascii="仿宋_GB2312" w:eastAsia="仿宋_GB2312"/>
          <w:sz w:val="32"/>
          <w:szCs w:val="32"/>
        </w:rPr>
        <w:t>课程开发（学校提供相应的资</w:t>
      </w:r>
      <w:bookmarkEnd w:id="1372"/>
      <w:r>
        <w:rPr>
          <w:rFonts w:hint="eastAsia" w:ascii="仿宋_GB2312" w:eastAsia="仿宋_GB2312"/>
          <w:sz w:val="32"/>
          <w:szCs w:val="32"/>
        </w:rPr>
        <w:t>金支持）、招生及项目运营，学校方应得收益不能低于项目总收入的70%，双方各自承担相关成本支出。</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合作项目学校方所有收益，按照学校非学历教育培训有关管理办法的相关规定执行；培训项目学校方所有经费支出，均按学校非学历教育培训及考试劳务费管理办法和学校财务有关规定执行。</w:t>
      </w:r>
    </w:p>
    <w:p>
      <w:pPr>
        <w:spacing w:line="580" w:lineRule="exact"/>
        <w:ind w:firstLine="640" w:firstLineChars="200"/>
        <w:rPr>
          <w:rFonts w:hint="eastAsia" w:ascii="仿宋_GB2312" w:eastAsia="仿宋_GB2312"/>
          <w:sz w:val="32"/>
          <w:szCs w:val="32"/>
        </w:rPr>
      </w:pPr>
    </w:p>
    <w:p>
      <w:pPr>
        <w:spacing w:line="580" w:lineRule="exact"/>
        <w:jc w:val="center"/>
        <w:outlineLvl w:val="9"/>
        <w:rPr>
          <w:rFonts w:hint="eastAsia" w:ascii="黑体" w:hAnsi="黑体" w:eastAsia="黑体"/>
          <w:b/>
          <w:sz w:val="32"/>
          <w:szCs w:val="32"/>
        </w:rPr>
      </w:pPr>
      <w:bookmarkStart w:id="1373" w:name="_Toc11227_WPSOffice_Level1"/>
      <w:r>
        <w:rPr>
          <w:rFonts w:hint="eastAsia" w:ascii="黑体" w:hAnsi="黑体" w:eastAsia="黑体"/>
          <w:b/>
          <w:sz w:val="32"/>
          <w:szCs w:val="32"/>
        </w:rPr>
        <w:t>第六章  附  则</w:t>
      </w:r>
      <w:bookmarkEnd w:id="1373"/>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本办法自印发之日起施行，此前发布的有关规定与本办法不一致的，依本办法执行。</w:t>
      </w:r>
    </w:p>
    <w:p>
      <w:pPr>
        <w:spacing w:line="580" w:lineRule="exact"/>
        <w:ind w:firstLine="643" w:firstLineChars="200"/>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本办法由学校继续教育学院负责解释。</w:t>
      </w:r>
    </w:p>
    <w:p>
      <w:pPr>
        <w:spacing w:line="580" w:lineRule="exact"/>
        <w:rPr>
          <w:rFonts w:hint="eastAsia" w:ascii="仿宋_GB2312" w:eastAsia="仿宋_GB2312"/>
          <w:sz w:val="32"/>
          <w:szCs w:val="32"/>
        </w:rPr>
      </w:pPr>
      <w:r>
        <w:rPr>
          <w:rFonts w:hint="eastAsia" w:ascii="仿宋_GB2312" w:eastAsia="仿宋_GB2312"/>
          <w:sz w:val="32"/>
          <w:szCs w:val="32"/>
        </w:rPr>
        <w:t xml:space="preserve">             </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附件：合作开展培训服务协议(样本)</w:t>
      </w:r>
    </w:p>
    <w:p>
      <w:pPr>
        <w:spacing w:line="580" w:lineRule="exact"/>
        <w:ind w:firstLine="640" w:firstLineChars="200"/>
        <w:rPr>
          <w:rFonts w:hint="eastAsia" w:ascii="仿宋_GB2312" w:eastAsia="仿宋_GB2312"/>
          <w:sz w:val="32"/>
          <w:szCs w:val="32"/>
        </w:rPr>
      </w:pP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w:t>
      </w:r>
    </w:p>
    <w:p>
      <w:pPr>
        <w:keepNext/>
        <w:keepLines/>
        <w:pageBreakBefore w:val="0"/>
        <w:widowControl w:val="0"/>
        <w:kinsoku/>
        <w:wordWrap/>
        <w:overflowPunct/>
        <w:topLinePunct w:val="0"/>
        <w:autoSpaceDE/>
        <w:autoSpaceDN/>
        <w:bidi w:val="0"/>
        <w:adjustRightInd/>
        <w:snapToGrid/>
        <w:spacing w:line="413"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374" w:name="_Toc534377783"/>
      <w:bookmarkStart w:id="1375" w:name="_Toc28890_WPSOffice_Level1"/>
      <w:bookmarkStart w:id="1376" w:name="_Toc4695"/>
      <w:bookmarkStart w:id="1377" w:name="_Toc6016"/>
      <w:r>
        <w:rPr>
          <w:rFonts w:hint="eastAsia"/>
          <w:b/>
          <w:color w:val="000000"/>
          <w:sz w:val="36"/>
          <w:szCs w:val="36"/>
        </w:rPr>
        <w:t>柳州职业技术学院培训管理办法</w:t>
      </w:r>
      <w:bookmarkEnd w:id="1374"/>
      <w:bookmarkEnd w:id="1375"/>
      <w:bookmarkEnd w:id="1376"/>
      <w:bookmarkEnd w:id="1377"/>
    </w:p>
    <w:p>
      <w:pPr>
        <w:pStyle w:val="1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（柳职院字〔2017〕51号）</w:t>
      </w:r>
    </w:p>
    <w:p>
      <w:pPr>
        <w:spacing w:line="590" w:lineRule="exact"/>
        <w:jc w:val="center"/>
        <w:rPr>
          <w:rFonts w:ascii="黑体" w:hAnsi="黑体" w:eastAsia="黑体"/>
          <w:b/>
          <w:sz w:val="32"/>
          <w:szCs w:val="32"/>
        </w:rPr>
      </w:pPr>
    </w:p>
    <w:p>
      <w:pPr>
        <w:spacing w:line="590" w:lineRule="exact"/>
        <w:jc w:val="center"/>
        <w:outlineLvl w:val="9"/>
        <w:rPr>
          <w:rFonts w:ascii="黑体" w:hAnsi="黑体" w:eastAsia="黑体"/>
          <w:b/>
          <w:sz w:val="32"/>
          <w:szCs w:val="32"/>
        </w:rPr>
      </w:pPr>
      <w:bookmarkStart w:id="1378" w:name="_Toc11236_WPSOffice_Level1"/>
      <w:r>
        <w:rPr>
          <w:rFonts w:hint="eastAsia" w:ascii="黑体" w:hAnsi="黑体" w:eastAsia="黑体"/>
          <w:b/>
          <w:sz w:val="32"/>
          <w:szCs w:val="32"/>
        </w:rPr>
        <w:t>第一章  总则</w:t>
      </w:r>
      <w:bookmarkEnd w:id="1378"/>
    </w:p>
    <w:p>
      <w:pPr>
        <w:spacing w:line="590" w:lineRule="exact"/>
        <w:ind w:firstLine="643" w:firstLineChars="200"/>
        <w:rPr>
          <w:rFonts w:ascii="仿宋_GB2312" w:eastAsia="仿宋_GB2312"/>
          <w:sz w:val="32"/>
          <w:szCs w:val="32"/>
        </w:rPr>
      </w:pPr>
      <w:r>
        <w:rPr>
          <w:rFonts w:ascii="仿宋_GB2312" w:eastAsia="仿宋_GB2312"/>
          <w:b/>
          <w:sz w:val="32"/>
          <w:szCs w:val="32"/>
        </w:rPr>
        <w:t>第一条</w:t>
      </w:r>
      <w:r>
        <w:rPr>
          <w:rFonts w:hint="eastAsia" w:ascii="仿宋_GB2312" w:eastAsia="仿宋_GB2312"/>
          <w:b/>
          <w:sz w:val="32"/>
          <w:szCs w:val="32"/>
        </w:rPr>
        <w:t xml:space="preserve">  </w:t>
      </w:r>
      <w:r>
        <w:rPr>
          <w:rFonts w:ascii="仿宋_GB2312" w:eastAsia="仿宋_GB2312"/>
          <w:sz w:val="32"/>
          <w:szCs w:val="32"/>
        </w:rPr>
        <w:t>为认真贯彻学</w:t>
      </w:r>
      <w:r>
        <w:rPr>
          <w:rFonts w:hint="eastAsia" w:ascii="仿宋_GB2312" w:eastAsia="仿宋_GB2312"/>
          <w:sz w:val="32"/>
          <w:szCs w:val="32"/>
        </w:rPr>
        <w:t>校</w:t>
      </w:r>
      <w:r>
        <w:rPr>
          <w:rFonts w:ascii="仿宋_GB2312" w:eastAsia="仿宋_GB2312"/>
          <w:sz w:val="32"/>
          <w:szCs w:val="32"/>
        </w:rPr>
        <w:t>“利用地方区域经济的优势发展学院，同时为地方经济社会发展服务”的指导思想，充分调动教职工积极性，组织、开展好非全日制社会服务工作，结合我</w:t>
      </w:r>
      <w:r>
        <w:rPr>
          <w:rFonts w:hint="eastAsia" w:ascii="仿宋_GB2312" w:eastAsia="仿宋_GB2312"/>
          <w:sz w:val="32"/>
          <w:szCs w:val="32"/>
        </w:rPr>
        <w:t>校</w:t>
      </w:r>
      <w:r>
        <w:rPr>
          <w:rFonts w:ascii="仿宋_GB2312" w:eastAsia="仿宋_GB2312"/>
          <w:sz w:val="32"/>
          <w:szCs w:val="32"/>
        </w:rPr>
        <w:t>实际情况，特制定本规定。</w:t>
      </w:r>
    </w:p>
    <w:p>
      <w:pPr>
        <w:spacing w:line="590" w:lineRule="exact"/>
        <w:ind w:firstLine="643" w:firstLineChars="200"/>
        <w:rPr>
          <w:rFonts w:ascii="仿宋_GB2312" w:eastAsia="仿宋_GB2312"/>
          <w:sz w:val="32"/>
          <w:szCs w:val="32"/>
        </w:rPr>
      </w:pPr>
      <w:r>
        <w:rPr>
          <w:rFonts w:ascii="仿宋_GB2312" w:eastAsia="仿宋_GB2312"/>
          <w:b/>
          <w:sz w:val="32"/>
          <w:szCs w:val="32"/>
        </w:rPr>
        <w:t>第二条</w:t>
      </w:r>
      <w:r>
        <w:rPr>
          <w:rFonts w:ascii="仿宋_GB2312" w:eastAsia="仿宋_GB2312"/>
          <w:sz w:val="32"/>
          <w:szCs w:val="32"/>
        </w:rPr>
        <w:t xml:space="preserve">  培训面向定位：依托柳州，服务广西，融入珠江—西江经济带</w:t>
      </w:r>
      <w:bookmarkStart w:id="1379" w:name="_Toc32594_WPSOffice_Level1"/>
      <w:r>
        <w:rPr>
          <w:rFonts w:ascii="仿宋_GB2312" w:eastAsia="仿宋_GB2312"/>
          <w:sz w:val="32"/>
          <w:szCs w:val="32"/>
        </w:rPr>
        <w:t>，面向全</w:t>
      </w:r>
      <w:bookmarkEnd w:id="1379"/>
      <w:r>
        <w:rPr>
          <w:rFonts w:ascii="仿宋_GB2312" w:eastAsia="仿宋_GB2312"/>
          <w:sz w:val="32"/>
          <w:szCs w:val="32"/>
        </w:rPr>
        <w:t>国</w:t>
      </w:r>
      <w:bookmarkStart w:id="1380" w:name="_Toc16406_WPSOffice_Level1"/>
      <w:r>
        <w:rPr>
          <w:rFonts w:ascii="仿宋_GB2312" w:eastAsia="仿宋_GB2312"/>
          <w:sz w:val="32"/>
          <w:szCs w:val="32"/>
        </w:rPr>
        <w:t>，辐射东盟，放眼世界，培养</w:t>
      </w:r>
      <w:bookmarkEnd w:id="1380"/>
      <w:r>
        <w:rPr>
          <w:rFonts w:ascii="仿宋_GB2312" w:eastAsia="仿宋_GB2312"/>
          <w:sz w:val="32"/>
          <w:szCs w:val="32"/>
        </w:rPr>
        <w:t>立足先进制造业、生产性服务业和信息产业为主、城市服务业和文化产业为辅、适应区域发展需求的技术技能人才；成为区域产业技术技能人才培养“摇篮”、地方产业转型升级的“助推器”</w:t>
      </w:r>
      <w:r>
        <w:rPr>
          <w:rFonts w:hint="eastAsia" w:ascii="仿宋_GB2312" w:eastAsia="仿宋_GB2312"/>
          <w:sz w:val="32"/>
          <w:szCs w:val="32"/>
        </w:rPr>
        <w:t>、社区终身教育的“乐园”</w:t>
      </w:r>
      <w:r>
        <w:rPr>
          <w:rFonts w:ascii="仿宋_GB2312" w:eastAsia="仿宋_GB2312"/>
          <w:sz w:val="32"/>
          <w:szCs w:val="32"/>
        </w:rPr>
        <w:t>。</w:t>
      </w:r>
    </w:p>
    <w:p>
      <w:pPr>
        <w:spacing w:line="590" w:lineRule="exact"/>
        <w:ind w:firstLine="643" w:firstLineChars="200"/>
        <w:rPr>
          <w:rFonts w:ascii="仿宋_GB2312" w:eastAsia="仿宋_GB2312"/>
          <w:sz w:val="32"/>
          <w:szCs w:val="32"/>
        </w:rPr>
      </w:pPr>
      <w:r>
        <w:rPr>
          <w:rFonts w:ascii="仿宋_GB2312" w:eastAsia="仿宋_GB2312"/>
          <w:b/>
          <w:sz w:val="32"/>
          <w:szCs w:val="32"/>
        </w:rPr>
        <w:t xml:space="preserve">第三条 </w:t>
      </w:r>
      <w:r>
        <w:rPr>
          <w:rFonts w:ascii="仿宋_GB2312" w:eastAsia="仿宋_GB2312"/>
          <w:sz w:val="32"/>
          <w:szCs w:val="32"/>
        </w:rPr>
        <w:t xml:space="preserve"> 本规定适用于</w:t>
      </w:r>
      <w:r>
        <w:rPr>
          <w:rFonts w:hint="eastAsia" w:ascii="仿宋_GB2312" w:eastAsia="仿宋_GB2312"/>
          <w:sz w:val="32"/>
          <w:szCs w:val="32"/>
        </w:rPr>
        <w:t>各二级学院</w:t>
      </w:r>
      <w:r>
        <w:rPr>
          <w:rFonts w:ascii="仿宋_GB2312" w:eastAsia="仿宋_GB2312"/>
          <w:sz w:val="32"/>
          <w:szCs w:val="32"/>
        </w:rPr>
        <w:t>及各职能部门（以下统称</w:t>
      </w:r>
      <w:r>
        <w:rPr>
          <w:rFonts w:hint="eastAsia" w:ascii="仿宋_GB2312" w:eastAsia="仿宋_GB2312"/>
          <w:sz w:val="32"/>
          <w:szCs w:val="32"/>
        </w:rPr>
        <w:t>承办部门</w:t>
      </w:r>
      <w:r>
        <w:rPr>
          <w:rFonts w:ascii="仿宋_GB2312" w:eastAsia="仿宋_GB2312"/>
          <w:sz w:val="32"/>
          <w:szCs w:val="32"/>
        </w:rPr>
        <w:t>）承办各类非学历培训班，即包括利用学校资源组织和承担政府、行业企业和社会机构的各类培训等。</w:t>
      </w:r>
    </w:p>
    <w:p>
      <w:pPr>
        <w:spacing w:line="590" w:lineRule="exact"/>
        <w:ind w:firstLine="643" w:firstLineChars="200"/>
        <w:rPr>
          <w:rFonts w:ascii="仿宋_GB2312" w:eastAsia="仿宋_GB2312"/>
          <w:sz w:val="32"/>
          <w:szCs w:val="32"/>
        </w:rPr>
      </w:pPr>
      <w:r>
        <w:rPr>
          <w:rFonts w:ascii="仿宋_GB2312" w:eastAsia="仿宋_GB2312"/>
          <w:b/>
          <w:sz w:val="32"/>
          <w:szCs w:val="32"/>
        </w:rPr>
        <w:t>第四条</w:t>
      </w:r>
      <w:r>
        <w:rPr>
          <w:rFonts w:ascii="仿宋_GB2312" w:eastAsia="仿宋_GB2312"/>
          <w:sz w:val="32"/>
          <w:szCs w:val="32"/>
        </w:rPr>
        <w:t xml:space="preserve">  学</w:t>
      </w:r>
      <w:r>
        <w:rPr>
          <w:rFonts w:hint="eastAsia" w:ascii="仿宋_GB2312" w:eastAsia="仿宋_GB2312"/>
          <w:sz w:val="32"/>
          <w:szCs w:val="32"/>
        </w:rPr>
        <w:t>校</w:t>
      </w:r>
      <w:r>
        <w:rPr>
          <w:rFonts w:ascii="仿宋_GB2312" w:eastAsia="仿宋_GB2312"/>
          <w:sz w:val="32"/>
          <w:szCs w:val="32"/>
        </w:rPr>
        <w:t>培训项目按照“综合管理、统一协调、分项执行”的原则，学</w:t>
      </w:r>
      <w:r>
        <w:rPr>
          <w:rFonts w:hint="eastAsia" w:ascii="仿宋_GB2312" w:eastAsia="仿宋_GB2312"/>
          <w:sz w:val="32"/>
          <w:szCs w:val="32"/>
        </w:rPr>
        <w:t>校</w:t>
      </w:r>
      <w:r>
        <w:rPr>
          <w:rFonts w:ascii="仿宋_GB2312" w:eastAsia="仿宋_GB2312"/>
          <w:sz w:val="32"/>
          <w:szCs w:val="32"/>
        </w:rPr>
        <w:t>合理配置培训资源，统一审核培训计划，统筹</w:t>
      </w:r>
      <w:r>
        <w:rPr>
          <w:rFonts w:hint="eastAsia" w:ascii="仿宋_GB2312" w:eastAsia="仿宋_GB2312"/>
          <w:sz w:val="32"/>
          <w:szCs w:val="32"/>
        </w:rPr>
        <w:t>协调服务</w:t>
      </w:r>
      <w:r>
        <w:rPr>
          <w:rFonts w:ascii="仿宋_GB2312" w:eastAsia="仿宋_GB2312"/>
          <w:sz w:val="32"/>
          <w:szCs w:val="32"/>
        </w:rPr>
        <w:t>各</w:t>
      </w:r>
      <w:r>
        <w:rPr>
          <w:rFonts w:hint="eastAsia" w:ascii="仿宋_GB2312" w:eastAsia="仿宋_GB2312"/>
          <w:sz w:val="32"/>
          <w:szCs w:val="32"/>
        </w:rPr>
        <w:t>承办部门</w:t>
      </w:r>
      <w:r>
        <w:rPr>
          <w:rFonts w:ascii="仿宋_GB2312" w:eastAsia="仿宋_GB2312"/>
          <w:sz w:val="32"/>
          <w:szCs w:val="32"/>
        </w:rPr>
        <w:t>具体开展培训工作。</w:t>
      </w:r>
    </w:p>
    <w:p>
      <w:pPr>
        <w:spacing w:line="590" w:lineRule="exact"/>
        <w:ind w:firstLine="643" w:firstLineChars="200"/>
        <w:rPr>
          <w:rFonts w:ascii="仿宋_GB2312" w:eastAsia="仿宋_GB2312"/>
          <w:sz w:val="32"/>
          <w:szCs w:val="32"/>
        </w:rPr>
      </w:pPr>
      <w:r>
        <w:rPr>
          <w:rFonts w:ascii="仿宋_GB2312" w:eastAsia="仿宋_GB2312"/>
          <w:b/>
          <w:sz w:val="32"/>
          <w:szCs w:val="32"/>
        </w:rPr>
        <w:t>第五条</w:t>
      </w:r>
      <w:r>
        <w:rPr>
          <w:rFonts w:ascii="仿宋_GB2312" w:eastAsia="仿宋_GB2312"/>
          <w:sz w:val="32"/>
          <w:szCs w:val="32"/>
        </w:rPr>
        <w:t xml:space="preserve">  培训坚持“创建机制、搭建平台、分层培训、自主发展”的方针，坚持理论与实践、普遍提高与重点培养、集中与分散相结合的原则，按需施教、讲求实效。</w:t>
      </w:r>
    </w:p>
    <w:p>
      <w:pPr>
        <w:spacing w:line="590" w:lineRule="exact"/>
        <w:ind w:firstLine="640" w:firstLineChars="200"/>
        <w:rPr>
          <w:rFonts w:ascii="仿宋_GB2312" w:eastAsia="仿宋_GB2312"/>
          <w:sz w:val="32"/>
          <w:szCs w:val="32"/>
        </w:rPr>
      </w:pPr>
      <w:r>
        <w:rPr>
          <w:rFonts w:ascii="仿宋_GB2312" w:eastAsia="仿宋_GB2312"/>
          <w:sz w:val="32"/>
          <w:szCs w:val="32"/>
        </w:rPr>
        <w:t xml:space="preserve">  </w:t>
      </w:r>
    </w:p>
    <w:p>
      <w:pPr>
        <w:spacing w:line="590" w:lineRule="exact"/>
        <w:jc w:val="center"/>
        <w:outlineLvl w:val="9"/>
        <w:rPr>
          <w:rFonts w:ascii="黑体" w:hAnsi="黑体" w:eastAsia="黑体"/>
          <w:b/>
          <w:sz w:val="32"/>
          <w:szCs w:val="32"/>
        </w:rPr>
      </w:pPr>
      <w:bookmarkStart w:id="1381" w:name="_Toc5154_WPSOffice_Level1"/>
      <w:r>
        <w:rPr>
          <w:rFonts w:hint="eastAsia" w:ascii="黑体" w:hAnsi="黑体" w:eastAsia="黑体"/>
          <w:b/>
          <w:sz w:val="32"/>
          <w:szCs w:val="32"/>
        </w:rPr>
        <w:t>第二章   组织与管理</w:t>
      </w:r>
      <w:bookmarkEnd w:id="1381"/>
    </w:p>
    <w:p>
      <w:pPr>
        <w:spacing w:line="590" w:lineRule="exact"/>
        <w:ind w:firstLine="643" w:firstLineChars="200"/>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六</w:t>
      </w:r>
      <w:r>
        <w:rPr>
          <w:rFonts w:ascii="仿宋_GB2312" w:eastAsia="仿宋_GB2312"/>
          <w:b/>
          <w:sz w:val="32"/>
          <w:szCs w:val="32"/>
        </w:rPr>
        <w:t xml:space="preserve">条 </w:t>
      </w:r>
      <w:r>
        <w:rPr>
          <w:rFonts w:ascii="仿宋_GB2312" w:eastAsia="仿宋_GB2312"/>
          <w:sz w:val="32"/>
          <w:szCs w:val="32"/>
        </w:rPr>
        <w:t xml:space="preserve"> 学</w:t>
      </w:r>
      <w:r>
        <w:rPr>
          <w:rFonts w:hint="eastAsia" w:ascii="仿宋_GB2312" w:eastAsia="仿宋_GB2312"/>
          <w:sz w:val="32"/>
          <w:szCs w:val="32"/>
        </w:rPr>
        <w:t>校</w:t>
      </w:r>
      <w:r>
        <w:rPr>
          <w:rFonts w:ascii="仿宋_GB2312" w:eastAsia="仿宋_GB2312"/>
          <w:sz w:val="32"/>
          <w:szCs w:val="32"/>
        </w:rPr>
        <w:t>培训由</w:t>
      </w:r>
      <w:r>
        <w:rPr>
          <w:rFonts w:hint="eastAsia" w:ascii="仿宋_GB2312" w:eastAsia="仿宋_GB2312"/>
          <w:sz w:val="32"/>
          <w:szCs w:val="32"/>
        </w:rPr>
        <w:t>柳职院社区学院（</w:t>
      </w:r>
      <w:r>
        <w:rPr>
          <w:rFonts w:ascii="仿宋_GB2312" w:eastAsia="仿宋_GB2312"/>
          <w:sz w:val="32"/>
          <w:szCs w:val="32"/>
        </w:rPr>
        <w:t>继续教育</w:t>
      </w:r>
      <w:r>
        <w:rPr>
          <w:rFonts w:hint="eastAsia" w:ascii="仿宋_GB2312" w:eastAsia="仿宋_GB2312"/>
          <w:sz w:val="32"/>
          <w:szCs w:val="32"/>
        </w:rPr>
        <w:t>学院）</w:t>
      </w:r>
      <w:r>
        <w:rPr>
          <w:rFonts w:ascii="仿宋_GB2312" w:eastAsia="仿宋_GB2312"/>
          <w:sz w:val="32"/>
          <w:szCs w:val="32"/>
        </w:rPr>
        <w:t>统一管理和总体规划。各</w:t>
      </w:r>
      <w:r>
        <w:rPr>
          <w:rFonts w:hint="eastAsia" w:ascii="仿宋_GB2312" w:eastAsia="仿宋_GB2312"/>
          <w:sz w:val="32"/>
          <w:szCs w:val="32"/>
        </w:rPr>
        <w:t>承办部门</w:t>
      </w:r>
      <w:r>
        <w:rPr>
          <w:rFonts w:ascii="仿宋_GB2312" w:eastAsia="仿宋_GB2312"/>
          <w:sz w:val="32"/>
          <w:szCs w:val="32"/>
        </w:rPr>
        <w:t>具体负责本部门相关专业的各类培训工作。</w:t>
      </w:r>
    </w:p>
    <w:p>
      <w:pPr>
        <w:spacing w:line="590" w:lineRule="exact"/>
        <w:ind w:firstLine="643" w:firstLineChars="200"/>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七</w:t>
      </w:r>
      <w:r>
        <w:rPr>
          <w:rFonts w:ascii="仿宋_GB2312" w:eastAsia="仿宋_GB2312"/>
          <w:b/>
          <w:sz w:val="32"/>
          <w:szCs w:val="32"/>
        </w:rPr>
        <w:t>条</w:t>
      </w:r>
      <w:r>
        <w:rPr>
          <w:rFonts w:ascii="仿宋_GB2312" w:eastAsia="仿宋_GB2312"/>
          <w:sz w:val="32"/>
          <w:szCs w:val="32"/>
        </w:rPr>
        <w:t xml:space="preserve">  </w:t>
      </w:r>
      <w:r>
        <w:rPr>
          <w:rFonts w:hint="eastAsia" w:ascii="仿宋_GB2312" w:eastAsia="仿宋_GB2312"/>
          <w:sz w:val="32"/>
          <w:szCs w:val="32"/>
        </w:rPr>
        <w:t>管理部门</w:t>
      </w:r>
      <w:r>
        <w:rPr>
          <w:rFonts w:ascii="仿宋_GB2312" w:eastAsia="仿宋_GB2312"/>
          <w:sz w:val="32"/>
          <w:szCs w:val="32"/>
        </w:rPr>
        <w:t>职责。</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柳职院社区学院（</w:t>
      </w:r>
      <w:r>
        <w:rPr>
          <w:rFonts w:ascii="仿宋_GB2312" w:eastAsia="仿宋_GB2312"/>
          <w:sz w:val="32"/>
          <w:szCs w:val="32"/>
        </w:rPr>
        <w:t>继续教育</w:t>
      </w:r>
      <w:r>
        <w:rPr>
          <w:rFonts w:hint="eastAsia" w:ascii="仿宋_GB2312" w:eastAsia="仿宋_GB2312"/>
          <w:sz w:val="32"/>
          <w:szCs w:val="32"/>
        </w:rPr>
        <w:t>学院）为培训管理职能部门，</w:t>
      </w:r>
      <w:r>
        <w:rPr>
          <w:rFonts w:ascii="仿宋_GB2312" w:eastAsia="仿宋_GB2312"/>
          <w:sz w:val="32"/>
          <w:szCs w:val="32"/>
        </w:rPr>
        <w:t>管理全</w:t>
      </w:r>
      <w:r>
        <w:rPr>
          <w:rFonts w:hint="eastAsia" w:ascii="仿宋_GB2312" w:eastAsia="仿宋_GB2312"/>
          <w:sz w:val="32"/>
          <w:szCs w:val="32"/>
        </w:rPr>
        <w:t>校</w:t>
      </w:r>
      <w:r>
        <w:rPr>
          <w:rFonts w:ascii="仿宋_GB2312" w:eastAsia="仿宋_GB2312"/>
          <w:sz w:val="32"/>
          <w:szCs w:val="32"/>
        </w:rPr>
        <w:t>各类培训工作。其职责是：</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制定培训管理有关规定和</w:t>
      </w:r>
      <w:r>
        <w:rPr>
          <w:rFonts w:hint="eastAsia" w:ascii="仿宋_GB2312" w:eastAsia="仿宋_GB2312"/>
          <w:sz w:val="32"/>
          <w:szCs w:val="32"/>
        </w:rPr>
        <w:t>培训</w:t>
      </w:r>
      <w:r>
        <w:rPr>
          <w:rFonts w:ascii="仿宋_GB2312" w:eastAsia="仿宋_GB2312"/>
          <w:sz w:val="32"/>
          <w:szCs w:val="32"/>
        </w:rPr>
        <w:t>规划；</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负</w:t>
      </w:r>
      <w:r>
        <w:rPr>
          <w:rFonts w:hint="eastAsia" w:ascii="仿宋_GB2312" w:eastAsia="仿宋_GB2312"/>
          <w:sz w:val="32"/>
          <w:szCs w:val="32"/>
        </w:rPr>
        <w:t>责指导各承办部门</w:t>
      </w:r>
      <w:r>
        <w:rPr>
          <w:rFonts w:ascii="仿宋_GB2312" w:eastAsia="仿宋_GB2312"/>
          <w:sz w:val="32"/>
          <w:szCs w:val="32"/>
        </w:rPr>
        <w:t>培训工作机制的建立和培训基地的建设；</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3.负责组织培训项目的申报及申请；</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负责审定各类培训方案；</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5.负责对培训项目委托单位进行协调沟通；</w:t>
      </w:r>
    </w:p>
    <w:p>
      <w:pPr>
        <w:spacing w:line="590" w:lineRule="exact"/>
        <w:ind w:firstLine="640" w:firstLineChars="200"/>
        <w:rPr>
          <w:rFonts w:ascii="仿宋_GB2312" w:eastAsia="仿宋_GB2312"/>
          <w:sz w:val="32"/>
          <w:szCs w:val="32"/>
        </w:rPr>
      </w:pPr>
      <w:bookmarkStart w:id="1382" w:name="_Toc6876_WPSOffice_Level1"/>
      <w:r>
        <w:rPr>
          <w:rFonts w:hint="eastAsia" w:ascii="仿宋_GB2312" w:eastAsia="仿宋_GB2312"/>
          <w:sz w:val="32"/>
          <w:szCs w:val="32"/>
        </w:rPr>
        <w:t>6.负责</w:t>
      </w:r>
      <w:bookmarkEnd w:id="1382"/>
      <w:r>
        <w:rPr>
          <w:rFonts w:hint="eastAsia" w:ascii="仿宋_GB2312" w:eastAsia="仿宋_GB2312"/>
          <w:sz w:val="32"/>
          <w:szCs w:val="32"/>
        </w:rPr>
        <w:t>培</w:t>
      </w:r>
      <w:bookmarkStart w:id="1383" w:name="_Toc17539_WPSOffice_Level1"/>
      <w:r>
        <w:rPr>
          <w:rFonts w:hint="eastAsia" w:ascii="仿宋_GB2312" w:eastAsia="仿宋_GB2312"/>
          <w:sz w:val="32"/>
          <w:szCs w:val="32"/>
        </w:rPr>
        <w:t>训的检查监督指导；</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7.</w:t>
      </w:r>
      <w:r>
        <w:rPr>
          <w:rFonts w:ascii="仿宋_GB2312" w:eastAsia="仿宋_GB2312"/>
          <w:sz w:val="32"/>
          <w:szCs w:val="32"/>
        </w:rPr>
        <w:t>负责</w:t>
      </w:r>
      <w:bookmarkEnd w:id="1383"/>
      <w:r>
        <w:rPr>
          <w:rFonts w:ascii="仿宋_GB2312" w:eastAsia="仿宋_GB2312"/>
          <w:sz w:val="32"/>
          <w:szCs w:val="32"/>
        </w:rPr>
        <w:t>培训经费的管理和</w:t>
      </w:r>
      <w:r>
        <w:rPr>
          <w:rFonts w:hint="eastAsia" w:ascii="仿宋_GB2312" w:eastAsia="仿宋_GB2312"/>
          <w:sz w:val="32"/>
          <w:szCs w:val="32"/>
        </w:rPr>
        <w:t>划拨</w:t>
      </w:r>
      <w:r>
        <w:rPr>
          <w:rFonts w:ascii="仿宋_GB2312" w:eastAsia="仿宋_GB2312"/>
          <w:sz w:val="32"/>
          <w:szCs w:val="32"/>
        </w:rPr>
        <w:t>；</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8.</w:t>
      </w:r>
      <w:r>
        <w:rPr>
          <w:rFonts w:ascii="仿宋_GB2312" w:eastAsia="仿宋_GB2312"/>
          <w:sz w:val="32"/>
          <w:szCs w:val="32"/>
        </w:rPr>
        <w:t>开展培训科研课题的立项申报和研究；</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9.</w:t>
      </w:r>
      <w:r>
        <w:rPr>
          <w:rFonts w:ascii="仿宋_GB2312" w:eastAsia="仿宋_GB2312"/>
          <w:sz w:val="32"/>
          <w:szCs w:val="32"/>
        </w:rPr>
        <w:t>指导全院培训业务，组织经验交流；</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10.</w:t>
      </w:r>
      <w:r>
        <w:rPr>
          <w:rFonts w:ascii="仿宋_GB2312" w:eastAsia="仿宋_GB2312"/>
          <w:sz w:val="32"/>
          <w:szCs w:val="32"/>
        </w:rPr>
        <w:t>积极开展市场调查研究，传递培训信息和拓展培训项目。</w:t>
      </w:r>
    </w:p>
    <w:p>
      <w:pPr>
        <w:spacing w:line="590" w:lineRule="exact"/>
        <w:ind w:firstLine="643" w:firstLineChars="200"/>
        <w:rPr>
          <w:rFonts w:ascii="仿宋_GB2312" w:eastAsia="仿宋_GB2312"/>
          <w:sz w:val="32"/>
          <w:szCs w:val="32"/>
        </w:rPr>
      </w:pPr>
      <w:r>
        <w:rPr>
          <w:rFonts w:hint="eastAsia" w:ascii="仿宋_GB2312" w:eastAsia="仿宋_GB2312"/>
          <w:b/>
          <w:sz w:val="32"/>
          <w:szCs w:val="32"/>
        </w:rPr>
        <w:t>第八条</w:t>
      </w:r>
      <w:r>
        <w:rPr>
          <w:rFonts w:hint="eastAsia" w:ascii="仿宋_GB2312" w:eastAsia="仿宋_GB2312"/>
          <w:sz w:val="32"/>
          <w:szCs w:val="32"/>
        </w:rPr>
        <w:t xml:space="preserve">  承办部门职责</w:t>
      </w:r>
    </w:p>
    <w:p>
      <w:pPr>
        <w:spacing w:line="590" w:lineRule="exact"/>
        <w:ind w:firstLine="640" w:firstLineChars="200"/>
        <w:rPr>
          <w:rFonts w:ascii="仿宋_GB2312" w:eastAsia="仿宋_GB2312"/>
          <w:sz w:val="32"/>
          <w:szCs w:val="32"/>
        </w:rPr>
      </w:pPr>
      <w:r>
        <w:rPr>
          <w:rFonts w:ascii="仿宋_GB2312" w:eastAsia="仿宋_GB2312"/>
          <w:sz w:val="32"/>
          <w:szCs w:val="32"/>
        </w:rPr>
        <w:t>各</w:t>
      </w:r>
      <w:r>
        <w:rPr>
          <w:rFonts w:hint="eastAsia" w:ascii="仿宋_GB2312" w:eastAsia="仿宋_GB2312"/>
          <w:sz w:val="32"/>
          <w:szCs w:val="32"/>
        </w:rPr>
        <w:t>承办部门为培训</w:t>
      </w:r>
      <w:r>
        <w:rPr>
          <w:rFonts w:ascii="仿宋_GB2312" w:eastAsia="仿宋_GB2312"/>
          <w:sz w:val="32"/>
          <w:szCs w:val="32"/>
        </w:rPr>
        <w:t>具体组织实施</w:t>
      </w:r>
      <w:r>
        <w:rPr>
          <w:rFonts w:hint="eastAsia" w:ascii="仿宋_GB2312" w:eastAsia="仿宋_GB2312"/>
          <w:sz w:val="32"/>
          <w:szCs w:val="32"/>
        </w:rPr>
        <w:t>部门</w:t>
      </w:r>
      <w:r>
        <w:rPr>
          <w:rFonts w:ascii="仿宋_GB2312" w:eastAsia="仿宋_GB2312"/>
          <w:sz w:val="32"/>
          <w:szCs w:val="32"/>
        </w:rPr>
        <w:t>。其职责是：</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理清市场和学员需求，</w:t>
      </w:r>
      <w:r>
        <w:rPr>
          <w:rFonts w:hint="eastAsia" w:ascii="仿宋_GB2312" w:eastAsia="仿宋_GB2312"/>
          <w:sz w:val="32"/>
          <w:szCs w:val="32"/>
        </w:rPr>
        <w:t>积极拓展培训项目</w:t>
      </w:r>
      <w:r>
        <w:rPr>
          <w:rFonts w:ascii="仿宋_GB2312" w:eastAsia="仿宋_GB2312"/>
          <w:sz w:val="32"/>
          <w:szCs w:val="32"/>
        </w:rPr>
        <w:t>；</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2.负责</w:t>
      </w:r>
      <w:r>
        <w:rPr>
          <w:rFonts w:ascii="仿宋_GB2312" w:eastAsia="仿宋_GB2312"/>
          <w:sz w:val="32"/>
          <w:szCs w:val="32"/>
        </w:rPr>
        <w:t>组建培训师资团队</w:t>
      </w:r>
      <w:r>
        <w:rPr>
          <w:rFonts w:hint="eastAsia" w:ascii="仿宋_GB2312" w:eastAsia="仿宋_GB2312"/>
          <w:sz w:val="32"/>
          <w:szCs w:val="32"/>
        </w:rPr>
        <w:t>，开展培训教学研究，</w:t>
      </w:r>
      <w:r>
        <w:rPr>
          <w:rFonts w:ascii="仿宋_GB2312" w:eastAsia="仿宋_GB2312"/>
          <w:sz w:val="32"/>
          <w:szCs w:val="32"/>
        </w:rPr>
        <w:t>策划各类培训方案</w:t>
      </w:r>
      <w:r>
        <w:rPr>
          <w:rFonts w:hint="eastAsia" w:ascii="仿宋_GB2312" w:eastAsia="仿宋_GB2312"/>
          <w:sz w:val="32"/>
          <w:szCs w:val="32"/>
        </w:rPr>
        <w:t>；</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3.负责</w:t>
      </w:r>
      <w:r>
        <w:rPr>
          <w:rFonts w:ascii="仿宋_GB2312" w:eastAsia="仿宋_GB2312"/>
          <w:sz w:val="32"/>
          <w:szCs w:val="32"/>
        </w:rPr>
        <w:t>组建培训管理团队</w:t>
      </w:r>
      <w:r>
        <w:rPr>
          <w:rFonts w:hint="eastAsia" w:ascii="仿宋_GB2312" w:eastAsia="仿宋_GB2312"/>
          <w:sz w:val="32"/>
          <w:szCs w:val="32"/>
        </w:rPr>
        <w:t>，组织开展培训（含生源组织、学员报到、学员食宿、教师聘请、组织管理、档案整理等）；</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4.负责培训后续跟踪指导；</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5.负责划拨到本承办部门培训经费的具体使用及开支</w:t>
      </w:r>
      <w:r>
        <w:rPr>
          <w:rFonts w:ascii="仿宋_GB2312" w:eastAsia="仿宋_GB2312"/>
          <w:sz w:val="32"/>
          <w:szCs w:val="32"/>
        </w:rPr>
        <w:t>。</w:t>
      </w:r>
    </w:p>
    <w:p>
      <w:pPr>
        <w:spacing w:line="590" w:lineRule="exact"/>
        <w:ind w:firstLine="640" w:firstLineChars="200"/>
        <w:rPr>
          <w:rFonts w:ascii="仿宋_GB2312" w:eastAsia="仿宋_GB2312"/>
          <w:sz w:val="32"/>
          <w:szCs w:val="32"/>
        </w:rPr>
      </w:pPr>
      <w:r>
        <w:rPr>
          <w:rFonts w:ascii="仿宋_GB2312" w:eastAsia="仿宋_GB2312"/>
          <w:sz w:val="32"/>
          <w:szCs w:val="32"/>
        </w:rPr>
        <w:t xml:space="preserve"> </w:t>
      </w:r>
    </w:p>
    <w:p>
      <w:pPr>
        <w:spacing w:line="590" w:lineRule="exact"/>
        <w:jc w:val="center"/>
        <w:outlineLvl w:val="9"/>
        <w:rPr>
          <w:rFonts w:ascii="黑体" w:hAnsi="黑体" w:eastAsia="黑体"/>
          <w:b/>
          <w:sz w:val="32"/>
          <w:szCs w:val="32"/>
        </w:rPr>
      </w:pPr>
      <w:bookmarkStart w:id="1384" w:name="_Toc10503_WPSOffice_Level1"/>
      <w:r>
        <w:rPr>
          <w:rFonts w:hint="eastAsia" w:ascii="黑体" w:hAnsi="黑体" w:eastAsia="黑体"/>
          <w:b/>
          <w:sz w:val="32"/>
          <w:szCs w:val="32"/>
        </w:rPr>
        <w:t>第三章   教学管理</w:t>
      </w:r>
      <w:bookmarkEnd w:id="1384"/>
    </w:p>
    <w:p>
      <w:pPr>
        <w:spacing w:line="590" w:lineRule="exact"/>
        <w:ind w:firstLine="643" w:firstLineChars="200"/>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九</w:t>
      </w:r>
      <w:r>
        <w:rPr>
          <w:rFonts w:ascii="仿宋_GB2312" w:eastAsia="仿宋_GB2312"/>
          <w:b/>
          <w:sz w:val="32"/>
          <w:szCs w:val="32"/>
        </w:rPr>
        <w:t xml:space="preserve">条 </w:t>
      </w:r>
      <w:r>
        <w:rPr>
          <w:rFonts w:ascii="仿宋_GB2312" w:eastAsia="仿宋_GB2312"/>
          <w:sz w:val="32"/>
          <w:szCs w:val="32"/>
        </w:rPr>
        <w:t xml:space="preserve"> 各</w:t>
      </w:r>
      <w:r>
        <w:rPr>
          <w:rFonts w:hint="eastAsia" w:ascii="仿宋_GB2312" w:eastAsia="仿宋_GB2312"/>
          <w:sz w:val="32"/>
          <w:szCs w:val="32"/>
        </w:rPr>
        <w:t>承办部门</w:t>
      </w:r>
      <w:r>
        <w:rPr>
          <w:rFonts w:ascii="仿宋_GB2312" w:eastAsia="仿宋_GB2312"/>
          <w:sz w:val="32"/>
          <w:szCs w:val="32"/>
        </w:rPr>
        <w:t>开展培</w:t>
      </w:r>
      <w:bookmarkStart w:id="1385" w:name="_Toc9751_WPSOffice_Level1"/>
      <w:r>
        <w:rPr>
          <w:rFonts w:ascii="仿宋_GB2312" w:eastAsia="仿宋_GB2312"/>
          <w:sz w:val="32"/>
          <w:szCs w:val="32"/>
        </w:rPr>
        <w:t>训要有规</w:t>
      </w:r>
      <w:bookmarkEnd w:id="1385"/>
      <w:r>
        <w:rPr>
          <w:rFonts w:ascii="仿宋_GB2312" w:eastAsia="仿宋_GB2312"/>
          <w:sz w:val="32"/>
          <w:szCs w:val="32"/>
        </w:rPr>
        <w:t>范</w:t>
      </w:r>
      <w:bookmarkStart w:id="1386" w:name="_Toc118_WPSOffice_Level1"/>
      <w:r>
        <w:rPr>
          <w:rFonts w:ascii="仿宋_GB2312" w:eastAsia="仿宋_GB2312"/>
          <w:sz w:val="32"/>
          <w:szCs w:val="32"/>
        </w:rPr>
        <w:t>的培训目标、培</w:t>
      </w:r>
      <w:bookmarkEnd w:id="1386"/>
      <w:r>
        <w:rPr>
          <w:rFonts w:ascii="仿宋_GB2312" w:eastAsia="仿宋_GB2312"/>
          <w:sz w:val="32"/>
          <w:szCs w:val="32"/>
        </w:rPr>
        <w:t>训计划、课程设计方案、任课教师选聘、考核要求等，并于培训开班前一个星期将培训方案报</w:t>
      </w:r>
      <w:r>
        <w:rPr>
          <w:rFonts w:hint="eastAsia" w:ascii="仿宋_GB2312" w:eastAsia="仿宋_GB2312"/>
          <w:sz w:val="32"/>
          <w:szCs w:val="32"/>
        </w:rPr>
        <w:t>柳职院社区学院（</w:t>
      </w:r>
      <w:r>
        <w:rPr>
          <w:rFonts w:ascii="仿宋_GB2312" w:eastAsia="仿宋_GB2312"/>
          <w:sz w:val="32"/>
          <w:szCs w:val="32"/>
        </w:rPr>
        <w:t>继续教育</w:t>
      </w:r>
      <w:r>
        <w:rPr>
          <w:rFonts w:hint="eastAsia" w:ascii="仿宋_GB2312" w:eastAsia="仿宋_GB2312"/>
          <w:sz w:val="32"/>
          <w:szCs w:val="32"/>
        </w:rPr>
        <w:t>学院）</w:t>
      </w:r>
      <w:r>
        <w:rPr>
          <w:rFonts w:ascii="仿宋_GB2312" w:eastAsia="仿宋_GB2312"/>
          <w:sz w:val="32"/>
          <w:szCs w:val="32"/>
        </w:rPr>
        <w:t xml:space="preserve">审定。 </w:t>
      </w:r>
    </w:p>
    <w:p>
      <w:pPr>
        <w:spacing w:line="590" w:lineRule="exact"/>
        <w:ind w:firstLine="643" w:firstLineChars="200"/>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十</w:t>
      </w:r>
      <w:r>
        <w:rPr>
          <w:rFonts w:ascii="仿宋_GB2312" w:eastAsia="仿宋_GB2312"/>
          <w:b/>
          <w:sz w:val="32"/>
          <w:szCs w:val="32"/>
        </w:rPr>
        <w:t xml:space="preserve">条 </w:t>
      </w:r>
      <w:r>
        <w:rPr>
          <w:rFonts w:ascii="仿宋_GB2312" w:eastAsia="仿宋_GB2312"/>
          <w:sz w:val="32"/>
          <w:szCs w:val="32"/>
        </w:rPr>
        <w:t xml:space="preserve"> 各</w:t>
      </w:r>
      <w:r>
        <w:rPr>
          <w:rFonts w:hint="eastAsia" w:ascii="仿宋_GB2312" w:eastAsia="仿宋_GB2312"/>
          <w:sz w:val="32"/>
          <w:szCs w:val="32"/>
        </w:rPr>
        <w:t>承办部门</w:t>
      </w:r>
      <w:r>
        <w:rPr>
          <w:rFonts w:ascii="仿宋_GB2312" w:eastAsia="仿宋_GB2312"/>
          <w:sz w:val="32"/>
          <w:szCs w:val="32"/>
        </w:rPr>
        <w:t>为培训项目第一责任人，认真组建培训团队，积极开发培训课程，创新培训模式，整合运用培训各种资源，高效完成培训任务。</w:t>
      </w:r>
    </w:p>
    <w:p>
      <w:pPr>
        <w:spacing w:line="590" w:lineRule="exact"/>
        <w:ind w:firstLine="643" w:firstLineChars="200"/>
        <w:rPr>
          <w:rFonts w:ascii="仿宋_GB2312" w:eastAsia="仿宋_GB2312"/>
          <w:sz w:val="32"/>
          <w:szCs w:val="32"/>
        </w:rPr>
      </w:pPr>
      <w:r>
        <w:rPr>
          <w:rFonts w:ascii="仿宋_GB2312" w:eastAsia="仿宋_GB2312"/>
          <w:b/>
          <w:sz w:val="32"/>
          <w:szCs w:val="32"/>
        </w:rPr>
        <w:t>第十</w:t>
      </w:r>
      <w:r>
        <w:rPr>
          <w:rFonts w:hint="eastAsia" w:ascii="仿宋_GB2312" w:eastAsia="仿宋_GB2312"/>
          <w:b/>
          <w:sz w:val="32"/>
          <w:szCs w:val="32"/>
        </w:rPr>
        <w:t>一</w:t>
      </w:r>
      <w:r>
        <w:rPr>
          <w:rFonts w:ascii="仿宋_GB2312" w:eastAsia="仿宋_GB2312"/>
          <w:b/>
          <w:sz w:val="32"/>
          <w:szCs w:val="32"/>
        </w:rPr>
        <w:t>条</w:t>
      </w:r>
      <w:r>
        <w:rPr>
          <w:rFonts w:ascii="仿宋_GB2312" w:eastAsia="仿宋_GB2312"/>
          <w:sz w:val="32"/>
          <w:szCs w:val="32"/>
        </w:rPr>
        <w:t xml:space="preserve">  </w:t>
      </w:r>
      <w:r>
        <w:rPr>
          <w:rFonts w:hint="eastAsia" w:ascii="仿宋_GB2312" w:eastAsia="仿宋_GB2312"/>
          <w:sz w:val="32"/>
          <w:szCs w:val="32"/>
        </w:rPr>
        <w:t>柳职院社区学院（</w:t>
      </w:r>
      <w:r>
        <w:rPr>
          <w:rFonts w:ascii="仿宋_GB2312" w:eastAsia="仿宋_GB2312"/>
          <w:sz w:val="32"/>
          <w:szCs w:val="32"/>
        </w:rPr>
        <w:t>继续教育</w:t>
      </w:r>
      <w:r>
        <w:rPr>
          <w:rFonts w:hint="eastAsia" w:ascii="仿宋_GB2312" w:eastAsia="仿宋_GB2312"/>
          <w:sz w:val="32"/>
          <w:szCs w:val="32"/>
        </w:rPr>
        <w:t>学院）</w:t>
      </w:r>
      <w:r>
        <w:rPr>
          <w:rFonts w:ascii="仿宋_GB2312" w:eastAsia="仿宋_GB2312"/>
          <w:sz w:val="32"/>
          <w:szCs w:val="32"/>
        </w:rPr>
        <w:t>定期会同有关专业专家对培训方案进行审核和指导，做好培训前、中、后期的质量监测和评估，确保培训高质量完成。</w:t>
      </w:r>
    </w:p>
    <w:p>
      <w:pPr>
        <w:spacing w:line="590" w:lineRule="exact"/>
        <w:ind w:firstLine="643" w:firstLineChars="200"/>
        <w:rPr>
          <w:rFonts w:ascii="仿宋_GB2312" w:eastAsia="仿宋_GB2312"/>
          <w:sz w:val="32"/>
          <w:szCs w:val="32"/>
        </w:rPr>
      </w:pPr>
      <w:r>
        <w:rPr>
          <w:rFonts w:ascii="仿宋_GB2312" w:eastAsia="仿宋_GB2312"/>
          <w:b/>
          <w:sz w:val="32"/>
          <w:szCs w:val="32"/>
        </w:rPr>
        <w:t>第十</w:t>
      </w:r>
      <w:r>
        <w:rPr>
          <w:rFonts w:hint="eastAsia" w:ascii="仿宋_GB2312" w:eastAsia="仿宋_GB2312"/>
          <w:b/>
          <w:sz w:val="32"/>
          <w:szCs w:val="32"/>
        </w:rPr>
        <w:t>二</w:t>
      </w:r>
      <w:r>
        <w:rPr>
          <w:rFonts w:ascii="仿宋_GB2312" w:eastAsia="仿宋_GB2312"/>
          <w:b/>
          <w:sz w:val="32"/>
          <w:szCs w:val="32"/>
        </w:rPr>
        <w:t>条</w:t>
      </w:r>
      <w:r>
        <w:rPr>
          <w:rFonts w:ascii="仿宋_GB2312" w:eastAsia="仿宋_GB2312"/>
          <w:sz w:val="32"/>
          <w:szCs w:val="32"/>
        </w:rPr>
        <w:t xml:space="preserve">  各</w:t>
      </w:r>
      <w:r>
        <w:rPr>
          <w:rFonts w:hint="eastAsia" w:ascii="仿宋_GB2312" w:eastAsia="仿宋_GB2312"/>
          <w:sz w:val="32"/>
          <w:szCs w:val="32"/>
        </w:rPr>
        <w:t>承办部门</w:t>
      </w:r>
      <w:r>
        <w:rPr>
          <w:rFonts w:ascii="仿宋_GB2312" w:eastAsia="仿宋_GB2312"/>
          <w:sz w:val="32"/>
          <w:szCs w:val="32"/>
        </w:rPr>
        <w:t>要严格按照本办法要求组织培训，认真编制和执行培训计划，不得删减培训环节，不得随意压缩学时和天数</w:t>
      </w:r>
      <w:r>
        <w:rPr>
          <w:rFonts w:hint="eastAsia" w:ascii="仿宋_GB2312" w:eastAsia="仿宋_GB2312"/>
          <w:sz w:val="32"/>
          <w:szCs w:val="32"/>
        </w:rPr>
        <w:t>，确需改变及时报柳职院社区学院（</w:t>
      </w:r>
      <w:r>
        <w:rPr>
          <w:rFonts w:ascii="仿宋_GB2312" w:eastAsia="仿宋_GB2312"/>
          <w:sz w:val="32"/>
          <w:szCs w:val="32"/>
        </w:rPr>
        <w:t>继续教育</w:t>
      </w:r>
      <w:r>
        <w:rPr>
          <w:rFonts w:hint="eastAsia" w:ascii="仿宋_GB2312" w:eastAsia="仿宋_GB2312"/>
          <w:sz w:val="32"/>
          <w:szCs w:val="32"/>
        </w:rPr>
        <w:t>学院）批准</w:t>
      </w:r>
      <w:r>
        <w:rPr>
          <w:rFonts w:ascii="仿宋_GB2312" w:eastAsia="仿宋_GB2312"/>
          <w:sz w:val="32"/>
          <w:szCs w:val="32"/>
        </w:rPr>
        <w:t>。</w:t>
      </w:r>
    </w:p>
    <w:p>
      <w:pPr>
        <w:spacing w:line="590" w:lineRule="exact"/>
        <w:ind w:firstLine="643" w:firstLineChars="200"/>
        <w:rPr>
          <w:rFonts w:ascii="仿宋_GB2312" w:eastAsia="仿宋_GB2312"/>
          <w:sz w:val="32"/>
          <w:szCs w:val="32"/>
        </w:rPr>
      </w:pPr>
      <w:r>
        <w:rPr>
          <w:rFonts w:ascii="仿宋_GB2312" w:eastAsia="仿宋_GB2312"/>
          <w:b/>
          <w:sz w:val="32"/>
          <w:szCs w:val="32"/>
        </w:rPr>
        <w:t>第十</w:t>
      </w:r>
      <w:r>
        <w:rPr>
          <w:rFonts w:hint="eastAsia" w:ascii="仿宋_GB2312" w:eastAsia="仿宋_GB2312"/>
          <w:b/>
          <w:sz w:val="32"/>
          <w:szCs w:val="32"/>
        </w:rPr>
        <w:t>三</w:t>
      </w:r>
      <w:r>
        <w:rPr>
          <w:rFonts w:ascii="仿宋_GB2312" w:eastAsia="仿宋_GB2312"/>
          <w:b/>
          <w:sz w:val="32"/>
          <w:szCs w:val="32"/>
        </w:rPr>
        <w:t>条</w:t>
      </w:r>
      <w:r>
        <w:rPr>
          <w:rFonts w:hint="eastAsia" w:ascii="仿宋_GB2312" w:eastAsia="仿宋_GB2312"/>
          <w:b/>
          <w:sz w:val="32"/>
          <w:szCs w:val="32"/>
        </w:rPr>
        <w:t xml:space="preserve"> </w:t>
      </w:r>
      <w:r>
        <w:rPr>
          <w:rFonts w:ascii="仿宋_GB2312" w:eastAsia="仿宋_GB2312"/>
          <w:sz w:val="32"/>
          <w:szCs w:val="32"/>
        </w:rPr>
        <w:t xml:space="preserve"> 各</w:t>
      </w:r>
      <w:r>
        <w:rPr>
          <w:rFonts w:hint="eastAsia" w:ascii="仿宋_GB2312" w:eastAsia="仿宋_GB2312"/>
          <w:sz w:val="32"/>
          <w:szCs w:val="32"/>
        </w:rPr>
        <w:t>承办部门</w:t>
      </w:r>
      <w:r>
        <w:rPr>
          <w:rFonts w:ascii="仿宋_GB2312" w:eastAsia="仿宋_GB2312"/>
          <w:sz w:val="32"/>
          <w:szCs w:val="32"/>
        </w:rPr>
        <w:t>要及时收集、分析学员对培训工作的反馈意见，不断改进和完善培训方案。</w:t>
      </w:r>
    </w:p>
    <w:p>
      <w:pPr>
        <w:spacing w:line="590" w:lineRule="exact"/>
        <w:ind w:firstLine="643" w:firstLineChars="200"/>
        <w:rPr>
          <w:rFonts w:ascii="仿宋_GB2312" w:eastAsia="仿宋_GB2312"/>
          <w:sz w:val="32"/>
          <w:szCs w:val="32"/>
        </w:rPr>
      </w:pPr>
      <w:r>
        <w:rPr>
          <w:rFonts w:ascii="仿宋_GB2312" w:eastAsia="仿宋_GB2312"/>
          <w:b/>
          <w:sz w:val="32"/>
          <w:szCs w:val="32"/>
        </w:rPr>
        <w:t>第十</w:t>
      </w:r>
      <w:r>
        <w:rPr>
          <w:rFonts w:hint="eastAsia" w:ascii="仿宋_GB2312" w:eastAsia="仿宋_GB2312"/>
          <w:b/>
          <w:sz w:val="32"/>
          <w:szCs w:val="32"/>
        </w:rPr>
        <w:t>四</w:t>
      </w:r>
      <w:r>
        <w:rPr>
          <w:rFonts w:ascii="仿宋_GB2312" w:eastAsia="仿宋_GB2312"/>
          <w:b/>
          <w:sz w:val="32"/>
          <w:szCs w:val="32"/>
        </w:rPr>
        <w:t>条</w:t>
      </w:r>
      <w:r>
        <w:rPr>
          <w:rFonts w:hint="eastAsia" w:ascii="仿宋_GB2312" w:eastAsia="仿宋_GB2312"/>
          <w:b/>
          <w:sz w:val="32"/>
          <w:szCs w:val="32"/>
        </w:rPr>
        <w:t xml:space="preserve">  </w:t>
      </w:r>
      <w:r>
        <w:rPr>
          <w:rFonts w:ascii="仿宋_GB2312" w:eastAsia="仿宋_GB2312"/>
          <w:sz w:val="32"/>
          <w:szCs w:val="32"/>
        </w:rPr>
        <w:t>各</w:t>
      </w:r>
      <w:r>
        <w:rPr>
          <w:rFonts w:hint="eastAsia" w:ascii="仿宋_GB2312" w:eastAsia="仿宋_GB2312"/>
          <w:sz w:val="32"/>
          <w:szCs w:val="32"/>
        </w:rPr>
        <w:t>承办部门</w:t>
      </w:r>
      <w:r>
        <w:rPr>
          <w:rFonts w:ascii="仿宋_GB2312" w:eastAsia="仿宋_GB2312"/>
          <w:sz w:val="32"/>
          <w:szCs w:val="32"/>
        </w:rPr>
        <w:t>加强对学员训中、训后的监控和跟踪，切实提高培训实效性。并于项目结束二周内，将培训总结报送</w:t>
      </w:r>
      <w:r>
        <w:rPr>
          <w:rFonts w:hint="eastAsia" w:ascii="仿宋_GB2312" w:eastAsia="仿宋_GB2312"/>
          <w:sz w:val="32"/>
          <w:szCs w:val="32"/>
        </w:rPr>
        <w:t>柳职院社区学院（</w:t>
      </w:r>
      <w:r>
        <w:rPr>
          <w:rFonts w:ascii="仿宋_GB2312" w:eastAsia="仿宋_GB2312"/>
          <w:sz w:val="32"/>
          <w:szCs w:val="32"/>
        </w:rPr>
        <w:t>继续教育</w:t>
      </w:r>
      <w:r>
        <w:rPr>
          <w:rFonts w:hint="eastAsia" w:ascii="仿宋_GB2312" w:eastAsia="仿宋_GB2312"/>
          <w:sz w:val="32"/>
          <w:szCs w:val="32"/>
        </w:rPr>
        <w:t>学院）。</w:t>
      </w:r>
    </w:p>
    <w:p>
      <w:pPr>
        <w:spacing w:line="590" w:lineRule="exact"/>
        <w:ind w:firstLine="640" w:firstLineChars="200"/>
        <w:rPr>
          <w:rFonts w:ascii="仿宋_GB2312" w:eastAsia="仿宋_GB2312"/>
          <w:sz w:val="32"/>
          <w:szCs w:val="32"/>
        </w:rPr>
      </w:pPr>
      <w:r>
        <w:rPr>
          <w:rFonts w:ascii="仿宋_GB2312" w:eastAsia="仿宋_GB2312"/>
          <w:sz w:val="32"/>
          <w:szCs w:val="32"/>
        </w:rPr>
        <w:t xml:space="preserve"> </w:t>
      </w:r>
    </w:p>
    <w:p>
      <w:pPr>
        <w:spacing w:line="590" w:lineRule="exact"/>
        <w:jc w:val="center"/>
        <w:outlineLvl w:val="9"/>
        <w:rPr>
          <w:rFonts w:ascii="黑体" w:hAnsi="黑体" w:eastAsia="黑体"/>
          <w:b/>
          <w:sz w:val="32"/>
          <w:szCs w:val="32"/>
        </w:rPr>
      </w:pPr>
      <w:bookmarkStart w:id="1387" w:name="_Toc29802_WPSOffice_Level1"/>
      <w:r>
        <w:rPr>
          <w:rFonts w:hint="eastAsia" w:ascii="黑体" w:hAnsi="黑体" w:eastAsia="黑体"/>
          <w:b/>
          <w:sz w:val="32"/>
          <w:szCs w:val="32"/>
        </w:rPr>
        <w:t>第四章   学员管理</w:t>
      </w:r>
      <w:bookmarkEnd w:id="1387"/>
    </w:p>
    <w:p>
      <w:pPr>
        <w:spacing w:line="590" w:lineRule="exact"/>
        <w:ind w:firstLine="643" w:firstLineChars="200"/>
        <w:rPr>
          <w:rFonts w:ascii="仿宋_GB2312" w:eastAsia="仿宋_GB2312"/>
          <w:sz w:val="32"/>
          <w:szCs w:val="32"/>
        </w:rPr>
      </w:pPr>
      <w:r>
        <w:rPr>
          <w:rFonts w:ascii="仿宋_GB2312" w:eastAsia="仿宋_GB2312"/>
          <w:b/>
          <w:sz w:val="32"/>
          <w:szCs w:val="32"/>
        </w:rPr>
        <w:t>第十</w:t>
      </w:r>
      <w:r>
        <w:rPr>
          <w:rFonts w:hint="eastAsia" w:ascii="仿宋_GB2312" w:eastAsia="仿宋_GB2312"/>
          <w:b/>
          <w:sz w:val="32"/>
          <w:szCs w:val="32"/>
        </w:rPr>
        <w:t>五</w:t>
      </w:r>
      <w:r>
        <w:rPr>
          <w:rFonts w:ascii="仿宋_GB2312" w:eastAsia="仿宋_GB2312"/>
          <w:b/>
          <w:sz w:val="32"/>
          <w:szCs w:val="32"/>
        </w:rPr>
        <w:t xml:space="preserve">条 </w:t>
      </w:r>
      <w:r>
        <w:rPr>
          <w:rFonts w:ascii="仿宋_GB2312" w:eastAsia="仿宋_GB2312"/>
          <w:sz w:val="32"/>
          <w:szCs w:val="32"/>
        </w:rPr>
        <w:t xml:space="preserve"> 各</w:t>
      </w:r>
      <w:r>
        <w:rPr>
          <w:rFonts w:hint="eastAsia" w:ascii="仿宋_GB2312" w:eastAsia="仿宋_GB2312"/>
          <w:sz w:val="32"/>
          <w:szCs w:val="32"/>
        </w:rPr>
        <w:t>承办部门需配备专门的培训班主任，</w:t>
      </w:r>
      <w:r>
        <w:rPr>
          <w:rFonts w:ascii="仿宋_GB2312" w:eastAsia="仿宋_GB2312"/>
          <w:sz w:val="32"/>
          <w:szCs w:val="32"/>
        </w:rPr>
        <w:t>加强学员安全教育，做好后勤服务，为学员创造良好的学习生活环境。</w:t>
      </w:r>
    </w:p>
    <w:p>
      <w:pPr>
        <w:spacing w:line="590" w:lineRule="exact"/>
        <w:ind w:firstLine="643" w:firstLineChars="200"/>
        <w:rPr>
          <w:rFonts w:ascii="仿宋_GB2312" w:eastAsia="仿宋_GB2312"/>
          <w:sz w:val="32"/>
          <w:szCs w:val="32"/>
        </w:rPr>
      </w:pPr>
      <w:r>
        <w:rPr>
          <w:rFonts w:ascii="仿宋_GB2312" w:eastAsia="仿宋_GB2312"/>
          <w:b/>
          <w:sz w:val="32"/>
          <w:szCs w:val="32"/>
        </w:rPr>
        <w:t>第十</w:t>
      </w:r>
      <w:r>
        <w:rPr>
          <w:rFonts w:hint="eastAsia" w:ascii="仿宋_GB2312" w:eastAsia="仿宋_GB2312"/>
          <w:b/>
          <w:sz w:val="32"/>
          <w:szCs w:val="32"/>
        </w:rPr>
        <w:t>六</w:t>
      </w:r>
      <w:r>
        <w:rPr>
          <w:rFonts w:ascii="仿宋_GB2312" w:eastAsia="仿宋_GB2312"/>
          <w:b/>
          <w:sz w:val="32"/>
          <w:szCs w:val="32"/>
        </w:rPr>
        <w:t>条</w:t>
      </w:r>
      <w:r>
        <w:rPr>
          <w:rFonts w:ascii="仿宋_GB2312" w:eastAsia="仿宋_GB2312"/>
          <w:sz w:val="32"/>
          <w:szCs w:val="32"/>
        </w:rPr>
        <w:t xml:space="preserve">  各</w:t>
      </w:r>
      <w:r>
        <w:rPr>
          <w:rFonts w:hint="eastAsia" w:ascii="仿宋_GB2312" w:eastAsia="仿宋_GB2312"/>
          <w:sz w:val="32"/>
          <w:szCs w:val="32"/>
        </w:rPr>
        <w:t>承办部门</w:t>
      </w:r>
      <w:r>
        <w:rPr>
          <w:rFonts w:ascii="仿宋_GB2312" w:eastAsia="仿宋_GB2312"/>
          <w:sz w:val="32"/>
          <w:szCs w:val="32"/>
        </w:rPr>
        <w:t>加强学员培训考勤管理，学员因故不能参加培训活动需书面请假。</w:t>
      </w:r>
    </w:p>
    <w:p>
      <w:pPr>
        <w:spacing w:line="590" w:lineRule="exact"/>
        <w:ind w:firstLine="643" w:firstLineChars="200"/>
        <w:rPr>
          <w:rFonts w:ascii="仿宋_GB2312" w:eastAsia="仿宋_GB2312"/>
          <w:sz w:val="32"/>
          <w:szCs w:val="32"/>
        </w:rPr>
      </w:pPr>
      <w:r>
        <w:rPr>
          <w:rFonts w:ascii="仿宋_GB2312" w:eastAsia="仿宋_GB2312"/>
          <w:b/>
          <w:sz w:val="32"/>
          <w:szCs w:val="32"/>
        </w:rPr>
        <w:t>第十</w:t>
      </w:r>
      <w:r>
        <w:rPr>
          <w:rFonts w:hint="eastAsia" w:ascii="仿宋_GB2312" w:eastAsia="仿宋_GB2312"/>
          <w:b/>
          <w:sz w:val="32"/>
          <w:szCs w:val="32"/>
        </w:rPr>
        <w:t>七</w:t>
      </w:r>
      <w:r>
        <w:rPr>
          <w:rFonts w:ascii="仿宋_GB2312" w:eastAsia="仿宋_GB2312"/>
          <w:b/>
          <w:sz w:val="32"/>
          <w:szCs w:val="32"/>
        </w:rPr>
        <w:t>条</w:t>
      </w:r>
      <w:r>
        <w:rPr>
          <w:rFonts w:ascii="仿宋_GB2312" w:eastAsia="仿宋_GB2312"/>
          <w:sz w:val="32"/>
          <w:szCs w:val="32"/>
        </w:rPr>
        <w:t xml:space="preserve">  培训实行考核制度，根据培训内容和要求，考核内容分过程性考核、</w:t>
      </w:r>
      <w:r>
        <w:rPr>
          <w:rFonts w:hint="eastAsia" w:ascii="仿宋_GB2312" w:eastAsia="仿宋_GB2312"/>
          <w:sz w:val="32"/>
          <w:szCs w:val="32"/>
        </w:rPr>
        <w:t>结业</w:t>
      </w:r>
      <w:r>
        <w:rPr>
          <w:rFonts w:ascii="仿宋_GB2312" w:eastAsia="仿宋_GB2312"/>
          <w:sz w:val="32"/>
          <w:szCs w:val="32"/>
        </w:rPr>
        <w:t>考核和实践成果等形式进行。考核不合格者，</w:t>
      </w:r>
      <w:bookmarkStart w:id="1388" w:name="_Toc25592_WPSOffice_Level1"/>
      <w:r>
        <w:rPr>
          <w:rFonts w:ascii="仿宋_GB2312" w:eastAsia="仿宋_GB2312"/>
          <w:sz w:val="32"/>
          <w:szCs w:val="32"/>
        </w:rPr>
        <w:t>不予结业</w:t>
      </w:r>
      <w:bookmarkEnd w:id="1388"/>
      <w:r>
        <w:rPr>
          <w:rFonts w:ascii="仿宋_GB2312" w:eastAsia="仿宋_GB2312"/>
          <w:sz w:val="32"/>
          <w:szCs w:val="32"/>
        </w:rPr>
        <w:t>。</w:t>
      </w:r>
      <w:bookmarkStart w:id="1389" w:name="_Toc20934_WPSOffice_Level1"/>
    </w:p>
    <w:p>
      <w:pPr>
        <w:spacing w:line="590" w:lineRule="exact"/>
        <w:ind w:firstLine="640" w:firstLineChars="200"/>
        <w:rPr>
          <w:rFonts w:ascii="仿宋_GB2312" w:eastAsia="仿宋_GB2312"/>
          <w:sz w:val="32"/>
          <w:szCs w:val="32"/>
        </w:rPr>
      </w:pPr>
      <w:r>
        <w:rPr>
          <w:rFonts w:ascii="仿宋_GB2312" w:eastAsia="仿宋_GB2312"/>
          <w:sz w:val="32"/>
          <w:szCs w:val="32"/>
        </w:rPr>
        <w:t xml:space="preserve"> </w:t>
      </w:r>
    </w:p>
    <w:p>
      <w:pPr>
        <w:spacing w:line="590" w:lineRule="exact"/>
        <w:jc w:val="center"/>
        <w:outlineLvl w:val="9"/>
        <w:rPr>
          <w:rFonts w:ascii="黑体" w:hAnsi="黑体" w:eastAsia="黑体"/>
          <w:b/>
          <w:sz w:val="32"/>
          <w:szCs w:val="32"/>
        </w:rPr>
      </w:pPr>
      <w:bookmarkStart w:id="1390" w:name="_Toc23360_WPSOffice_Level1"/>
      <w:r>
        <w:rPr>
          <w:rFonts w:hint="eastAsia" w:ascii="黑体" w:hAnsi="黑体" w:eastAsia="黑体"/>
          <w:b/>
          <w:sz w:val="32"/>
          <w:szCs w:val="32"/>
        </w:rPr>
        <w:t>第五章  经费管</w:t>
      </w:r>
      <w:bookmarkEnd w:id="1389"/>
      <w:r>
        <w:rPr>
          <w:rFonts w:hint="eastAsia" w:ascii="黑体" w:hAnsi="黑体" w:eastAsia="黑体"/>
          <w:b/>
          <w:sz w:val="32"/>
          <w:szCs w:val="32"/>
        </w:rPr>
        <w:t>理</w:t>
      </w:r>
      <w:bookmarkEnd w:id="1390"/>
    </w:p>
    <w:p>
      <w:pPr>
        <w:spacing w:line="590" w:lineRule="exact"/>
        <w:ind w:firstLine="643" w:firstLineChars="200"/>
        <w:rPr>
          <w:rFonts w:ascii="仿宋_GB2312" w:eastAsia="仿宋_GB2312"/>
          <w:sz w:val="32"/>
          <w:szCs w:val="32"/>
        </w:rPr>
      </w:pPr>
      <w:r>
        <w:rPr>
          <w:rFonts w:ascii="仿宋_GB2312" w:eastAsia="仿宋_GB2312"/>
          <w:b/>
          <w:sz w:val="32"/>
          <w:szCs w:val="32"/>
        </w:rPr>
        <w:t>第十八条</w:t>
      </w:r>
      <w:r>
        <w:rPr>
          <w:rFonts w:ascii="仿宋_GB2312" w:eastAsia="仿宋_GB2312"/>
          <w:sz w:val="32"/>
          <w:szCs w:val="32"/>
        </w:rPr>
        <w:t xml:space="preserve">  培训按项目形式进行管理，项目经费支出遵循“经费包干”的原则，经费按比例分配到承办部门，项目所需开支由承办部门按</w:t>
      </w:r>
      <w:r>
        <w:rPr>
          <w:rFonts w:hint="eastAsia" w:ascii="仿宋_GB2312" w:eastAsia="仿宋_GB2312"/>
          <w:sz w:val="32"/>
          <w:szCs w:val="32"/>
        </w:rPr>
        <w:t>校</w:t>
      </w:r>
      <w:r>
        <w:rPr>
          <w:rFonts w:ascii="仿宋_GB2312" w:eastAsia="仿宋_GB2312"/>
          <w:sz w:val="32"/>
          <w:szCs w:val="32"/>
        </w:rPr>
        <w:t>财务规定进行结算，培训结余部分</w:t>
      </w:r>
      <w:r>
        <w:rPr>
          <w:rFonts w:hint="eastAsia" w:ascii="仿宋_GB2312" w:eastAsia="仿宋_GB2312"/>
          <w:sz w:val="32"/>
          <w:szCs w:val="32"/>
        </w:rPr>
        <w:t>按学校相关规定处置</w:t>
      </w:r>
      <w:r>
        <w:rPr>
          <w:rFonts w:ascii="仿宋_GB2312" w:eastAsia="仿宋_GB2312"/>
          <w:sz w:val="32"/>
          <w:szCs w:val="32"/>
        </w:rPr>
        <w:t>。</w:t>
      </w:r>
    </w:p>
    <w:p>
      <w:pPr>
        <w:spacing w:line="590" w:lineRule="exact"/>
        <w:ind w:firstLine="643" w:firstLineChars="200"/>
        <w:rPr>
          <w:rFonts w:ascii="仿宋_GB2312" w:eastAsia="仿宋_GB2312"/>
          <w:sz w:val="32"/>
          <w:szCs w:val="32"/>
        </w:rPr>
      </w:pPr>
      <w:r>
        <w:rPr>
          <w:rFonts w:ascii="仿宋_GB2312" w:eastAsia="仿宋_GB2312"/>
          <w:b/>
          <w:sz w:val="32"/>
          <w:szCs w:val="32"/>
        </w:rPr>
        <w:t>第十九条</w:t>
      </w:r>
      <w:r>
        <w:rPr>
          <w:rFonts w:ascii="仿宋_GB2312" w:eastAsia="仿宋_GB2312"/>
          <w:sz w:val="32"/>
          <w:szCs w:val="32"/>
        </w:rPr>
        <w:t xml:space="preserve">  培训项目经费厉行节约、反对浪费。严格遵守国家有关规定和学校费用支出办法执行。</w:t>
      </w:r>
    </w:p>
    <w:p>
      <w:pPr>
        <w:spacing w:line="590" w:lineRule="exact"/>
        <w:ind w:firstLine="640" w:firstLineChars="200"/>
        <w:rPr>
          <w:rFonts w:ascii="仿宋_GB2312" w:eastAsia="仿宋_GB2312"/>
          <w:sz w:val="32"/>
          <w:szCs w:val="32"/>
        </w:rPr>
      </w:pPr>
      <w:r>
        <w:rPr>
          <w:rFonts w:ascii="仿宋_GB2312" w:eastAsia="仿宋_GB2312"/>
          <w:sz w:val="32"/>
          <w:szCs w:val="32"/>
        </w:rPr>
        <w:t xml:space="preserve"> </w:t>
      </w:r>
    </w:p>
    <w:p>
      <w:pPr>
        <w:spacing w:line="590" w:lineRule="exact"/>
        <w:jc w:val="center"/>
        <w:outlineLvl w:val="9"/>
        <w:rPr>
          <w:rFonts w:ascii="黑体" w:hAnsi="黑体" w:eastAsia="黑体"/>
          <w:b/>
          <w:sz w:val="32"/>
          <w:szCs w:val="32"/>
        </w:rPr>
      </w:pPr>
      <w:bookmarkStart w:id="1391" w:name="_Toc22061_WPSOffice_Level1"/>
      <w:r>
        <w:rPr>
          <w:rFonts w:hint="eastAsia" w:ascii="黑体" w:hAnsi="黑体" w:eastAsia="黑体"/>
          <w:b/>
          <w:sz w:val="32"/>
          <w:szCs w:val="32"/>
        </w:rPr>
        <w:t>第六章   其它</w:t>
      </w:r>
      <w:bookmarkEnd w:id="1391"/>
    </w:p>
    <w:p>
      <w:pPr>
        <w:spacing w:line="590" w:lineRule="exact"/>
        <w:ind w:firstLine="643" w:firstLineChars="200"/>
        <w:rPr>
          <w:rFonts w:ascii="仿宋_GB2312" w:eastAsia="仿宋_GB2312"/>
          <w:sz w:val="32"/>
          <w:szCs w:val="32"/>
        </w:rPr>
      </w:pPr>
      <w:r>
        <w:rPr>
          <w:rFonts w:ascii="仿宋_GB2312" w:eastAsia="仿宋_GB2312"/>
          <w:b/>
          <w:sz w:val="32"/>
          <w:szCs w:val="32"/>
        </w:rPr>
        <w:t xml:space="preserve">第二十条 </w:t>
      </w:r>
      <w:r>
        <w:rPr>
          <w:rFonts w:ascii="仿宋_GB2312" w:eastAsia="仿宋_GB2312"/>
          <w:sz w:val="32"/>
          <w:szCs w:val="32"/>
        </w:rPr>
        <w:t xml:space="preserve"> 本规定由</w:t>
      </w:r>
      <w:r>
        <w:rPr>
          <w:rFonts w:hint="eastAsia" w:ascii="仿宋_GB2312" w:eastAsia="仿宋_GB2312"/>
          <w:sz w:val="32"/>
          <w:szCs w:val="32"/>
        </w:rPr>
        <w:t>柳职院社区学院（</w:t>
      </w:r>
      <w:r>
        <w:rPr>
          <w:rFonts w:ascii="仿宋_GB2312" w:eastAsia="仿宋_GB2312"/>
          <w:sz w:val="32"/>
          <w:szCs w:val="32"/>
        </w:rPr>
        <w:t>继续教育</w:t>
      </w:r>
      <w:r>
        <w:rPr>
          <w:rFonts w:hint="eastAsia" w:ascii="仿宋_GB2312" w:eastAsia="仿宋_GB2312"/>
          <w:sz w:val="32"/>
          <w:szCs w:val="32"/>
        </w:rPr>
        <w:t>学院）</w:t>
      </w:r>
      <w:r>
        <w:rPr>
          <w:rFonts w:ascii="仿宋_GB2312" w:eastAsia="仿宋_GB2312"/>
          <w:sz w:val="32"/>
          <w:szCs w:val="32"/>
        </w:rPr>
        <w:t>负责解释。</w:t>
      </w:r>
    </w:p>
    <w:p>
      <w:pPr>
        <w:spacing w:line="590" w:lineRule="exact"/>
        <w:ind w:firstLine="643" w:firstLineChars="200"/>
        <w:rPr>
          <w:rFonts w:ascii="仿宋_GB2312" w:eastAsia="仿宋_GB2312"/>
          <w:sz w:val="32"/>
          <w:szCs w:val="32"/>
        </w:rPr>
      </w:pPr>
      <w:r>
        <w:rPr>
          <w:rFonts w:ascii="仿宋_GB2312" w:eastAsia="仿宋_GB2312"/>
          <w:b/>
          <w:sz w:val="32"/>
          <w:szCs w:val="32"/>
        </w:rPr>
        <w:t>第二十</w:t>
      </w:r>
      <w:r>
        <w:rPr>
          <w:rFonts w:hint="eastAsia" w:ascii="仿宋_GB2312" w:eastAsia="仿宋_GB2312"/>
          <w:b/>
          <w:sz w:val="32"/>
          <w:szCs w:val="32"/>
        </w:rPr>
        <w:t>一</w:t>
      </w:r>
      <w:r>
        <w:rPr>
          <w:rFonts w:ascii="仿宋_GB2312" w:eastAsia="仿宋_GB2312"/>
          <w:b/>
          <w:sz w:val="32"/>
          <w:szCs w:val="32"/>
        </w:rPr>
        <w:t>条</w:t>
      </w:r>
      <w:r>
        <w:rPr>
          <w:rFonts w:ascii="仿宋_GB2312" w:eastAsia="仿宋_GB2312"/>
          <w:sz w:val="32"/>
          <w:szCs w:val="32"/>
        </w:rPr>
        <w:t xml:space="preserve">  本规定自发布之日起实行。 </w:t>
      </w:r>
    </w:p>
    <w:p>
      <w:pPr>
        <w:widowControl/>
        <w:jc w:val="left"/>
        <w:rPr>
          <w:rFonts w:hint="eastAsia"/>
          <w:lang w:val="en-US" w:eastAsia="zh-CN"/>
        </w:rPr>
      </w:pPr>
    </w:p>
    <w:p>
      <w:pPr>
        <w:tabs>
          <w:tab w:val="left" w:pos="1316"/>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392" w:name="_Toc534377773"/>
      <w:bookmarkStart w:id="1393" w:name="_Toc30661_WPSOffice_Level1"/>
      <w:bookmarkStart w:id="1394" w:name="_Toc431"/>
      <w:bookmarkStart w:id="1395" w:name="_Toc4922"/>
      <w:bookmarkStart w:id="1396" w:name="_Toc10218"/>
      <w:r>
        <w:rPr>
          <w:rFonts w:hint="eastAsia"/>
          <w:b/>
          <w:color w:val="000000"/>
          <w:sz w:val="36"/>
          <w:szCs w:val="36"/>
        </w:rPr>
        <w:t>柳州职业技术学院</w:t>
      </w:r>
      <w:bookmarkEnd w:id="1392"/>
      <w:bookmarkStart w:id="1397" w:name="_Toc534377774"/>
      <w:r>
        <w:rPr>
          <w:rFonts w:hint="eastAsia"/>
          <w:b/>
          <w:color w:val="000000"/>
          <w:sz w:val="36"/>
          <w:szCs w:val="36"/>
        </w:rPr>
        <w:t>非学历教育培训及考试劳务费管理办法（试行）</w:t>
      </w:r>
      <w:bookmarkEnd w:id="1393"/>
      <w:bookmarkEnd w:id="1394"/>
      <w:bookmarkEnd w:id="1395"/>
      <w:bookmarkEnd w:id="1396"/>
      <w:bookmarkEnd w:id="1397"/>
    </w:p>
    <w:p>
      <w:pPr>
        <w:pStyle w:val="10"/>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（柳职院字〔2017〕24号）</w:t>
      </w:r>
    </w:p>
    <w:p>
      <w:pPr>
        <w:pageBreakBefore w:val="0"/>
        <w:kinsoku/>
        <w:wordWrap/>
        <w:overflowPunct/>
        <w:topLinePunct w:val="0"/>
        <w:autoSpaceDE/>
        <w:autoSpaceDN/>
        <w:bidi w:val="0"/>
        <w:spacing w:line="580" w:lineRule="exact"/>
        <w:jc w:val="center"/>
        <w:outlineLvl w:val="9"/>
        <w:rPr>
          <w:rFonts w:ascii="仿宋_GB2312" w:eastAsia="仿宋_GB2312"/>
          <w:sz w:val="32"/>
          <w:szCs w:val="32"/>
        </w:rPr>
      </w:pPr>
    </w:p>
    <w:p>
      <w:pPr>
        <w:pageBreakBefore w:val="0"/>
        <w:kinsoku/>
        <w:wordWrap/>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hAnsi="黑体" w:eastAsia="仿宋_GB2312"/>
          <w:b/>
          <w:sz w:val="32"/>
          <w:szCs w:val="32"/>
        </w:rPr>
        <w:t>第一条</w:t>
      </w:r>
      <w:r>
        <w:rPr>
          <w:rFonts w:hint="eastAsia" w:ascii="黑体" w:hAnsi="黑体" w:eastAsia="黑体"/>
          <w:b/>
          <w:sz w:val="32"/>
          <w:szCs w:val="32"/>
        </w:rPr>
        <w:t xml:space="preserve">  </w:t>
      </w:r>
      <w:r>
        <w:rPr>
          <w:rFonts w:hint="eastAsia" w:ascii="仿宋_GB2312" w:eastAsia="仿宋_GB2312"/>
          <w:sz w:val="32"/>
          <w:szCs w:val="32"/>
        </w:rPr>
        <w:t>为规范非学历教育培训、考试等劳务费支出管理，维护教师、工作人员劳动权益，根据柳州市、自治区有关人事、教育考试、培训劳务费管理办法等有关文件规定，并结合学校实际，特制定如下管理办法。</w:t>
      </w:r>
    </w:p>
    <w:p>
      <w:pPr>
        <w:pageBreakBefore w:val="0"/>
        <w:kinsoku/>
        <w:wordWrap/>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hAnsi="黑体" w:eastAsia="仿宋_GB2312"/>
          <w:b/>
          <w:sz w:val="32"/>
          <w:szCs w:val="32"/>
        </w:rPr>
        <w:t xml:space="preserve">第二条  </w:t>
      </w:r>
      <w:r>
        <w:rPr>
          <w:rFonts w:hint="eastAsia" w:ascii="仿宋_GB2312" w:eastAsia="仿宋_GB2312"/>
          <w:sz w:val="32"/>
          <w:szCs w:val="32"/>
        </w:rPr>
        <w:t>本办法所指非学历教育培训及考试是指承担学校各类非学历教育的短期培训（如社</w:t>
      </w:r>
      <w:bookmarkStart w:id="1398" w:name="_Toc11981_WPSOffice_Level1"/>
      <w:r>
        <w:rPr>
          <w:rFonts w:hint="eastAsia" w:ascii="仿宋_GB2312" w:eastAsia="仿宋_GB2312"/>
          <w:sz w:val="32"/>
          <w:szCs w:val="32"/>
        </w:rPr>
        <w:t>会培训、</w:t>
      </w:r>
      <w:bookmarkEnd w:id="1398"/>
      <w:r>
        <w:rPr>
          <w:rFonts w:hint="eastAsia" w:ascii="仿宋_GB2312" w:eastAsia="仿宋_GB2312"/>
          <w:sz w:val="32"/>
          <w:szCs w:val="32"/>
        </w:rPr>
        <w:t>企</w:t>
      </w:r>
      <w:bookmarkStart w:id="1399" w:name="_Toc5652_WPSOffice_Level1"/>
      <w:r>
        <w:rPr>
          <w:rFonts w:hint="eastAsia" w:ascii="仿宋_GB2312" w:eastAsia="仿宋_GB2312"/>
          <w:sz w:val="32"/>
          <w:szCs w:val="32"/>
        </w:rPr>
        <w:t>业培训、职业技能</w:t>
      </w:r>
      <w:bookmarkEnd w:id="1399"/>
      <w:r>
        <w:rPr>
          <w:rFonts w:hint="eastAsia" w:ascii="仿宋_GB2312" w:eastAsia="仿宋_GB2312"/>
          <w:sz w:val="32"/>
          <w:szCs w:val="32"/>
        </w:rPr>
        <w:t>鉴定及培训、普通话培训等短期培训），以及承担政府部门、行业、企业组织的各类水平性、选拔性考试及服务（如教师资格考试及面试、人事选拔考试、职业技能鉴定考试考评、计算机等级考试等）。</w:t>
      </w:r>
    </w:p>
    <w:p>
      <w:pPr>
        <w:pageBreakBefore w:val="0"/>
        <w:kinsoku/>
        <w:wordWrap/>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hAnsi="黑体" w:eastAsia="仿宋_GB2312"/>
          <w:b/>
          <w:sz w:val="32"/>
          <w:szCs w:val="32"/>
        </w:rPr>
        <w:t xml:space="preserve">第三条  </w:t>
      </w:r>
      <w:r>
        <w:rPr>
          <w:rFonts w:hint="eastAsia" w:ascii="仿宋_GB2312" w:eastAsia="仿宋_GB2312"/>
          <w:sz w:val="32"/>
          <w:szCs w:val="32"/>
        </w:rPr>
        <w:t xml:space="preserve">本办法所指劳务费是指学校有关部门及二级学院承办上述培训业务及考试业务期间，根据工作需要，参加教学、管理、组织策划、考务、巡视等的各类工作人员，用学校短期培训、考试项目专项经费向培训、考评、考试组织实施的工作人员支付的劳动报酬。  </w:t>
      </w:r>
    </w:p>
    <w:p>
      <w:pPr>
        <w:pageBreakBefore w:val="0"/>
        <w:kinsoku/>
        <w:wordWrap/>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hAnsi="黑体" w:eastAsia="仿宋_GB2312"/>
          <w:b/>
          <w:sz w:val="32"/>
          <w:szCs w:val="32"/>
        </w:rPr>
        <w:t xml:space="preserve">第四条  </w:t>
      </w:r>
      <w:r>
        <w:rPr>
          <w:rFonts w:hint="eastAsia" w:ascii="仿宋_GB2312" w:eastAsia="仿宋_GB2312"/>
          <w:sz w:val="32"/>
          <w:szCs w:val="32"/>
        </w:rPr>
        <w:t>劳务费报酬的支付坚持依法合规、从严控制、按项目支付的原则，并严格按照学校有关财务制度的有关规定执行。</w:t>
      </w:r>
    </w:p>
    <w:p>
      <w:pPr>
        <w:pageBreakBefore w:val="0"/>
        <w:kinsoku/>
        <w:wordWrap/>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hAnsi="黑体" w:eastAsia="仿宋_GB2312"/>
          <w:b/>
          <w:sz w:val="32"/>
          <w:szCs w:val="32"/>
        </w:rPr>
        <w:t xml:space="preserve">第五条 </w:t>
      </w:r>
      <w:r>
        <w:rPr>
          <w:rFonts w:hint="eastAsia" w:ascii="仿宋_GB2312" w:eastAsia="仿宋_GB2312"/>
          <w:sz w:val="32"/>
          <w:szCs w:val="32"/>
        </w:rPr>
        <w:t xml:space="preserve"> 劳务费的支出标准按照“分类核定、按劳取酬”的原则，综合考虑技术含量、任务要求、岗位责任、工作时间等因素合理核定。各类项目劳务费发放标准如下：</w:t>
      </w:r>
    </w:p>
    <w:p>
      <w:pPr>
        <w:pageBreakBefore w:val="0"/>
        <w:kinsoku/>
        <w:wordWrap/>
        <w:overflowPunct/>
        <w:topLinePunct w:val="0"/>
        <w:autoSpaceDE/>
        <w:autoSpaceDN/>
        <w:bidi w:val="0"/>
        <w:spacing w:line="580" w:lineRule="exact"/>
        <w:jc w:val="center"/>
        <w:outlineLvl w:val="9"/>
        <w:rPr>
          <w:rFonts w:ascii="仿宋_GB2312" w:eastAsia="仿宋_GB2312"/>
          <w:b/>
          <w:sz w:val="32"/>
          <w:szCs w:val="32"/>
        </w:rPr>
      </w:pPr>
      <w:r>
        <w:rPr>
          <w:rFonts w:hint="eastAsia" w:ascii="仿宋_GB2312" w:eastAsia="仿宋_GB2312"/>
          <w:b/>
          <w:sz w:val="32"/>
          <w:szCs w:val="32"/>
        </w:rPr>
        <w:t>培训项目劳务费标准</w:t>
      </w:r>
    </w:p>
    <w:tbl>
      <w:tblPr>
        <w:tblStyle w:val="14"/>
        <w:tblW w:w="9015" w:type="dxa"/>
        <w:jc w:val="center"/>
        <w:tblInd w:w="0" w:type="dxa"/>
        <w:tblLayout w:type="fixed"/>
        <w:tblCellMar>
          <w:top w:w="57" w:type="dxa"/>
          <w:left w:w="108" w:type="dxa"/>
          <w:bottom w:w="57" w:type="dxa"/>
          <w:right w:w="108" w:type="dxa"/>
        </w:tblCellMar>
      </w:tblPr>
      <w:tblGrid>
        <w:gridCol w:w="724"/>
        <w:gridCol w:w="1559"/>
        <w:gridCol w:w="2447"/>
        <w:gridCol w:w="1984"/>
        <w:gridCol w:w="2301"/>
      </w:tblGrid>
      <w:tr>
        <w:tblPrEx>
          <w:tblLayout w:type="fixed"/>
          <w:tblCellMar>
            <w:top w:w="57" w:type="dxa"/>
            <w:left w:w="108" w:type="dxa"/>
            <w:bottom w:w="57" w:type="dxa"/>
            <w:right w:w="108" w:type="dxa"/>
          </w:tblCellMar>
        </w:tblPrEx>
        <w:trPr>
          <w:trHeight w:val="56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序号</w:t>
            </w:r>
          </w:p>
        </w:tc>
        <w:tc>
          <w:tcPr>
            <w:tcW w:w="155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项目名称</w:t>
            </w:r>
          </w:p>
        </w:tc>
        <w:tc>
          <w:tcPr>
            <w:tcW w:w="2447"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发放标准</w:t>
            </w:r>
          </w:p>
        </w:tc>
        <w:tc>
          <w:tcPr>
            <w:tcW w:w="1984"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发放依据</w:t>
            </w:r>
          </w:p>
        </w:tc>
        <w:tc>
          <w:tcPr>
            <w:tcW w:w="230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备注</w:t>
            </w:r>
          </w:p>
        </w:tc>
      </w:tr>
      <w:tr>
        <w:tblPrEx>
          <w:tblLayout w:type="fixed"/>
          <w:tblCellMar>
            <w:top w:w="57" w:type="dxa"/>
            <w:left w:w="108" w:type="dxa"/>
            <w:bottom w:w="57" w:type="dxa"/>
            <w:right w:w="108" w:type="dxa"/>
          </w:tblCellMar>
        </w:tblPrEx>
        <w:trPr>
          <w:trHeight w:val="567" w:hRule="atLeast"/>
          <w:jc w:val="center"/>
        </w:trPr>
        <w:tc>
          <w:tcPr>
            <w:tcW w:w="72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w:t>
            </w:r>
          </w:p>
        </w:tc>
        <w:tc>
          <w:tcPr>
            <w:tcW w:w="1559"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外聘教师讲课费（税后）</w:t>
            </w:r>
          </w:p>
        </w:tc>
        <w:tc>
          <w:tcPr>
            <w:tcW w:w="2447"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（1）副高级技术职称专业人员级处级领导干部：≤1000元/半天；</w:t>
            </w:r>
          </w:p>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（2）正高级技术职称专业人员及局级领导干部：≤2000元/半天；</w:t>
            </w:r>
          </w:p>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（3）院士、全国知名专家、部级领导干部：≤3000元/半天。</w:t>
            </w:r>
          </w:p>
        </w:tc>
        <w:tc>
          <w:tcPr>
            <w:tcW w:w="198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参照柳州市《关于印发柳州市本级培训费管理办法》（柳财字〔2014〕8号）及及《关于印发柳州市本机培训费管理办法补充规定的通知》（柳财字〔2014〕10号）。</w:t>
            </w:r>
          </w:p>
        </w:tc>
        <w:tc>
          <w:tcPr>
            <w:tcW w:w="2301"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（1）此标准是指承办政府购买服务项目并使用该项目资金的培训</w:t>
            </w:r>
          </w:p>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（2）承担非政府购买服务的培训项目原则上按此标准执行，个别特殊项目可按市场价格协商按合同或协议确定。</w:t>
            </w:r>
          </w:p>
        </w:tc>
      </w:tr>
      <w:tr>
        <w:tblPrEx>
          <w:tblLayout w:type="fixed"/>
          <w:tblCellMar>
            <w:top w:w="57" w:type="dxa"/>
            <w:left w:w="108" w:type="dxa"/>
            <w:bottom w:w="57" w:type="dxa"/>
            <w:right w:w="108" w:type="dxa"/>
          </w:tblCellMar>
        </w:tblPrEx>
        <w:trPr>
          <w:trHeight w:val="567" w:hRule="atLeast"/>
          <w:jc w:val="center"/>
        </w:trPr>
        <w:tc>
          <w:tcPr>
            <w:tcW w:w="72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w:t>
            </w:r>
          </w:p>
        </w:tc>
        <w:tc>
          <w:tcPr>
            <w:tcW w:w="1559"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校内教师教学工作量</w:t>
            </w:r>
          </w:p>
        </w:tc>
        <w:tc>
          <w:tcPr>
            <w:tcW w:w="2447"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p>
        </w:tc>
        <w:tc>
          <w:tcPr>
            <w:tcW w:w="198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参照学校教学工作量发放标准</w:t>
            </w:r>
          </w:p>
        </w:tc>
        <w:tc>
          <w:tcPr>
            <w:tcW w:w="2301"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p>
        </w:tc>
      </w:tr>
      <w:tr>
        <w:tblPrEx>
          <w:tblLayout w:type="fixed"/>
          <w:tblCellMar>
            <w:top w:w="57" w:type="dxa"/>
            <w:left w:w="108" w:type="dxa"/>
            <w:bottom w:w="57" w:type="dxa"/>
            <w:right w:w="108" w:type="dxa"/>
          </w:tblCellMar>
        </w:tblPrEx>
        <w:trPr>
          <w:trHeight w:val="567" w:hRule="atLeast"/>
          <w:jc w:val="center"/>
        </w:trPr>
        <w:tc>
          <w:tcPr>
            <w:tcW w:w="72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w:t>
            </w:r>
          </w:p>
        </w:tc>
        <w:tc>
          <w:tcPr>
            <w:tcW w:w="1559"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班主任工作量</w:t>
            </w:r>
          </w:p>
        </w:tc>
        <w:tc>
          <w:tcPr>
            <w:tcW w:w="2447"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150元/班/周</w:t>
            </w:r>
          </w:p>
        </w:tc>
        <w:tc>
          <w:tcPr>
            <w:tcW w:w="198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参照《学校专业班主任管理办法》（柳职院学字〔2015〕18 号）</w:t>
            </w:r>
          </w:p>
        </w:tc>
        <w:tc>
          <w:tcPr>
            <w:tcW w:w="2301"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以25 人为一个标准班，不足一周按一周计算，每增加 1 人，</w:t>
            </w:r>
            <w:r>
              <w:rPr>
                <w:rFonts w:hint="eastAsia" w:ascii="仿宋_GB2312" w:hAnsi="宋体" w:eastAsia="仿宋_GB2312" w:cs="宋体"/>
                <w:kern w:val="0"/>
                <w:sz w:val="21"/>
                <w:szCs w:val="21"/>
              </w:rPr>
              <w:t>增加 5 元/周，</w:t>
            </w:r>
            <w:r>
              <w:rPr>
                <w:rFonts w:hint="eastAsia" w:ascii="仿宋_GB2312" w:hAnsi="宋体" w:eastAsia="仿宋_GB2312" w:cs="宋体"/>
                <w:color w:val="000000"/>
                <w:kern w:val="0"/>
                <w:sz w:val="21"/>
                <w:szCs w:val="21"/>
              </w:rPr>
              <w:t>每减少 1 人，减少 3 元/周。</w:t>
            </w:r>
            <w:r>
              <w:rPr>
                <w:rFonts w:hint="eastAsia" w:ascii="仿宋_GB2312" w:hAnsi="宋体" w:eastAsia="仿宋_GB2312" w:cs="宋体"/>
                <w:kern w:val="0"/>
                <w:sz w:val="21"/>
                <w:szCs w:val="21"/>
              </w:rPr>
              <w:t>但最少不低于 100 元/周，最高不超过300元/周及500元/四周。</w:t>
            </w:r>
          </w:p>
        </w:tc>
      </w:tr>
      <w:tr>
        <w:tblPrEx>
          <w:tblLayout w:type="fixed"/>
          <w:tblCellMar>
            <w:top w:w="57" w:type="dxa"/>
            <w:left w:w="108" w:type="dxa"/>
            <w:bottom w:w="57" w:type="dxa"/>
            <w:right w:w="108" w:type="dxa"/>
          </w:tblCellMar>
        </w:tblPrEx>
        <w:trPr>
          <w:trHeight w:val="567" w:hRule="atLeast"/>
          <w:jc w:val="center"/>
        </w:trPr>
        <w:tc>
          <w:tcPr>
            <w:tcW w:w="724"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4</w:t>
            </w:r>
          </w:p>
        </w:tc>
        <w:tc>
          <w:tcPr>
            <w:tcW w:w="1559"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方案制定及课程开发工作量</w:t>
            </w:r>
          </w:p>
        </w:tc>
        <w:tc>
          <w:tcPr>
            <w:tcW w:w="2447"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50-200元/课时</w:t>
            </w:r>
          </w:p>
        </w:tc>
        <w:tc>
          <w:tcPr>
            <w:tcW w:w="198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参照柳州市职业教育师培经费核定标准（试行）</w:t>
            </w:r>
          </w:p>
        </w:tc>
        <w:tc>
          <w:tcPr>
            <w:tcW w:w="2301"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需综合考虑培训项目技术含量、培训时间、规模等因素进行综合评审确定具体标准。</w:t>
            </w:r>
            <w:r>
              <w:rPr>
                <w:rFonts w:hint="eastAsia" w:ascii="仿宋_GB2312" w:hAnsi="宋体" w:eastAsia="仿宋_GB2312" w:cs="宋体"/>
                <w:b/>
                <w:color w:val="000000"/>
                <w:kern w:val="0"/>
                <w:sz w:val="21"/>
                <w:szCs w:val="21"/>
              </w:rPr>
              <w:t>总工作量=发放标准×该方案课时总数</w:t>
            </w:r>
          </w:p>
        </w:tc>
      </w:tr>
    </w:tbl>
    <w:p>
      <w:pPr>
        <w:pageBreakBefore w:val="0"/>
        <w:kinsoku/>
        <w:wordWrap/>
        <w:overflowPunct/>
        <w:topLinePunct w:val="0"/>
        <w:autoSpaceDE/>
        <w:autoSpaceDN/>
        <w:bidi w:val="0"/>
        <w:outlineLvl w:val="9"/>
        <w:rPr>
          <w:rFonts w:ascii="宋体" w:hAnsi="宋体" w:cs="宋体"/>
          <w:b/>
          <w:color w:val="000000"/>
          <w:kern w:val="0"/>
          <w:szCs w:val="28"/>
        </w:rPr>
      </w:pPr>
      <w:r>
        <w:rPr>
          <w:rFonts w:hint="eastAsia" w:ascii="宋体" w:hAnsi="宋体" w:cs="宋体"/>
          <w:b/>
          <w:color w:val="000000"/>
          <w:kern w:val="0"/>
          <w:szCs w:val="28"/>
        </w:rPr>
        <w:t>（二）考试项目劳务费标准</w:t>
      </w:r>
    </w:p>
    <w:tbl>
      <w:tblPr>
        <w:tblStyle w:val="14"/>
        <w:tblW w:w="8935" w:type="dxa"/>
        <w:jc w:val="center"/>
        <w:tblInd w:w="0" w:type="dxa"/>
        <w:tblLayout w:type="fixed"/>
        <w:tblCellMar>
          <w:top w:w="28" w:type="dxa"/>
          <w:left w:w="108" w:type="dxa"/>
          <w:bottom w:w="28" w:type="dxa"/>
          <w:right w:w="108" w:type="dxa"/>
        </w:tblCellMar>
      </w:tblPr>
      <w:tblGrid>
        <w:gridCol w:w="866"/>
        <w:gridCol w:w="1863"/>
        <w:gridCol w:w="1620"/>
        <w:gridCol w:w="2599"/>
        <w:gridCol w:w="1987"/>
      </w:tblGrid>
      <w:tr>
        <w:tblPrEx>
          <w:tblLayout w:type="fixed"/>
          <w:tblCellMar>
            <w:top w:w="28" w:type="dxa"/>
            <w:left w:w="108" w:type="dxa"/>
            <w:bottom w:w="28" w:type="dxa"/>
            <w:right w:w="108" w:type="dxa"/>
          </w:tblCellMar>
        </w:tblPrEx>
        <w:trPr>
          <w:trHeight w:val="567"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序号</w:t>
            </w:r>
          </w:p>
        </w:tc>
        <w:tc>
          <w:tcPr>
            <w:tcW w:w="186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项目名称</w:t>
            </w:r>
          </w:p>
        </w:tc>
        <w:tc>
          <w:tcPr>
            <w:tcW w:w="16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发放标准</w:t>
            </w:r>
          </w:p>
        </w:tc>
        <w:tc>
          <w:tcPr>
            <w:tcW w:w="259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发放依据</w:t>
            </w:r>
          </w:p>
        </w:tc>
        <w:tc>
          <w:tcPr>
            <w:tcW w:w="1987"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备注</w:t>
            </w:r>
          </w:p>
        </w:tc>
      </w:tr>
      <w:tr>
        <w:tblPrEx>
          <w:tblLayout w:type="fixed"/>
          <w:tblCellMar>
            <w:top w:w="28" w:type="dxa"/>
            <w:left w:w="108" w:type="dxa"/>
            <w:bottom w:w="28" w:type="dxa"/>
            <w:right w:w="108" w:type="dxa"/>
          </w:tblCellMar>
        </w:tblPrEx>
        <w:trPr>
          <w:trHeight w:val="567" w:hRule="atLeast"/>
          <w:jc w:val="center"/>
        </w:trPr>
        <w:tc>
          <w:tcPr>
            <w:tcW w:w="866"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w:t>
            </w:r>
          </w:p>
        </w:tc>
        <w:tc>
          <w:tcPr>
            <w:tcW w:w="186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监考员及考务工作人员</w:t>
            </w:r>
          </w:p>
        </w:tc>
        <w:tc>
          <w:tcPr>
            <w:tcW w:w="16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150元/场</w:t>
            </w:r>
          </w:p>
        </w:tc>
        <w:tc>
          <w:tcPr>
            <w:tcW w:w="2599" w:type="dxa"/>
            <w:vMerge w:val="restart"/>
            <w:tcBorders>
              <w:top w:val="nil"/>
              <w:left w:val="nil"/>
              <w:right w:val="single" w:color="auto" w:sz="4" w:space="0"/>
            </w:tcBorders>
            <w:vAlign w:val="center"/>
          </w:tcPr>
          <w:p>
            <w:pPr>
              <w:pageBreakBefore w:val="0"/>
              <w:widowControl/>
              <w:kinsoku/>
              <w:wordWrap/>
              <w:overflowPunct/>
              <w:topLinePunct w:val="0"/>
              <w:autoSpaceDE/>
              <w:autoSpaceDN/>
              <w:bidi w:val="0"/>
              <w:spacing w:line="300" w:lineRule="exac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参照《广西壮族自治区教育考试劳务费管理办法（试行）》（桂教考试[2017]2号）及《广西壮族自治区人事考试劳务费管理办法（试行）》（桂人社[2016]52号）</w:t>
            </w:r>
          </w:p>
        </w:tc>
        <w:tc>
          <w:tcPr>
            <w:tcW w:w="1987" w:type="dxa"/>
            <w:vMerge w:val="restart"/>
            <w:tcBorders>
              <w:top w:val="nil"/>
              <w:left w:val="nil"/>
              <w:right w:val="single" w:color="auto" w:sz="4" w:space="0"/>
            </w:tcBorders>
            <w:vAlign w:val="center"/>
          </w:tcPr>
          <w:p>
            <w:pPr>
              <w:pageBreakBefore w:val="0"/>
              <w:kinsoku/>
              <w:wordWrap/>
              <w:overflowPunct/>
              <w:topLinePunct w:val="0"/>
              <w:autoSpaceDE/>
              <w:autoSpaceDN/>
              <w:bidi w:val="0"/>
              <w:spacing w:line="300" w:lineRule="exac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　2小时内为1场，超过2小时类推。但每日评审及监考劳务费不得超过统计部门公布的全区城镇非营利单位上年度在岗职工日平均工资标准的3倍</w:t>
            </w:r>
          </w:p>
        </w:tc>
      </w:tr>
      <w:tr>
        <w:tblPrEx>
          <w:tblLayout w:type="fixed"/>
          <w:tblCellMar>
            <w:top w:w="28" w:type="dxa"/>
            <w:left w:w="108" w:type="dxa"/>
            <w:bottom w:w="28" w:type="dxa"/>
            <w:right w:w="108" w:type="dxa"/>
          </w:tblCellMar>
        </w:tblPrEx>
        <w:trPr>
          <w:trHeight w:val="567" w:hRule="atLeast"/>
          <w:jc w:val="center"/>
        </w:trPr>
        <w:tc>
          <w:tcPr>
            <w:tcW w:w="866"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w:t>
            </w:r>
          </w:p>
        </w:tc>
        <w:tc>
          <w:tcPr>
            <w:tcW w:w="186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试卷保管（含运送、分发）、</w:t>
            </w:r>
          </w:p>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、数据处理、报名、考务组织、审核等工作人</w:t>
            </w:r>
            <w:bookmarkStart w:id="1400" w:name="_Toc20501_WPSOffice_Level1"/>
            <w:r>
              <w:rPr>
                <w:rFonts w:hint="eastAsia" w:ascii="仿宋_GB2312" w:hAnsi="宋体" w:eastAsia="仿宋_GB2312" w:cs="宋体"/>
                <w:color w:val="000000"/>
                <w:kern w:val="0"/>
                <w:sz w:val="21"/>
                <w:szCs w:val="21"/>
              </w:rPr>
              <w:t>员</w:t>
            </w:r>
          </w:p>
        </w:tc>
        <w:tc>
          <w:tcPr>
            <w:tcW w:w="16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统计部门公布的全区城镇非营利</w:t>
            </w:r>
            <w:bookmarkEnd w:id="1400"/>
            <w:r>
              <w:rPr>
                <w:rFonts w:hint="eastAsia" w:ascii="仿宋_GB2312" w:hAnsi="宋体" w:eastAsia="仿宋_GB2312" w:cs="宋体"/>
                <w:color w:val="000000"/>
                <w:kern w:val="0"/>
                <w:sz w:val="21"/>
                <w:szCs w:val="21"/>
              </w:rPr>
              <w:t>单位上年度在岗职工日平均工资标准的2倍</w:t>
            </w:r>
          </w:p>
        </w:tc>
        <w:tc>
          <w:tcPr>
            <w:tcW w:w="2599" w:type="dxa"/>
            <w:vMerge w:val="continue"/>
            <w:tcBorders>
              <w:left w:val="nil"/>
              <w:right w:val="single" w:color="auto" w:sz="4" w:space="0"/>
            </w:tcBorders>
            <w:vAlign w:val="center"/>
          </w:tcPr>
          <w:p>
            <w:pPr>
              <w:pageBreakBefore w:val="0"/>
              <w:widowControl/>
              <w:kinsoku/>
              <w:wordWrap/>
              <w:overflowPunct/>
              <w:topLinePunct w:val="0"/>
              <w:autoSpaceDE/>
              <w:autoSpaceDN/>
              <w:bidi w:val="0"/>
              <w:spacing w:line="300" w:lineRule="exact"/>
              <w:outlineLvl w:val="9"/>
              <w:rPr>
                <w:rFonts w:ascii="仿宋_GB2312" w:hAnsi="宋体" w:eastAsia="仿宋_GB2312" w:cs="宋体"/>
                <w:color w:val="000000"/>
                <w:kern w:val="0"/>
                <w:sz w:val="21"/>
                <w:szCs w:val="21"/>
              </w:rPr>
            </w:pPr>
          </w:p>
        </w:tc>
        <w:tc>
          <w:tcPr>
            <w:tcW w:w="1987" w:type="dxa"/>
            <w:vMerge w:val="continue"/>
            <w:tcBorders>
              <w:left w:val="nil"/>
              <w:right w:val="single" w:color="auto" w:sz="4" w:space="0"/>
            </w:tcBorders>
            <w:vAlign w:val="center"/>
          </w:tcPr>
          <w:p>
            <w:pPr>
              <w:pageBreakBefore w:val="0"/>
              <w:widowControl/>
              <w:kinsoku/>
              <w:wordWrap/>
              <w:overflowPunct/>
              <w:topLinePunct w:val="0"/>
              <w:autoSpaceDE/>
              <w:autoSpaceDN/>
              <w:bidi w:val="0"/>
              <w:spacing w:line="300" w:lineRule="exact"/>
              <w:outlineLvl w:val="9"/>
              <w:rPr>
                <w:rFonts w:ascii="仿宋_GB2312" w:hAnsi="宋体" w:eastAsia="仿宋_GB2312" w:cs="宋体"/>
                <w:color w:val="000000"/>
                <w:kern w:val="0"/>
                <w:sz w:val="21"/>
                <w:szCs w:val="21"/>
              </w:rPr>
            </w:pPr>
          </w:p>
        </w:tc>
      </w:tr>
      <w:tr>
        <w:tblPrEx>
          <w:tblLayout w:type="fixed"/>
          <w:tblCellMar>
            <w:top w:w="28" w:type="dxa"/>
            <w:left w:w="108" w:type="dxa"/>
            <w:bottom w:w="28" w:type="dxa"/>
            <w:right w:w="108" w:type="dxa"/>
          </w:tblCellMar>
        </w:tblPrEx>
        <w:trPr>
          <w:trHeight w:val="567" w:hRule="atLeast"/>
          <w:jc w:val="center"/>
        </w:trPr>
        <w:tc>
          <w:tcPr>
            <w:tcW w:w="866"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w:t>
            </w:r>
          </w:p>
        </w:tc>
        <w:tc>
          <w:tcPr>
            <w:tcW w:w="1863"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考评人员（考官）</w:t>
            </w:r>
          </w:p>
        </w:tc>
        <w:tc>
          <w:tcPr>
            <w:tcW w:w="16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300元/场</w:t>
            </w:r>
          </w:p>
        </w:tc>
        <w:tc>
          <w:tcPr>
            <w:tcW w:w="2599" w:type="dxa"/>
            <w:vMerge w:val="continue"/>
            <w:tcBorders>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outlineLvl w:val="9"/>
              <w:rPr>
                <w:rFonts w:ascii="仿宋_GB2312" w:hAnsi="宋体" w:eastAsia="仿宋_GB2312" w:cs="宋体"/>
                <w:color w:val="000000"/>
                <w:kern w:val="0"/>
                <w:sz w:val="21"/>
                <w:szCs w:val="21"/>
              </w:rPr>
            </w:pPr>
          </w:p>
        </w:tc>
        <w:tc>
          <w:tcPr>
            <w:tcW w:w="1987" w:type="dxa"/>
            <w:vMerge w:val="continue"/>
            <w:tcBorders>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outlineLvl w:val="9"/>
              <w:rPr>
                <w:rFonts w:ascii="仿宋_GB2312" w:hAnsi="宋体" w:eastAsia="仿宋_GB2312" w:cs="宋体"/>
                <w:color w:val="000000"/>
                <w:kern w:val="0"/>
                <w:sz w:val="21"/>
                <w:szCs w:val="21"/>
              </w:rPr>
            </w:pPr>
          </w:p>
        </w:tc>
      </w:tr>
    </w:tbl>
    <w:p>
      <w:pPr>
        <w:pageBreakBefore w:val="0"/>
        <w:kinsoku/>
        <w:wordWrap/>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hAnsi="黑体" w:eastAsia="仿宋_GB2312"/>
          <w:b/>
          <w:sz w:val="32"/>
          <w:szCs w:val="32"/>
        </w:rPr>
        <w:t>第六条</w:t>
      </w:r>
      <w:r>
        <w:rPr>
          <w:rFonts w:hint="eastAsia" w:ascii="仿宋_GB2312" w:eastAsia="仿宋_GB2312"/>
          <w:sz w:val="32"/>
          <w:szCs w:val="32"/>
        </w:rPr>
        <w:t xml:space="preserve">  劳务费用支付须按规定缴纳个人所得税，计入该项目成本，由承办项目部门从该项目收入中支出并代缴。</w:t>
      </w:r>
    </w:p>
    <w:p>
      <w:pPr>
        <w:pageBreakBefore w:val="0"/>
        <w:kinsoku/>
        <w:wordWrap/>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hAnsi="黑体" w:eastAsia="仿宋_GB2312"/>
          <w:b/>
          <w:sz w:val="32"/>
          <w:szCs w:val="32"/>
        </w:rPr>
        <w:t xml:space="preserve">第七条 </w:t>
      </w:r>
      <w:r>
        <w:rPr>
          <w:rFonts w:hint="eastAsia" w:ascii="仿宋_GB2312" w:eastAsia="仿宋_GB2312"/>
          <w:sz w:val="32"/>
          <w:szCs w:val="32"/>
        </w:rPr>
        <w:t xml:space="preserve"> 有下列情形之一的，可视情节扣减或停发有关工作人员的劳务费。</w:t>
      </w:r>
    </w:p>
    <w:p>
      <w:pPr>
        <w:pageBreakBefore w:val="0"/>
        <w:kinsoku/>
        <w:wordWrap/>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（一）迟到、早退或脱岗的；</w:t>
      </w:r>
    </w:p>
    <w:p>
      <w:pPr>
        <w:pageBreakBefore w:val="0"/>
        <w:kinsoku/>
        <w:wordWrap/>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（二）违反培训及考试纪律规定的；</w:t>
      </w:r>
    </w:p>
    <w:p>
      <w:pPr>
        <w:pageBreakBefore w:val="0"/>
        <w:kinsoku/>
        <w:wordWrap/>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（三）未按照规定操作，造成工作失误的；</w:t>
      </w:r>
    </w:p>
    <w:p>
      <w:pPr>
        <w:pageBreakBefore w:val="0"/>
        <w:kinsoku/>
        <w:wordWrap/>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（四）其它因工作人员本人原因给培训、考试工作造成损失的。</w:t>
      </w:r>
    </w:p>
    <w:p>
      <w:pPr>
        <w:pageBreakBefore w:val="0"/>
        <w:kinsoku/>
        <w:wordWrap/>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hAnsi="黑体" w:eastAsia="仿宋_GB2312"/>
          <w:b/>
          <w:sz w:val="32"/>
          <w:szCs w:val="32"/>
        </w:rPr>
        <w:t>第八条</w:t>
      </w:r>
      <w:r>
        <w:rPr>
          <w:rFonts w:hint="eastAsia" w:ascii="仿宋_GB2312" w:eastAsia="仿宋_GB2312"/>
          <w:sz w:val="32"/>
          <w:szCs w:val="32"/>
        </w:rPr>
        <w:t xml:space="preserve">  专职履行培训、考试职责的人员，培训及考试项目实施期间因工作需要加班的，加班后须优先安排补休，休假天数原则每月不能少于 4 天；不能安排补休的，可参照本办法计发，不纳入本单位绩效工资总量管理，按规定建立台账。</w:t>
      </w:r>
    </w:p>
    <w:p>
      <w:pPr>
        <w:pageBreakBefore w:val="0"/>
        <w:kinsoku/>
        <w:wordWrap/>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hAnsi="黑体" w:eastAsia="仿宋_GB2312"/>
          <w:b/>
          <w:sz w:val="32"/>
          <w:szCs w:val="32"/>
        </w:rPr>
        <w:t>第九条</w:t>
      </w:r>
      <w:r>
        <w:rPr>
          <w:rFonts w:hint="eastAsia" w:ascii="仿宋_GB2312" w:eastAsia="仿宋_GB2312"/>
          <w:sz w:val="32"/>
          <w:szCs w:val="32"/>
        </w:rPr>
        <w:t xml:space="preserve">  本办法由学校社区学院负责解释。</w:t>
      </w:r>
    </w:p>
    <w:p>
      <w:pPr>
        <w:pageBreakBefore w:val="0"/>
        <w:kinsoku/>
        <w:wordWrap/>
        <w:overflowPunct/>
        <w:topLinePunct w:val="0"/>
        <w:autoSpaceDE/>
        <w:autoSpaceDN/>
        <w:bidi w:val="0"/>
        <w:spacing w:line="580" w:lineRule="exact"/>
        <w:ind w:firstLine="643" w:firstLineChars="200"/>
        <w:outlineLvl w:val="9"/>
        <w:rPr>
          <w:rFonts w:hint="eastAsia" w:ascii="仿宋_GB2312" w:eastAsia="仿宋_GB2312"/>
          <w:sz w:val="32"/>
          <w:szCs w:val="32"/>
          <w:lang w:eastAsia="zh-CN"/>
        </w:rPr>
      </w:pPr>
      <w:r>
        <w:rPr>
          <w:rFonts w:hint="eastAsia" w:ascii="仿宋_GB2312" w:hAnsi="黑体" w:eastAsia="仿宋_GB2312"/>
          <w:b/>
          <w:sz w:val="32"/>
          <w:szCs w:val="32"/>
        </w:rPr>
        <w:t xml:space="preserve">第十条  </w:t>
      </w:r>
      <w:r>
        <w:rPr>
          <w:rFonts w:hint="eastAsia" w:ascii="仿宋_GB2312" w:eastAsia="仿宋_GB2312"/>
          <w:sz w:val="32"/>
          <w:szCs w:val="32"/>
        </w:rPr>
        <w:t>本办法自印发之日起施行</w:t>
      </w:r>
      <w:r>
        <w:rPr>
          <w:rFonts w:hint="eastAsia" w:ascii="仿宋_GB2312" w:eastAsia="仿宋_GB2312"/>
          <w:sz w:val="32"/>
          <w:szCs w:val="32"/>
          <w:lang w:eastAsia="zh-CN"/>
        </w:rPr>
        <w:t>。</w:t>
      </w:r>
    </w:p>
    <w:p>
      <w:pPr>
        <w:keepNext/>
        <w:keepLines/>
        <w:pageBreakBefore w:val="0"/>
        <w:widowControl w:val="0"/>
        <w:kinsoku/>
        <w:wordWrap/>
        <w:overflowPunct/>
        <w:topLinePunct w:val="0"/>
        <w:autoSpaceDE/>
        <w:autoSpaceDN/>
        <w:bidi w:val="0"/>
        <w:adjustRightInd/>
        <w:snapToGrid/>
        <w:spacing w:line="413" w:lineRule="auto"/>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401" w:name="_Toc14287"/>
      <w:bookmarkStart w:id="1402" w:name="_Toc31648"/>
      <w:bookmarkStart w:id="1403" w:name="_Toc14803_WPSOffice_Level1"/>
      <w:bookmarkStart w:id="1404" w:name="_Toc28281"/>
      <w:bookmarkStart w:id="1405" w:name="_Toc31608"/>
      <w:r>
        <w:rPr>
          <w:rFonts w:hint="eastAsia"/>
          <w:b/>
          <w:color w:val="000000"/>
          <w:sz w:val="36"/>
          <w:szCs w:val="36"/>
        </w:rPr>
        <w:t>柳州职业技术学院社会服务项目经费管理办法（试行）</w:t>
      </w:r>
      <w:bookmarkEnd w:id="1401"/>
      <w:bookmarkEnd w:id="1402"/>
      <w:bookmarkEnd w:id="1403"/>
      <w:bookmarkEnd w:id="1404"/>
      <w:bookmarkEnd w:id="1405"/>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（柳职院字〔2021〕71 号）</w:t>
      </w:r>
    </w:p>
    <w:p>
      <w:pPr>
        <w:pageBreakBefore w:val="0"/>
        <w:kinsoku/>
        <w:wordWrap/>
        <w:overflowPunct/>
        <w:topLinePunct w:val="0"/>
        <w:autoSpaceDE/>
        <w:autoSpaceDN/>
        <w:bidi w:val="0"/>
        <w:spacing w:line="590" w:lineRule="exact"/>
        <w:jc w:val="center"/>
        <w:outlineLvl w:val="9"/>
        <w:rPr>
          <w:rFonts w:hint="eastAsia"/>
          <w:b/>
          <w:bCs/>
          <w:sz w:val="40"/>
          <w:szCs w:val="48"/>
        </w:rPr>
      </w:pP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06" w:name="_Toc9565_WPSOffice_Level1"/>
      <w:r>
        <w:rPr>
          <w:rFonts w:hint="eastAsia" w:ascii="黑体" w:hAnsi="黑体" w:eastAsia="黑体"/>
          <w:b/>
          <w:sz w:val="32"/>
          <w:szCs w:val="32"/>
        </w:rPr>
        <w:t>第一章  总 则</w:t>
      </w:r>
      <w:bookmarkEnd w:id="1406"/>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第一条  </w:t>
      </w:r>
      <w:r>
        <w:rPr>
          <w:rFonts w:hint="eastAsia" w:ascii="仿宋_GB2312" w:hAnsi="Calibri" w:eastAsia="仿宋_GB2312"/>
          <w:sz w:val="32"/>
          <w:szCs w:val="32"/>
        </w:rPr>
        <w:t>为加快学校的建设与发展，提升学校的社会影响力，充分调动和发挥二级学院拓展社会服务功能；同时，为了规范社会服务收入分配、使用和管理，充分调动广大教职工参与社会服务工作的积极性，体现多劳多得、优质优酬的原则，根据学校实际情况，制定本办法。</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第二条</w:t>
      </w:r>
      <w:r>
        <w:rPr>
          <w:rFonts w:hint="eastAsia" w:ascii="仿宋_GB2312" w:hAnsi="Calibri" w:eastAsia="仿宋_GB2312"/>
          <w:sz w:val="32"/>
          <w:szCs w:val="32"/>
        </w:rPr>
        <w:t xml:space="preserve">  本办法适用于学校各二级学院及各职能部门（以下统称部门）开展有偿社会服务的项目，包括各类非学历培训、专本衔接自考学历教育、社会考试、技能竞赛及指导服务、劳动教育和职业体验（研学）等（以下简称社会服务）。</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07" w:name="_Toc6930_WPSOffice_Level1"/>
      <w:r>
        <w:rPr>
          <w:rFonts w:hint="eastAsia" w:ascii="黑体" w:hAnsi="黑体" w:eastAsia="黑体"/>
          <w:b/>
          <w:sz w:val="32"/>
          <w:szCs w:val="32"/>
        </w:rPr>
        <w:t>第二章 项目管理</w:t>
      </w:r>
      <w:bookmarkEnd w:id="1407"/>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第三条  </w:t>
      </w:r>
      <w:r>
        <w:rPr>
          <w:rFonts w:hint="eastAsia" w:ascii="仿宋_GB2312" w:hAnsi="Calibri" w:eastAsia="仿宋_GB2312"/>
          <w:sz w:val="32"/>
          <w:szCs w:val="32"/>
        </w:rPr>
        <w:t xml:space="preserve">社会服务均按项目形式进行管理，坚持“统一领导、分级管理、比例分成、收支平衡、经费公开”的原则。 </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第四条  </w:t>
      </w:r>
      <w:r>
        <w:rPr>
          <w:rFonts w:hint="eastAsia" w:ascii="仿宋_GB2312" w:hAnsi="Calibri" w:eastAsia="仿宋_GB2312"/>
          <w:sz w:val="32"/>
          <w:szCs w:val="32"/>
        </w:rPr>
        <w:t>由各部门开发的项目原则上为开发部门即为项目承办部门；上级委托或学校开发的项目，原则上依据项目类别及专业归属由相应职能部门分配到相应的部门承办。</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第五条  </w:t>
      </w:r>
      <w:r>
        <w:rPr>
          <w:rFonts w:hint="eastAsia" w:ascii="仿宋_GB2312" w:hAnsi="Calibri" w:eastAsia="仿宋_GB2312"/>
          <w:sz w:val="32"/>
          <w:szCs w:val="32"/>
        </w:rPr>
        <w:t>继续教育学院负责社会服务项目统筹、管理、协调；各承办部门负责具体项目的组织与实施。</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08" w:name="_Toc26796_WPSOffice_Level1"/>
      <w:r>
        <w:rPr>
          <w:rFonts w:hint="eastAsia" w:ascii="黑体" w:hAnsi="黑体" w:eastAsia="黑体"/>
          <w:b/>
          <w:sz w:val="32"/>
          <w:szCs w:val="32"/>
        </w:rPr>
        <w:t>第三章  经费管理</w:t>
      </w:r>
      <w:bookmarkEnd w:id="1408"/>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第六条 </w:t>
      </w:r>
      <w:r>
        <w:rPr>
          <w:rFonts w:hint="eastAsia" w:ascii="仿宋_GB2312" w:hAnsi="Calibri" w:eastAsia="仿宋_GB2312"/>
          <w:sz w:val="32"/>
          <w:szCs w:val="32"/>
        </w:rPr>
        <w:t>各部门开展有偿社会服务原则上应签订服务合同或协议，明确服务内容、双方权利和义务、收费金额等。</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第七条 </w:t>
      </w:r>
      <w:r>
        <w:rPr>
          <w:rFonts w:hint="eastAsia" w:ascii="仿宋_GB2312" w:hAnsi="Calibri" w:eastAsia="仿宋_GB2312"/>
          <w:sz w:val="32"/>
          <w:szCs w:val="32"/>
        </w:rPr>
        <w:t>社会服务收入全部纳入学校统一管理，由财务处集中、统一核算和管理。</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第八条 </w:t>
      </w:r>
      <w:r>
        <w:rPr>
          <w:rFonts w:hint="eastAsia" w:ascii="仿宋_GB2312" w:hAnsi="Calibri" w:eastAsia="仿宋_GB2312"/>
          <w:sz w:val="32"/>
          <w:szCs w:val="32"/>
        </w:rPr>
        <w:t>各部门开展有偿性社会服务取得的收入，按照学校相关规定及流程进行分配，学校、部门具体的提成比例如下：</w:t>
      </w:r>
    </w:p>
    <w:tbl>
      <w:tblPr>
        <w:tblStyle w:val="14"/>
        <w:tblW w:w="9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290"/>
        <w:gridCol w:w="1502"/>
        <w:gridCol w:w="1460"/>
        <w:gridCol w:w="3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856"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b/>
                <w:bCs/>
                <w:color w:val="000000"/>
                <w:kern w:val="0"/>
                <w:sz w:val="24"/>
                <w:szCs w:val="24"/>
                <w:lang w:bidi="ar"/>
              </w:rPr>
            </w:pPr>
            <w:r>
              <w:rPr>
                <w:rFonts w:hint="eastAsia" w:ascii="仿宋_GB2312" w:hAnsi="宋体" w:eastAsia="仿宋_GB2312" w:cs="宋体"/>
                <w:b/>
                <w:bCs/>
                <w:color w:val="000000"/>
                <w:kern w:val="0"/>
                <w:sz w:val="24"/>
                <w:szCs w:val="24"/>
                <w:lang w:bidi="ar"/>
              </w:rPr>
              <w:t>序号</w:t>
            </w:r>
          </w:p>
        </w:tc>
        <w:tc>
          <w:tcPr>
            <w:tcW w:w="229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b/>
                <w:bCs/>
                <w:color w:val="000000"/>
                <w:kern w:val="0"/>
                <w:sz w:val="24"/>
                <w:szCs w:val="24"/>
                <w:lang w:bidi="ar"/>
              </w:rPr>
            </w:pPr>
            <w:r>
              <w:rPr>
                <w:rFonts w:hint="eastAsia" w:ascii="仿宋_GB2312" w:hAnsi="宋体" w:eastAsia="仿宋_GB2312" w:cs="宋体"/>
                <w:b/>
                <w:bCs/>
                <w:color w:val="000000"/>
                <w:kern w:val="0"/>
                <w:sz w:val="24"/>
                <w:szCs w:val="24"/>
                <w:lang w:bidi="ar"/>
              </w:rPr>
              <w:t>服务项目类别</w:t>
            </w:r>
          </w:p>
        </w:tc>
        <w:tc>
          <w:tcPr>
            <w:tcW w:w="1502"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b/>
                <w:bCs/>
                <w:color w:val="000000"/>
                <w:kern w:val="0"/>
                <w:sz w:val="24"/>
                <w:szCs w:val="24"/>
                <w:lang w:bidi="ar"/>
              </w:rPr>
            </w:pPr>
            <w:r>
              <w:rPr>
                <w:rFonts w:hint="eastAsia" w:ascii="仿宋_GB2312" w:hAnsi="宋体" w:eastAsia="仿宋_GB2312" w:cs="宋体"/>
                <w:b/>
                <w:bCs/>
                <w:color w:val="000000"/>
                <w:kern w:val="0"/>
                <w:sz w:val="24"/>
                <w:szCs w:val="24"/>
                <w:lang w:bidi="ar"/>
              </w:rPr>
              <w:t>学校提成</w:t>
            </w:r>
          </w:p>
        </w:tc>
        <w:tc>
          <w:tcPr>
            <w:tcW w:w="146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b/>
                <w:bCs/>
                <w:color w:val="000000"/>
                <w:kern w:val="0"/>
                <w:sz w:val="24"/>
                <w:szCs w:val="24"/>
                <w:lang w:bidi="ar"/>
              </w:rPr>
            </w:pPr>
            <w:r>
              <w:rPr>
                <w:rFonts w:hint="eastAsia" w:ascii="仿宋_GB2312" w:hAnsi="宋体" w:eastAsia="仿宋_GB2312" w:cs="宋体"/>
                <w:b/>
                <w:bCs/>
                <w:color w:val="000000"/>
                <w:kern w:val="0"/>
                <w:sz w:val="24"/>
                <w:szCs w:val="24"/>
                <w:lang w:bidi="ar"/>
              </w:rPr>
              <w:t>部门提成</w:t>
            </w:r>
          </w:p>
        </w:tc>
        <w:tc>
          <w:tcPr>
            <w:tcW w:w="3508"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b/>
                <w:bCs/>
                <w:color w:val="000000"/>
                <w:kern w:val="0"/>
                <w:sz w:val="24"/>
                <w:szCs w:val="24"/>
                <w:lang w:bidi="ar"/>
              </w:rPr>
            </w:pPr>
            <w:r>
              <w:rPr>
                <w:rFonts w:hint="eastAsia" w:ascii="仿宋_GB2312" w:hAnsi="宋体" w:eastAsia="仿宋_GB2312" w:cs="宋体"/>
                <w:b/>
                <w:bCs/>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1</w:t>
            </w:r>
          </w:p>
        </w:tc>
        <w:tc>
          <w:tcPr>
            <w:tcW w:w="229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非本校学生各类社会培训以及技能等级认定</w:t>
            </w:r>
          </w:p>
        </w:tc>
        <w:tc>
          <w:tcPr>
            <w:tcW w:w="1502"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总收入15%</w:t>
            </w:r>
          </w:p>
        </w:tc>
        <w:tc>
          <w:tcPr>
            <w:tcW w:w="146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总收入85%</w:t>
            </w:r>
          </w:p>
        </w:tc>
        <w:tc>
          <w:tcPr>
            <w:tcW w:w="3508" w:type="dxa"/>
            <w:vAlign w:val="center"/>
          </w:tcPr>
          <w:p>
            <w:pPr>
              <w:pStyle w:val="5"/>
              <w:pageBreakBefore w:val="0"/>
              <w:kinsoku/>
              <w:wordWrap/>
              <w:overflowPunct/>
              <w:topLinePunct w:val="0"/>
              <w:autoSpaceDE/>
              <w:autoSpaceDN/>
              <w:bidi w:val="0"/>
              <w:adjustRightInd w:val="0"/>
              <w:snapToGrid w:val="0"/>
              <w:ind w:firstLine="468"/>
              <w:jc w:val="left"/>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总收入指该项目进入学校账上，扣除上交财政1%管理费后的所有收入（下同）；成本从部门提成收入中开支。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6" w:hRule="atLeast"/>
          <w:jc w:val="center"/>
        </w:trPr>
        <w:tc>
          <w:tcPr>
            <w:tcW w:w="856"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2</w:t>
            </w:r>
          </w:p>
        </w:tc>
        <w:tc>
          <w:tcPr>
            <w:tcW w:w="229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本校学生各类社会培训以及技能等级认定</w:t>
            </w:r>
          </w:p>
        </w:tc>
        <w:tc>
          <w:tcPr>
            <w:tcW w:w="1502"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总收入25%</w:t>
            </w:r>
          </w:p>
        </w:tc>
        <w:tc>
          <w:tcPr>
            <w:tcW w:w="146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总收入75%</w:t>
            </w:r>
          </w:p>
        </w:tc>
        <w:tc>
          <w:tcPr>
            <w:tcW w:w="3508" w:type="dxa"/>
            <w:vAlign w:val="center"/>
          </w:tcPr>
          <w:p>
            <w:pPr>
              <w:pStyle w:val="5"/>
              <w:pageBreakBefore w:val="0"/>
              <w:kinsoku/>
              <w:wordWrap/>
              <w:overflowPunct/>
              <w:topLinePunct w:val="0"/>
              <w:autoSpaceDE/>
              <w:autoSpaceDN/>
              <w:bidi w:val="0"/>
              <w:adjustRightInd w:val="0"/>
              <w:snapToGrid w:val="0"/>
              <w:ind w:firstLine="468"/>
              <w:jc w:val="left"/>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总收入指该项目扣除上缴鉴定单位费用后的结余，成本（含学校派出的考评员、考务工作人员）从承办部门提成收入中开支。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jc w:val="center"/>
        </w:trPr>
        <w:tc>
          <w:tcPr>
            <w:tcW w:w="856"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3</w:t>
            </w:r>
          </w:p>
        </w:tc>
        <w:tc>
          <w:tcPr>
            <w:tcW w:w="229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专本衔接自考</w:t>
            </w:r>
          </w:p>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学历教育</w:t>
            </w:r>
          </w:p>
        </w:tc>
        <w:tc>
          <w:tcPr>
            <w:tcW w:w="1502"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总收入10%</w:t>
            </w:r>
          </w:p>
        </w:tc>
        <w:tc>
          <w:tcPr>
            <w:tcW w:w="146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总收入90%</w:t>
            </w:r>
          </w:p>
        </w:tc>
        <w:tc>
          <w:tcPr>
            <w:tcW w:w="3508" w:type="dxa"/>
            <w:vAlign w:val="center"/>
          </w:tcPr>
          <w:p>
            <w:pPr>
              <w:pStyle w:val="5"/>
              <w:pageBreakBefore w:val="0"/>
              <w:kinsoku/>
              <w:wordWrap/>
              <w:overflowPunct/>
              <w:topLinePunct w:val="0"/>
              <w:autoSpaceDE/>
              <w:autoSpaceDN/>
              <w:bidi w:val="0"/>
              <w:adjustRightInd w:val="0"/>
              <w:snapToGrid w:val="0"/>
              <w:ind w:firstLine="468"/>
              <w:jc w:val="left"/>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成本从该项目部门提成收入中开支；教师课酬、班主任津贴等日常支出由各二级学院根据实际制定标准。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jc w:val="center"/>
        </w:trPr>
        <w:tc>
          <w:tcPr>
            <w:tcW w:w="856"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4</w:t>
            </w:r>
          </w:p>
        </w:tc>
        <w:tc>
          <w:tcPr>
            <w:tcW w:w="229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社会考试服务</w:t>
            </w:r>
          </w:p>
        </w:tc>
        <w:tc>
          <w:tcPr>
            <w:tcW w:w="1502"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总收入10%</w:t>
            </w:r>
          </w:p>
        </w:tc>
        <w:tc>
          <w:tcPr>
            <w:tcW w:w="146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总收入90%</w:t>
            </w:r>
          </w:p>
        </w:tc>
        <w:tc>
          <w:tcPr>
            <w:tcW w:w="3508" w:type="dxa"/>
            <w:vAlign w:val="center"/>
          </w:tcPr>
          <w:p>
            <w:pPr>
              <w:pStyle w:val="5"/>
              <w:pageBreakBefore w:val="0"/>
              <w:kinsoku/>
              <w:wordWrap/>
              <w:overflowPunct/>
              <w:topLinePunct w:val="0"/>
              <w:autoSpaceDE/>
              <w:autoSpaceDN/>
              <w:bidi w:val="0"/>
              <w:adjustRightInd w:val="0"/>
              <w:snapToGrid w:val="0"/>
              <w:ind w:firstLine="468"/>
              <w:jc w:val="left"/>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成本从部门提成收入中开支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5</w:t>
            </w:r>
          </w:p>
        </w:tc>
        <w:tc>
          <w:tcPr>
            <w:tcW w:w="229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职业技能竞赛及指导服务</w:t>
            </w:r>
          </w:p>
        </w:tc>
        <w:tc>
          <w:tcPr>
            <w:tcW w:w="1502"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总收入10%</w:t>
            </w:r>
          </w:p>
        </w:tc>
        <w:tc>
          <w:tcPr>
            <w:tcW w:w="146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总收入90%</w:t>
            </w:r>
          </w:p>
        </w:tc>
        <w:tc>
          <w:tcPr>
            <w:tcW w:w="3508" w:type="dxa"/>
            <w:vAlign w:val="center"/>
          </w:tcPr>
          <w:p>
            <w:pPr>
              <w:pStyle w:val="5"/>
              <w:pageBreakBefore w:val="0"/>
              <w:kinsoku/>
              <w:wordWrap/>
              <w:overflowPunct/>
              <w:topLinePunct w:val="0"/>
              <w:autoSpaceDE/>
              <w:autoSpaceDN/>
              <w:bidi w:val="0"/>
              <w:adjustRightInd w:val="0"/>
              <w:snapToGrid w:val="0"/>
              <w:ind w:firstLine="468"/>
              <w:jc w:val="left"/>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成本从部门提成收入中开支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 w:type="dxa"/>
            <w:vAlign w:val="center"/>
          </w:tcPr>
          <w:p>
            <w:pPr>
              <w:pStyle w:val="5"/>
              <w:pageBreakBefore w:val="0"/>
              <w:kinsoku/>
              <w:wordWrap/>
              <w:overflowPunct/>
              <w:topLinePunct w:val="0"/>
              <w:autoSpaceDE/>
              <w:autoSpaceDN/>
              <w:bidi w:val="0"/>
              <w:adjustRightInd w:val="0"/>
              <w:snapToGrid w:val="0"/>
              <w:ind w:firstLine="468"/>
              <w:jc w:val="center"/>
              <w:outlineLvl w:val="9"/>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6</w:t>
            </w:r>
          </w:p>
        </w:tc>
        <w:tc>
          <w:tcPr>
            <w:tcW w:w="229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劳动教育和职业体验研学</w:t>
            </w:r>
          </w:p>
        </w:tc>
        <w:tc>
          <w:tcPr>
            <w:tcW w:w="1502"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总收入10%</w:t>
            </w:r>
          </w:p>
        </w:tc>
        <w:tc>
          <w:tcPr>
            <w:tcW w:w="146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总收入90%</w:t>
            </w:r>
          </w:p>
        </w:tc>
        <w:tc>
          <w:tcPr>
            <w:tcW w:w="3508"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成本从部门提成收入中开支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 w:type="dxa"/>
            <w:vAlign w:val="center"/>
          </w:tcPr>
          <w:p>
            <w:pPr>
              <w:pStyle w:val="5"/>
              <w:pageBreakBefore w:val="0"/>
              <w:kinsoku/>
              <w:wordWrap/>
              <w:overflowPunct/>
              <w:topLinePunct w:val="0"/>
              <w:autoSpaceDE/>
              <w:autoSpaceDN/>
              <w:bidi w:val="0"/>
              <w:adjustRightInd w:val="0"/>
              <w:snapToGrid w:val="0"/>
              <w:ind w:firstLine="468"/>
              <w:jc w:val="center"/>
              <w:outlineLvl w:val="9"/>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7</w:t>
            </w:r>
          </w:p>
        </w:tc>
        <w:tc>
          <w:tcPr>
            <w:tcW w:w="229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体育运动技能培训及服务</w:t>
            </w:r>
          </w:p>
        </w:tc>
        <w:tc>
          <w:tcPr>
            <w:tcW w:w="1502"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总收入30%</w:t>
            </w:r>
          </w:p>
        </w:tc>
        <w:tc>
          <w:tcPr>
            <w:tcW w:w="1460"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总收入70%</w:t>
            </w:r>
          </w:p>
        </w:tc>
        <w:tc>
          <w:tcPr>
            <w:tcW w:w="3508" w:type="dxa"/>
            <w:vAlign w:val="center"/>
          </w:tcPr>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成本从部门提成收入中开支</w:t>
            </w:r>
          </w:p>
        </w:tc>
      </w:tr>
    </w:tbl>
    <w:p>
      <w:pPr>
        <w:pStyle w:val="5"/>
        <w:pageBreakBefore w:val="0"/>
        <w:kinsoku/>
        <w:wordWrap/>
        <w:overflowPunct/>
        <w:topLinePunct w:val="0"/>
        <w:autoSpaceDE/>
        <w:autoSpaceDN/>
        <w:bidi w:val="0"/>
        <w:adjustRightInd w:val="0"/>
        <w:snapToGrid w:val="0"/>
        <w:ind w:firstLine="468"/>
        <w:jc w:val="center"/>
        <w:outlineLvl w:val="9"/>
        <w:rPr>
          <w:rFonts w:hint="eastAsia" w:ascii="仿宋_GB2312" w:hAnsi="宋体" w:eastAsia="仿宋_GB2312" w:cs="宋体"/>
          <w:b/>
          <w:bCs/>
          <w:color w:val="000000"/>
          <w:kern w:val="0"/>
          <w:sz w:val="24"/>
          <w:szCs w:val="24"/>
          <w:lang w:bidi="ar"/>
        </w:rPr>
      </w:pPr>
      <w:r>
        <w:rPr>
          <w:rFonts w:hint="eastAsia" w:ascii="仿宋_GB2312" w:hAnsi="宋体" w:eastAsia="仿宋_GB2312" w:cs="宋体"/>
          <w:b/>
          <w:bCs/>
          <w:color w:val="000000"/>
          <w:kern w:val="0"/>
          <w:sz w:val="24"/>
          <w:szCs w:val="24"/>
          <w:lang w:bidi="ar"/>
        </w:rPr>
        <w:t>注：在实施过程中如果遇到新的“服务项目类别”，按照学校“一事一议”制度执行。</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第九条</w:t>
      </w:r>
      <w:r>
        <w:rPr>
          <w:rFonts w:hint="eastAsia" w:ascii="仿宋_GB2312" w:hAnsi="Calibri" w:eastAsia="仿宋_GB2312"/>
          <w:sz w:val="32"/>
          <w:szCs w:val="32"/>
        </w:rPr>
        <w:t xml:space="preserve">  服务收入提成的划拨，在费用进入学校账户后，由承办部门根据项目类别及提成比例提出划拨申请，报继续教育学院审核后，学校财务处分别将相关提成费用划拨到相关承办部门及学校社会服务项目专门账目。</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第十条  </w:t>
      </w:r>
      <w:r>
        <w:rPr>
          <w:rFonts w:hint="eastAsia" w:ascii="仿宋_GB2312" w:hAnsi="Calibri" w:eastAsia="仿宋_GB2312"/>
          <w:sz w:val="32"/>
          <w:szCs w:val="32"/>
        </w:rPr>
        <w:t>各部门对划入本部门的社会服务费，按照学校社会服务项目有关管理制度及财务有关规定有相应的自主支配权，各承办部门正职负责人为第一责任人。</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第十一条  </w:t>
      </w:r>
      <w:r>
        <w:rPr>
          <w:rFonts w:hint="eastAsia" w:ascii="仿宋_GB2312" w:hAnsi="Calibri" w:eastAsia="仿宋_GB2312"/>
          <w:sz w:val="32"/>
          <w:szCs w:val="32"/>
        </w:rPr>
        <w:t>各承办部门在不违背学校及各级政府相关文件规定下，自行制定社会服务经费使用管理办法，费用开支标准须按照《柳州职业技术学院非学历教育培训与考试劳务费管理办法》的标准及学校经费开支相关管理制度执行。</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第十二条  </w:t>
      </w:r>
      <w:r>
        <w:rPr>
          <w:rFonts w:hint="eastAsia" w:ascii="仿宋_GB2312" w:hAnsi="Calibri" w:eastAsia="仿宋_GB2312"/>
          <w:sz w:val="32"/>
          <w:szCs w:val="32"/>
        </w:rPr>
        <w:t>承办部门费用支出主要用于社会服务项目开展期间直接发生的各项成本费用支出，具体包括培训方案研制费、食宿费、讲课费、培训资料费、交通费、考务费、耗材费、项目开发费及其它与本项目开展直接发生的相关费用；项目结余经费作为本部门社会服务绩效奖励经费。</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第十三条  </w:t>
      </w:r>
      <w:r>
        <w:rPr>
          <w:rFonts w:hint="eastAsia" w:ascii="仿宋_GB2312" w:hAnsi="Calibri" w:eastAsia="仿宋_GB2312"/>
          <w:sz w:val="32"/>
          <w:szCs w:val="32"/>
        </w:rPr>
        <w:t>学校提成经费主要用于全校人员的社会服务奖励性绩效发放，以及社会服务项目开展期间直接发生的各项成本费用支出，具体包括培训方案研制费、食宿费、讲课费、培训资料费、交通费、考务费、耗材费、项目开发费及其它与本项目业务开展直接发生的费用。</w:t>
      </w:r>
    </w:p>
    <w:p>
      <w:pPr>
        <w:pStyle w:val="24"/>
        <w:pageBreakBefore w:val="0"/>
        <w:kinsoku/>
        <w:wordWrap/>
        <w:overflowPunct/>
        <w:topLinePunct w:val="0"/>
        <w:autoSpaceDE/>
        <w:autoSpaceDN/>
        <w:bidi w:val="0"/>
        <w:adjustRightInd w:val="0"/>
        <w:snapToGrid w:val="0"/>
        <w:spacing w:line="580" w:lineRule="exact"/>
        <w:ind w:firstLine="643" w:firstLineChars="200"/>
        <w:jc w:val="center"/>
        <w:outlineLvl w:val="9"/>
        <w:rPr>
          <w:rFonts w:hint="eastAsia" w:ascii="黑体" w:hAnsi="黑体" w:eastAsia="黑体" w:cs="Times New Roman"/>
          <w:b/>
          <w:sz w:val="32"/>
          <w:szCs w:val="32"/>
        </w:rPr>
      </w:pPr>
      <w:bookmarkStart w:id="1409" w:name="_Toc11424_WPSOffice_Level1"/>
      <w:r>
        <w:rPr>
          <w:rFonts w:hint="eastAsia" w:ascii="黑体" w:hAnsi="黑体" w:eastAsia="黑体" w:cs="Times New Roman"/>
          <w:b/>
          <w:sz w:val="32"/>
          <w:szCs w:val="32"/>
        </w:rPr>
        <w:t>第四章  奖励性绩效发放</w:t>
      </w:r>
      <w:bookmarkEnd w:id="1409"/>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第十四条</w:t>
      </w:r>
      <w:r>
        <w:rPr>
          <w:rFonts w:hint="eastAsia" w:ascii="仿宋_GB2312" w:hAnsi="Calibri" w:eastAsia="仿宋_GB2312"/>
          <w:sz w:val="32"/>
          <w:szCs w:val="32"/>
        </w:rPr>
        <w:t xml:space="preserve"> 学校根据社会服务项目学校提留总量情况和二级学院社会服务项目利润情况，由学校统筹进行社会服务项目奖励性绩效发放（以下简称社会服务绩效），原则上每年6月、12月各发放一次。</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第十五条</w:t>
      </w:r>
      <w:r>
        <w:rPr>
          <w:rFonts w:hint="eastAsia" w:ascii="仿宋_GB2312" w:hAnsi="Calibri" w:eastAsia="仿宋_GB2312"/>
          <w:sz w:val="32"/>
          <w:szCs w:val="32"/>
        </w:rPr>
        <w:t xml:space="preserve">  全校社会服务绩效发放的资金总量原则上控制在当年度全校社会服务收入总量的30%，还须根据学校当年核定的社会服务绩效发放总量进行控制；社会服务绩效发放的对象为全校在职在编人员及全职聘用人员。</w:t>
      </w:r>
    </w:p>
    <w:p>
      <w:pPr>
        <w:pStyle w:val="5"/>
        <w:pageBreakBefore w:val="0"/>
        <w:kinsoku/>
        <w:wordWrap/>
        <w:overflowPunct/>
        <w:topLinePunct w:val="0"/>
        <w:autoSpaceDE/>
        <w:autoSpaceDN/>
        <w:bidi w:val="0"/>
        <w:adjustRightInd w:val="0"/>
        <w:snapToGrid w:val="0"/>
        <w:spacing w:line="596"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bCs/>
          <w:sz w:val="32"/>
          <w:szCs w:val="32"/>
        </w:rPr>
        <w:t xml:space="preserve">第十六条 </w:t>
      </w:r>
      <w:r>
        <w:rPr>
          <w:rFonts w:hint="eastAsia" w:ascii="仿宋_GB2312" w:hAnsi="Calibri" w:eastAsia="仿宋_GB2312"/>
          <w:sz w:val="32"/>
          <w:szCs w:val="32"/>
        </w:rPr>
        <w:t xml:space="preserve"> 社会服务绩效发放由两部分组成：第一部分绩效根据二级学院社会服务项目利润总量为依据的绩效及标准（以下简称第一部分绩效），第二部分绩效根据社会服务项目学校提留部分资金为依据的绩效及标准（第二部分绩效），即社会服务绩效=第一部分绩效+第二部分绩效。</w:t>
      </w:r>
    </w:p>
    <w:p>
      <w:pPr>
        <w:pStyle w:val="5"/>
        <w:pageBreakBefore w:val="0"/>
        <w:kinsoku/>
        <w:wordWrap/>
        <w:overflowPunct/>
        <w:topLinePunct w:val="0"/>
        <w:autoSpaceDE/>
        <w:autoSpaceDN/>
        <w:bidi w:val="0"/>
        <w:adjustRightInd w:val="0"/>
        <w:snapToGrid w:val="0"/>
        <w:spacing w:line="580" w:lineRule="exact"/>
        <w:ind w:firstLine="643" w:firstLineChars="200"/>
        <w:outlineLvl w:val="9"/>
        <w:rPr>
          <w:rFonts w:hint="eastAsia" w:ascii="仿宋" w:hAnsi="仿宋" w:eastAsia="仿宋" w:cs="宋体"/>
          <w:sz w:val="32"/>
          <w:szCs w:val="32"/>
        </w:rPr>
      </w:pPr>
      <w:r>
        <w:rPr>
          <w:rFonts w:hint="eastAsia" w:ascii="仿宋" w:hAnsi="仿宋" w:eastAsia="仿宋" w:cs="宋体"/>
          <w:b/>
          <w:bCs/>
          <w:sz w:val="32"/>
          <w:szCs w:val="32"/>
        </w:rPr>
        <w:t>（一）第一部分绩效的绩效标准及发放系数标准</w:t>
      </w:r>
    </w:p>
    <w:p>
      <w:pPr>
        <w:pStyle w:val="5"/>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 w:hAnsi="仿宋" w:eastAsia="仿宋" w:cs="宋体"/>
          <w:sz w:val="32"/>
          <w:szCs w:val="32"/>
        </w:rPr>
      </w:pPr>
      <w:r>
        <w:rPr>
          <w:rFonts w:hint="eastAsia" w:ascii="仿宋" w:hAnsi="仿宋" w:eastAsia="仿宋" w:cs="宋体"/>
          <w:sz w:val="32"/>
          <w:szCs w:val="32"/>
        </w:rPr>
        <w:t>该部分绩效标准及系数标准实行二级学院和行政教辅部门有区别的方法进行确定。</w:t>
      </w:r>
    </w:p>
    <w:p>
      <w:pPr>
        <w:pStyle w:val="5"/>
        <w:pageBreakBefore w:val="0"/>
        <w:kinsoku/>
        <w:wordWrap/>
        <w:overflowPunct/>
        <w:topLinePunct w:val="0"/>
        <w:autoSpaceDE/>
        <w:autoSpaceDN/>
        <w:bidi w:val="0"/>
        <w:adjustRightInd w:val="0"/>
        <w:snapToGrid w:val="0"/>
        <w:spacing w:line="580" w:lineRule="exact"/>
        <w:ind w:firstLine="643" w:firstLineChars="200"/>
        <w:outlineLvl w:val="9"/>
        <w:rPr>
          <w:rFonts w:hint="eastAsia" w:ascii="仿宋" w:hAnsi="仿宋" w:eastAsia="仿宋" w:cs="宋体"/>
          <w:b/>
          <w:bCs/>
          <w:sz w:val="32"/>
          <w:szCs w:val="32"/>
        </w:rPr>
      </w:pPr>
      <w:r>
        <w:rPr>
          <w:rFonts w:hint="eastAsia" w:ascii="仿宋" w:hAnsi="仿宋" w:eastAsia="仿宋" w:cs="宋体"/>
          <w:b/>
          <w:bCs/>
          <w:sz w:val="32"/>
          <w:szCs w:val="32"/>
        </w:rPr>
        <w:t>1.二级学院</w:t>
      </w:r>
    </w:p>
    <w:p>
      <w:pPr>
        <w:pStyle w:val="5"/>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 w:hAnsi="仿宋" w:eastAsia="仿宋" w:cs="宋体"/>
          <w:sz w:val="32"/>
          <w:szCs w:val="32"/>
        </w:rPr>
      </w:pPr>
      <w:r>
        <w:rPr>
          <w:rFonts w:hint="eastAsia" w:ascii="仿宋" w:hAnsi="仿宋" w:eastAsia="仿宋" w:cs="宋体"/>
          <w:sz w:val="32"/>
          <w:szCs w:val="32"/>
        </w:rPr>
        <w:t>（1）绩效标准的确定方法：人均绩效标准=该二级学院社会服务项目利润部分的发放总量/该二级学院的发放人数。</w:t>
      </w:r>
    </w:p>
    <w:p>
      <w:pPr>
        <w:pStyle w:val="5"/>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 w:hAnsi="仿宋" w:eastAsia="仿宋" w:cs="宋体"/>
          <w:sz w:val="32"/>
          <w:szCs w:val="32"/>
        </w:rPr>
      </w:pPr>
      <w:r>
        <w:rPr>
          <w:rFonts w:hint="eastAsia" w:ascii="仿宋" w:hAnsi="仿宋" w:eastAsia="仿宋" w:cs="宋体"/>
          <w:sz w:val="32"/>
          <w:szCs w:val="32"/>
        </w:rPr>
        <w:t>（2）发放系数标准：由各二级学院自主确定，并制定发放方案在本部门公示无异后，报继续教育学院审核，报学校领导批准后执行。</w:t>
      </w:r>
    </w:p>
    <w:p>
      <w:pPr>
        <w:pStyle w:val="5"/>
        <w:pageBreakBefore w:val="0"/>
        <w:kinsoku/>
        <w:wordWrap/>
        <w:overflowPunct/>
        <w:topLinePunct w:val="0"/>
        <w:autoSpaceDE/>
        <w:autoSpaceDN/>
        <w:bidi w:val="0"/>
        <w:adjustRightInd w:val="0"/>
        <w:snapToGrid w:val="0"/>
        <w:spacing w:line="580" w:lineRule="exact"/>
        <w:ind w:firstLine="643" w:firstLineChars="200"/>
        <w:outlineLvl w:val="9"/>
        <w:rPr>
          <w:rFonts w:hint="eastAsia" w:ascii="仿宋" w:hAnsi="仿宋" w:eastAsia="仿宋" w:cs="宋体"/>
          <w:b/>
          <w:bCs/>
          <w:sz w:val="32"/>
          <w:szCs w:val="32"/>
        </w:rPr>
      </w:pPr>
      <w:r>
        <w:rPr>
          <w:rFonts w:hint="eastAsia" w:ascii="仿宋" w:hAnsi="仿宋" w:eastAsia="仿宋" w:cs="宋体"/>
          <w:b/>
          <w:bCs/>
          <w:sz w:val="32"/>
          <w:szCs w:val="32"/>
        </w:rPr>
        <w:t>2.行政教辅部门</w:t>
      </w:r>
    </w:p>
    <w:p>
      <w:pPr>
        <w:pStyle w:val="5"/>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 w:hAnsi="仿宋" w:eastAsia="仿宋" w:cs="宋体"/>
          <w:color w:val="000000"/>
          <w:sz w:val="32"/>
          <w:szCs w:val="32"/>
        </w:rPr>
      </w:pPr>
      <w:r>
        <w:rPr>
          <w:rFonts w:hint="eastAsia" w:ascii="仿宋" w:hAnsi="仿宋" w:eastAsia="仿宋" w:cs="宋体"/>
          <w:sz w:val="32"/>
          <w:szCs w:val="32"/>
        </w:rPr>
        <w:t>（1）人均绩效标准按</w:t>
      </w:r>
      <w:r>
        <w:rPr>
          <w:rFonts w:hint="eastAsia" w:ascii="仿宋" w:hAnsi="仿宋" w:eastAsia="仿宋" w:cs="宋体"/>
          <w:color w:val="000000"/>
          <w:sz w:val="32"/>
          <w:szCs w:val="32"/>
        </w:rPr>
        <w:t>二级学院人均绩效标准前三名的平均值 。</w:t>
      </w:r>
    </w:p>
    <w:p>
      <w:pPr>
        <w:pStyle w:val="5"/>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 w:hAnsi="仿宋" w:eastAsia="仿宋" w:cs="宋体"/>
          <w:sz w:val="32"/>
          <w:szCs w:val="32"/>
        </w:rPr>
      </w:pPr>
      <w:r>
        <w:rPr>
          <w:rFonts w:hint="eastAsia" w:ascii="仿宋" w:hAnsi="仿宋" w:eastAsia="仿宋" w:cs="宋体"/>
          <w:sz w:val="32"/>
          <w:szCs w:val="32"/>
        </w:rPr>
        <w:t>（2）发放系数标准：系数标准原则上参照行政工作量补贴系数标准确定，由人事处确定发放方案，经学校领导审批、批准后执行，报继续教育学院备案。</w:t>
      </w:r>
    </w:p>
    <w:p>
      <w:pPr>
        <w:pStyle w:val="5"/>
        <w:pageBreakBefore w:val="0"/>
        <w:kinsoku/>
        <w:wordWrap/>
        <w:overflowPunct/>
        <w:topLinePunct w:val="0"/>
        <w:autoSpaceDE/>
        <w:autoSpaceDN/>
        <w:bidi w:val="0"/>
        <w:adjustRightInd w:val="0"/>
        <w:snapToGrid w:val="0"/>
        <w:spacing w:line="580" w:lineRule="exact"/>
        <w:ind w:firstLine="643" w:firstLineChars="200"/>
        <w:outlineLvl w:val="9"/>
        <w:rPr>
          <w:rFonts w:hint="eastAsia" w:ascii="仿宋" w:hAnsi="仿宋" w:eastAsia="仿宋" w:cs="宋体"/>
          <w:b/>
          <w:bCs/>
          <w:sz w:val="32"/>
          <w:szCs w:val="32"/>
        </w:rPr>
      </w:pPr>
      <w:r>
        <w:rPr>
          <w:rFonts w:hint="eastAsia" w:ascii="仿宋" w:hAnsi="仿宋" w:eastAsia="仿宋" w:cs="宋体"/>
          <w:b/>
          <w:bCs/>
          <w:sz w:val="32"/>
          <w:szCs w:val="32"/>
        </w:rPr>
        <w:t>（二）第二部分的绩效标准及发放系数</w:t>
      </w:r>
    </w:p>
    <w:p>
      <w:pPr>
        <w:pStyle w:val="5"/>
        <w:pageBreakBefore w:val="0"/>
        <w:kinsoku/>
        <w:wordWrap/>
        <w:overflowPunct/>
        <w:topLinePunct w:val="0"/>
        <w:autoSpaceDE/>
        <w:autoSpaceDN/>
        <w:bidi w:val="0"/>
        <w:adjustRightInd w:val="0"/>
        <w:snapToGrid w:val="0"/>
        <w:spacing w:line="580" w:lineRule="exact"/>
        <w:ind w:firstLine="643" w:firstLineChars="200"/>
        <w:outlineLvl w:val="9"/>
        <w:rPr>
          <w:rFonts w:hint="eastAsia" w:ascii="仿宋" w:hAnsi="仿宋" w:eastAsia="仿宋" w:cs="宋体"/>
          <w:sz w:val="32"/>
          <w:szCs w:val="32"/>
        </w:rPr>
      </w:pPr>
      <w:r>
        <w:rPr>
          <w:rFonts w:hint="eastAsia" w:ascii="仿宋" w:hAnsi="仿宋" w:eastAsia="仿宋" w:cs="宋体"/>
          <w:b/>
          <w:bCs/>
          <w:sz w:val="32"/>
          <w:szCs w:val="32"/>
        </w:rPr>
        <w:t>1.发放范围：</w:t>
      </w:r>
      <w:r>
        <w:rPr>
          <w:rFonts w:hint="eastAsia" w:ascii="仿宋" w:hAnsi="仿宋" w:eastAsia="仿宋" w:cs="宋体"/>
          <w:sz w:val="32"/>
          <w:szCs w:val="32"/>
        </w:rPr>
        <w:t>在全校范围内统筹发放；</w:t>
      </w:r>
    </w:p>
    <w:p>
      <w:pPr>
        <w:pStyle w:val="5"/>
        <w:pageBreakBefore w:val="0"/>
        <w:kinsoku/>
        <w:wordWrap/>
        <w:overflowPunct/>
        <w:topLinePunct w:val="0"/>
        <w:autoSpaceDE/>
        <w:autoSpaceDN/>
        <w:bidi w:val="0"/>
        <w:adjustRightInd w:val="0"/>
        <w:snapToGrid w:val="0"/>
        <w:spacing w:line="580" w:lineRule="exact"/>
        <w:ind w:firstLine="643" w:firstLineChars="200"/>
        <w:outlineLvl w:val="9"/>
        <w:rPr>
          <w:rFonts w:hint="eastAsia" w:ascii="仿宋" w:hAnsi="仿宋" w:eastAsia="仿宋" w:cs="宋体"/>
          <w:color w:val="000000"/>
          <w:sz w:val="32"/>
          <w:szCs w:val="32"/>
        </w:rPr>
      </w:pPr>
      <w:r>
        <w:rPr>
          <w:rFonts w:hint="eastAsia" w:ascii="仿宋" w:hAnsi="仿宋" w:eastAsia="仿宋" w:cs="宋体"/>
          <w:b/>
          <w:bCs/>
          <w:sz w:val="32"/>
          <w:szCs w:val="32"/>
        </w:rPr>
        <w:t>2.人均绩效标准：</w:t>
      </w:r>
      <w:r>
        <w:rPr>
          <w:rFonts w:hint="eastAsia" w:ascii="仿宋" w:hAnsi="仿宋" w:eastAsia="仿宋" w:cs="宋体"/>
          <w:sz w:val="32"/>
          <w:szCs w:val="32"/>
        </w:rPr>
        <w:t>根据学校社会服务项目提留资金总量及第一部分发放后的结余情况，由继续教育学院和会同人事处、财务处确定发放总量，绩效标准为：</w:t>
      </w:r>
      <w:r>
        <w:rPr>
          <w:rFonts w:hint="eastAsia" w:ascii="仿宋" w:hAnsi="仿宋" w:eastAsia="仿宋" w:cs="宋体"/>
          <w:color w:val="000000"/>
          <w:sz w:val="32"/>
          <w:szCs w:val="32"/>
        </w:rPr>
        <w:t>人均绩效标准=结余总量/全校发放范围总人数。</w:t>
      </w:r>
    </w:p>
    <w:p>
      <w:pPr>
        <w:pStyle w:val="5"/>
        <w:pageBreakBefore w:val="0"/>
        <w:kinsoku/>
        <w:wordWrap/>
        <w:overflowPunct/>
        <w:topLinePunct w:val="0"/>
        <w:autoSpaceDE/>
        <w:autoSpaceDN/>
        <w:bidi w:val="0"/>
        <w:adjustRightInd w:val="0"/>
        <w:snapToGrid w:val="0"/>
        <w:spacing w:line="580" w:lineRule="exact"/>
        <w:ind w:firstLine="643" w:firstLineChars="200"/>
        <w:outlineLvl w:val="9"/>
        <w:rPr>
          <w:rFonts w:hint="eastAsia" w:ascii="仿宋" w:hAnsi="仿宋" w:eastAsia="仿宋" w:cs="宋体"/>
          <w:b/>
          <w:bCs/>
          <w:sz w:val="32"/>
          <w:szCs w:val="32"/>
        </w:rPr>
      </w:pPr>
      <w:r>
        <w:rPr>
          <w:rFonts w:hint="eastAsia" w:ascii="仿宋" w:hAnsi="仿宋" w:eastAsia="仿宋" w:cs="宋体"/>
          <w:b/>
          <w:bCs/>
          <w:sz w:val="32"/>
          <w:szCs w:val="32"/>
        </w:rPr>
        <w:t>3.发放系数标准：</w:t>
      </w:r>
    </w:p>
    <w:p>
      <w:pPr>
        <w:pStyle w:val="5"/>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 w:hAnsi="仿宋" w:eastAsia="仿宋" w:cs="宋体"/>
          <w:sz w:val="32"/>
          <w:szCs w:val="32"/>
        </w:rPr>
      </w:pPr>
      <w:r>
        <w:rPr>
          <w:rFonts w:hint="eastAsia" w:ascii="仿宋" w:hAnsi="仿宋" w:eastAsia="仿宋" w:cs="宋体"/>
          <w:sz w:val="32"/>
          <w:szCs w:val="32"/>
        </w:rPr>
        <w:t>（1）行政教辅部门人员的发放系数标准由人事处确定，报学校领导审批和继续教育学院备案。</w:t>
      </w:r>
    </w:p>
    <w:p>
      <w:pPr>
        <w:pStyle w:val="5"/>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 w:hAnsi="仿宋" w:eastAsia="仿宋" w:cs="宋体"/>
          <w:sz w:val="32"/>
          <w:szCs w:val="32"/>
        </w:rPr>
      </w:pPr>
      <w:r>
        <w:rPr>
          <w:rFonts w:hint="eastAsia" w:ascii="仿宋" w:hAnsi="仿宋" w:eastAsia="仿宋" w:cs="宋体"/>
          <w:sz w:val="32"/>
          <w:szCs w:val="32"/>
        </w:rPr>
        <w:t>（2）二级学院人员的发放系数标准由二级学院自主确定，经公示无异后报学校领导审批及继续教育学院备案。</w:t>
      </w:r>
    </w:p>
    <w:p>
      <w:pPr>
        <w:pStyle w:val="5"/>
        <w:pageBreakBefore w:val="0"/>
        <w:kinsoku/>
        <w:wordWrap/>
        <w:overflowPunct/>
        <w:topLinePunct w:val="0"/>
        <w:autoSpaceDE/>
        <w:autoSpaceDN/>
        <w:bidi w:val="0"/>
        <w:adjustRightInd w:val="0"/>
        <w:snapToGrid w:val="0"/>
        <w:spacing w:line="580" w:lineRule="exact"/>
        <w:ind w:firstLine="643" w:firstLineChars="200"/>
        <w:jc w:val="left"/>
        <w:outlineLvl w:val="9"/>
        <w:rPr>
          <w:rFonts w:hint="eastAsia" w:ascii="仿宋" w:hAnsi="仿宋" w:eastAsia="仿宋" w:cs="宋体"/>
          <w:sz w:val="32"/>
          <w:szCs w:val="32"/>
        </w:rPr>
      </w:pPr>
      <w:r>
        <w:rPr>
          <w:rFonts w:hint="eastAsia" w:ascii="仿宋" w:hAnsi="仿宋" w:eastAsia="仿宋" w:cs="宋体"/>
          <w:b/>
          <w:bCs/>
          <w:sz w:val="32"/>
          <w:szCs w:val="32"/>
        </w:rPr>
        <w:t xml:space="preserve">第十七条 </w:t>
      </w:r>
      <w:r>
        <w:rPr>
          <w:rFonts w:hint="eastAsia" w:ascii="仿宋" w:hAnsi="仿宋" w:eastAsia="仿宋" w:cs="宋体"/>
          <w:sz w:val="32"/>
          <w:szCs w:val="32"/>
        </w:rPr>
        <w:t xml:space="preserve"> 在确定发放系数标准时，应对在社会服务项目中做出贡献的人员给予适当倾斜和鼓励。</w:t>
      </w:r>
    </w:p>
    <w:p>
      <w:pPr>
        <w:pStyle w:val="5"/>
        <w:pageBreakBefore w:val="0"/>
        <w:kinsoku/>
        <w:wordWrap/>
        <w:overflowPunct/>
        <w:topLinePunct w:val="0"/>
        <w:autoSpaceDE/>
        <w:autoSpaceDN/>
        <w:bidi w:val="0"/>
        <w:adjustRightInd w:val="0"/>
        <w:snapToGrid w:val="0"/>
        <w:spacing w:line="580" w:lineRule="exact"/>
        <w:ind w:firstLine="643" w:firstLineChars="200"/>
        <w:jc w:val="left"/>
        <w:outlineLvl w:val="9"/>
        <w:rPr>
          <w:rFonts w:hint="eastAsia" w:ascii="仿宋" w:hAnsi="仿宋" w:eastAsia="仿宋" w:cs="宋体"/>
          <w:color w:val="000000"/>
          <w:sz w:val="32"/>
          <w:szCs w:val="32"/>
        </w:rPr>
      </w:pPr>
      <w:r>
        <w:rPr>
          <w:rFonts w:hint="eastAsia" w:ascii="仿宋" w:hAnsi="仿宋" w:eastAsia="仿宋" w:cs="宋体"/>
          <w:b/>
          <w:bCs/>
          <w:color w:val="000000"/>
          <w:sz w:val="32"/>
          <w:szCs w:val="32"/>
        </w:rPr>
        <w:t xml:space="preserve">第十八条 </w:t>
      </w:r>
      <w:r>
        <w:rPr>
          <w:rFonts w:hint="eastAsia" w:ascii="仿宋" w:hAnsi="仿宋" w:eastAsia="仿宋" w:cs="宋体"/>
          <w:color w:val="000000"/>
          <w:sz w:val="32"/>
          <w:szCs w:val="32"/>
        </w:rPr>
        <w:t xml:space="preserve"> 各行政教辅部门根据工作需要，在完成本职工作、分管业务职权范围内工作的前提下，可适当承办对外社会服务项目，但需经职能部门领导、相关校领导批准，报继续教育学院备案。</w:t>
      </w:r>
    </w:p>
    <w:p>
      <w:pPr>
        <w:pStyle w:val="24"/>
        <w:pageBreakBefore w:val="0"/>
        <w:kinsoku/>
        <w:wordWrap/>
        <w:overflowPunct/>
        <w:topLinePunct w:val="0"/>
        <w:autoSpaceDE/>
        <w:autoSpaceDN/>
        <w:bidi w:val="0"/>
        <w:adjustRightInd w:val="0"/>
        <w:snapToGrid w:val="0"/>
        <w:spacing w:line="580" w:lineRule="exact"/>
        <w:jc w:val="center"/>
        <w:outlineLvl w:val="9"/>
        <w:rPr>
          <w:rFonts w:hint="eastAsia" w:ascii="黑体" w:hAnsi="黑体" w:eastAsia="黑体" w:cs="Times New Roman"/>
          <w:b/>
          <w:sz w:val="32"/>
          <w:szCs w:val="32"/>
        </w:rPr>
      </w:pPr>
      <w:bookmarkStart w:id="1410" w:name="_Toc28585_WPSOffice_Level1"/>
      <w:r>
        <w:rPr>
          <w:rFonts w:hint="eastAsia" w:ascii="黑体" w:hAnsi="黑体" w:eastAsia="黑体" w:cs="Times New Roman"/>
          <w:b/>
          <w:sz w:val="32"/>
          <w:szCs w:val="32"/>
        </w:rPr>
        <w:t>第五章 附 则</w:t>
      </w:r>
      <w:bookmarkEnd w:id="1410"/>
    </w:p>
    <w:p>
      <w:pPr>
        <w:pStyle w:val="5"/>
        <w:pageBreakBefore w:val="0"/>
        <w:kinsoku/>
        <w:wordWrap/>
        <w:overflowPunct/>
        <w:topLinePunct w:val="0"/>
        <w:autoSpaceDE/>
        <w:autoSpaceDN/>
        <w:bidi w:val="0"/>
        <w:adjustRightInd w:val="0"/>
        <w:snapToGrid w:val="0"/>
        <w:spacing w:line="580" w:lineRule="exact"/>
        <w:ind w:firstLine="643" w:firstLineChars="200"/>
        <w:outlineLvl w:val="9"/>
        <w:rPr>
          <w:rFonts w:hint="eastAsia" w:ascii="仿宋" w:hAnsi="仿宋" w:eastAsia="仿宋" w:cs="宋体"/>
          <w:sz w:val="32"/>
          <w:szCs w:val="32"/>
        </w:rPr>
      </w:pPr>
      <w:r>
        <w:rPr>
          <w:rFonts w:hint="eastAsia" w:ascii="仿宋" w:hAnsi="仿宋" w:eastAsia="仿宋" w:cs="宋体"/>
          <w:b/>
          <w:bCs/>
          <w:sz w:val="32"/>
          <w:szCs w:val="32"/>
        </w:rPr>
        <w:t xml:space="preserve">第十九条 </w:t>
      </w:r>
      <w:r>
        <w:rPr>
          <w:rFonts w:hint="eastAsia" w:ascii="仿宋" w:hAnsi="仿宋" w:eastAsia="仿宋" w:cs="宋体"/>
          <w:sz w:val="32"/>
          <w:szCs w:val="32"/>
        </w:rPr>
        <w:t xml:space="preserve"> 本办法解释权归继续教育学院。</w:t>
      </w:r>
    </w:p>
    <w:p>
      <w:pPr>
        <w:pStyle w:val="5"/>
        <w:pageBreakBefore w:val="0"/>
        <w:kinsoku/>
        <w:wordWrap/>
        <w:overflowPunct/>
        <w:topLinePunct w:val="0"/>
        <w:autoSpaceDE/>
        <w:autoSpaceDN/>
        <w:bidi w:val="0"/>
        <w:adjustRightInd w:val="0"/>
        <w:snapToGrid w:val="0"/>
        <w:spacing w:line="580" w:lineRule="exact"/>
        <w:ind w:firstLine="643" w:firstLineChars="200"/>
        <w:outlineLvl w:val="9"/>
        <w:rPr>
          <w:rFonts w:hint="eastAsia"/>
          <w:lang w:val="en-US" w:eastAsia="zh-CN"/>
        </w:rPr>
      </w:pPr>
      <w:r>
        <w:rPr>
          <w:rFonts w:hint="eastAsia" w:ascii="仿宋" w:hAnsi="仿宋" w:eastAsia="仿宋" w:cs="宋体"/>
          <w:b/>
          <w:bCs/>
          <w:sz w:val="32"/>
          <w:szCs w:val="32"/>
        </w:rPr>
        <w:t xml:space="preserve">第二十条  </w:t>
      </w:r>
      <w:r>
        <w:rPr>
          <w:rFonts w:hint="eastAsia" w:ascii="仿宋" w:hAnsi="仿宋" w:eastAsia="仿宋" w:cs="宋体"/>
          <w:sz w:val="32"/>
          <w:szCs w:val="32"/>
        </w:rPr>
        <w:t>本办法自印发之日起施行。此前发布的有关规定与本办法不一致的，依本办法执行。</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411" w:name="_Toc31312_WPSOffice_Level1"/>
      <w:bookmarkStart w:id="1412" w:name="_Toc5997"/>
      <w:bookmarkStart w:id="1413" w:name="_Toc6783"/>
      <w:bookmarkStart w:id="1414" w:name="_Toc29641"/>
      <w:r>
        <w:rPr>
          <w:rFonts w:hint="eastAsia"/>
          <w:b/>
          <w:color w:val="000000"/>
          <w:sz w:val="36"/>
          <w:szCs w:val="36"/>
        </w:rPr>
        <w:t>柳州职业技术学院代建项目管理办法（修订）</w:t>
      </w:r>
      <w:bookmarkEnd w:id="1411"/>
      <w:bookmarkEnd w:id="1412"/>
      <w:bookmarkEnd w:id="1413"/>
      <w:bookmarkEnd w:id="1414"/>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（柳职院字〔2021〕65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根据《柳州市人民政府关于印发柳州市政府投资项目代建制暂行办法的通知》（柳政发[2003]42号，以下简称“42号文”），投资在200万元以上的基建项目（以下简称“项目”）应实行代建制，为规范学校基建项目代建工作，制定本代建项目管理办法。</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项目代建单位的确定</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（一）学校应在向市发改委提交的申请项目立项或申请批复项目建议书的请示中提出建议选择的代建单位，由市发改委进行批复。</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（二）代建单位确定后原则上不能更换，若因实际情况确实需要更换代建单位的，经向市发改委行文请示并获其批复同意后方可更换代</w:t>
      </w:r>
      <w:bookmarkStart w:id="1415" w:name="_Toc20928_WPSOffice_Level1"/>
      <w:r>
        <w:rPr>
          <w:rFonts w:hint="eastAsia" w:ascii="仿宋_GB2312" w:eastAsia="仿宋_GB2312"/>
          <w:sz w:val="32"/>
          <w:szCs w:val="32"/>
        </w:rPr>
        <w:t>建单位。</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第二条 </w:t>
      </w:r>
      <w:r>
        <w:rPr>
          <w:rFonts w:hint="eastAsia" w:ascii="仿宋_GB2312" w:eastAsia="仿宋_GB2312"/>
          <w:sz w:val="32"/>
          <w:szCs w:val="32"/>
        </w:rPr>
        <w:t>项目代建协议</w:t>
      </w:r>
      <w:bookmarkEnd w:id="1415"/>
      <w:r>
        <w:rPr>
          <w:rFonts w:hint="eastAsia" w:ascii="仿宋_GB2312" w:eastAsia="仿宋_GB2312"/>
          <w:sz w:val="32"/>
          <w:szCs w:val="32"/>
        </w:rPr>
        <w:t>的签订</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代建单位确定后，学校应与代建单位签订项目代建委托协议，代建协议内容应当包括：明确与代建单位的职责、工程建设管理的范围和内容、代建双方的权利和义务、管理费用的计取和支付（代建单位管理费根据国家财政部基本建设财务预算管理相关规定计取）、违约责任、双方约定的其他事项等各方面。</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第三条 </w:t>
      </w:r>
      <w:r>
        <w:rPr>
          <w:rFonts w:hint="eastAsia" w:ascii="仿宋_GB2312" w:eastAsia="仿宋_GB2312"/>
          <w:sz w:val="32"/>
          <w:szCs w:val="32"/>
        </w:rPr>
        <w:t>学校职责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（一）负责项目的编制及申报；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（二）根据学校功能需求，组织研讨</w:t>
      </w:r>
      <w:bookmarkStart w:id="1416" w:name="_Toc38_WPSOffice_Level1"/>
      <w:r>
        <w:rPr>
          <w:rFonts w:hint="eastAsia" w:ascii="仿宋_GB2312" w:eastAsia="仿宋_GB2312"/>
          <w:sz w:val="32"/>
          <w:szCs w:val="32"/>
        </w:rPr>
        <w:t>、论证、审批，参与</w:t>
      </w:r>
      <w:bookmarkEnd w:id="1416"/>
      <w:r>
        <w:rPr>
          <w:rFonts w:hint="eastAsia" w:ascii="仿宋_GB2312" w:eastAsia="仿宋_GB2312"/>
          <w:sz w:val="32"/>
          <w:szCs w:val="32"/>
        </w:rPr>
        <w:t>规</w:t>
      </w:r>
      <w:bookmarkStart w:id="1417" w:name="_Toc21362_WPSOffice_Level1"/>
      <w:r>
        <w:rPr>
          <w:rFonts w:hint="eastAsia" w:ascii="仿宋_GB2312" w:eastAsia="仿宋_GB2312"/>
          <w:sz w:val="32"/>
          <w:szCs w:val="32"/>
        </w:rPr>
        <w:t>划设计、评审等前期</w:t>
      </w:r>
      <w:bookmarkEnd w:id="1417"/>
      <w:r>
        <w:rPr>
          <w:rFonts w:hint="eastAsia" w:ascii="仿宋_GB2312" w:eastAsia="仿宋_GB2312"/>
          <w:sz w:val="32"/>
          <w:szCs w:val="32"/>
        </w:rPr>
        <w:t>工</w:t>
      </w:r>
      <w:bookmarkStart w:id="1418" w:name="_Toc5128_WPSOffice_Level1"/>
      <w:r>
        <w:rPr>
          <w:rFonts w:hint="eastAsia" w:ascii="仿宋_GB2312" w:eastAsia="仿宋_GB2312"/>
          <w:sz w:val="32"/>
          <w:szCs w:val="32"/>
        </w:rPr>
        <w:t>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（三）对项目建</w:t>
      </w:r>
      <w:bookmarkEnd w:id="1418"/>
      <w:r>
        <w:rPr>
          <w:rFonts w:hint="eastAsia" w:ascii="仿宋_GB2312" w:eastAsia="仿宋_GB2312"/>
          <w:sz w:val="32"/>
          <w:szCs w:val="32"/>
        </w:rPr>
        <w:t>设</w:t>
      </w:r>
      <w:bookmarkStart w:id="1419" w:name="_Toc24840_WPSOffice_Level1"/>
      <w:r>
        <w:rPr>
          <w:rFonts w:hint="eastAsia" w:ascii="仿宋_GB2312" w:eastAsia="仿宋_GB2312"/>
          <w:sz w:val="32"/>
          <w:szCs w:val="32"/>
        </w:rPr>
        <w:t>过程进行监督管理。按</w:t>
      </w:r>
      <w:bookmarkEnd w:id="1419"/>
      <w:r>
        <w:rPr>
          <w:rFonts w:hint="eastAsia" w:ascii="仿宋_GB2312" w:eastAsia="仿宋_GB2312"/>
          <w:sz w:val="32"/>
          <w:szCs w:val="32"/>
        </w:rPr>
        <w:t>相关程序审签设计变更，签证见证、中间验收等重要环节的监督。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（四）负责建设资金的筹措，按合同（协议）拔款；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（五）配合办理项目建设的相关手续。</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第四条 </w:t>
      </w:r>
      <w:r>
        <w:rPr>
          <w:rFonts w:hint="eastAsia" w:ascii="仿宋_GB2312" w:eastAsia="仿宋_GB2312"/>
          <w:sz w:val="32"/>
          <w:szCs w:val="32"/>
        </w:rPr>
        <w:t>代建单位职责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（一）以业主名义开展的工作：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1.委托编制可行性研究报告，同时委托审批可研所需的各项评价，组织评审会，办理报批手续；</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2.办理建设用地规划许可证、土地使用证、建设工程规划许可证、资产证；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3.委托编制设计文件；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4.负责办理征地拆迁的有关申报手续，在征地拆迁补偿安置方案、征地安置补偿方案经批准后，协助土地行政主管部门实施征地和实施征地拆迁。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（二）以建设单位名义开展的工作：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1.组织设计评审，办理设计文件审批的有关手续；</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2.按照政府招标（采购）管理规定要求，确定设计、监理、施工和材料设备供货商；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3.负责办理建设工程施工许可证、施工图审查和工程实施中有关手续；</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4.负责工程合同的洽谈与签订工作，按照合同条款管理，在建设过程中做好质量、安全、进度、投资控制工作；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5.组织工程中间验收和竣工验收，按照国家规定对工程质量承担终身责任；</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6.审核、签证工程进度报表及提出进度拨款意见；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7.按项目进度要求上报年度资金计划，并按月向学校和有关部门上报工程进度和资金使用情况；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8.编制工程决算，负责项目竣工及有关技术资料的整理汇编及办理备案、资产移交手续；</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9.工程预（结）、决算按规定以市财政、审计等部门的审核为准；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10.项目竣工验收后，产权归属学校，在市财政监交下由代建单位移交给学校管理使用。</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第五条 </w:t>
      </w:r>
      <w:r>
        <w:rPr>
          <w:rFonts w:hint="eastAsia" w:ascii="仿宋_GB2312" w:eastAsia="仿宋_GB2312"/>
          <w:sz w:val="32"/>
          <w:szCs w:val="32"/>
        </w:rPr>
        <w:t>项目代建过程的管理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（一）前期工作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1.按照学校建设规划要求，对校园规划总平按设计规范修改完善，经校长办公会审议、党委会审定后，报相关政府部门审批。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2.建筑方案设计阶段应由项目管理归口部门组织校内项目使用部门及其他相关部门共同研讨项目方案，使项目设计方案能更好符合使用意图，提高项目建设效益。</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3.设计方案经校长办公会审议、党委会审定后，方可开展下一步设计工作。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（二）签证内容见证需在《业主监督项目建设情况登记表》（附表1）中记录监督情况并签字确认。</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（三）根据施工进度，组织学校相关部门对重要节点进行检查。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（四）组织相关单位（部门）按照设计文件、预算，选定装修、安装工程的主材。</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（五）参与竣工验收工作。</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第六条 </w:t>
      </w:r>
      <w:r>
        <w:rPr>
          <w:rFonts w:hint="eastAsia" w:ascii="仿宋_GB2312" w:eastAsia="仿宋_GB2312"/>
          <w:sz w:val="32"/>
          <w:szCs w:val="32"/>
        </w:rPr>
        <w:t>项目资金管理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（一）项目资金范围。包括财政性资金、专项资金、投融资、自筹资金等所有项目建设资金。</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（二）项目资金的审核拨付。按照合同（协议），由代建单位提出申请，学校审核同意后拨付（附表2）。</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第七条 </w:t>
      </w:r>
      <w:r>
        <w:rPr>
          <w:rFonts w:hint="eastAsia" w:ascii="仿宋_GB2312" w:eastAsia="仿宋_GB2312"/>
          <w:sz w:val="32"/>
          <w:szCs w:val="32"/>
        </w:rPr>
        <w:t>项目质保</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项目竣工交付使用后，在质保期内有质量问题，学校负责督促代建单位依据质保协议进行质保。</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第八条 </w:t>
      </w:r>
      <w:r>
        <w:rPr>
          <w:rFonts w:hint="eastAsia" w:ascii="仿宋_GB2312" w:eastAsia="仿宋_GB2312"/>
          <w:sz w:val="32"/>
          <w:szCs w:val="32"/>
        </w:rPr>
        <w:t>其它</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（一）本办法自学校审议通过之日执行。原《柳州职业技术学院基建项目代建管理制度》柳职院字（2018）12号文同时作废。</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（二）本办法由后勤保障处负责解释。</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附件:1.业主监督项目建设情况登记表</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     2.柳州职业技术学院代建项目工程款支付证书</w:t>
      </w:r>
    </w:p>
    <w:p>
      <w:pPr>
        <w:pageBreakBefore w:val="0"/>
        <w:kinsoku/>
        <w:wordWrap/>
        <w:overflowPunct/>
        <w:topLinePunct w:val="0"/>
        <w:autoSpaceDE/>
        <w:autoSpaceDN/>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420" w:name="_Toc17013"/>
      <w:bookmarkStart w:id="1421" w:name="_Toc4342"/>
      <w:bookmarkStart w:id="1422" w:name="_Toc22790"/>
      <w:bookmarkStart w:id="1423" w:name="_Toc7626_WPSOffice_Level1"/>
      <w:r>
        <w:rPr>
          <w:rFonts w:hint="eastAsia"/>
          <w:b/>
          <w:color w:val="000000"/>
          <w:sz w:val="36"/>
          <w:szCs w:val="36"/>
        </w:rPr>
        <w:t>柳州职业技术学院零星工程施工单位招标管理办法（试行）</w:t>
      </w:r>
      <w:bookmarkEnd w:id="1420"/>
      <w:bookmarkEnd w:id="1421"/>
      <w:bookmarkEnd w:id="1422"/>
      <w:bookmarkEnd w:id="1423"/>
    </w:p>
    <w:p>
      <w:pPr>
        <w:pageBreakBefore w:val="0"/>
        <w:widowControl/>
        <w:kinsoku/>
        <w:wordWrap/>
        <w:overflowPunct/>
        <w:topLinePunct w:val="0"/>
        <w:autoSpaceDE/>
        <w:autoSpaceDN/>
        <w:bidi w:val="0"/>
        <w:jc w:val="center"/>
        <w:outlineLvl w:val="9"/>
        <w:rPr>
          <w:rFonts w:hint="eastAsia" w:ascii="仿宋_GB2312" w:eastAsia="仿宋_GB2312"/>
          <w:sz w:val="32"/>
          <w:szCs w:val="32"/>
        </w:rPr>
      </w:pPr>
      <w:r>
        <w:rPr>
          <w:rFonts w:hint="eastAsia" w:ascii="仿宋_GB2312" w:eastAsia="仿宋_GB2312"/>
          <w:sz w:val="32"/>
          <w:szCs w:val="32"/>
        </w:rPr>
        <w:t xml:space="preserve"> (柳职院字〔2021〕40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80" w:lineRule="exact"/>
        <w:jc w:val="center"/>
        <w:outlineLvl w:val="9"/>
        <w:rPr>
          <w:rFonts w:ascii="黑体" w:hAnsi="黑体" w:eastAsia="黑体"/>
          <w:b/>
          <w:sz w:val="32"/>
          <w:szCs w:val="32"/>
        </w:rPr>
      </w:pPr>
      <w:r>
        <w:rPr>
          <w:rFonts w:hint="eastAsia" w:ascii="黑体" w:hAnsi="黑体" w:eastAsia="黑体"/>
          <w:b/>
          <w:sz w:val="32"/>
          <w:szCs w:val="32"/>
        </w:rPr>
        <w:t>第一章</w:t>
      </w:r>
      <w:r>
        <w:rPr>
          <w:rFonts w:ascii="黑体" w:hAnsi="黑体" w:eastAsia="黑体"/>
          <w:b/>
          <w:sz w:val="32"/>
          <w:szCs w:val="32"/>
        </w:rPr>
        <w:t xml:space="preserve"> </w:t>
      </w:r>
      <w:r>
        <w:rPr>
          <w:rFonts w:hint="eastAsia" w:ascii="黑体" w:hAnsi="黑体" w:eastAsia="黑体"/>
          <w:b/>
          <w:sz w:val="32"/>
          <w:szCs w:val="32"/>
        </w:rPr>
        <w:t xml:space="preserve"> </w:t>
      </w:r>
      <w:r>
        <w:rPr>
          <w:rFonts w:ascii="黑体" w:hAnsi="黑体" w:eastAsia="黑体"/>
          <w:b/>
          <w:sz w:val="32"/>
          <w:szCs w:val="32"/>
        </w:rPr>
        <w:t>总  则</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第一条  </w:t>
      </w:r>
      <w:r>
        <w:rPr>
          <w:rFonts w:hint="eastAsia" w:ascii="仿宋_GB2312" w:eastAsia="仿宋_GB2312"/>
          <w:sz w:val="32"/>
          <w:szCs w:val="32"/>
        </w:rPr>
        <w:t>为规范我校零星工程施工单位选择工作，根据柳州市零星工程施工项目相关文件和相关法律、法规等相关要求，结合我校实际，特制定本管理办法。</w:t>
      </w:r>
    </w:p>
    <w:p>
      <w:pPr>
        <w:pageBreakBefore w:val="0"/>
        <w:kinsoku/>
        <w:wordWrap/>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第二条  </w:t>
      </w:r>
      <w:r>
        <w:rPr>
          <w:rFonts w:hint="eastAsia" w:ascii="仿宋_GB2312" w:eastAsia="仿宋_GB2312"/>
          <w:sz w:val="32"/>
          <w:szCs w:val="32"/>
        </w:rPr>
        <w:t>本办法</w:t>
      </w:r>
      <w:r>
        <w:rPr>
          <w:rFonts w:ascii="仿宋_GB2312" w:eastAsia="仿宋_GB2312"/>
          <w:sz w:val="32"/>
          <w:szCs w:val="32"/>
        </w:rPr>
        <w:t>所指的</w:t>
      </w:r>
      <w:r>
        <w:rPr>
          <w:rFonts w:hint="eastAsia" w:ascii="仿宋_GB2312" w:eastAsia="仿宋_GB2312"/>
          <w:sz w:val="32"/>
          <w:szCs w:val="32"/>
        </w:rPr>
        <w:t>零星工程</w:t>
      </w:r>
      <w:r>
        <w:rPr>
          <w:rFonts w:ascii="仿宋_GB2312" w:eastAsia="仿宋_GB2312"/>
          <w:sz w:val="32"/>
          <w:szCs w:val="32"/>
        </w:rPr>
        <w:t>是指校园内需要抢修、维修、改造、装饰、安装等分散</w:t>
      </w:r>
      <w:r>
        <w:rPr>
          <w:rFonts w:hint="eastAsia" w:ascii="仿宋_GB2312" w:eastAsia="仿宋_GB2312"/>
          <w:sz w:val="32"/>
          <w:szCs w:val="32"/>
        </w:rPr>
        <w:t>施工</w:t>
      </w:r>
      <w:r>
        <w:rPr>
          <w:rFonts w:ascii="仿宋_GB2312" w:eastAsia="仿宋_GB2312"/>
          <w:sz w:val="32"/>
          <w:szCs w:val="32"/>
        </w:rPr>
        <w:t>、造价在200万元之内的工程项目。</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80" w:lineRule="exact"/>
        <w:ind w:firstLine="643" w:firstLineChars="200"/>
        <w:jc w:val="center"/>
        <w:outlineLvl w:val="9"/>
        <w:rPr>
          <w:rFonts w:hint="eastAsia" w:ascii="黑体" w:hAnsi="黑体" w:eastAsia="黑体"/>
          <w:b/>
          <w:sz w:val="32"/>
          <w:szCs w:val="32"/>
        </w:rPr>
      </w:pPr>
      <w:r>
        <w:rPr>
          <w:rFonts w:hint="eastAsia" w:ascii="黑体" w:hAnsi="黑体" w:eastAsia="黑体"/>
          <w:b/>
          <w:sz w:val="32"/>
          <w:szCs w:val="32"/>
        </w:rPr>
        <w:t>第二章  基本原则</w:t>
      </w:r>
      <w:r>
        <w:rPr>
          <w:rFonts w:ascii="黑体" w:hAnsi="黑体" w:eastAsia="黑体"/>
          <w:b/>
          <w:sz w:val="32"/>
          <w:szCs w:val="32"/>
        </w:rPr>
        <w:t>和要求</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ascii="仿宋_GB2312" w:eastAsia="仿宋_GB2312"/>
          <w:b/>
          <w:bCs/>
          <w:sz w:val="32"/>
          <w:szCs w:val="32"/>
        </w:rPr>
        <w:t>第三条</w:t>
      </w:r>
      <w:r>
        <w:rPr>
          <w:rFonts w:hint="eastAsia" w:ascii="仿宋_GB2312" w:eastAsia="仿宋_GB2312"/>
          <w:b/>
          <w:bCs/>
          <w:sz w:val="32"/>
          <w:szCs w:val="32"/>
        </w:rPr>
        <w:t xml:space="preserve">  </w:t>
      </w:r>
      <w:r>
        <w:rPr>
          <w:rFonts w:ascii="仿宋_GB2312" w:eastAsia="仿宋_GB2312"/>
          <w:sz w:val="32"/>
          <w:szCs w:val="32"/>
        </w:rPr>
        <w:t>施工单位选择原则上</w:t>
      </w:r>
      <w:r>
        <w:rPr>
          <w:rFonts w:hint="eastAsia" w:ascii="仿宋_GB2312" w:eastAsia="仿宋_GB2312"/>
          <w:sz w:val="32"/>
          <w:szCs w:val="32"/>
        </w:rPr>
        <w:t>通过招标方式在柳州市定点范围内二次选择</w:t>
      </w:r>
      <w:r>
        <w:rPr>
          <w:rFonts w:ascii="仿宋_GB2312" w:eastAsia="仿宋_GB2312"/>
          <w:sz w:val="32"/>
          <w:szCs w:val="32"/>
        </w:rPr>
        <w:t>选定。招标工作应遵循如下原则：</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坚持</w:t>
      </w:r>
      <w:r>
        <w:rPr>
          <w:rFonts w:hint="eastAsia" w:ascii="仿宋_GB2312" w:eastAsia="仿宋_GB2312"/>
          <w:sz w:val="32"/>
          <w:szCs w:val="32"/>
        </w:rPr>
        <w:t>公开、公平、公正</w:t>
      </w:r>
      <w:r>
        <w:rPr>
          <w:rFonts w:ascii="仿宋_GB2312" w:eastAsia="仿宋_GB2312"/>
          <w:sz w:val="32"/>
          <w:szCs w:val="32"/>
        </w:rPr>
        <w:t>原则。</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ascii="仿宋_GB2312" w:eastAsia="仿宋_GB2312"/>
          <w:sz w:val="32"/>
          <w:szCs w:val="32"/>
        </w:rPr>
        <w:t>2</w:t>
      </w:r>
      <w:r>
        <w:rPr>
          <w:rFonts w:hint="eastAsia" w:ascii="仿宋_GB2312" w:eastAsia="仿宋_GB2312"/>
          <w:sz w:val="32"/>
          <w:szCs w:val="32"/>
        </w:rPr>
        <w:t>.</w:t>
      </w:r>
      <w:r>
        <w:rPr>
          <w:rFonts w:ascii="仿宋_GB2312" w:eastAsia="仿宋_GB2312"/>
          <w:sz w:val="32"/>
          <w:szCs w:val="32"/>
        </w:rPr>
        <w:t>坚持</w:t>
      </w:r>
      <w:r>
        <w:rPr>
          <w:rFonts w:hint="eastAsia" w:ascii="仿宋_GB2312" w:eastAsia="仿宋_GB2312"/>
          <w:sz w:val="32"/>
          <w:szCs w:val="32"/>
        </w:rPr>
        <w:t>择优</w:t>
      </w:r>
      <w:r>
        <w:rPr>
          <w:rFonts w:ascii="仿宋_GB2312" w:eastAsia="仿宋_GB2312"/>
          <w:sz w:val="32"/>
          <w:szCs w:val="32"/>
        </w:rPr>
        <w:t>、</w:t>
      </w:r>
      <w:r>
        <w:rPr>
          <w:rFonts w:hint="eastAsia" w:ascii="仿宋_GB2312" w:eastAsia="仿宋_GB2312"/>
          <w:sz w:val="32"/>
          <w:szCs w:val="32"/>
        </w:rPr>
        <w:t>诚实</w:t>
      </w:r>
      <w:r>
        <w:rPr>
          <w:rFonts w:ascii="仿宋_GB2312" w:eastAsia="仿宋_GB2312"/>
          <w:sz w:val="32"/>
          <w:szCs w:val="32"/>
        </w:rPr>
        <w:t>、</w:t>
      </w:r>
      <w:r>
        <w:rPr>
          <w:rFonts w:hint="eastAsia" w:ascii="仿宋_GB2312" w:eastAsia="仿宋_GB2312"/>
          <w:sz w:val="32"/>
          <w:szCs w:val="32"/>
        </w:rPr>
        <w:t>信用原则</w:t>
      </w:r>
      <w:r>
        <w:rPr>
          <w:rFonts w:ascii="仿宋_GB2312" w:eastAsia="仿宋_GB2312"/>
          <w:sz w:val="32"/>
          <w:szCs w:val="32"/>
        </w:rPr>
        <w:t>。</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ascii="仿宋_GB2312" w:eastAsia="仿宋_GB2312"/>
          <w:sz w:val="32"/>
          <w:szCs w:val="32"/>
        </w:rPr>
        <w:t>3</w:t>
      </w:r>
      <w:r>
        <w:rPr>
          <w:rFonts w:hint="eastAsia" w:ascii="仿宋_GB2312" w:eastAsia="仿宋_GB2312"/>
          <w:sz w:val="32"/>
          <w:szCs w:val="32"/>
        </w:rPr>
        <w:t>.</w:t>
      </w:r>
      <w:r>
        <w:rPr>
          <w:rFonts w:ascii="仿宋_GB2312" w:eastAsia="仿宋_GB2312"/>
          <w:sz w:val="32"/>
          <w:szCs w:val="32"/>
        </w:rPr>
        <w:t>坚持</w:t>
      </w:r>
      <w:r>
        <w:rPr>
          <w:rFonts w:hint="eastAsia" w:ascii="仿宋_GB2312" w:eastAsia="仿宋_GB2312"/>
          <w:sz w:val="32"/>
          <w:szCs w:val="32"/>
        </w:rPr>
        <w:t>相互监督原则</w:t>
      </w:r>
      <w:r>
        <w:rPr>
          <w:rFonts w:ascii="仿宋_GB2312" w:eastAsia="仿宋_GB2312"/>
          <w:sz w:val="32"/>
          <w:szCs w:val="32"/>
        </w:rPr>
        <w:t>。</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.坚持利害关系回避原则</w:t>
      </w:r>
      <w:r>
        <w:rPr>
          <w:rFonts w:ascii="仿宋_GB2312" w:eastAsia="仿宋_GB2312"/>
          <w:sz w:val="32"/>
          <w:szCs w:val="32"/>
        </w:rPr>
        <w:t>。</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.坚持权责</w:t>
      </w:r>
      <w:r>
        <w:rPr>
          <w:rFonts w:ascii="仿宋_GB2312" w:eastAsia="仿宋_GB2312"/>
          <w:sz w:val="32"/>
          <w:szCs w:val="32"/>
        </w:rPr>
        <w:t>统一</w:t>
      </w:r>
      <w:r>
        <w:rPr>
          <w:rFonts w:hint="eastAsia" w:ascii="仿宋_GB2312" w:eastAsia="仿宋_GB2312"/>
          <w:sz w:val="32"/>
          <w:szCs w:val="32"/>
        </w:rPr>
        <w:t>原则</w:t>
      </w:r>
      <w:r>
        <w:rPr>
          <w:rFonts w:ascii="仿宋_GB2312" w:eastAsia="仿宋_GB2312"/>
          <w:sz w:val="32"/>
          <w:szCs w:val="32"/>
        </w:rPr>
        <w:t>。</w:t>
      </w:r>
      <w:r>
        <w:rPr>
          <w:rFonts w:hint="eastAsia" w:ascii="仿宋_GB2312" w:eastAsia="仿宋_GB2312"/>
          <w:sz w:val="32"/>
          <w:szCs w:val="32"/>
        </w:rPr>
        <w:t xml:space="preserve"> </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ascii="仿宋_GB2312" w:eastAsia="仿宋_GB2312"/>
          <w:b/>
          <w:bCs/>
          <w:sz w:val="32"/>
          <w:szCs w:val="32"/>
        </w:rPr>
        <w:t>第</w:t>
      </w:r>
      <w:r>
        <w:rPr>
          <w:rFonts w:hint="eastAsia" w:ascii="仿宋_GB2312" w:eastAsia="仿宋_GB2312"/>
          <w:b/>
          <w:bCs/>
          <w:sz w:val="32"/>
          <w:szCs w:val="32"/>
        </w:rPr>
        <w:t>四</w:t>
      </w:r>
      <w:r>
        <w:rPr>
          <w:rFonts w:ascii="仿宋_GB2312" w:eastAsia="仿宋_GB2312"/>
          <w:b/>
          <w:bCs/>
          <w:sz w:val="32"/>
          <w:szCs w:val="32"/>
        </w:rPr>
        <w:t>条</w:t>
      </w:r>
      <w:r>
        <w:rPr>
          <w:rFonts w:hint="eastAsia" w:ascii="仿宋_GB2312" w:eastAsia="仿宋_GB2312"/>
          <w:b/>
          <w:bCs/>
          <w:sz w:val="32"/>
          <w:szCs w:val="32"/>
        </w:rPr>
        <w:t xml:space="preserve">  </w:t>
      </w:r>
      <w:r>
        <w:rPr>
          <w:rFonts w:ascii="仿宋_GB2312" w:eastAsia="仿宋_GB2312"/>
          <w:sz w:val="32"/>
          <w:szCs w:val="32"/>
        </w:rPr>
        <w:t>在选择中标施工单位时，应该按照如下要求执行：</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1.工程预算</w:t>
      </w:r>
      <w:r>
        <w:rPr>
          <w:rFonts w:ascii="仿宋_GB2312" w:eastAsia="仿宋_GB2312"/>
          <w:sz w:val="32"/>
          <w:szCs w:val="32"/>
        </w:rPr>
        <w:t>价</w:t>
      </w:r>
      <w:r>
        <w:rPr>
          <w:rFonts w:hint="eastAsia" w:ascii="仿宋_GB2312" w:eastAsia="仿宋_GB2312"/>
          <w:sz w:val="32"/>
          <w:szCs w:val="32"/>
        </w:rPr>
        <w:t>在5万元以下(不含)的项目，</w:t>
      </w:r>
      <w:r>
        <w:rPr>
          <w:rFonts w:ascii="仿宋_GB2312" w:eastAsia="仿宋_GB2312"/>
          <w:sz w:val="32"/>
          <w:szCs w:val="32"/>
        </w:rPr>
        <w:t>由</w:t>
      </w:r>
      <w:r>
        <w:rPr>
          <w:rFonts w:hint="eastAsia" w:ascii="仿宋_GB2312" w:eastAsia="仿宋_GB2312"/>
          <w:sz w:val="32"/>
          <w:szCs w:val="32"/>
        </w:rPr>
        <w:t>后勤保障处在</w:t>
      </w:r>
      <w:r>
        <w:rPr>
          <w:rFonts w:ascii="仿宋_GB2312" w:eastAsia="仿宋_GB2312"/>
          <w:sz w:val="32"/>
          <w:szCs w:val="32"/>
        </w:rPr>
        <w:t>学校的定点施工单位中</w:t>
      </w:r>
      <w:r>
        <w:rPr>
          <w:rFonts w:hint="eastAsia" w:ascii="仿宋_GB2312" w:eastAsia="仿宋_GB2312"/>
          <w:sz w:val="32"/>
          <w:szCs w:val="32"/>
        </w:rPr>
        <w:t>进行比选，并</w:t>
      </w:r>
      <w:r>
        <w:rPr>
          <w:rFonts w:ascii="仿宋_GB2312" w:eastAsia="仿宋_GB2312"/>
          <w:sz w:val="32"/>
          <w:szCs w:val="32"/>
        </w:rPr>
        <w:t>向资产管理处报备制。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.工程预算</w:t>
      </w:r>
      <w:r>
        <w:rPr>
          <w:rFonts w:ascii="仿宋_GB2312" w:eastAsia="仿宋_GB2312"/>
          <w:sz w:val="32"/>
          <w:szCs w:val="32"/>
        </w:rPr>
        <w:t>价</w:t>
      </w:r>
      <w:r>
        <w:rPr>
          <w:rFonts w:hint="eastAsia" w:ascii="仿宋_GB2312" w:eastAsia="仿宋_GB2312"/>
          <w:sz w:val="32"/>
          <w:szCs w:val="32"/>
        </w:rPr>
        <w:t>在5万元</w:t>
      </w:r>
      <w:bookmarkStart w:id="1424" w:name="_Toc21296_WPSOffice_Level1"/>
      <w:r>
        <w:rPr>
          <w:rFonts w:hint="eastAsia" w:ascii="仿宋_GB2312" w:eastAsia="仿宋_GB2312"/>
          <w:sz w:val="32"/>
          <w:szCs w:val="32"/>
        </w:rPr>
        <w:t>-20万元(不含)的项目，</w:t>
      </w:r>
      <w:r>
        <w:rPr>
          <w:rFonts w:ascii="仿宋_GB2312" w:eastAsia="仿宋_GB2312"/>
          <w:sz w:val="32"/>
          <w:szCs w:val="32"/>
        </w:rPr>
        <w:t>由资产</w:t>
      </w:r>
      <w:bookmarkEnd w:id="1424"/>
      <w:r>
        <w:rPr>
          <w:rFonts w:ascii="仿宋_GB2312" w:eastAsia="仿宋_GB2312"/>
          <w:sz w:val="32"/>
          <w:szCs w:val="32"/>
        </w:rPr>
        <w:t>管理处</w:t>
      </w:r>
      <w:r>
        <w:rPr>
          <w:rFonts w:hint="eastAsia" w:ascii="仿宋_GB2312" w:eastAsia="仿宋_GB2312"/>
          <w:sz w:val="32"/>
          <w:szCs w:val="32"/>
        </w:rPr>
        <w:t>组织后勤保障处</w:t>
      </w:r>
      <w:r>
        <w:rPr>
          <w:rFonts w:ascii="仿宋_GB2312" w:eastAsia="仿宋_GB2312"/>
          <w:sz w:val="32"/>
          <w:szCs w:val="32"/>
        </w:rPr>
        <w:t>在校内定点施工单位</w:t>
      </w:r>
      <w:r>
        <w:rPr>
          <w:rFonts w:hint="eastAsia" w:ascii="仿宋_GB2312" w:eastAsia="仿宋_GB2312"/>
          <w:sz w:val="32"/>
          <w:szCs w:val="32"/>
        </w:rPr>
        <w:t>进行比选。</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ascii="仿宋_GB2312" w:eastAsia="仿宋_GB2312"/>
          <w:sz w:val="32"/>
          <w:szCs w:val="32"/>
        </w:rPr>
        <w:t>3</w:t>
      </w:r>
      <w:r>
        <w:rPr>
          <w:rFonts w:hint="eastAsia" w:ascii="仿宋_GB2312" w:eastAsia="仿宋_GB2312"/>
          <w:sz w:val="32"/>
          <w:szCs w:val="32"/>
        </w:rPr>
        <w:t>.</w:t>
      </w:r>
      <w:r>
        <w:rPr>
          <w:rFonts w:ascii="仿宋_GB2312" w:eastAsia="仿宋_GB2312"/>
          <w:sz w:val="32"/>
          <w:szCs w:val="32"/>
        </w:rPr>
        <w:t>工程预算价在</w:t>
      </w:r>
      <w:r>
        <w:rPr>
          <w:rFonts w:hint="eastAsia" w:ascii="仿宋_GB2312" w:eastAsia="仿宋_GB2312"/>
          <w:sz w:val="32"/>
          <w:szCs w:val="32"/>
        </w:rPr>
        <w:t>20</w:t>
      </w:r>
      <w:r>
        <w:rPr>
          <w:rFonts w:ascii="仿宋_GB2312" w:eastAsia="仿宋_GB2312"/>
          <w:sz w:val="32"/>
          <w:szCs w:val="32"/>
        </w:rPr>
        <w:t>万</w:t>
      </w:r>
      <w:r>
        <w:rPr>
          <w:rFonts w:hint="eastAsia" w:ascii="仿宋_GB2312" w:eastAsia="仿宋_GB2312"/>
          <w:sz w:val="32"/>
          <w:szCs w:val="32"/>
        </w:rPr>
        <w:t>-</w:t>
      </w:r>
      <w:r>
        <w:rPr>
          <w:rFonts w:ascii="仿宋_GB2312" w:eastAsia="仿宋_GB2312"/>
          <w:sz w:val="32"/>
          <w:szCs w:val="32"/>
        </w:rPr>
        <w:t>60万（不含）的项目，</w:t>
      </w:r>
      <w:r>
        <w:rPr>
          <w:rFonts w:hint="eastAsia" w:ascii="仿宋_GB2312" w:eastAsia="仿宋_GB2312"/>
          <w:sz w:val="32"/>
          <w:szCs w:val="32"/>
        </w:rPr>
        <w:t>原则上</w:t>
      </w:r>
      <w:r>
        <w:rPr>
          <w:rFonts w:ascii="仿宋_GB2312" w:eastAsia="仿宋_GB2312"/>
          <w:sz w:val="32"/>
          <w:szCs w:val="32"/>
        </w:rPr>
        <w:t>由资产管理处送</w:t>
      </w:r>
      <w:r>
        <w:rPr>
          <w:rFonts w:hint="eastAsia" w:ascii="仿宋_GB2312" w:eastAsia="仿宋_GB2312"/>
          <w:sz w:val="32"/>
          <w:szCs w:val="32"/>
        </w:rPr>
        <w:t>社会代理机构组织</w:t>
      </w:r>
      <w:r>
        <w:rPr>
          <w:rFonts w:ascii="仿宋_GB2312" w:eastAsia="仿宋_GB2312"/>
          <w:sz w:val="32"/>
          <w:szCs w:val="32"/>
        </w:rPr>
        <w:t>招标</w:t>
      </w:r>
      <w:r>
        <w:rPr>
          <w:rFonts w:hint="eastAsia" w:ascii="仿宋_GB2312" w:eastAsia="仿宋_GB2312"/>
          <w:sz w:val="32"/>
          <w:szCs w:val="32"/>
        </w:rPr>
        <w:t>。学校定点或学校定点以外的有符合项目施工资质的单位均可报名招标。</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w:t>
      </w:r>
      <w:r>
        <w:rPr>
          <w:rFonts w:ascii="仿宋_GB2312" w:eastAsia="仿宋_GB2312"/>
          <w:sz w:val="32"/>
          <w:szCs w:val="32"/>
        </w:rPr>
        <w:t>工程预算价在60万</w:t>
      </w:r>
      <w:r>
        <w:rPr>
          <w:rFonts w:hint="eastAsia" w:ascii="仿宋_GB2312" w:eastAsia="仿宋_GB2312"/>
          <w:sz w:val="32"/>
          <w:szCs w:val="32"/>
        </w:rPr>
        <w:t>-</w:t>
      </w:r>
      <w:r>
        <w:rPr>
          <w:rFonts w:ascii="仿宋_GB2312" w:eastAsia="仿宋_GB2312"/>
          <w:sz w:val="32"/>
          <w:szCs w:val="32"/>
        </w:rPr>
        <w:t>200万元（不含）的项目，由资产管理处送</w:t>
      </w:r>
      <w:r>
        <w:rPr>
          <w:rFonts w:hint="eastAsia" w:ascii="仿宋_GB2312" w:eastAsia="仿宋_GB2312"/>
          <w:sz w:val="32"/>
          <w:szCs w:val="32"/>
        </w:rPr>
        <w:t>社会代理机构组织</w:t>
      </w:r>
      <w:r>
        <w:rPr>
          <w:rFonts w:ascii="仿宋_GB2312" w:eastAsia="仿宋_GB2312"/>
          <w:sz w:val="32"/>
          <w:szCs w:val="32"/>
        </w:rPr>
        <w:t>招标</w:t>
      </w:r>
      <w:r>
        <w:rPr>
          <w:rFonts w:hint="eastAsia" w:ascii="仿宋_GB2312" w:eastAsia="仿宋_GB2312"/>
          <w:sz w:val="32"/>
          <w:szCs w:val="32"/>
        </w:rPr>
        <w:t>。</w:t>
      </w:r>
      <w:r>
        <w:rPr>
          <w:rFonts w:ascii="仿宋_GB2312" w:eastAsia="仿宋_GB2312"/>
          <w:sz w:val="32"/>
          <w:szCs w:val="32"/>
        </w:rPr>
        <w:t>学校定点或学校定点以外的有符合项目施工资质的单位均可报名招标。</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ascii="仿宋_GB2312" w:eastAsia="仿宋_GB2312"/>
          <w:sz w:val="32"/>
          <w:szCs w:val="32"/>
        </w:rPr>
        <w:t>5</w:t>
      </w:r>
      <w:r>
        <w:rPr>
          <w:rFonts w:hint="eastAsia" w:ascii="仿宋_GB2312" w:eastAsia="仿宋_GB2312"/>
          <w:sz w:val="32"/>
          <w:szCs w:val="32"/>
        </w:rPr>
        <w:t>.</w:t>
      </w:r>
      <w:r>
        <w:rPr>
          <w:rFonts w:ascii="仿宋_GB2312" w:eastAsia="仿宋_GB2312"/>
          <w:sz w:val="32"/>
          <w:szCs w:val="32"/>
        </w:rPr>
        <w:t>工程预算价</w:t>
      </w:r>
      <w:r>
        <w:rPr>
          <w:rFonts w:hint="eastAsia" w:ascii="仿宋_GB2312" w:eastAsia="仿宋_GB2312"/>
          <w:sz w:val="32"/>
          <w:szCs w:val="32"/>
        </w:rPr>
        <w:t>在200万元以上的工程项目，</w:t>
      </w:r>
      <w:r>
        <w:rPr>
          <w:rFonts w:ascii="仿宋_GB2312" w:eastAsia="仿宋_GB2312"/>
          <w:sz w:val="32"/>
          <w:szCs w:val="32"/>
        </w:rPr>
        <w:t>按</w:t>
      </w:r>
      <w:r>
        <w:rPr>
          <w:rFonts w:hint="eastAsia" w:ascii="仿宋_GB2312" w:eastAsia="仿宋_GB2312"/>
          <w:sz w:val="32"/>
          <w:szCs w:val="32"/>
        </w:rPr>
        <w:t>代建制相关管理办法执行，由后勤保障处完成。</w:t>
      </w:r>
    </w:p>
    <w:p>
      <w:pPr>
        <w:pageBreakBefore w:val="0"/>
        <w:kinsoku/>
        <w:wordWrap/>
        <w:overflowPunct/>
        <w:topLinePunct w:val="0"/>
        <w:autoSpaceDE/>
        <w:autoSpaceDN/>
        <w:bidi w:val="0"/>
        <w:spacing w:line="596" w:lineRule="exact"/>
        <w:ind w:firstLine="643" w:firstLineChars="200"/>
        <w:outlineLvl w:val="9"/>
        <w:rPr>
          <w:rFonts w:ascii="仿宋_GB2312" w:eastAsia="仿宋_GB2312"/>
          <w:sz w:val="32"/>
          <w:szCs w:val="32"/>
        </w:rPr>
      </w:pPr>
      <w:r>
        <w:rPr>
          <w:rFonts w:ascii="仿宋_GB2312" w:eastAsia="仿宋_GB2312"/>
          <w:b/>
          <w:bCs/>
          <w:sz w:val="32"/>
          <w:szCs w:val="32"/>
        </w:rPr>
        <w:t>第五条</w:t>
      </w:r>
      <w:r>
        <w:rPr>
          <w:rFonts w:ascii="仿宋_GB2312" w:eastAsia="仿宋_GB2312"/>
          <w:sz w:val="32"/>
          <w:szCs w:val="32"/>
        </w:rPr>
        <w:t xml:space="preserve"> 工程</w:t>
      </w:r>
      <w:r>
        <w:rPr>
          <w:rFonts w:hint="eastAsia" w:ascii="仿宋_GB2312" w:eastAsia="仿宋_GB2312"/>
          <w:sz w:val="32"/>
          <w:szCs w:val="32"/>
        </w:rPr>
        <w:t>预算</w:t>
      </w:r>
      <w:r>
        <w:rPr>
          <w:rFonts w:ascii="仿宋_GB2312" w:eastAsia="仿宋_GB2312"/>
          <w:sz w:val="32"/>
          <w:szCs w:val="32"/>
        </w:rPr>
        <w:t>价在60万元以上的，中标结果确定后，由后勤保障处在政采云平台录入相关业务信息，完成柳州市零星工程项目定点采购流程。</w:t>
      </w:r>
    </w:p>
    <w:p>
      <w:pPr>
        <w:pageBreakBefore w:val="0"/>
        <w:kinsoku/>
        <w:wordWrap/>
        <w:overflowPunct/>
        <w:topLinePunct w:val="0"/>
        <w:autoSpaceDE/>
        <w:autoSpaceDN/>
        <w:bidi w:val="0"/>
        <w:spacing w:line="596" w:lineRule="exact"/>
        <w:ind w:firstLine="643" w:firstLineChars="200"/>
        <w:outlineLvl w:val="9"/>
        <w:rPr>
          <w:rFonts w:ascii="仿宋_GB2312" w:eastAsia="仿宋_GB2312"/>
          <w:sz w:val="32"/>
          <w:szCs w:val="32"/>
        </w:rPr>
      </w:pPr>
      <w:r>
        <w:rPr>
          <w:rFonts w:ascii="仿宋_GB2312" w:eastAsia="仿宋_GB2312"/>
          <w:b/>
          <w:bCs/>
          <w:sz w:val="32"/>
          <w:szCs w:val="32"/>
        </w:rPr>
        <w:t>第</w:t>
      </w:r>
      <w:r>
        <w:rPr>
          <w:rFonts w:hint="eastAsia" w:ascii="仿宋_GB2312" w:eastAsia="仿宋_GB2312"/>
          <w:b/>
          <w:bCs/>
          <w:sz w:val="32"/>
          <w:szCs w:val="32"/>
        </w:rPr>
        <w:t>六</w:t>
      </w:r>
      <w:r>
        <w:rPr>
          <w:rFonts w:ascii="仿宋_GB2312" w:eastAsia="仿宋_GB2312"/>
          <w:b/>
          <w:bCs/>
          <w:sz w:val="32"/>
          <w:szCs w:val="32"/>
        </w:rPr>
        <w:t>条</w:t>
      </w:r>
      <w:r>
        <w:rPr>
          <w:rFonts w:ascii="仿宋_GB2312" w:eastAsia="仿宋_GB2312"/>
          <w:sz w:val="32"/>
          <w:szCs w:val="32"/>
        </w:rPr>
        <w:t xml:space="preserve">  选定中标施工单位后，由</w:t>
      </w:r>
      <w:r>
        <w:rPr>
          <w:rFonts w:hint="eastAsia" w:ascii="仿宋_GB2312" w:eastAsia="仿宋_GB2312"/>
          <w:sz w:val="32"/>
          <w:szCs w:val="32"/>
        </w:rPr>
        <w:t>后勤保障处</w:t>
      </w:r>
      <w:r>
        <w:rPr>
          <w:rFonts w:ascii="仿宋_GB2312" w:eastAsia="仿宋_GB2312"/>
          <w:sz w:val="32"/>
          <w:szCs w:val="32"/>
        </w:rPr>
        <w:t>负责完成施工合同签订</w:t>
      </w:r>
      <w:r>
        <w:rPr>
          <w:rFonts w:hint="eastAsia" w:ascii="仿宋_GB2312" w:eastAsia="仿宋_GB2312"/>
          <w:sz w:val="32"/>
          <w:szCs w:val="32"/>
        </w:rPr>
        <w:t>。</w:t>
      </w:r>
    </w:p>
    <w:p>
      <w:pPr>
        <w:pageBreakBefore w:val="0"/>
        <w:kinsoku/>
        <w:wordWrap/>
        <w:overflowPunct/>
        <w:topLinePunct w:val="0"/>
        <w:autoSpaceDE/>
        <w:autoSpaceDN/>
        <w:bidi w:val="0"/>
        <w:spacing w:line="596" w:lineRule="exact"/>
        <w:ind w:firstLine="643" w:firstLineChars="200"/>
        <w:outlineLvl w:val="9"/>
        <w:rPr>
          <w:rFonts w:ascii="仿宋_GB2312" w:eastAsia="仿宋_GB2312"/>
          <w:sz w:val="32"/>
          <w:szCs w:val="32"/>
        </w:rPr>
      </w:pPr>
      <w:r>
        <w:rPr>
          <w:rFonts w:ascii="仿宋_GB2312" w:eastAsia="仿宋_GB2312"/>
          <w:b/>
          <w:bCs/>
          <w:sz w:val="32"/>
          <w:szCs w:val="32"/>
        </w:rPr>
        <w:t>第</w:t>
      </w:r>
      <w:r>
        <w:rPr>
          <w:rFonts w:hint="eastAsia" w:ascii="仿宋_GB2312" w:eastAsia="仿宋_GB2312"/>
          <w:b/>
          <w:bCs/>
          <w:sz w:val="32"/>
          <w:szCs w:val="32"/>
        </w:rPr>
        <w:t>七</w:t>
      </w:r>
      <w:r>
        <w:rPr>
          <w:rFonts w:ascii="仿宋_GB2312" w:eastAsia="仿宋_GB2312"/>
          <w:b/>
          <w:bCs/>
          <w:sz w:val="32"/>
          <w:szCs w:val="32"/>
        </w:rPr>
        <w:t>条</w:t>
      </w:r>
      <w:r>
        <w:rPr>
          <w:rFonts w:ascii="仿宋_GB2312" w:eastAsia="仿宋_GB2312"/>
          <w:sz w:val="32"/>
          <w:szCs w:val="32"/>
        </w:rPr>
        <w:t xml:space="preserve">  校内自行招标的，参与评标人员原则上由</w:t>
      </w:r>
      <w:r>
        <w:rPr>
          <w:rFonts w:hint="eastAsia" w:ascii="仿宋_GB2312" w:eastAsia="仿宋_GB2312"/>
          <w:sz w:val="32"/>
          <w:szCs w:val="32"/>
        </w:rPr>
        <w:t>后勤保障处</w:t>
      </w:r>
      <w:r>
        <w:rPr>
          <w:rFonts w:ascii="仿宋_GB2312" w:eastAsia="仿宋_GB2312"/>
          <w:sz w:val="32"/>
          <w:szCs w:val="32"/>
        </w:rPr>
        <w:t>、</w:t>
      </w:r>
      <w:r>
        <w:rPr>
          <w:rFonts w:hint="eastAsia" w:ascii="仿宋_GB2312" w:eastAsia="仿宋_GB2312"/>
          <w:sz w:val="32"/>
          <w:szCs w:val="32"/>
        </w:rPr>
        <w:t>项目使用部门委派人员参加，至少三人，</w:t>
      </w:r>
      <w:r>
        <w:rPr>
          <w:rFonts w:ascii="仿宋_GB2312" w:eastAsia="仿宋_GB2312"/>
          <w:sz w:val="32"/>
          <w:szCs w:val="32"/>
        </w:rPr>
        <w:t>审计处</w:t>
      </w:r>
      <w:r>
        <w:rPr>
          <w:rFonts w:hint="eastAsia" w:ascii="仿宋_GB2312" w:eastAsia="仿宋_GB2312"/>
          <w:sz w:val="32"/>
          <w:szCs w:val="32"/>
        </w:rPr>
        <w:t>负责全程监督，</w:t>
      </w:r>
      <w:r>
        <w:rPr>
          <w:rFonts w:ascii="仿宋_GB2312" w:eastAsia="仿宋_GB2312"/>
          <w:sz w:val="32"/>
          <w:szCs w:val="32"/>
        </w:rPr>
        <w:t>有必要时可外请</w:t>
      </w:r>
      <w:r>
        <w:rPr>
          <w:rFonts w:hint="eastAsia" w:ascii="仿宋_GB2312" w:eastAsia="仿宋_GB2312"/>
          <w:sz w:val="32"/>
          <w:szCs w:val="32"/>
        </w:rPr>
        <w:t>1-</w:t>
      </w:r>
      <w:r>
        <w:rPr>
          <w:rFonts w:ascii="仿宋_GB2312" w:eastAsia="仿宋_GB2312"/>
          <w:sz w:val="32"/>
          <w:szCs w:val="32"/>
        </w:rPr>
        <w:t>2名专家参加。评标工作由资产管理处指定专人负责。</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ascii="仿宋_GB2312" w:eastAsia="仿宋_GB2312"/>
          <w:b/>
          <w:bCs/>
          <w:sz w:val="32"/>
          <w:szCs w:val="32"/>
        </w:rPr>
        <w:t>第</w:t>
      </w:r>
      <w:r>
        <w:rPr>
          <w:rFonts w:hint="eastAsia" w:ascii="仿宋_GB2312" w:eastAsia="仿宋_GB2312"/>
          <w:b/>
          <w:bCs/>
          <w:sz w:val="32"/>
          <w:szCs w:val="32"/>
        </w:rPr>
        <w:t>八</w:t>
      </w:r>
      <w:r>
        <w:rPr>
          <w:rFonts w:ascii="仿宋_GB2312" w:eastAsia="仿宋_GB2312"/>
          <w:b/>
          <w:bCs/>
          <w:sz w:val="32"/>
          <w:szCs w:val="32"/>
        </w:rPr>
        <w:t>条</w:t>
      </w:r>
      <w:r>
        <w:rPr>
          <w:rFonts w:hint="eastAsia" w:ascii="仿宋_GB2312" w:eastAsia="仿宋_GB2312"/>
          <w:b/>
          <w:bCs/>
          <w:sz w:val="32"/>
          <w:szCs w:val="32"/>
        </w:rPr>
        <w:t xml:space="preserve">  </w:t>
      </w:r>
      <w:r>
        <w:rPr>
          <w:rFonts w:ascii="仿宋_GB2312" w:eastAsia="仿宋_GB2312"/>
          <w:sz w:val="32"/>
          <w:szCs w:val="32"/>
        </w:rPr>
        <w:t>重要工程项目和</w:t>
      </w:r>
      <w:r>
        <w:rPr>
          <w:rFonts w:hint="eastAsia" w:ascii="仿宋_GB2312" w:eastAsia="仿宋_GB2312"/>
          <w:sz w:val="32"/>
          <w:szCs w:val="32"/>
        </w:rPr>
        <w:t>委托</w:t>
      </w:r>
      <w:r>
        <w:rPr>
          <w:rFonts w:ascii="仿宋_GB2312" w:eastAsia="仿宋_GB2312"/>
          <w:sz w:val="32"/>
          <w:szCs w:val="32"/>
        </w:rPr>
        <w:t>社会机构代理招标的</w:t>
      </w:r>
      <w:r>
        <w:rPr>
          <w:rFonts w:hint="eastAsia" w:ascii="仿宋_GB2312" w:eastAsia="仿宋_GB2312"/>
          <w:sz w:val="32"/>
          <w:szCs w:val="32"/>
        </w:rPr>
        <w:t>业主评审代表</w:t>
      </w:r>
      <w:r>
        <w:rPr>
          <w:rFonts w:ascii="仿宋_GB2312" w:eastAsia="仿宋_GB2312"/>
          <w:sz w:val="32"/>
          <w:szCs w:val="32"/>
        </w:rPr>
        <w:t>，</w:t>
      </w:r>
      <w:r>
        <w:rPr>
          <w:rFonts w:hint="eastAsia" w:ascii="仿宋_GB2312" w:eastAsia="仿宋_GB2312"/>
          <w:sz w:val="32"/>
          <w:szCs w:val="32"/>
        </w:rPr>
        <w:t>由校长委派或授权资产管理处组织确定。业主评审代表人选必须是学校在编人员。</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ascii="仿宋_GB2312" w:eastAsia="仿宋_GB2312"/>
          <w:sz w:val="32"/>
          <w:szCs w:val="32"/>
        </w:rPr>
        <w:t xml:space="preserve">      </w:t>
      </w:r>
    </w:p>
    <w:p>
      <w:pPr>
        <w:pageBreakBefore w:val="0"/>
        <w:kinsoku/>
        <w:wordWrap/>
        <w:overflowPunct/>
        <w:topLinePunct w:val="0"/>
        <w:autoSpaceDE/>
        <w:autoSpaceDN/>
        <w:bidi w:val="0"/>
        <w:spacing w:line="580" w:lineRule="exact"/>
        <w:ind w:firstLine="2891" w:firstLineChars="900"/>
        <w:outlineLvl w:val="9"/>
        <w:rPr>
          <w:rFonts w:ascii="黑体" w:hAnsi="黑体" w:eastAsia="黑体"/>
          <w:b/>
          <w:sz w:val="32"/>
          <w:szCs w:val="32"/>
        </w:rPr>
      </w:pPr>
      <w:r>
        <w:rPr>
          <w:rFonts w:hint="eastAsia" w:ascii="黑体" w:hAnsi="黑体" w:eastAsia="黑体"/>
          <w:b/>
          <w:sz w:val="32"/>
          <w:szCs w:val="32"/>
        </w:rPr>
        <w:t xml:space="preserve">第三章  </w:t>
      </w:r>
      <w:r>
        <w:rPr>
          <w:rFonts w:ascii="黑体" w:hAnsi="黑体" w:eastAsia="黑体"/>
          <w:b/>
          <w:sz w:val="32"/>
          <w:szCs w:val="32"/>
        </w:rPr>
        <w:t>附  则</w:t>
      </w:r>
    </w:p>
    <w:p>
      <w:pPr>
        <w:pageBreakBefore w:val="0"/>
        <w:kinsoku/>
        <w:wordWrap/>
        <w:overflowPunct/>
        <w:topLinePunct w:val="0"/>
        <w:autoSpaceDE/>
        <w:autoSpaceDN/>
        <w:bidi w:val="0"/>
        <w:spacing w:line="596" w:lineRule="exact"/>
        <w:ind w:firstLine="643" w:firstLineChars="200"/>
        <w:outlineLvl w:val="9"/>
        <w:rPr>
          <w:rFonts w:ascii="仿宋_GB2312" w:eastAsia="仿宋_GB2312"/>
          <w:sz w:val="32"/>
          <w:szCs w:val="32"/>
        </w:rPr>
      </w:pPr>
      <w:r>
        <w:rPr>
          <w:rFonts w:ascii="仿宋_GB2312" w:eastAsia="仿宋_GB2312"/>
          <w:b/>
          <w:bCs/>
          <w:sz w:val="32"/>
          <w:szCs w:val="32"/>
        </w:rPr>
        <w:t>第</w:t>
      </w:r>
      <w:r>
        <w:rPr>
          <w:rFonts w:hint="eastAsia" w:ascii="仿宋_GB2312" w:eastAsia="仿宋_GB2312"/>
          <w:b/>
          <w:bCs/>
          <w:sz w:val="32"/>
          <w:szCs w:val="32"/>
        </w:rPr>
        <w:t>九</w:t>
      </w:r>
      <w:r>
        <w:rPr>
          <w:rFonts w:ascii="仿宋_GB2312" w:eastAsia="仿宋_GB2312"/>
          <w:b/>
          <w:bCs/>
          <w:sz w:val="32"/>
          <w:szCs w:val="32"/>
        </w:rPr>
        <w:t>条</w:t>
      </w:r>
      <w:r>
        <w:rPr>
          <w:rFonts w:hint="eastAsia" w:ascii="仿宋_GB2312" w:eastAsia="仿宋_GB2312"/>
          <w:b/>
          <w:bCs/>
          <w:sz w:val="32"/>
          <w:szCs w:val="32"/>
        </w:rPr>
        <w:t xml:space="preserve">  </w:t>
      </w:r>
      <w:r>
        <w:rPr>
          <w:rFonts w:ascii="仿宋_GB2312" w:eastAsia="仿宋_GB2312"/>
          <w:sz w:val="32"/>
          <w:szCs w:val="32"/>
        </w:rPr>
        <w:t>本办法从学校讨论通过之曰起执行。</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ascii="仿宋_GB2312" w:eastAsia="仿宋_GB2312"/>
          <w:b/>
          <w:bCs/>
          <w:sz w:val="32"/>
          <w:szCs w:val="32"/>
        </w:rPr>
        <w:t>第十条</w:t>
      </w:r>
      <w:r>
        <w:rPr>
          <w:rFonts w:hint="eastAsia" w:ascii="仿宋_GB2312" w:eastAsia="仿宋_GB2312"/>
          <w:b/>
          <w:bCs/>
          <w:sz w:val="32"/>
          <w:szCs w:val="32"/>
        </w:rPr>
        <w:t xml:space="preserve">  </w:t>
      </w:r>
      <w:r>
        <w:rPr>
          <w:rFonts w:ascii="仿宋_GB2312" w:eastAsia="仿宋_GB2312"/>
          <w:sz w:val="32"/>
          <w:szCs w:val="32"/>
        </w:rPr>
        <w:t>本办法未尽事宜由</w:t>
      </w:r>
      <w:r>
        <w:rPr>
          <w:rFonts w:hint="eastAsia" w:ascii="仿宋_GB2312" w:eastAsia="仿宋_GB2312"/>
          <w:sz w:val="32"/>
          <w:szCs w:val="32"/>
        </w:rPr>
        <w:t>学校</w:t>
      </w:r>
      <w:r>
        <w:rPr>
          <w:rFonts w:ascii="仿宋_GB2312" w:eastAsia="仿宋_GB2312"/>
          <w:sz w:val="32"/>
          <w:szCs w:val="32"/>
        </w:rPr>
        <w:t>资产管理处负责解释。</w:t>
      </w:r>
    </w:p>
    <w:p>
      <w:pPr>
        <w:pageBreakBefore w:val="0"/>
        <w:widowControl/>
        <w:kinsoku/>
        <w:wordWrap/>
        <w:overflowPunct/>
        <w:topLinePunct w:val="0"/>
        <w:autoSpaceDE/>
        <w:autoSpaceDN/>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425" w:name="_Toc25438"/>
      <w:bookmarkStart w:id="1426" w:name="_Toc2399"/>
      <w:bookmarkStart w:id="1427" w:name="_Toc3521"/>
      <w:bookmarkStart w:id="1428" w:name="_Toc27898_WPSOffice_Level1"/>
      <w:r>
        <w:rPr>
          <w:rFonts w:hint="eastAsia"/>
          <w:b/>
          <w:color w:val="000000"/>
          <w:sz w:val="36"/>
          <w:szCs w:val="36"/>
        </w:rPr>
        <w:t>柳州职业技术学院大型仪器设备管理办法（暂行）</w:t>
      </w:r>
      <w:bookmarkEnd w:id="1425"/>
      <w:bookmarkEnd w:id="1426"/>
      <w:bookmarkEnd w:id="1427"/>
      <w:bookmarkEnd w:id="1428"/>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（柳职院字〔2021〕58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96" w:lineRule="exact"/>
        <w:jc w:val="center"/>
        <w:outlineLvl w:val="9"/>
        <w:rPr>
          <w:rFonts w:ascii="黑体" w:hAnsi="黑体" w:eastAsia="黑体"/>
          <w:b/>
          <w:sz w:val="32"/>
          <w:szCs w:val="32"/>
        </w:rPr>
      </w:pPr>
      <w:bookmarkStart w:id="1429" w:name="_Toc1724_WPSOffice_Level1"/>
      <w:r>
        <w:rPr>
          <w:rFonts w:ascii="黑体" w:hAnsi="黑体" w:eastAsia="黑体"/>
          <w:b/>
          <w:sz w:val="32"/>
          <w:szCs w:val="32"/>
        </w:rPr>
        <w:t>第一章  总  则</w:t>
      </w:r>
      <w:bookmarkEnd w:id="1429"/>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第一条</w:t>
      </w:r>
      <w:r>
        <w:rPr>
          <w:rFonts w:ascii="仿宋" w:hAnsi="仿宋" w:eastAsia="仿宋"/>
          <w:sz w:val="32"/>
          <w:szCs w:val="32"/>
        </w:rPr>
        <w:t xml:space="preserve">  为加强学校大型仪器设备的管理，提高大型仪器设备的投资、使用效益，</w:t>
      </w:r>
      <w:r>
        <w:rPr>
          <w:rFonts w:hint="eastAsia" w:ascii="仿宋" w:hAnsi="仿宋" w:eastAsia="仿宋"/>
          <w:sz w:val="32"/>
          <w:szCs w:val="32"/>
        </w:rPr>
        <w:t>根据教育部《高等学校仪器设备管理办法》（高教〔2000〕9号）、《教育部办公厅关于加强高等学校科研基础设施和科研仪器开放共享的指导意见》（教技厅〔2015〕4号）文件要求，结合我校实际，制定本办法。</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第二条</w:t>
      </w:r>
      <w:r>
        <w:rPr>
          <w:rFonts w:ascii="仿宋" w:hAnsi="仿宋" w:eastAsia="仿宋"/>
          <w:sz w:val="32"/>
          <w:szCs w:val="32"/>
        </w:rPr>
        <w:t xml:space="preserve">  大型仪器设备的管理范围包括：</w:t>
      </w:r>
    </w:p>
    <w:p>
      <w:pPr>
        <w:pageBreakBefore w:val="0"/>
        <w:kinsoku/>
        <w:wordWrap/>
        <w:overflowPunct/>
        <w:topLinePunct w:val="0"/>
        <w:autoSpaceDE/>
        <w:autoSpaceDN/>
        <w:bidi w:val="0"/>
        <w:spacing w:line="600" w:lineRule="exact"/>
        <w:ind w:firstLine="640" w:firstLineChars="200"/>
        <w:outlineLvl w:val="9"/>
        <w:rPr>
          <w:rFonts w:ascii="仿宋" w:hAnsi="仿宋" w:eastAsia="仿宋"/>
          <w:sz w:val="32"/>
          <w:szCs w:val="32"/>
        </w:rPr>
      </w:pPr>
      <w:r>
        <w:rPr>
          <w:rFonts w:ascii="仿宋" w:hAnsi="仿宋" w:eastAsia="仿宋"/>
          <w:sz w:val="32"/>
          <w:szCs w:val="32"/>
        </w:rPr>
        <w:t>（一）单价超过人民币10万元(含10万元)的仪器设备；</w:t>
      </w:r>
    </w:p>
    <w:p>
      <w:pPr>
        <w:pageBreakBefore w:val="0"/>
        <w:kinsoku/>
        <w:wordWrap/>
        <w:overflowPunct/>
        <w:topLinePunct w:val="0"/>
        <w:autoSpaceDE/>
        <w:autoSpaceDN/>
        <w:bidi w:val="0"/>
        <w:spacing w:line="600" w:lineRule="exact"/>
        <w:ind w:firstLine="640" w:firstLineChars="200"/>
        <w:outlineLvl w:val="9"/>
        <w:rPr>
          <w:rFonts w:ascii="仿宋" w:hAnsi="仿宋" w:eastAsia="仿宋"/>
          <w:sz w:val="32"/>
          <w:szCs w:val="32"/>
        </w:rPr>
      </w:pPr>
      <w:r>
        <w:rPr>
          <w:rFonts w:ascii="仿宋" w:hAnsi="仿宋" w:eastAsia="仿宋"/>
          <w:sz w:val="32"/>
          <w:szCs w:val="32"/>
        </w:rPr>
        <w:t>（二）单价不足10万元，但属配套使用，总价超过10万元(含10万元)的仪器设备；</w:t>
      </w:r>
    </w:p>
    <w:p>
      <w:pPr>
        <w:pageBreakBefore w:val="0"/>
        <w:kinsoku/>
        <w:wordWrap/>
        <w:overflowPunct/>
        <w:topLinePunct w:val="0"/>
        <w:autoSpaceDE/>
        <w:autoSpaceDN/>
        <w:bidi w:val="0"/>
        <w:spacing w:line="600" w:lineRule="exact"/>
        <w:ind w:firstLine="640" w:firstLineChars="200"/>
        <w:outlineLvl w:val="9"/>
        <w:rPr>
          <w:rFonts w:ascii="仿宋" w:hAnsi="仿宋" w:eastAsia="仿宋"/>
          <w:sz w:val="32"/>
          <w:szCs w:val="32"/>
        </w:rPr>
      </w:pPr>
      <w:r>
        <w:rPr>
          <w:rFonts w:ascii="仿宋" w:hAnsi="仿宋" w:eastAsia="仿宋"/>
          <w:sz w:val="32"/>
          <w:szCs w:val="32"/>
        </w:rPr>
        <w:t>（三）属于国家科委认定的“二十三种大型精密仪器设备”。</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第三条</w:t>
      </w:r>
      <w:r>
        <w:rPr>
          <w:rFonts w:ascii="仿宋" w:hAnsi="仿宋" w:eastAsia="仿宋"/>
          <w:sz w:val="32"/>
          <w:szCs w:val="32"/>
        </w:rPr>
        <w:t xml:space="preserve">  学校大型仪器设备在完成教学、科研任务的同时，应积极对校内外开放，实行资源共享</w:t>
      </w:r>
      <w:r>
        <w:rPr>
          <w:rFonts w:hint="eastAsia" w:ascii="仿宋" w:hAnsi="仿宋" w:eastAsia="仿宋"/>
          <w:sz w:val="32"/>
          <w:szCs w:val="32"/>
        </w:rPr>
        <w:t>，充分发挥国有资产的最大效益。</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hint="eastAsia" w:ascii="仿宋" w:hAnsi="仿宋" w:eastAsia="仿宋"/>
          <w:b/>
          <w:sz w:val="32"/>
          <w:szCs w:val="32"/>
        </w:rPr>
        <w:t>第四条</w:t>
      </w:r>
      <w:r>
        <w:rPr>
          <w:rFonts w:hint="eastAsia" w:ascii="仿宋" w:hAnsi="仿宋" w:eastAsia="仿宋"/>
          <w:sz w:val="32"/>
          <w:szCs w:val="32"/>
        </w:rPr>
        <w:t xml:space="preserve"> 大型仪器设备租赁由使用部门负责，租赁双方签订临时租赁协议，报教务与实训管理处、资产管理处备案。租赁期间按规定统一收费，收取的费用主要用于补偿仪器设备的运行、消耗、维护、维修及支付必要的劳务费用等。</w:t>
      </w:r>
    </w:p>
    <w:p>
      <w:pPr>
        <w:pageBreakBefore w:val="0"/>
        <w:kinsoku/>
        <w:wordWrap/>
        <w:overflowPunct/>
        <w:topLinePunct w:val="0"/>
        <w:autoSpaceDE/>
        <w:autoSpaceDN/>
        <w:bidi w:val="0"/>
        <w:spacing w:line="596" w:lineRule="exact"/>
        <w:ind w:firstLine="643" w:firstLineChars="200"/>
        <w:jc w:val="center"/>
        <w:outlineLvl w:val="9"/>
        <w:rPr>
          <w:rFonts w:ascii="黑体" w:hAnsi="黑体" w:eastAsia="黑体"/>
          <w:b/>
          <w:sz w:val="32"/>
          <w:szCs w:val="32"/>
        </w:rPr>
      </w:pPr>
      <w:bookmarkStart w:id="1430" w:name="_Toc18160_WPSOffice_Level1"/>
      <w:r>
        <w:rPr>
          <w:rFonts w:ascii="黑体" w:hAnsi="黑体" w:eastAsia="黑体"/>
          <w:b/>
          <w:sz w:val="32"/>
          <w:szCs w:val="32"/>
        </w:rPr>
        <w:t>第二章  管理机构及其职责</w:t>
      </w:r>
      <w:bookmarkEnd w:id="1430"/>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w:t>
      </w:r>
      <w:r>
        <w:rPr>
          <w:rFonts w:hint="eastAsia" w:ascii="仿宋" w:hAnsi="仿宋" w:eastAsia="仿宋"/>
          <w:b/>
          <w:sz w:val="32"/>
          <w:szCs w:val="32"/>
        </w:rPr>
        <w:t>五</w:t>
      </w:r>
      <w:r>
        <w:rPr>
          <w:rFonts w:ascii="仿宋" w:hAnsi="仿宋" w:eastAsia="仿宋"/>
          <w:b/>
          <w:sz w:val="32"/>
          <w:szCs w:val="32"/>
        </w:rPr>
        <w:t>条</w:t>
      </w:r>
      <w:r>
        <w:rPr>
          <w:rFonts w:ascii="仿宋" w:hAnsi="仿宋" w:eastAsia="仿宋"/>
          <w:sz w:val="32"/>
          <w:szCs w:val="32"/>
        </w:rPr>
        <w:t xml:space="preserve"> </w:t>
      </w:r>
      <w:r>
        <w:rPr>
          <w:rFonts w:hint="eastAsia" w:ascii="仿宋" w:hAnsi="仿宋" w:eastAsia="仿宋"/>
          <w:sz w:val="32"/>
          <w:szCs w:val="32"/>
        </w:rPr>
        <w:t xml:space="preserve"> </w:t>
      </w:r>
      <w:r>
        <w:rPr>
          <w:rFonts w:ascii="仿宋" w:hAnsi="仿宋" w:eastAsia="仿宋"/>
          <w:sz w:val="32"/>
          <w:szCs w:val="32"/>
        </w:rPr>
        <w:t>学校资产管理</w:t>
      </w:r>
      <w:r>
        <w:rPr>
          <w:rFonts w:hint="eastAsia" w:ascii="仿宋" w:hAnsi="仿宋" w:eastAsia="仿宋"/>
          <w:sz w:val="32"/>
          <w:szCs w:val="32"/>
        </w:rPr>
        <w:t>领导小组</w:t>
      </w:r>
      <w:r>
        <w:rPr>
          <w:rFonts w:ascii="仿宋" w:hAnsi="仿宋" w:eastAsia="仿宋"/>
          <w:sz w:val="32"/>
          <w:szCs w:val="32"/>
        </w:rPr>
        <w:t>负责</w:t>
      </w:r>
      <w:r>
        <w:rPr>
          <w:rFonts w:hint="eastAsia" w:ascii="仿宋" w:hAnsi="仿宋" w:eastAsia="仿宋"/>
          <w:sz w:val="32"/>
          <w:szCs w:val="32"/>
        </w:rPr>
        <w:t>对</w:t>
      </w:r>
      <w:r>
        <w:rPr>
          <w:rFonts w:ascii="仿宋" w:hAnsi="仿宋" w:eastAsia="仿宋"/>
          <w:sz w:val="32"/>
          <w:szCs w:val="32"/>
        </w:rPr>
        <w:t>大型仪器设备</w:t>
      </w:r>
      <w:r>
        <w:rPr>
          <w:rFonts w:hint="eastAsia" w:ascii="仿宋" w:hAnsi="仿宋" w:eastAsia="仿宋"/>
          <w:sz w:val="32"/>
          <w:szCs w:val="32"/>
        </w:rPr>
        <w:t>的</w:t>
      </w:r>
      <w:r>
        <w:rPr>
          <w:rFonts w:ascii="仿宋" w:hAnsi="仿宋" w:eastAsia="仿宋"/>
          <w:sz w:val="32"/>
          <w:szCs w:val="32"/>
        </w:rPr>
        <w:t>管理制度与重大</w:t>
      </w:r>
      <w:r>
        <w:rPr>
          <w:rFonts w:hint="eastAsia" w:ascii="仿宋" w:hAnsi="仿宋" w:eastAsia="仿宋"/>
          <w:sz w:val="32"/>
          <w:szCs w:val="32"/>
        </w:rPr>
        <w:t>事项</w:t>
      </w:r>
      <w:r>
        <w:rPr>
          <w:rFonts w:ascii="仿宋" w:hAnsi="仿宋" w:eastAsia="仿宋"/>
          <w:sz w:val="32"/>
          <w:szCs w:val="32"/>
        </w:rPr>
        <w:t>进行</w:t>
      </w:r>
      <w:r>
        <w:rPr>
          <w:rFonts w:hint="eastAsia" w:ascii="仿宋" w:hAnsi="仿宋" w:eastAsia="仿宋"/>
          <w:sz w:val="32"/>
          <w:szCs w:val="32"/>
        </w:rPr>
        <w:t>审议</w:t>
      </w:r>
      <w:r>
        <w:rPr>
          <w:rFonts w:ascii="仿宋" w:hAnsi="仿宋" w:eastAsia="仿宋"/>
          <w:sz w:val="32"/>
          <w:szCs w:val="32"/>
        </w:rPr>
        <w:t>。</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hint="eastAsia" w:ascii="仿宋" w:hAnsi="仿宋" w:eastAsia="仿宋"/>
          <w:b/>
          <w:sz w:val="32"/>
          <w:szCs w:val="32"/>
        </w:rPr>
        <w:t xml:space="preserve">第六条  </w:t>
      </w:r>
      <w:r>
        <w:rPr>
          <w:rFonts w:hint="eastAsia" w:ascii="仿宋" w:hAnsi="仿宋" w:eastAsia="仿宋"/>
          <w:sz w:val="32"/>
          <w:szCs w:val="32"/>
        </w:rPr>
        <w:t>资产管理处</w:t>
      </w:r>
      <w:r>
        <w:rPr>
          <w:rFonts w:ascii="仿宋" w:hAnsi="仿宋" w:eastAsia="仿宋"/>
          <w:sz w:val="32"/>
          <w:szCs w:val="32"/>
        </w:rPr>
        <w:t>是学校大型仪器设备的管理部门。其主要职责是：</w:t>
      </w:r>
    </w:p>
    <w:p>
      <w:pPr>
        <w:pageBreakBefore w:val="0"/>
        <w:kinsoku/>
        <w:wordWrap/>
        <w:overflowPunct/>
        <w:topLinePunct w:val="0"/>
        <w:autoSpaceDE/>
        <w:autoSpaceDN/>
        <w:bidi w:val="0"/>
        <w:spacing w:line="600" w:lineRule="exact"/>
        <w:ind w:firstLine="640" w:firstLineChars="200"/>
        <w:outlineLvl w:val="9"/>
        <w:rPr>
          <w:rFonts w:ascii="仿宋" w:hAnsi="仿宋" w:eastAsia="仿宋"/>
          <w:sz w:val="32"/>
          <w:szCs w:val="32"/>
        </w:rPr>
      </w:pPr>
      <w:r>
        <w:rPr>
          <w:rFonts w:ascii="仿宋" w:hAnsi="仿宋" w:eastAsia="仿宋"/>
          <w:sz w:val="32"/>
          <w:szCs w:val="32"/>
        </w:rPr>
        <w:t>（一）参与学校大型仪器设备的整体布局与配置、大型仪器设备购置前的可行性论证；</w:t>
      </w:r>
    </w:p>
    <w:p>
      <w:pPr>
        <w:pageBreakBefore w:val="0"/>
        <w:kinsoku/>
        <w:wordWrap/>
        <w:overflowPunct/>
        <w:topLinePunct w:val="0"/>
        <w:autoSpaceDE/>
        <w:autoSpaceDN/>
        <w:bidi w:val="0"/>
        <w:spacing w:line="600" w:lineRule="exact"/>
        <w:ind w:firstLine="640" w:firstLineChars="200"/>
        <w:outlineLvl w:val="9"/>
        <w:rPr>
          <w:rFonts w:ascii="仿宋" w:hAnsi="仿宋" w:eastAsia="仿宋"/>
          <w:sz w:val="32"/>
          <w:szCs w:val="32"/>
        </w:rPr>
      </w:pPr>
      <w:r>
        <w:rPr>
          <w:rFonts w:ascii="仿宋" w:hAnsi="仿宋" w:eastAsia="仿宋"/>
          <w:sz w:val="32"/>
          <w:szCs w:val="32"/>
        </w:rPr>
        <w:t>（二）组织检查大型仪器设备的使用和管理情况，保证大型仪器设备的完好率和充分发挥效能；</w:t>
      </w:r>
    </w:p>
    <w:p>
      <w:pPr>
        <w:pageBreakBefore w:val="0"/>
        <w:kinsoku/>
        <w:wordWrap/>
        <w:overflowPunct/>
        <w:topLinePunct w:val="0"/>
        <w:autoSpaceDE/>
        <w:autoSpaceDN/>
        <w:bidi w:val="0"/>
        <w:spacing w:line="600" w:lineRule="exact"/>
        <w:ind w:firstLine="640" w:firstLineChars="200"/>
        <w:outlineLvl w:val="9"/>
        <w:rPr>
          <w:rFonts w:ascii="仿宋" w:hAnsi="仿宋" w:eastAsia="仿宋"/>
          <w:sz w:val="32"/>
          <w:szCs w:val="32"/>
        </w:rPr>
      </w:pPr>
      <w:r>
        <w:rPr>
          <w:rFonts w:ascii="仿宋" w:hAnsi="仿宋" w:eastAsia="仿宋"/>
          <w:sz w:val="32"/>
          <w:szCs w:val="32"/>
        </w:rPr>
        <w:t>（三）负责学校大型仪器设备的绩效考核评价，根据绩效评价结果确定对大型仪器设备资源的整合和调配。</w:t>
      </w:r>
    </w:p>
    <w:p>
      <w:pPr>
        <w:pageBreakBefore w:val="0"/>
        <w:kinsoku/>
        <w:wordWrap/>
        <w:overflowPunct/>
        <w:topLinePunct w:val="0"/>
        <w:autoSpaceDE/>
        <w:autoSpaceDN/>
        <w:bidi w:val="0"/>
        <w:spacing w:line="600" w:lineRule="exact"/>
        <w:ind w:firstLine="643" w:firstLineChars="200"/>
        <w:outlineLvl w:val="9"/>
        <w:rPr>
          <w:rFonts w:hint="eastAsia" w:ascii="仿宋" w:hAnsi="仿宋" w:eastAsia="仿宋"/>
          <w:color w:val="000000"/>
          <w:sz w:val="32"/>
          <w:szCs w:val="32"/>
        </w:rPr>
      </w:pPr>
      <w:r>
        <w:rPr>
          <w:rFonts w:hint="eastAsia" w:ascii="仿宋" w:hAnsi="仿宋" w:eastAsia="仿宋"/>
          <w:b/>
          <w:sz w:val="32"/>
          <w:szCs w:val="32"/>
        </w:rPr>
        <w:t xml:space="preserve">第七条  </w:t>
      </w:r>
      <w:r>
        <w:rPr>
          <w:rFonts w:ascii="仿宋" w:hAnsi="仿宋" w:eastAsia="仿宋"/>
          <w:sz w:val="32"/>
          <w:szCs w:val="32"/>
        </w:rPr>
        <w:t>根据学校国有资产</w:t>
      </w:r>
      <w:r>
        <w:rPr>
          <w:rFonts w:hint="eastAsia" w:ascii="仿宋" w:hAnsi="仿宋" w:eastAsia="仿宋"/>
          <w:sz w:val="32"/>
          <w:szCs w:val="32"/>
        </w:rPr>
        <w:t>管理办法</w:t>
      </w:r>
      <w:r>
        <w:rPr>
          <w:rFonts w:ascii="仿宋" w:hAnsi="仿宋" w:eastAsia="仿宋"/>
          <w:sz w:val="32"/>
          <w:szCs w:val="32"/>
        </w:rPr>
        <w:t>，</w:t>
      </w:r>
      <w:r>
        <w:rPr>
          <w:rFonts w:hint="eastAsia" w:ascii="仿宋" w:hAnsi="仿宋" w:eastAsia="仿宋"/>
          <w:color w:val="000000"/>
          <w:sz w:val="32"/>
          <w:szCs w:val="32"/>
        </w:rPr>
        <w:t>大型仪器设备实行归口管理</w:t>
      </w:r>
      <w:r>
        <w:rPr>
          <w:rFonts w:ascii="仿宋" w:hAnsi="仿宋" w:eastAsia="仿宋"/>
          <w:color w:val="000000"/>
          <w:sz w:val="32"/>
          <w:szCs w:val="32"/>
        </w:rPr>
        <w:t>，</w:t>
      </w:r>
      <w:r>
        <w:rPr>
          <w:rFonts w:hint="eastAsia" w:ascii="仿宋" w:hAnsi="仿宋" w:eastAsia="仿宋"/>
          <w:color w:val="000000"/>
          <w:sz w:val="32"/>
          <w:szCs w:val="32"/>
        </w:rPr>
        <w:t>教学与实训设施大型设备</w:t>
      </w:r>
      <w:r>
        <w:rPr>
          <w:rFonts w:ascii="仿宋" w:hAnsi="仿宋" w:eastAsia="仿宋"/>
          <w:color w:val="000000"/>
          <w:sz w:val="32"/>
          <w:szCs w:val="32"/>
        </w:rPr>
        <w:t>的归口管理单位为</w:t>
      </w:r>
      <w:r>
        <w:rPr>
          <w:rFonts w:hint="eastAsia" w:ascii="仿宋" w:hAnsi="仿宋" w:eastAsia="仿宋"/>
          <w:color w:val="000000"/>
          <w:sz w:val="32"/>
          <w:szCs w:val="32"/>
        </w:rPr>
        <w:t>教务与实训管理处。</w:t>
      </w:r>
    </w:p>
    <w:p>
      <w:pPr>
        <w:pageBreakBefore w:val="0"/>
        <w:kinsoku/>
        <w:wordWrap/>
        <w:overflowPunct/>
        <w:topLinePunct w:val="0"/>
        <w:autoSpaceDE/>
        <w:autoSpaceDN/>
        <w:bidi w:val="0"/>
        <w:spacing w:line="600" w:lineRule="exact"/>
        <w:jc w:val="center"/>
        <w:outlineLvl w:val="9"/>
        <w:rPr>
          <w:rFonts w:ascii="黑体" w:hAnsi="黑体" w:eastAsia="黑体"/>
          <w:b/>
          <w:sz w:val="32"/>
          <w:szCs w:val="32"/>
        </w:rPr>
      </w:pPr>
      <w:bookmarkStart w:id="1431" w:name="_Toc3664_WPSOffice_Level1"/>
      <w:r>
        <w:rPr>
          <w:rFonts w:ascii="黑体" w:hAnsi="黑体" w:eastAsia="黑体"/>
          <w:b/>
          <w:sz w:val="32"/>
          <w:szCs w:val="32"/>
        </w:rPr>
        <w:t>第三章  购置与验收</w:t>
      </w:r>
      <w:bookmarkEnd w:id="1431"/>
    </w:p>
    <w:p>
      <w:pPr>
        <w:pageBreakBefore w:val="0"/>
        <w:kinsoku/>
        <w:wordWrap/>
        <w:overflowPunct/>
        <w:topLinePunct w:val="0"/>
        <w:autoSpaceDE/>
        <w:autoSpaceDN/>
        <w:bidi w:val="0"/>
        <w:spacing w:line="600" w:lineRule="exact"/>
        <w:ind w:firstLine="643" w:firstLineChars="200"/>
        <w:outlineLvl w:val="9"/>
        <w:rPr>
          <w:rFonts w:hint="eastAsia" w:ascii="仿宋" w:hAnsi="仿宋" w:eastAsia="仿宋"/>
          <w:sz w:val="32"/>
          <w:szCs w:val="32"/>
        </w:rPr>
      </w:pPr>
      <w:r>
        <w:rPr>
          <w:rFonts w:ascii="仿宋" w:hAnsi="仿宋" w:eastAsia="仿宋"/>
          <w:b/>
          <w:sz w:val="32"/>
          <w:szCs w:val="32"/>
        </w:rPr>
        <w:t>第</w:t>
      </w:r>
      <w:r>
        <w:rPr>
          <w:rFonts w:hint="eastAsia" w:ascii="仿宋" w:hAnsi="仿宋" w:eastAsia="仿宋"/>
          <w:b/>
          <w:sz w:val="32"/>
          <w:szCs w:val="32"/>
        </w:rPr>
        <w:t>八</w:t>
      </w:r>
      <w:r>
        <w:rPr>
          <w:rFonts w:ascii="仿宋" w:hAnsi="仿宋" w:eastAsia="仿宋"/>
          <w:b/>
          <w:sz w:val="32"/>
          <w:szCs w:val="32"/>
        </w:rPr>
        <w:t>条</w:t>
      </w:r>
      <w:r>
        <w:rPr>
          <w:rFonts w:ascii="仿宋" w:hAnsi="仿宋" w:eastAsia="仿宋"/>
          <w:sz w:val="32"/>
          <w:szCs w:val="32"/>
        </w:rPr>
        <w:t xml:space="preserve">  大型仪器设备采购</w:t>
      </w:r>
      <w:r>
        <w:rPr>
          <w:rFonts w:hint="eastAsia" w:ascii="仿宋" w:hAnsi="仿宋" w:eastAsia="仿宋"/>
          <w:sz w:val="32"/>
          <w:szCs w:val="32"/>
        </w:rPr>
        <w:t>验收</w:t>
      </w:r>
      <w:r>
        <w:rPr>
          <w:rFonts w:ascii="仿宋" w:hAnsi="仿宋" w:eastAsia="仿宋"/>
          <w:sz w:val="32"/>
          <w:szCs w:val="32"/>
        </w:rPr>
        <w:t>按照</w:t>
      </w:r>
      <w:r>
        <w:rPr>
          <w:rFonts w:hint="eastAsia" w:ascii="仿宋" w:hAnsi="仿宋" w:eastAsia="仿宋"/>
          <w:sz w:val="32"/>
          <w:szCs w:val="32"/>
        </w:rPr>
        <w:t>《柳州职业技术学院采购管理办法》</w:t>
      </w:r>
      <w:r>
        <w:rPr>
          <w:rFonts w:ascii="仿宋" w:hAnsi="仿宋" w:eastAsia="仿宋"/>
          <w:sz w:val="32"/>
          <w:szCs w:val="32"/>
        </w:rPr>
        <w:t>执行。</w:t>
      </w:r>
    </w:p>
    <w:p>
      <w:pPr>
        <w:pageBreakBefore w:val="0"/>
        <w:kinsoku/>
        <w:wordWrap/>
        <w:overflowPunct/>
        <w:topLinePunct w:val="0"/>
        <w:autoSpaceDE/>
        <w:autoSpaceDN/>
        <w:bidi w:val="0"/>
        <w:spacing w:line="600" w:lineRule="exact"/>
        <w:jc w:val="center"/>
        <w:outlineLvl w:val="9"/>
        <w:rPr>
          <w:rFonts w:ascii="黑体" w:hAnsi="黑体" w:eastAsia="黑体"/>
          <w:b/>
          <w:sz w:val="32"/>
          <w:szCs w:val="32"/>
        </w:rPr>
      </w:pPr>
      <w:bookmarkStart w:id="1432" w:name="_Toc31112_WPSOffice_Level1"/>
      <w:r>
        <w:rPr>
          <w:rFonts w:ascii="黑体" w:hAnsi="黑体" w:eastAsia="黑体"/>
          <w:b/>
          <w:sz w:val="32"/>
          <w:szCs w:val="32"/>
        </w:rPr>
        <w:t>第四章  使用管理与安全管理</w:t>
      </w:r>
      <w:bookmarkEnd w:id="1432"/>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w:t>
      </w:r>
      <w:r>
        <w:rPr>
          <w:rFonts w:hint="eastAsia" w:ascii="仿宋" w:hAnsi="仿宋" w:eastAsia="仿宋"/>
          <w:b/>
          <w:sz w:val="32"/>
          <w:szCs w:val="32"/>
        </w:rPr>
        <w:t>九</w:t>
      </w:r>
      <w:r>
        <w:rPr>
          <w:rFonts w:ascii="仿宋" w:hAnsi="仿宋" w:eastAsia="仿宋"/>
          <w:b/>
          <w:sz w:val="32"/>
          <w:szCs w:val="32"/>
        </w:rPr>
        <w:t>条</w:t>
      </w:r>
      <w:r>
        <w:rPr>
          <w:rFonts w:ascii="仿宋" w:hAnsi="仿宋" w:eastAsia="仿宋"/>
          <w:sz w:val="32"/>
          <w:szCs w:val="32"/>
        </w:rPr>
        <w:t xml:space="preserve">  </w:t>
      </w:r>
      <w:r>
        <w:rPr>
          <w:rFonts w:hint="eastAsia" w:ascii="仿宋" w:hAnsi="仿宋" w:eastAsia="仿宋"/>
          <w:sz w:val="32"/>
          <w:szCs w:val="32"/>
        </w:rPr>
        <w:t>设备使用部门</w:t>
      </w:r>
      <w:r>
        <w:rPr>
          <w:rFonts w:ascii="仿宋" w:hAnsi="仿宋" w:eastAsia="仿宋"/>
          <w:sz w:val="32"/>
          <w:szCs w:val="32"/>
        </w:rPr>
        <w:t>具体负责本单位大型仪器设备的使用和管理，在保证本单位教学、科研的前提下，实现开放共享。</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第十条</w:t>
      </w:r>
      <w:r>
        <w:rPr>
          <w:rFonts w:ascii="仿宋" w:hAnsi="仿宋" w:eastAsia="仿宋"/>
          <w:sz w:val="32"/>
          <w:szCs w:val="32"/>
        </w:rPr>
        <w:t xml:space="preserve">  </w:t>
      </w:r>
      <w:r>
        <w:rPr>
          <w:rFonts w:hint="eastAsia" w:ascii="仿宋" w:hAnsi="仿宋" w:eastAsia="仿宋"/>
          <w:sz w:val="32"/>
          <w:szCs w:val="32"/>
        </w:rPr>
        <w:t>学校</w:t>
      </w:r>
      <w:r>
        <w:rPr>
          <w:rFonts w:ascii="仿宋" w:hAnsi="仿宋" w:eastAsia="仿宋"/>
          <w:sz w:val="32"/>
          <w:szCs w:val="32"/>
        </w:rPr>
        <w:t>建立大型仪器设备的分级管理模式，</w:t>
      </w:r>
      <w:r>
        <w:rPr>
          <w:rFonts w:hint="eastAsia" w:ascii="仿宋" w:hAnsi="仿宋" w:eastAsia="仿宋"/>
          <w:sz w:val="32"/>
          <w:szCs w:val="32"/>
        </w:rPr>
        <w:t>实行资产管理处、归口管理部门、设备使用部门三级管理，</w:t>
      </w:r>
      <w:r>
        <w:rPr>
          <w:rFonts w:ascii="仿宋" w:hAnsi="仿宋" w:eastAsia="仿宋"/>
          <w:sz w:val="32"/>
          <w:szCs w:val="32"/>
        </w:rPr>
        <w:t>实现学校大型仪器设备管理和使用的网络化。</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第十</w:t>
      </w:r>
      <w:r>
        <w:rPr>
          <w:rFonts w:hint="eastAsia" w:ascii="仿宋" w:hAnsi="仿宋" w:eastAsia="仿宋"/>
          <w:b/>
          <w:sz w:val="32"/>
          <w:szCs w:val="32"/>
        </w:rPr>
        <w:t>一</w:t>
      </w:r>
      <w:r>
        <w:rPr>
          <w:rFonts w:ascii="仿宋" w:hAnsi="仿宋" w:eastAsia="仿宋"/>
          <w:b/>
          <w:sz w:val="32"/>
          <w:szCs w:val="32"/>
        </w:rPr>
        <w:t>条</w:t>
      </w:r>
      <w:r>
        <w:rPr>
          <w:rFonts w:ascii="仿宋" w:hAnsi="仿宋" w:eastAsia="仿宋"/>
          <w:sz w:val="32"/>
          <w:szCs w:val="32"/>
        </w:rPr>
        <w:t xml:space="preserve">  建立大型仪器设备维修、维护、保养制度，指定专人管理，定期对管理人员进</w:t>
      </w:r>
      <w:bookmarkStart w:id="1433" w:name="_Toc8431_WPSOffice_Level1"/>
      <w:r>
        <w:rPr>
          <w:rFonts w:ascii="仿宋" w:hAnsi="仿宋" w:eastAsia="仿宋"/>
          <w:sz w:val="32"/>
          <w:szCs w:val="32"/>
        </w:rPr>
        <w:t>行业务培训，建立管理岗位责任制。</w:t>
      </w:r>
      <w:bookmarkEnd w:id="1433"/>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第十</w:t>
      </w:r>
      <w:r>
        <w:rPr>
          <w:rFonts w:hint="eastAsia" w:ascii="仿宋" w:hAnsi="仿宋" w:eastAsia="仿宋"/>
          <w:b/>
          <w:sz w:val="32"/>
          <w:szCs w:val="32"/>
        </w:rPr>
        <w:t>二</w:t>
      </w:r>
      <w:r>
        <w:rPr>
          <w:rFonts w:ascii="仿宋" w:hAnsi="仿宋" w:eastAsia="仿宋"/>
          <w:b/>
          <w:sz w:val="32"/>
          <w:szCs w:val="32"/>
        </w:rPr>
        <w:t>条</w:t>
      </w:r>
      <w:r>
        <w:rPr>
          <w:rFonts w:ascii="仿宋" w:hAnsi="仿宋" w:eastAsia="仿宋"/>
          <w:sz w:val="32"/>
          <w:szCs w:val="32"/>
        </w:rPr>
        <w:t xml:space="preserve">  大型仪器设备要建立完整的技术档案，内容包括：产品出厂时的技术资料、可行性论证报告、验收记录、操作规程、承担的主要任务、使用记录、维修记录、重大事故记录、变动记录、报废等。</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第十</w:t>
      </w:r>
      <w:r>
        <w:rPr>
          <w:rFonts w:hint="eastAsia" w:ascii="仿宋" w:hAnsi="仿宋" w:eastAsia="仿宋"/>
          <w:b/>
          <w:sz w:val="32"/>
          <w:szCs w:val="32"/>
        </w:rPr>
        <w:t>三</w:t>
      </w:r>
      <w:r>
        <w:rPr>
          <w:rFonts w:ascii="仿宋" w:hAnsi="仿宋" w:eastAsia="仿宋"/>
          <w:b/>
          <w:sz w:val="32"/>
          <w:szCs w:val="32"/>
        </w:rPr>
        <w:t>条</w:t>
      </w:r>
      <w:r>
        <w:rPr>
          <w:rFonts w:ascii="仿宋" w:hAnsi="仿宋" w:eastAsia="仿宋"/>
          <w:sz w:val="32"/>
          <w:szCs w:val="32"/>
        </w:rPr>
        <w:t xml:space="preserve">  大型仪器设备不准私自拆卸或解体使用。</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第十</w:t>
      </w:r>
      <w:r>
        <w:rPr>
          <w:rFonts w:hint="eastAsia" w:ascii="仿宋" w:hAnsi="仿宋" w:eastAsia="仿宋"/>
          <w:b/>
          <w:sz w:val="32"/>
          <w:szCs w:val="32"/>
        </w:rPr>
        <w:t>四</w:t>
      </w:r>
      <w:r>
        <w:rPr>
          <w:rFonts w:ascii="仿宋" w:hAnsi="仿宋" w:eastAsia="仿宋"/>
          <w:b/>
          <w:sz w:val="32"/>
          <w:szCs w:val="32"/>
        </w:rPr>
        <w:t>条</w:t>
      </w:r>
      <w:r>
        <w:rPr>
          <w:rFonts w:ascii="仿宋" w:hAnsi="仿宋" w:eastAsia="仿宋"/>
          <w:sz w:val="32"/>
          <w:szCs w:val="32"/>
        </w:rPr>
        <w:t xml:space="preserve">  大型仪器设备属学校重要固定资产，各</w:t>
      </w:r>
      <w:r>
        <w:rPr>
          <w:rFonts w:hint="eastAsia" w:ascii="仿宋" w:hAnsi="仿宋" w:eastAsia="仿宋"/>
          <w:sz w:val="32"/>
          <w:szCs w:val="32"/>
        </w:rPr>
        <w:t>设备使用部门不经审批</w:t>
      </w:r>
      <w:r>
        <w:rPr>
          <w:rFonts w:ascii="仿宋" w:hAnsi="仿宋" w:eastAsia="仿宋"/>
          <w:sz w:val="32"/>
          <w:szCs w:val="32"/>
        </w:rPr>
        <w:t>一律</w:t>
      </w:r>
      <w:r>
        <w:rPr>
          <w:rFonts w:hint="eastAsia" w:ascii="仿宋" w:hAnsi="仿宋" w:eastAsia="仿宋"/>
          <w:sz w:val="32"/>
          <w:szCs w:val="32"/>
        </w:rPr>
        <w:t>不得自行</w:t>
      </w:r>
      <w:r>
        <w:rPr>
          <w:rFonts w:ascii="仿宋" w:hAnsi="仿宋" w:eastAsia="仿宋"/>
          <w:sz w:val="32"/>
          <w:szCs w:val="32"/>
        </w:rPr>
        <w:t>出租、出借、转让、处置。</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第十</w:t>
      </w:r>
      <w:r>
        <w:rPr>
          <w:rFonts w:hint="eastAsia" w:ascii="仿宋" w:hAnsi="仿宋" w:eastAsia="仿宋"/>
          <w:b/>
          <w:sz w:val="32"/>
          <w:szCs w:val="32"/>
        </w:rPr>
        <w:t>五</w:t>
      </w:r>
      <w:r>
        <w:rPr>
          <w:rFonts w:ascii="仿宋" w:hAnsi="仿宋" w:eastAsia="仿宋"/>
          <w:b/>
          <w:sz w:val="32"/>
          <w:szCs w:val="32"/>
        </w:rPr>
        <w:t>条</w:t>
      </w:r>
      <w:r>
        <w:rPr>
          <w:rFonts w:ascii="仿宋" w:hAnsi="仿宋" w:eastAsia="仿宋"/>
          <w:sz w:val="32"/>
          <w:szCs w:val="32"/>
        </w:rPr>
        <w:t xml:space="preserve">  大型仪器设备的管理人员，要根据大型仪器设备的特殊要求切实做好防火、防潮、防尘、防热、防冻、防震、防锈、防腐等工作。</w:t>
      </w:r>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ascii="仿宋" w:hAnsi="仿宋" w:eastAsia="仿宋"/>
          <w:b/>
          <w:sz w:val="32"/>
          <w:szCs w:val="32"/>
        </w:rPr>
        <w:t>第</w:t>
      </w:r>
      <w:r>
        <w:rPr>
          <w:rFonts w:hint="eastAsia" w:ascii="仿宋" w:hAnsi="仿宋" w:eastAsia="仿宋"/>
          <w:b/>
          <w:sz w:val="32"/>
          <w:szCs w:val="32"/>
        </w:rPr>
        <w:t>十六</w:t>
      </w:r>
      <w:r>
        <w:rPr>
          <w:rFonts w:ascii="仿宋" w:hAnsi="仿宋" w:eastAsia="仿宋"/>
          <w:b/>
          <w:sz w:val="32"/>
          <w:szCs w:val="32"/>
        </w:rPr>
        <w:t>条</w:t>
      </w:r>
      <w:r>
        <w:rPr>
          <w:rFonts w:ascii="仿宋" w:hAnsi="仿宋" w:eastAsia="仿宋"/>
          <w:sz w:val="32"/>
          <w:szCs w:val="32"/>
        </w:rPr>
        <w:t xml:space="preserve">  建立大型仪器设备的安全分级检查制度。学校</w:t>
      </w:r>
      <w:r>
        <w:rPr>
          <w:rFonts w:hint="eastAsia" w:ascii="仿宋" w:hAnsi="仿宋" w:eastAsia="仿宋"/>
          <w:sz w:val="32"/>
          <w:szCs w:val="32"/>
        </w:rPr>
        <w:t>归口管理部门</w:t>
      </w:r>
      <w:r>
        <w:rPr>
          <w:rFonts w:ascii="仿宋" w:hAnsi="仿宋" w:eastAsia="仿宋"/>
          <w:sz w:val="32"/>
          <w:szCs w:val="32"/>
        </w:rPr>
        <w:t>负责组织对大型仪器设备的安全管理进行检查，保证大型仪器设备的安全完整；大型仪器设备</w:t>
      </w:r>
      <w:r>
        <w:rPr>
          <w:rFonts w:hint="eastAsia" w:ascii="仿宋" w:hAnsi="仿宋" w:eastAsia="仿宋"/>
          <w:sz w:val="32"/>
          <w:szCs w:val="32"/>
        </w:rPr>
        <w:t>使用部门</w:t>
      </w:r>
      <w:r>
        <w:rPr>
          <w:rFonts w:ascii="仿宋" w:hAnsi="仿宋" w:eastAsia="仿宋"/>
          <w:sz w:val="32"/>
          <w:szCs w:val="32"/>
        </w:rPr>
        <w:t>负责仪器设备的安全管理，制定大型仪器设备的安全管理制度，安全管理责任到人。</w:t>
      </w:r>
    </w:p>
    <w:p>
      <w:pPr>
        <w:pageBreakBefore w:val="0"/>
        <w:kinsoku/>
        <w:wordWrap/>
        <w:overflowPunct/>
        <w:topLinePunct w:val="0"/>
        <w:autoSpaceDE/>
        <w:autoSpaceDN/>
        <w:bidi w:val="0"/>
        <w:spacing w:line="640" w:lineRule="exact"/>
        <w:jc w:val="center"/>
        <w:outlineLvl w:val="9"/>
        <w:rPr>
          <w:rFonts w:ascii="黑体" w:hAnsi="黑体" w:eastAsia="黑体"/>
          <w:b/>
          <w:sz w:val="32"/>
          <w:szCs w:val="32"/>
        </w:rPr>
      </w:pPr>
      <w:bookmarkStart w:id="1434" w:name="_Toc20770_WPSOffice_Level1"/>
      <w:r>
        <w:rPr>
          <w:rFonts w:hint="eastAsia" w:ascii="黑体" w:hAnsi="黑体" w:eastAsia="黑体"/>
          <w:b/>
          <w:sz w:val="32"/>
          <w:szCs w:val="32"/>
        </w:rPr>
        <w:t>第五章  维护、维修和报废</w:t>
      </w:r>
      <w:bookmarkEnd w:id="1434"/>
    </w:p>
    <w:p>
      <w:pPr>
        <w:pageBreakBefore w:val="0"/>
        <w:kinsoku/>
        <w:wordWrap/>
        <w:overflowPunct/>
        <w:topLinePunct w:val="0"/>
        <w:autoSpaceDE/>
        <w:autoSpaceDN/>
        <w:bidi w:val="0"/>
        <w:spacing w:line="640" w:lineRule="exact"/>
        <w:ind w:firstLine="643" w:firstLineChars="200"/>
        <w:outlineLvl w:val="9"/>
        <w:rPr>
          <w:rFonts w:ascii="仿宋" w:hAnsi="仿宋" w:eastAsia="仿宋"/>
          <w:sz w:val="32"/>
          <w:szCs w:val="32"/>
        </w:rPr>
      </w:pPr>
      <w:r>
        <w:rPr>
          <w:rFonts w:ascii="仿宋" w:hAnsi="仿宋" w:eastAsia="仿宋"/>
          <w:b/>
          <w:sz w:val="32"/>
          <w:szCs w:val="32"/>
        </w:rPr>
        <w:t>第</w:t>
      </w:r>
      <w:r>
        <w:rPr>
          <w:rFonts w:hint="eastAsia" w:ascii="仿宋" w:hAnsi="仿宋" w:eastAsia="仿宋"/>
          <w:b/>
          <w:sz w:val="32"/>
          <w:szCs w:val="32"/>
        </w:rPr>
        <w:t>十七</w:t>
      </w:r>
      <w:r>
        <w:rPr>
          <w:rFonts w:ascii="仿宋" w:hAnsi="仿宋" w:eastAsia="仿宋"/>
          <w:b/>
          <w:sz w:val="32"/>
          <w:szCs w:val="32"/>
        </w:rPr>
        <w:t>条</w:t>
      </w:r>
      <w:r>
        <w:rPr>
          <w:rFonts w:ascii="仿宋" w:hAnsi="仿宋" w:eastAsia="仿宋"/>
          <w:sz w:val="32"/>
          <w:szCs w:val="32"/>
        </w:rPr>
        <w:t xml:space="preserve">  设备</w:t>
      </w:r>
      <w:r>
        <w:rPr>
          <w:rFonts w:hint="eastAsia" w:ascii="仿宋" w:hAnsi="仿宋" w:eastAsia="仿宋"/>
          <w:sz w:val="32"/>
          <w:szCs w:val="32"/>
        </w:rPr>
        <w:t>使用部门</w:t>
      </w:r>
      <w:r>
        <w:rPr>
          <w:rFonts w:ascii="仿宋" w:hAnsi="仿宋" w:eastAsia="仿宋"/>
          <w:sz w:val="32"/>
          <w:szCs w:val="32"/>
        </w:rPr>
        <w:t>要做好大型仪器设备的日常维护、保养工作，定期对仪器设备性能精度进行校验和标定，对精度和性能下降的要及时修复，保证仪器设备处于完好可用状态。</w:t>
      </w:r>
    </w:p>
    <w:p>
      <w:pPr>
        <w:pageBreakBefore w:val="0"/>
        <w:kinsoku/>
        <w:wordWrap/>
        <w:overflowPunct/>
        <w:topLinePunct w:val="0"/>
        <w:autoSpaceDE/>
        <w:autoSpaceDN/>
        <w:bidi w:val="0"/>
        <w:spacing w:line="640" w:lineRule="exact"/>
        <w:ind w:firstLine="643" w:firstLineChars="200"/>
        <w:outlineLvl w:val="9"/>
        <w:rPr>
          <w:rFonts w:hint="eastAsia" w:ascii="仿宋" w:hAnsi="仿宋" w:eastAsia="仿宋"/>
          <w:sz w:val="32"/>
          <w:szCs w:val="32"/>
        </w:rPr>
      </w:pPr>
      <w:r>
        <w:rPr>
          <w:rFonts w:ascii="仿宋" w:hAnsi="仿宋" w:eastAsia="仿宋"/>
          <w:b/>
          <w:sz w:val="32"/>
          <w:szCs w:val="32"/>
        </w:rPr>
        <w:t>第</w:t>
      </w:r>
      <w:r>
        <w:rPr>
          <w:rFonts w:hint="eastAsia" w:ascii="仿宋" w:hAnsi="仿宋" w:eastAsia="仿宋"/>
          <w:b/>
          <w:sz w:val="32"/>
          <w:szCs w:val="32"/>
        </w:rPr>
        <w:t>十八</w:t>
      </w:r>
      <w:r>
        <w:rPr>
          <w:rFonts w:ascii="仿宋" w:hAnsi="仿宋" w:eastAsia="仿宋"/>
          <w:b/>
          <w:sz w:val="32"/>
          <w:szCs w:val="32"/>
        </w:rPr>
        <w:t>条</w:t>
      </w:r>
      <w:r>
        <w:rPr>
          <w:rFonts w:ascii="仿宋" w:hAnsi="仿宋" w:eastAsia="仿宋"/>
          <w:sz w:val="32"/>
          <w:szCs w:val="32"/>
        </w:rPr>
        <w:t xml:space="preserve">  拟报废的大型仪器设备由设备</w:t>
      </w:r>
      <w:r>
        <w:rPr>
          <w:rFonts w:hint="eastAsia" w:ascii="仿宋" w:hAnsi="仿宋" w:eastAsia="仿宋"/>
          <w:sz w:val="32"/>
          <w:szCs w:val="32"/>
        </w:rPr>
        <w:t>使用部门</w:t>
      </w:r>
      <w:r>
        <w:rPr>
          <w:rFonts w:ascii="仿宋" w:hAnsi="仿宋" w:eastAsia="仿宋"/>
          <w:sz w:val="32"/>
          <w:szCs w:val="32"/>
        </w:rPr>
        <w:t>提出报废申请，资产管理处</w:t>
      </w:r>
      <w:r>
        <w:rPr>
          <w:rFonts w:hint="eastAsia" w:ascii="仿宋" w:hAnsi="仿宋" w:eastAsia="仿宋"/>
          <w:sz w:val="32"/>
          <w:szCs w:val="32"/>
        </w:rPr>
        <w:t>负责组织现场查验</w:t>
      </w:r>
      <w:r>
        <w:rPr>
          <w:rFonts w:ascii="仿宋" w:hAnsi="仿宋" w:eastAsia="仿宋"/>
          <w:sz w:val="32"/>
          <w:szCs w:val="32"/>
        </w:rPr>
        <w:t>，报上级主管部门审批，残值收入上缴学校财务</w:t>
      </w:r>
      <w:r>
        <w:rPr>
          <w:rFonts w:hint="eastAsia" w:ascii="仿宋" w:hAnsi="仿宋" w:eastAsia="仿宋"/>
          <w:sz w:val="32"/>
          <w:szCs w:val="32"/>
        </w:rPr>
        <w:t>处</w:t>
      </w:r>
      <w:r>
        <w:rPr>
          <w:rFonts w:ascii="仿宋" w:hAnsi="仿宋" w:eastAsia="仿宋"/>
          <w:sz w:val="32"/>
          <w:szCs w:val="32"/>
        </w:rPr>
        <w:t>。</w:t>
      </w:r>
    </w:p>
    <w:p>
      <w:pPr>
        <w:pageBreakBefore w:val="0"/>
        <w:kinsoku/>
        <w:wordWrap/>
        <w:overflowPunct/>
        <w:topLinePunct w:val="0"/>
        <w:autoSpaceDE/>
        <w:autoSpaceDN/>
        <w:bidi w:val="0"/>
        <w:spacing w:line="640" w:lineRule="exact"/>
        <w:jc w:val="center"/>
        <w:outlineLvl w:val="9"/>
        <w:rPr>
          <w:rFonts w:ascii="黑体" w:hAnsi="黑体" w:eastAsia="黑体"/>
          <w:b/>
          <w:sz w:val="32"/>
          <w:szCs w:val="32"/>
        </w:rPr>
      </w:pPr>
      <w:bookmarkStart w:id="1435" w:name="_Toc14396_WPSOffice_Level1"/>
      <w:r>
        <w:rPr>
          <w:rFonts w:ascii="黑体" w:hAnsi="黑体" w:eastAsia="黑体"/>
          <w:b/>
          <w:sz w:val="32"/>
          <w:szCs w:val="32"/>
        </w:rPr>
        <w:t>第六章  考核与奖惩</w:t>
      </w:r>
      <w:bookmarkEnd w:id="1435"/>
    </w:p>
    <w:p>
      <w:pPr>
        <w:pageBreakBefore w:val="0"/>
        <w:kinsoku/>
        <w:wordWrap/>
        <w:overflowPunct/>
        <w:topLinePunct w:val="0"/>
        <w:autoSpaceDE/>
        <w:autoSpaceDN/>
        <w:bidi w:val="0"/>
        <w:spacing w:line="640" w:lineRule="exact"/>
        <w:ind w:firstLine="643" w:firstLineChars="200"/>
        <w:outlineLvl w:val="9"/>
        <w:rPr>
          <w:rFonts w:ascii="仿宋" w:hAnsi="仿宋" w:eastAsia="仿宋"/>
          <w:sz w:val="32"/>
          <w:szCs w:val="32"/>
        </w:rPr>
      </w:pPr>
      <w:r>
        <w:rPr>
          <w:rFonts w:ascii="仿宋" w:hAnsi="仿宋" w:eastAsia="仿宋"/>
          <w:b/>
          <w:sz w:val="32"/>
          <w:szCs w:val="32"/>
        </w:rPr>
        <w:t>第</w:t>
      </w:r>
      <w:r>
        <w:rPr>
          <w:rFonts w:hint="eastAsia" w:ascii="仿宋" w:hAnsi="仿宋" w:eastAsia="仿宋"/>
          <w:b/>
          <w:sz w:val="32"/>
          <w:szCs w:val="32"/>
        </w:rPr>
        <w:t>十九</w:t>
      </w:r>
      <w:r>
        <w:rPr>
          <w:rFonts w:ascii="仿宋" w:hAnsi="仿宋" w:eastAsia="仿宋"/>
          <w:b/>
          <w:sz w:val="32"/>
          <w:szCs w:val="32"/>
        </w:rPr>
        <w:t>条</w:t>
      </w:r>
      <w:r>
        <w:rPr>
          <w:rFonts w:ascii="仿宋" w:hAnsi="仿宋" w:eastAsia="仿宋"/>
          <w:sz w:val="32"/>
          <w:szCs w:val="32"/>
        </w:rPr>
        <w:t xml:space="preserve">  学校资产管理</w:t>
      </w:r>
      <w:r>
        <w:rPr>
          <w:rFonts w:hint="eastAsia" w:ascii="仿宋" w:hAnsi="仿宋" w:eastAsia="仿宋"/>
          <w:sz w:val="32"/>
          <w:szCs w:val="32"/>
        </w:rPr>
        <w:t>处</w:t>
      </w:r>
      <w:r>
        <w:rPr>
          <w:rFonts w:ascii="仿宋" w:hAnsi="仿宋" w:eastAsia="仿宋"/>
          <w:sz w:val="32"/>
          <w:szCs w:val="32"/>
        </w:rPr>
        <w:t>负责对学校大型仪器设备的使用和管理进行考核。</w:t>
      </w:r>
    </w:p>
    <w:p>
      <w:pPr>
        <w:pageBreakBefore w:val="0"/>
        <w:kinsoku/>
        <w:wordWrap/>
        <w:overflowPunct/>
        <w:topLinePunct w:val="0"/>
        <w:autoSpaceDE/>
        <w:autoSpaceDN/>
        <w:bidi w:val="0"/>
        <w:spacing w:line="640" w:lineRule="exact"/>
        <w:ind w:firstLine="640" w:firstLineChars="200"/>
        <w:outlineLvl w:val="9"/>
        <w:rPr>
          <w:rFonts w:ascii="仿宋" w:hAnsi="仿宋" w:eastAsia="仿宋"/>
          <w:sz w:val="32"/>
          <w:szCs w:val="32"/>
        </w:rPr>
      </w:pPr>
      <w:r>
        <w:rPr>
          <w:rFonts w:ascii="仿宋" w:hAnsi="仿宋" w:eastAsia="仿宋"/>
          <w:sz w:val="32"/>
          <w:szCs w:val="32"/>
        </w:rPr>
        <w:t>考核的主要内容</w:t>
      </w:r>
      <w:r>
        <w:rPr>
          <w:rFonts w:hint="eastAsia" w:ascii="仿宋" w:hAnsi="仿宋" w:eastAsia="仿宋"/>
          <w:sz w:val="32"/>
          <w:szCs w:val="32"/>
        </w:rPr>
        <w:t>为</w:t>
      </w:r>
      <w:r>
        <w:rPr>
          <w:rFonts w:ascii="仿宋" w:hAnsi="仿宋" w:eastAsia="仿宋"/>
          <w:sz w:val="32"/>
          <w:szCs w:val="32"/>
        </w:rPr>
        <w:t>：在教学、科研及社会服务等工作中开机使用的有效机时数、培养不同层次人才的数量及校内外科研成果数、现有设备功能的利用和技术开发的项目数、仪器设备的完好率和运行环境良好程度、技术档案，以及管理制度的健全和执行情况。</w:t>
      </w:r>
    </w:p>
    <w:p>
      <w:pPr>
        <w:pageBreakBefore w:val="0"/>
        <w:kinsoku/>
        <w:wordWrap/>
        <w:overflowPunct/>
        <w:topLinePunct w:val="0"/>
        <w:autoSpaceDE/>
        <w:autoSpaceDN/>
        <w:bidi w:val="0"/>
        <w:spacing w:line="640" w:lineRule="exact"/>
        <w:ind w:firstLine="643" w:firstLineChars="200"/>
        <w:outlineLvl w:val="9"/>
        <w:rPr>
          <w:rFonts w:hint="eastAsia" w:ascii="仿宋" w:hAnsi="仿宋" w:eastAsia="仿宋"/>
          <w:sz w:val="32"/>
          <w:szCs w:val="32"/>
        </w:rPr>
      </w:pPr>
      <w:r>
        <w:rPr>
          <w:rFonts w:ascii="仿宋" w:hAnsi="仿宋" w:eastAsia="仿宋"/>
          <w:b/>
          <w:sz w:val="32"/>
          <w:szCs w:val="32"/>
        </w:rPr>
        <w:t>第二十条</w:t>
      </w:r>
      <w:r>
        <w:rPr>
          <w:rFonts w:ascii="仿宋" w:hAnsi="仿宋" w:eastAsia="仿宋"/>
          <w:sz w:val="32"/>
          <w:szCs w:val="32"/>
        </w:rPr>
        <w:t xml:space="preserve">  建立大型仪器设备的使用、管理奖惩制度。对在使用和管理工作中成绩突出的单位和个人，学校予以表彰和奖励。对大型仪器设备管理不善或因责任事故造成损失的单位和个人，学校要追究相关单位和个人的责任。</w:t>
      </w:r>
    </w:p>
    <w:p>
      <w:pPr>
        <w:pageBreakBefore w:val="0"/>
        <w:kinsoku/>
        <w:wordWrap/>
        <w:overflowPunct/>
        <w:topLinePunct w:val="0"/>
        <w:autoSpaceDE/>
        <w:autoSpaceDN/>
        <w:bidi w:val="0"/>
        <w:spacing w:line="600" w:lineRule="exact"/>
        <w:jc w:val="center"/>
        <w:outlineLvl w:val="9"/>
        <w:rPr>
          <w:rFonts w:ascii="黑体" w:hAnsi="黑体" w:eastAsia="黑体"/>
          <w:b/>
          <w:sz w:val="32"/>
          <w:szCs w:val="32"/>
        </w:rPr>
      </w:pPr>
      <w:bookmarkStart w:id="1436" w:name="_Toc19495_WPSOffice_Level1"/>
      <w:r>
        <w:rPr>
          <w:rFonts w:hint="eastAsia" w:ascii="黑体" w:hAnsi="黑体" w:eastAsia="黑体"/>
          <w:b/>
          <w:sz w:val="32"/>
          <w:szCs w:val="32"/>
        </w:rPr>
        <w:t>第七章  附  则</w:t>
      </w:r>
      <w:bookmarkEnd w:id="1436"/>
    </w:p>
    <w:p>
      <w:pPr>
        <w:pageBreakBefore w:val="0"/>
        <w:kinsoku/>
        <w:wordWrap/>
        <w:overflowPunct/>
        <w:topLinePunct w:val="0"/>
        <w:autoSpaceDE/>
        <w:autoSpaceDN/>
        <w:bidi w:val="0"/>
        <w:spacing w:line="600" w:lineRule="exact"/>
        <w:ind w:firstLine="643" w:firstLineChars="200"/>
        <w:outlineLvl w:val="9"/>
        <w:rPr>
          <w:rFonts w:ascii="仿宋" w:hAnsi="仿宋" w:eastAsia="仿宋"/>
          <w:sz w:val="32"/>
          <w:szCs w:val="32"/>
        </w:rPr>
      </w:pPr>
      <w:r>
        <w:rPr>
          <w:rFonts w:hint="eastAsia" w:ascii="仿宋" w:hAnsi="仿宋" w:eastAsia="仿宋"/>
          <w:b/>
          <w:sz w:val="32"/>
          <w:szCs w:val="32"/>
        </w:rPr>
        <w:t>第二十一条</w:t>
      </w:r>
      <w:r>
        <w:rPr>
          <w:rFonts w:ascii="仿宋" w:hAnsi="仿宋" w:eastAsia="仿宋"/>
          <w:sz w:val="32"/>
          <w:szCs w:val="32"/>
        </w:rPr>
        <w:t xml:space="preserve">  本办法由学校资产管理</w:t>
      </w:r>
      <w:r>
        <w:rPr>
          <w:rFonts w:hint="eastAsia" w:ascii="仿宋" w:hAnsi="仿宋" w:eastAsia="仿宋"/>
          <w:sz w:val="32"/>
          <w:szCs w:val="32"/>
        </w:rPr>
        <w:t>处</w:t>
      </w:r>
      <w:r>
        <w:rPr>
          <w:rFonts w:ascii="仿宋" w:hAnsi="仿宋" w:eastAsia="仿宋"/>
          <w:sz w:val="32"/>
          <w:szCs w:val="32"/>
        </w:rPr>
        <w:t>负责解释。</w:t>
      </w:r>
    </w:p>
    <w:p>
      <w:pPr>
        <w:pageBreakBefore w:val="0"/>
        <w:kinsoku/>
        <w:wordWrap/>
        <w:overflowPunct/>
        <w:topLinePunct w:val="0"/>
        <w:autoSpaceDE/>
        <w:autoSpaceDN/>
        <w:bidi w:val="0"/>
        <w:spacing w:line="600" w:lineRule="exact"/>
        <w:ind w:firstLine="643" w:firstLineChars="200"/>
        <w:outlineLvl w:val="9"/>
        <w:rPr>
          <w:rFonts w:hint="eastAsia" w:eastAsia="黑体"/>
          <w:color w:val="000000"/>
          <w:sz w:val="32"/>
          <w:szCs w:val="32"/>
        </w:rPr>
      </w:pPr>
      <w:r>
        <w:rPr>
          <w:rFonts w:hint="eastAsia" w:ascii="仿宋" w:hAnsi="仿宋" w:eastAsia="仿宋"/>
          <w:b/>
          <w:sz w:val="32"/>
          <w:szCs w:val="32"/>
        </w:rPr>
        <w:t>第二十二条</w:t>
      </w:r>
      <w:r>
        <w:rPr>
          <w:rFonts w:ascii="仿宋" w:hAnsi="仿宋" w:eastAsia="仿宋"/>
          <w:sz w:val="32"/>
          <w:szCs w:val="32"/>
        </w:rPr>
        <w:t xml:space="preserve">  本办法自发布之日起施行。</w:t>
      </w:r>
    </w:p>
    <w:p>
      <w:pPr>
        <w:pageBreakBefore w:val="0"/>
        <w:kinsoku/>
        <w:wordWrap/>
        <w:overflowPunct/>
        <w:topLinePunct w:val="0"/>
        <w:autoSpaceDE/>
        <w:autoSpaceDN/>
        <w:bidi w:val="0"/>
        <w:outlineLvl w:val="9"/>
        <w:rPr>
          <w:rFonts w:hint="eastAsia"/>
          <w:b/>
          <w:color w:val="000000"/>
          <w:sz w:val="36"/>
          <w:szCs w:val="36"/>
        </w:rPr>
      </w:pPr>
      <w:r>
        <w:rPr>
          <w:rFonts w:hint="eastAsia"/>
          <w:b/>
          <w:color w:val="000000"/>
          <w:sz w:val="36"/>
          <w:szCs w:val="36"/>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437" w:name="_Toc12189"/>
      <w:bookmarkStart w:id="1438" w:name="_Toc348"/>
      <w:bookmarkStart w:id="1439" w:name="_Toc30969"/>
      <w:bookmarkStart w:id="1440" w:name="_Toc15344_WPSOffice_Level1"/>
      <w:r>
        <w:rPr>
          <w:rFonts w:hint="eastAsia"/>
          <w:b/>
          <w:color w:val="000000"/>
          <w:sz w:val="36"/>
          <w:szCs w:val="36"/>
        </w:rPr>
        <w:t>柳州职业技术学院基建项目管理制度（试行）</w:t>
      </w:r>
      <w:bookmarkEnd w:id="1437"/>
      <w:bookmarkEnd w:id="1438"/>
      <w:bookmarkEnd w:id="1439"/>
      <w:bookmarkEnd w:id="1440"/>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（柳职院字〔2021〕64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41" w:name="_Toc21534_WPSOffice_Level1"/>
      <w:r>
        <w:rPr>
          <w:rFonts w:hint="eastAsia" w:ascii="黑体" w:hAnsi="黑体" w:eastAsia="黑体"/>
          <w:b/>
          <w:sz w:val="32"/>
          <w:szCs w:val="32"/>
        </w:rPr>
        <w:t>第一章  总  则</w:t>
      </w:r>
      <w:bookmarkEnd w:id="1441"/>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加强学校基建工程施工管理，规范工程建设过程各项工作的管理行为，进一步提高工作效率，做好三控（质量、投资、进度）三管（安全、信息、合同）和协调等全面工作，根据《中华人民共和国建筑法》、《建设工程质量管理条例》等有关工程建设的法律法规及有关规章制度，结合我校实际情况，制定本管理制度。</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学校的基建项目，即基础设施建设项目，主要包括对校内建筑物、构筑物、公共设施设备开展的新建、改扩建、改造装修，及道路、绿化、水电的维修维护等。</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本制度适用于柳州职业技术学院所有基建项目。</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42" w:name="_Toc14212_WPSOffice_Level1"/>
      <w:r>
        <w:rPr>
          <w:rFonts w:hint="eastAsia" w:ascii="黑体" w:hAnsi="黑体" w:eastAsia="黑体"/>
          <w:b/>
          <w:sz w:val="32"/>
          <w:szCs w:val="32"/>
        </w:rPr>
        <w:t>第二章  基建项目管理分工职责</w:t>
      </w:r>
      <w:bookmarkEnd w:id="1442"/>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学校是基本建设责任主体，校内各相关部门根据职能分工代表学校行使管理职能。</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学校基建管理部门、采购管理部门、使用部门、财务管理部门、校内审计部门、纪检监察部门等，按职能分工负责基建项目的启动、设计规划、施工过程、资金管理、审计监督、廉政建设等工作，部门主要负责人负直接领导责任。</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主要责任部门职责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（一）基建管理部门职责</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后勤保障处为基建管理部门。职责为：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1.负责发起公共区域基建项目的校内立项流程；</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2.负责市级立项项目的立项报批和前期准备；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3.办理建设项目报建相关手续；</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4.负责建设项目设计文件审核；</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5.负责拟定建设项目合同文本，组织合同洽谈，参与合同审签；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6.负责建设项目施工组织、质量、进度、安全管理；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7.组织建设项目竣工验收、付款和资料归档，办理项目移交。</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（二）采购管理部门职责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资产管理处为采购管理部门。职责为：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1.负责开展设计、勘察、施工、监理、咨询等单位的招标工作；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2.负责符合条件的基建项目设计、施工、预算、监理、审核单位选取工作。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（三）使用管理部门职责</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校内专用区域场地，如：教室、实训室（楼）、办公室（楼）、学生宿舍（楼）、运动场（馆）等，具体使用部门为该区域的使用管理部门；基建管理部门为校内公共区域场地的使用管理部门。职责为：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1.负责发起部门专用区域基建项目的校内立项流程；</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2.参与本部门专用区域基建项目方案设计的制订、修改；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3.参与本部门专用区域基建项目施工过程的监管；</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4.参加本部门专用区域基建项目的验收。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（四）财务部门职责</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财务处为财务管理部门。职责为：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1.负责基本建设资金使用的筹措、预算、核算管理等；</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2.负责年度预算的执行控制，编制基建财务年度决算报告；</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3.负责建设项目资金的落实、预算审核、下达财务预算计划；</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4.负责建设工程资金结算办理与管理；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5.配合建设项目实施过程中所需资金证明及文件的办理。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（五）校内审计部门职责</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审计处为校内审计部门，职责为：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1.参与监督工程项目竣工验收；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2.负责工程项目结算审核工作。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（六）纪检监察部门职责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纪委办公室（监察室）为纪检监察部门。负责处理信访投诉和查处违纪违法行为。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（七）上述各部门均按学校各部门职责分工确定，当学校调整各部门职责分工后，对应部门名称做相应调整。</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43" w:name="_Toc8105_WPSOffice_Level1"/>
      <w:r>
        <w:rPr>
          <w:rFonts w:hint="eastAsia" w:ascii="黑体" w:hAnsi="黑体" w:eastAsia="黑体"/>
          <w:b/>
          <w:sz w:val="32"/>
          <w:szCs w:val="32"/>
        </w:rPr>
        <w:t>第三章  基建项目分类</w:t>
      </w:r>
      <w:bookmarkEnd w:id="1443"/>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为提高基建项目建设管理水平，降低廉政风险，学校基建项目管理根据项目建安工程预算限额采用不同管理策略。</w:t>
      </w:r>
    </w:p>
    <w:p>
      <w:pPr>
        <w:pageBreakBefore w:val="0"/>
        <w:kinsoku/>
        <w:wordWrap/>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原则上，学校基建项目建安费预算达200万元（含）以上的，根据柳州市相关文件实行项目代建制，具体按《柳州职业技术学院代建项目管理办法》执行；预算在200万元（不含）以下的，可由学校自行组织实施，具体按《柳州职业技术学院零星工程项目管理办法》执行。</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设置零星工程限额管理，按《柳州职业技术学院零星工程施工单位招标管理办法（试行）》（柳职院字[2021]40号）执行。</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44" w:name="_Toc2269_WPSOffice_Level1"/>
      <w:r>
        <w:rPr>
          <w:rFonts w:hint="eastAsia" w:ascii="黑体" w:hAnsi="黑体" w:eastAsia="黑体"/>
          <w:b/>
          <w:sz w:val="32"/>
          <w:szCs w:val="32"/>
        </w:rPr>
        <w:t>第四章  附则</w:t>
      </w:r>
      <w:bookmarkEnd w:id="1444"/>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本办法自发文之日起实行。</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本办法由后勤保障处负责解释。</w:t>
      </w:r>
    </w:p>
    <w:p>
      <w:pPr>
        <w:pageBreakBefore w:val="0"/>
        <w:kinsoku/>
        <w:wordWrap/>
        <w:overflowPunct/>
        <w:topLinePunct w:val="0"/>
        <w:autoSpaceDE/>
        <w:autoSpaceDN/>
        <w:bidi w:val="0"/>
        <w:spacing w:line="596" w:lineRule="exact"/>
        <w:ind w:firstLine="640" w:firstLineChars="200"/>
        <w:outlineLvl w:val="9"/>
        <w:rPr>
          <w:rFonts w:hint="eastAsia" w:eastAsia="黑体"/>
          <w:color w:val="000000"/>
          <w:sz w:val="32"/>
          <w:szCs w:val="32"/>
        </w:rPr>
      </w:pPr>
    </w:p>
    <w:p>
      <w:pPr>
        <w:pageBreakBefore w:val="0"/>
        <w:widowControl/>
        <w:kinsoku/>
        <w:wordWrap/>
        <w:overflowPunct/>
        <w:topLinePunct w:val="0"/>
        <w:autoSpaceDE/>
        <w:autoSpaceDN/>
        <w:bidi w:val="0"/>
        <w:jc w:val="left"/>
        <w:outlineLvl w:val="9"/>
        <w:rPr>
          <w:b/>
          <w:bCs/>
          <w:sz w:val="40"/>
          <w:szCs w:val="48"/>
        </w:rPr>
      </w:pPr>
      <w:r>
        <w:rPr>
          <w:b/>
          <w:bCs/>
          <w:sz w:val="40"/>
          <w:szCs w:val="48"/>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445" w:name="_Toc17403"/>
      <w:bookmarkStart w:id="1446" w:name="_Toc27403"/>
      <w:bookmarkStart w:id="1447" w:name="_Toc18158"/>
      <w:bookmarkStart w:id="1448" w:name="_Toc6700_WPSOffice_Level1"/>
      <w:r>
        <w:rPr>
          <w:rFonts w:hint="eastAsia"/>
          <w:b/>
          <w:color w:val="000000"/>
          <w:sz w:val="36"/>
          <w:szCs w:val="36"/>
        </w:rPr>
        <w:t>柳州职业技术学院零星工程项目管理办法（试行）</w:t>
      </w:r>
      <w:bookmarkEnd w:id="1445"/>
      <w:bookmarkEnd w:id="1446"/>
      <w:bookmarkEnd w:id="1447"/>
      <w:bookmarkEnd w:id="1448"/>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（柳职院字〔2021〕66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根据《柳州职业技术学院基建项目管理制度》（试行），按照基建项目分类管理的原则，建安估算投资在200万元以下的零星工程项目，由学校自行组织实施管理，为规范零星工程项目管理，制订本办法。</w:t>
      </w:r>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rPr>
      </w:pPr>
      <w:bookmarkStart w:id="1449" w:name="_Toc13485_WPSOffice_Level1"/>
      <w:r>
        <w:rPr>
          <w:rFonts w:hint="eastAsia" w:ascii="黑体" w:hAnsi="黑体" w:eastAsia="黑体"/>
          <w:b/>
          <w:sz w:val="32"/>
          <w:szCs w:val="32"/>
        </w:rPr>
        <w:t>第一章  前期工作</w:t>
      </w:r>
      <w:bookmarkEnd w:id="1449"/>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已纳入学校年度预算内的项目（即为立项），方可开展前期工作，按项目审批流程组织实施。</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未纳入学校年度预算内的项目，建设部门需编制项目实施方案，经归口部门及基建管理部门审批，报学校审批同意立项后，由基建管理部门组织开展前期工作，按项目审批流程组织实施。</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临时、紧急的项目，根据限额大小，可以通过事前审批、事前报备等方式组织实施。</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综合性建设项目中含有基建内容的，使用部门或业务管理部门应通知后勤基建部门介入立项前的研讨、论证工作，同步进行基建项目立项。</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推行限额设计，依据立项要求进行规划设计，以执行投资控制，按工程项目规定，在预算中暂列金按10-15%计取。</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前期设计、勘察、施工、监理等以及与工程有关的设施设备按照学校招标（采购）制度执行。</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第七条 </w:t>
      </w:r>
      <w:r>
        <w:rPr>
          <w:rFonts w:hint="eastAsia" w:ascii="仿宋_GB2312" w:eastAsia="仿宋_GB2312"/>
          <w:sz w:val="32"/>
          <w:szCs w:val="32"/>
        </w:rPr>
        <w:t>施工图纸会审。由基建管理部门组织设计、监理、施工、使用部门等相关部门进行图纸会审和施工交底。</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第八条 </w:t>
      </w:r>
      <w:r>
        <w:rPr>
          <w:rFonts w:hint="eastAsia" w:ascii="仿宋_GB2312" w:eastAsia="仿宋_GB2312"/>
          <w:sz w:val="32"/>
          <w:szCs w:val="32"/>
        </w:rPr>
        <w:t>开工条件完备，即可开工。</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50" w:name="_Toc6737_WPSOffice_Level1"/>
      <w:r>
        <w:rPr>
          <w:rFonts w:hint="eastAsia" w:ascii="黑体" w:hAnsi="黑体" w:eastAsia="黑体"/>
          <w:b/>
          <w:sz w:val="32"/>
          <w:szCs w:val="32"/>
        </w:rPr>
        <w:t>第二章  造价管理</w:t>
      </w:r>
      <w:bookmarkEnd w:id="1450"/>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第九条 </w:t>
      </w:r>
      <w:r>
        <w:rPr>
          <w:rFonts w:hint="eastAsia" w:ascii="仿宋_GB2312" w:eastAsia="仿宋_GB2312"/>
          <w:sz w:val="32"/>
          <w:szCs w:val="32"/>
        </w:rPr>
        <w:t>确因影响使用、不可预见、隐蔽性等原因需要设计变更或变更设计，按照事前审批权限，办理事前审批流程。</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 xml:space="preserve">（一）一般变更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单项变更估算金额不超过合同金额5万元（不含），且项目累计变更幅度在合同价10%（不含）以内的变更，由使用部门、设计方、监理、施工方等审核，基建管理部门项目负责人审核同意，签署《工程联系单（一般变更）》（附件1）、《签证单》（附件3）后方可实施。调增部分从预算的暂列金中支出。</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 xml:space="preserve">（二）较大变更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单项变更估算金额在5至10万元（不含），且项目累计变更幅度在合同价10%（不含）以内的变更，由基建管理部门负责组织使用部门、设计方、监理、施工方等会审，审核同意后报请分管后勤基建校领导审批同意，并签署《工程联系单（较大变更）》（附件2）、《签证单》（附件3）后方可实施。调增部分从预算的暂列金中支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单项变更估算金额在10至20万元（不含），且项目累计变更幅度在合同价10%（不含）以内的变更，需报校长审批同意，并签署《工程联系单（较大变更）》（附件2）、《签证单》（附件3）后方可实施。调增部分从预算的暂列金中支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超过以上限额标准的变更，需提交校长办公会审议。</w:t>
      </w:r>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rPr>
      </w:pPr>
      <w:bookmarkStart w:id="1451" w:name="_Toc10398_WPSOffice_Level1"/>
      <w:r>
        <w:rPr>
          <w:rFonts w:hint="eastAsia" w:ascii="黑体" w:hAnsi="黑体" w:eastAsia="黑体"/>
          <w:b/>
          <w:sz w:val="32"/>
          <w:szCs w:val="32"/>
        </w:rPr>
        <w:t>第三章  施工单位管理</w:t>
      </w:r>
      <w:bookmarkEnd w:id="1451"/>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施工单位必须严格按国家现行施工规范以及甲乙双方签订的施工合同进行组织施工，并服从基建管理部门、监理单位的指导、监督和管理。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（一）项目开工前需进行施工图纸会审，施工单位必须严格按照施工图纸进行施工。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（二）施工单位应严格控制工程安全、质量、进度和造价；做好基础验收、主体验收、竣工验收前的准备工作，接受监理单位、基建管理部门的监督检查。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（三）未经基建管理部门同意，施工单位不得实施任何工程变更。</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（四）隐蔽工程，必须有设计、监理、基建管理部门分别签署的质量合格文件以及相关影像资料。</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（五）施工单位进行分包前（除总施工合同中约定的分包外），必须经过基建管理部门的认可。</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（六）工程项目完工后施工单位应在90天内上交验收材料。</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七）学校基建管理部门按《施工单位评价表》（附件4）对施工单位进行考评，考核优秀单位适当加大施工项目安排，并作为下一届定点维修施工单位采购优先考虑对象，不合格单位将停止安排其它新的维修任务，同时追究其违约责任，今后学校采购定点维修施工单位将给予相应扣分。</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52" w:name="_Toc25597_WPSOffice_Level1"/>
      <w:r>
        <w:rPr>
          <w:rFonts w:hint="eastAsia" w:ascii="黑体" w:hAnsi="黑体" w:eastAsia="黑体"/>
          <w:b/>
          <w:sz w:val="32"/>
          <w:szCs w:val="32"/>
        </w:rPr>
        <w:t>第四章  监理单位管理</w:t>
      </w:r>
      <w:bookmarkEnd w:id="1452"/>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监理单位职责包括：协助基建管理部门优选施工单位，审查设计文件，控制工程质量、造价和工期，监督、管理建设工程合同的履行，以及协调基建管理部门与工程建设有关各方的工作关系等。</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监理单位应于委托监理合同签订十日内将项目监理机构的组织形式、人员构成以及对总监的任命书书面通知基建管理部门。</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（一）未经基建管理部门同意，监理单位不得随意撤换总监及各专业监理工程师，当其确需调整时，需与基建管理部门协商一致后执行，并按时向有关单位发出书面通知。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（二）未经基建管理部门同意，监理单位不许指令施工单位实施任何工程变更。</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学校基建管理部门不定期检查监理文件是否真实、细致、完善；抽查监理工程师的人员到位情况，关键部位施工的旁站情况，以及实体工程质量情况，按照《监理单位工作评价表》（附件5），考查监理单位的工作业绩。</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（四）每三个月评价一次，基建管理部门有权更换不称职的监理工程师，在更换之前，先与监理单位负责人沟通，然后以书面形式通知监理单位限期更换。</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53" w:name="_Toc21306_WPSOffice_Level1"/>
      <w:r>
        <w:rPr>
          <w:rFonts w:hint="eastAsia" w:ascii="黑体" w:hAnsi="黑体" w:eastAsia="黑体"/>
          <w:b/>
          <w:sz w:val="32"/>
          <w:szCs w:val="32"/>
        </w:rPr>
        <w:t>第五章  工程安全管理</w:t>
      </w:r>
      <w:bookmarkEnd w:id="1453"/>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安全管理是项目管理的重要组成部分，是保证工程质量的前提和基础，基建管理部门项目主管将对施工方进行检查。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（一）监督参建各方建立健全安全管理保证体系和安全管理制度，责任到人。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（二）监督施工方严格遵守各项安全法规、条例、强制性条文的规定，采取定期检查和不定期巡查的方式强化管理。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（三）对不同施工阶段（施工准备阶段、基础施工阶段、结构施工阶段、装修阶段）、不同季节环境条件下，采取相应的安全措施。</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54" w:name="_Toc25828_WPSOffice_Level1"/>
      <w:r>
        <w:rPr>
          <w:rFonts w:hint="eastAsia" w:ascii="黑体" w:hAnsi="黑体" w:eastAsia="黑体"/>
          <w:b/>
          <w:sz w:val="32"/>
          <w:szCs w:val="32"/>
        </w:rPr>
        <w:t>第六章  工程质量管理</w:t>
      </w:r>
      <w:bookmarkEnd w:id="1454"/>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应认真贯彻“百年大计，质量第一”的方针，加强施工过程管理，确保工程质量。</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（一）严格按照设计规范、施工图纸、施工过程记录、设计变更等文件进行检查和验收。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（二）施工现场工程质量管理严格按照施工规范要求层层落实，保证每道工序的施工质量符合验收标准。坚持做到每个分项、分部工程施工质量自检自查，不符合要求的不处理好决不进行下一道工序的施工。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（三）隐蔽工程施工前，经自检合格后报监理查验，经监理工程师查验合格后通知学校基建部门进行验收，合格后方可进入下一道工序的施工。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（四）严格把好材料质量关，不合格的材料不准使用，不合格的产品不准进入施工现场。工程施工前及时做好工程所需的材料复试，材料没有检验证明，不得进入隐蔽工程的施工。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（五）项目管理责任人必须对项目管理负责。</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55" w:name="_Toc1905_WPSOffice_Level1"/>
      <w:r>
        <w:rPr>
          <w:rFonts w:hint="eastAsia" w:ascii="黑体" w:hAnsi="黑体" w:eastAsia="黑体"/>
          <w:b/>
          <w:sz w:val="32"/>
          <w:szCs w:val="32"/>
        </w:rPr>
        <w:t>第七章  工程进度管理</w:t>
      </w:r>
      <w:bookmarkEnd w:id="1455"/>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在保证工程质量、安全的前提下，采取组织措施、技术措施、经济措施以及合同管理手段，实现预定的工期目标。</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（一）参建各方应建立健全进度控制组织机构，明确分工，责任到人。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（二）参建各方对工程进度实行动态管理，当实际进度与计划进度产生超前或落后的偏差时，应比较和分析产生偏差的原因，采取相应的纠偏措施。</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（三）充分利用技术、经济及合同等措施，有效地控制工期。</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（四）项目管理责任人必须对项目进行监控和督促。</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56" w:name="_Toc30746_WPSOffice_Level1"/>
      <w:r>
        <w:rPr>
          <w:rFonts w:hint="eastAsia" w:ascii="黑体" w:hAnsi="黑体" w:eastAsia="黑体"/>
          <w:b/>
          <w:sz w:val="32"/>
          <w:szCs w:val="32"/>
        </w:rPr>
        <w:t>第八章  工程竣工验收管理</w:t>
      </w:r>
      <w:bookmarkEnd w:id="1456"/>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在施工单位自评合格，监理单位认可的基础上，对竣工工程质量进行检查，确认完成设计图纸及合同约定的各项内容，达到竣工标准后，方可组织验收。竣工验收应当具备下列条件：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1.完成工程项目设计和合同约定的全部施工内容；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2.施工合同和完整的技术档案和施工管理资料；</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3.有工程使用的主要材料合格证；</w:t>
      </w:r>
      <w:r>
        <w:rPr>
          <w:rFonts w:hint="eastAsia" w:ascii="仿宋_GB2312" w:eastAsia="仿宋_GB2312"/>
          <w:sz w:val="32"/>
          <w:szCs w:val="32"/>
        </w:rPr>
        <w:tab/>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4.有项目变更的需提供变更签证单；</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5.隐蔽工程，必须有设计、监理、基建管理部门分别签署的质量合格文件以及相关影像资料；</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6.有施工方出具的《工程质量保修书》；</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7.工程竣工图。</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工程竣工验收由基建管理部门组织，通知施工、监理、使用、内部审计等相关单位人员参加。验收完毕，各个相关部门如实填写《工程验收报告书》（附件6）。</w:t>
      </w:r>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rPr>
      </w:pPr>
      <w:bookmarkStart w:id="1457" w:name="_Toc16483_WPSOffice_Level1"/>
      <w:r>
        <w:rPr>
          <w:rFonts w:hint="eastAsia" w:ascii="黑体" w:hAnsi="黑体" w:eastAsia="黑体"/>
          <w:b/>
          <w:sz w:val="32"/>
          <w:szCs w:val="32"/>
        </w:rPr>
        <w:t>第九章 工程款拨付</w:t>
      </w:r>
      <w:bookmarkEnd w:id="1457"/>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工程竣工验收合格后，由基建管理部门将《工程验收验收报告》以及配套资料报送学校财务，根据施工合同约定支付工程款。</w:t>
      </w:r>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rPr>
      </w:pPr>
      <w:bookmarkStart w:id="1458" w:name="_Toc28463_WPSOffice_Level1"/>
      <w:r>
        <w:rPr>
          <w:rFonts w:hint="eastAsia" w:ascii="黑体" w:hAnsi="黑体" w:eastAsia="黑体"/>
          <w:b/>
          <w:sz w:val="32"/>
          <w:szCs w:val="32"/>
        </w:rPr>
        <w:t>第十章 档案管理</w:t>
      </w:r>
      <w:bookmarkEnd w:id="1458"/>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第十九条 </w:t>
      </w:r>
      <w:r>
        <w:rPr>
          <w:rFonts w:hint="eastAsia" w:ascii="仿宋_GB2312" w:eastAsia="仿宋_GB2312"/>
          <w:sz w:val="32"/>
          <w:szCs w:val="32"/>
        </w:rPr>
        <w:t>工程竣工结束后，应督促监理单位和施工单位，及时整理工程监理文件和施工文件，办理档案交接。</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归档文件主要包括：设计合同、地勘合同、工程合同、竣工图纸、施工验收资料、施工管理资料、施工技术文件、地基处理记录、图纸变更记录、隐蔽工程图片或资料、施工会议记录、质量事故处理记录、质量检验记录等原始资料。</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档案存放方式按年份以及工程队名称进行保存。</w:t>
      </w:r>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rPr>
      </w:pPr>
      <w:bookmarkStart w:id="1459" w:name="_Toc2180_WPSOffice_Level1"/>
      <w:r>
        <w:rPr>
          <w:rFonts w:hint="eastAsia" w:ascii="黑体" w:hAnsi="黑体" w:eastAsia="黑体"/>
          <w:b/>
          <w:sz w:val="32"/>
          <w:szCs w:val="32"/>
        </w:rPr>
        <w:t>第十一章  工程保修管理</w:t>
      </w:r>
      <w:bookmarkEnd w:id="1459"/>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施工单位在提交工程竣工验收报告时，应当向基建管理部门出具质量保修书，保修书中应当明确保修范围、保修期限和保修责任；对于保修期内出现的质量问题，查清责任主体，研究解决方案，并及时处理。</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第二十三条</w:t>
      </w:r>
      <w:r>
        <w:rPr>
          <w:rFonts w:hint="eastAsia" w:ascii="仿宋_GB2312" w:eastAsia="仿宋_GB2312"/>
          <w:sz w:val="32"/>
          <w:szCs w:val="32"/>
        </w:rPr>
        <w:t xml:space="preserve"> 工程竣工交付使用后，工程保修期内，不定期电话回访或实地回访用户，质保期结束前，对用户反馈的质量问题，立即整修，达到用户满意后方可支付质保金。</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460" w:name="_Toc21832_WPSOffice_Level1"/>
      <w:r>
        <w:rPr>
          <w:rFonts w:hint="eastAsia" w:ascii="黑体" w:hAnsi="黑体" w:eastAsia="黑体"/>
          <w:b/>
          <w:sz w:val="32"/>
          <w:szCs w:val="32"/>
        </w:rPr>
        <w:t>第十二章   监督与评价</w:t>
      </w:r>
      <w:bookmarkEnd w:id="1460"/>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第二十四条</w:t>
      </w:r>
      <w:r>
        <w:rPr>
          <w:rFonts w:hint="eastAsia" w:ascii="仿宋_GB2312" w:eastAsia="仿宋_GB2312"/>
          <w:sz w:val="32"/>
          <w:szCs w:val="32"/>
        </w:rPr>
        <w:t xml:space="preserve"> 建立健全建设项目管理信息公开平台，畅通师生员工参与民主管理的渠道。按照“谁主管、谁负责”的原则，把廉政建设责任落实到位，把廉政风险防范工作融入建设项目的日常管理工作。</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第二十五条</w:t>
      </w:r>
      <w:r>
        <w:rPr>
          <w:rFonts w:hint="eastAsia" w:ascii="仿宋_GB2312" w:eastAsia="仿宋_GB2312"/>
          <w:sz w:val="32"/>
          <w:szCs w:val="32"/>
        </w:rPr>
        <w:t xml:space="preserve"> 学校各级领导干部要严格执行教育部关于严禁领导干部违反规定插手干预基本建设工程项目管理行为的相关规定。建设项目管理作为校务公开的重要内容，接受教职员工的监督。</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第二十六条</w:t>
      </w:r>
      <w:r>
        <w:rPr>
          <w:rFonts w:hint="eastAsia" w:ascii="仿宋_GB2312" w:eastAsia="仿宋_GB2312"/>
          <w:sz w:val="32"/>
          <w:szCs w:val="32"/>
        </w:rPr>
        <w:t xml:space="preserve"> 学校建设项目实行项目后评价制度。根据有关规定要求，结合实际情况，对项目建成后所达到的实际效果进行绩效评价，对单项工程造价200万元以上项目，按财务预算管理要求进行评价。</w:t>
      </w:r>
    </w:p>
    <w:p>
      <w:pPr>
        <w:pageBreakBefore w:val="0"/>
        <w:kinsoku/>
        <w:wordWrap/>
        <w:overflowPunct/>
        <w:topLinePunct w:val="0"/>
        <w:autoSpaceDE/>
        <w:autoSpaceDN/>
        <w:bidi w:val="0"/>
        <w:spacing w:line="596" w:lineRule="exact"/>
        <w:jc w:val="center"/>
        <w:outlineLvl w:val="9"/>
        <w:rPr>
          <w:rFonts w:hint="eastAsia" w:ascii="仿宋_GB2312" w:eastAsia="仿宋_GB2312"/>
          <w:sz w:val="32"/>
          <w:szCs w:val="32"/>
        </w:rPr>
      </w:pPr>
      <w:bookmarkStart w:id="1461" w:name="_Toc18147_WPSOffice_Level1"/>
      <w:r>
        <w:rPr>
          <w:rFonts w:hint="eastAsia" w:ascii="黑体" w:hAnsi="黑体" w:eastAsia="黑体"/>
          <w:b/>
          <w:sz w:val="32"/>
          <w:szCs w:val="32"/>
        </w:rPr>
        <w:t>第十三章 附  则</w:t>
      </w:r>
      <w:bookmarkEnd w:id="1461"/>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第二十七条</w:t>
      </w:r>
      <w:r>
        <w:rPr>
          <w:rFonts w:hint="eastAsia" w:ascii="仿宋_GB2312" w:eastAsia="仿宋_GB2312"/>
          <w:sz w:val="32"/>
          <w:szCs w:val="32"/>
        </w:rPr>
        <w:t xml:space="preserve"> 对于突发性紧急项目，如需排除安全隐患、需解决漏电漏水问题、需尽快恢复供电供水等项目，可不受本制度前述规定限制，由基建管理部门请示校领导后组织具备资质的单位尽快实施。实施完成后由施工单位编制工程造价，由基建管理部门根据项目立项审批权限补充完善项目立项手续，并开展后续项目验收、审核工作。</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第二十八条 </w:t>
      </w:r>
      <w:r>
        <w:rPr>
          <w:rFonts w:hint="eastAsia" w:ascii="仿宋_GB2312" w:eastAsia="仿宋_GB2312"/>
          <w:sz w:val="32"/>
          <w:szCs w:val="32"/>
        </w:rPr>
        <w:t>校内各部门因业务需要需拉设电路、水管的，需改变建筑结构、功能的，或需开展其他含基建内容的建设项目的，必须向基建管理部门提出请示，由基建管理部门现场勘查同意后方可实施。</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第二十九条</w:t>
      </w:r>
      <w:r>
        <w:rPr>
          <w:rFonts w:hint="eastAsia" w:ascii="仿宋_GB2312" w:eastAsia="仿宋_GB2312"/>
          <w:sz w:val="32"/>
          <w:szCs w:val="32"/>
        </w:rPr>
        <w:t xml:space="preserve"> 本办法由后勤保障处负责解释。</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第三十条</w:t>
      </w:r>
      <w:r>
        <w:rPr>
          <w:rFonts w:hint="eastAsia" w:ascii="仿宋_GB2312" w:eastAsia="仿宋_GB2312"/>
          <w:sz w:val="32"/>
          <w:szCs w:val="32"/>
        </w:rPr>
        <w:t xml:space="preserve"> 本办法自发文之日起实行。</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附件：1.柳州职业技术学院工程联系单（一般变更）</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      2.柳州职业技术学院工程联系单（较大变更）</w:t>
      </w:r>
    </w:p>
    <w:p>
      <w:pPr>
        <w:pageBreakBefore w:val="0"/>
        <w:kinsoku/>
        <w:wordWrap/>
        <w:overflowPunct/>
        <w:topLinePunct w:val="0"/>
        <w:autoSpaceDE/>
        <w:autoSpaceDN/>
        <w:bidi w:val="0"/>
        <w:spacing w:line="596" w:lineRule="exact"/>
        <w:ind w:firstLine="1600" w:firstLineChars="500"/>
        <w:outlineLvl w:val="9"/>
        <w:rPr>
          <w:rFonts w:ascii="仿宋_GB2312" w:eastAsia="仿宋_GB2312"/>
          <w:sz w:val="32"/>
          <w:szCs w:val="32"/>
        </w:rPr>
      </w:pPr>
      <w:r>
        <w:rPr>
          <w:rFonts w:hint="eastAsia" w:ascii="仿宋_GB2312" w:eastAsia="仿宋_GB2312"/>
          <w:sz w:val="32"/>
          <w:szCs w:val="32"/>
        </w:rPr>
        <w:t>3.柳州职业技术学院签证单</w:t>
      </w:r>
    </w:p>
    <w:p>
      <w:pPr>
        <w:pageBreakBefore w:val="0"/>
        <w:kinsoku/>
        <w:wordWrap/>
        <w:overflowPunct/>
        <w:topLinePunct w:val="0"/>
        <w:autoSpaceDE/>
        <w:autoSpaceDN/>
        <w:bidi w:val="0"/>
        <w:spacing w:line="596" w:lineRule="exact"/>
        <w:ind w:firstLine="1600" w:firstLineChars="500"/>
        <w:outlineLvl w:val="9"/>
        <w:rPr>
          <w:rFonts w:ascii="仿宋_GB2312" w:eastAsia="仿宋_GB2312"/>
          <w:sz w:val="32"/>
          <w:szCs w:val="32"/>
        </w:rPr>
      </w:pPr>
      <w:r>
        <w:rPr>
          <w:rFonts w:hint="eastAsia" w:ascii="仿宋_GB2312" w:eastAsia="仿宋_GB2312"/>
          <w:sz w:val="32"/>
          <w:szCs w:val="32"/>
        </w:rPr>
        <w:t>4.施工单位评价表</w:t>
      </w:r>
    </w:p>
    <w:p>
      <w:pPr>
        <w:pageBreakBefore w:val="0"/>
        <w:kinsoku/>
        <w:wordWrap/>
        <w:overflowPunct/>
        <w:topLinePunct w:val="0"/>
        <w:autoSpaceDE/>
        <w:autoSpaceDN/>
        <w:bidi w:val="0"/>
        <w:spacing w:line="596" w:lineRule="exact"/>
        <w:ind w:firstLine="1600" w:firstLineChars="500"/>
        <w:outlineLvl w:val="9"/>
        <w:rPr>
          <w:rFonts w:ascii="仿宋_GB2312" w:eastAsia="仿宋_GB2312"/>
          <w:sz w:val="32"/>
          <w:szCs w:val="32"/>
        </w:rPr>
      </w:pPr>
      <w:r>
        <w:rPr>
          <w:rFonts w:hint="eastAsia" w:ascii="仿宋_GB2312" w:eastAsia="仿宋_GB2312"/>
          <w:sz w:val="32"/>
          <w:szCs w:val="32"/>
        </w:rPr>
        <w:t>5.监理单位工作情况评价表</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rPr>
      </w:pPr>
      <w:r>
        <w:rPr>
          <w:rFonts w:hint="eastAsia" w:ascii="仿宋_GB2312" w:eastAsia="仿宋_GB2312"/>
          <w:sz w:val="32"/>
          <w:szCs w:val="32"/>
        </w:rPr>
        <w:t>6.工程验收报告书</w:t>
      </w:r>
    </w:p>
    <w:p>
      <w:pPr>
        <w:pageBreakBefore w:val="0"/>
        <w:kinsoku/>
        <w:wordWrap/>
        <w:overflowPunct/>
        <w:topLinePunct w:val="0"/>
        <w:autoSpaceDE/>
        <w:autoSpaceDN/>
        <w:bidi w:val="0"/>
        <w:outlineLvl w:val="9"/>
        <w:rPr>
          <w:rFonts w:hint="eastAsia" w:ascii="黑体" w:eastAsia="黑体"/>
          <w:sz w:val="32"/>
          <w:szCs w:val="32"/>
        </w:rPr>
      </w:pPr>
      <w:r>
        <w:rPr>
          <w:rFonts w:hint="eastAsia" w:ascii="黑体" w:eastAsia="黑体"/>
          <w:sz w:val="32"/>
          <w:szCs w:val="32"/>
        </w:rPr>
        <w:br w:type="page"/>
      </w:r>
    </w:p>
    <w:p>
      <w:pPr>
        <w:pageBreakBefore w:val="0"/>
        <w:kinsoku/>
        <w:wordWrap/>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附件1：</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462" w:name="_Toc2967_WPSOffice_Level1"/>
      <w:r>
        <w:rPr>
          <w:rFonts w:hint="eastAsia"/>
          <w:b/>
          <w:color w:val="000000"/>
          <w:sz w:val="36"/>
          <w:szCs w:val="36"/>
        </w:rPr>
        <w:t>柳州职业技术学院工程联系单</w:t>
      </w:r>
      <w:bookmarkEnd w:id="1462"/>
    </w:p>
    <w:p>
      <w:pPr>
        <w:pageBreakBefore w:val="0"/>
        <w:kinsoku/>
        <w:wordWrap/>
        <w:overflowPunct/>
        <w:topLinePunct w:val="0"/>
        <w:autoSpaceDE/>
        <w:autoSpaceDN/>
        <w:bidi w:val="0"/>
        <w:spacing w:line="596" w:lineRule="exact"/>
        <w:jc w:val="center"/>
        <w:outlineLvl w:val="9"/>
        <w:rPr>
          <w:rFonts w:hint="eastAsia"/>
          <w:b/>
          <w:color w:val="000000"/>
          <w:sz w:val="30"/>
          <w:szCs w:val="30"/>
        </w:rPr>
      </w:pPr>
      <w:r>
        <w:rPr>
          <w:rFonts w:hint="eastAsia"/>
          <w:b/>
          <w:color w:val="000000"/>
          <w:sz w:val="30"/>
          <w:szCs w:val="30"/>
        </w:rPr>
        <w:t>（一般变更）</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编号：</w:t>
      </w:r>
    </w:p>
    <w:tbl>
      <w:tblPr>
        <w:tblStyle w:val="14"/>
        <w:tblW w:w="8894" w:type="dxa"/>
        <w:jc w:val="center"/>
        <w:tblInd w:w="0" w:type="dxa"/>
        <w:tblLayout w:type="fixed"/>
        <w:tblCellMar>
          <w:top w:w="0" w:type="dxa"/>
          <w:left w:w="0" w:type="dxa"/>
          <w:bottom w:w="0" w:type="dxa"/>
          <w:right w:w="0" w:type="dxa"/>
        </w:tblCellMar>
      </w:tblPr>
      <w:tblGrid>
        <w:gridCol w:w="956"/>
        <w:gridCol w:w="709"/>
        <w:gridCol w:w="1061"/>
        <w:gridCol w:w="1474"/>
        <w:gridCol w:w="1339"/>
        <w:gridCol w:w="414"/>
        <w:gridCol w:w="2941"/>
      </w:tblGrid>
      <w:tr>
        <w:tblPrEx>
          <w:tblLayout w:type="fixed"/>
          <w:tblCellMar>
            <w:top w:w="0" w:type="dxa"/>
            <w:left w:w="0" w:type="dxa"/>
            <w:bottom w:w="0" w:type="dxa"/>
            <w:right w:w="0" w:type="dxa"/>
          </w:tblCellMar>
        </w:tblPrEx>
        <w:trPr>
          <w:trHeight w:val="600" w:hRule="atLeast"/>
          <w:jc w:val="center"/>
        </w:trPr>
        <w:tc>
          <w:tcPr>
            <w:tcW w:w="1665" w:type="dxa"/>
            <w:gridSpan w:val="2"/>
            <w:tcBorders>
              <w:top w:val="single" w:color="000000" w:sz="6" w:space="0"/>
              <w:left w:val="single" w:color="000000" w:sz="6" w:space="0"/>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工程名称</w:t>
            </w:r>
          </w:p>
        </w:tc>
        <w:tc>
          <w:tcPr>
            <w:tcW w:w="2535" w:type="dxa"/>
            <w:gridSpan w:val="2"/>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1753" w:type="dxa"/>
            <w:gridSpan w:val="2"/>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合同价</w:t>
            </w:r>
          </w:p>
        </w:tc>
        <w:tc>
          <w:tcPr>
            <w:tcW w:w="2941" w:type="dxa"/>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0" w:type="dxa"/>
            <w:bottom w:w="0" w:type="dxa"/>
            <w:right w:w="0" w:type="dxa"/>
          </w:tblCellMar>
        </w:tblPrEx>
        <w:trPr>
          <w:trHeight w:val="600" w:hRule="atLeast"/>
          <w:jc w:val="center"/>
        </w:trPr>
        <w:tc>
          <w:tcPr>
            <w:tcW w:w="1665" w:type="dxa"/>
            <w:gridSpan w:val="2"/>
            <w:tcBorders>
              <w:top w:val="single" w:color="000000" w:sz="6" w:space="0"/>
              <w:left w:val="single" w:color="000000" w:sz="6" w:space="0"/>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本次变更金额</w:t>
            </w:r>
          </w:p>
        </w:tc>
        <w:tc>
          <w:tcPr>
            <w:tcW w:w="2535" w:type="dxa"/>
            <w:gridSpan w:val="2"/>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1753" w:type="dxa"/>
            <w:gridSpan w:val="2"/>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累计变更金额</w:t>
            </w:r>
          </w:p>
        </w:tc>
        <w:tc>
          <w:tcPr>
            <w:tcW w:w="2941" w:type="dxa"/>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0" w:type="dxa"/>
            <w:bottom w:w="0" w:type="dxa"/>
            <w:right w:w="0" w:type="dxa"/>
          </w:tblCellMar>
        </w:tblPrEx>
        <w:trPr>
          <w:trHeight w:val="2693" w:hRule="atLeast"/>
          <w:jc w:val="center"/>
        </w:trPr>
        <w:tc>
          <w:tcPr>
            <w:tcW w:w="956" w:type="dxa"/>
            <w:tcBorders>
              <w:top w:val="nil"/>
              <w:left w:val="single" w:color="000000" w:sz="6" w:space="0"/>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变更原因、内容、工程量</w:t>
            </w:r>
          </w:p>
        </w:tc>
        <w:tc>
          <w:tcPr>
            <w:tcW w:w="7938" w:type="dxa"/>
            <w:gridSpan w:val="6"/>
            <w:tcBorders>
              <w:top w:val="nil"/>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申报单位（签章）：        项目负责人：       日期：</w:t>
            </w:r>
          </w:p>
        </w:tc>
      </w:tr>
      <w:tr>
        <w:tblPrEx>
          <w:tblLayout w:type="fixed"/>
          <w:tblCellMar>
            <w:top w:w="0" w:type="dxa"/>
            <w:left w:w="0" w:type="dxa"/>
            <w:bottom w:w="0" w:type="dxa"/>
            <w:right w:w="0" w:type="dxa"/>
          </w:tblCellMar>
        </w:tblPrEx>
        <w:trPr>
          <w:trHeight w:val="2250" w:hRule="atLeast"/>
          <w:jc w:val="center"/>
        </w:trPr>
        <w:tc>
          <w:tcPr>
            <w:tcW w:w="2726" w:type="dxa"/>
            <w:gridSpan w:val="3"/>
            <w:tcBorders>
              <w:top w:val="nil"/>
              <w:left w:val="single" w:color="000000" w:sz="6" w:space="0"/>
              <w:bottom w:val="single" w:color="auto" w:sz="4" w:space="0"/>
              <w:right w:val="single" w:color="auto" w:sz="4"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监理单位意见（签章）：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c>
          <w:tcPr>
            <w:tcW w:w="2813" w:type="dxa"/>
            <w:gridSpan w:val="2"/>
            <w:tcBorders>
              <w:top w:val="nil"/>
              <w:left w:val="single" w:color="auto" w:sz="4" w:space="0"/>
              <w:bottom w:val="single" w:color="auto" w:sz="4" w:space="0"/>
              <w:right w:val="single" w:color="auto" w:sz="4"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设计单位意见（签章）：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c>
          <w:tcPr>
            <w:tcW w:w="3355" w:type="dxa"/>
            <w:gridSpan w:val="2"/>
            <w:tcBorders>
              <w:top w:val="nil"/>
              <w:left w:val="single" w:color="auto" w:sz="4" w:space="0"/>
              <w:bottom w:val="single" w:color="auto" w:sz="4" w:space="0"/>
              <w:right w:val="single" w:color="000000" w:sz="6"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施工单位意见（签章）：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r>
      <w:tr>
        <w:tblPrEx>
          <w:tblLayout w:type="fixed"/>
          <w:tblCellMar>
            <w:top w:w="0" w:type="dxa"/>
            <w:left w:w="0" w:type="dxa"/>
            <w:bottom w:w="0" w:type="dxa"/>
            <w:right w:w="0" w:type="dxa"/>
          </w:tblCellMar>
        </w:tblPrEx>
        <w:trPr>
          <w:trHeight w:val="1780" w:hRule="atLeast"/>
          <w:jc w:val="center"/>
        </w:trPr>
        <w:tc>
          <w:tcPr>
            <w:tcW w:w="2726" w:type="dxa"/>
            <w:gridSpan w:val="3"/>
            <w:tcBorders>
              <w:top w:val="single" w:color="auto" w:sz="4" w:space="0"/>
              <w:left w:val="single" w:color="000000" w:sz="6" w:space="0"/>
              <w:bottom w:val="single" w:color="000000" w:sz="6" w:space="0"/>
              <w:right w:val="single" w:color="auto" w:sz="4"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使用部门意见（签章）：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项目负责人：        </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c>
          <w:tcPr>
            <w:tcW w:w="2813" w:type="dxa"/>
            <w:gridSpan w:val="2"/>
            <w:tcBorders>
              <w:top w:val="single" w:color="auto" w:sz="4" w:space="0"/>
              <w:left w:val="single" w:color="auto" w:sz="4" w:space="0"/>
              <w:bottom w:val="single" w:color="000000" w:sz="6" w:space="0"/>
              <w:right w:val="single" w:color="auto" w:sz="4" w:space="0"/>
            </w:tcBorders>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后勤基建科意见：</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项目负责人：        </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c>
          <w:tcPr>
            <w:tcW w:w="3355" w:type="dxa"/>
            <w:gridSpan w:val="2"/>
            <w:tcBorders>
              <w:top w:val="single" w:color="auto" w:sz="4" w:space="0"/>
              <w:left w:val="single" w:color="auto" w:sz="4" w:space="0"/>
              <w:bottom w:val="single" w:color="000000" w:sz="6" w:space="0"/>
              <w:right w:val="single" w:color="000000" w:sz="6"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基建管理部门意见（签章）：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部门领导：       </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r>
    </w:tbl>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注：1.本表一式7份，其中：设计单位1份，监理单位1份，施工单位3份，基建科留存2份。2.无单独设计单位的项目，“设计单位意见”不填。3.具体变更金额以第三方审核单位审核结果为准，若审核结果高于本次申请金额，按本次申请金额支付。4.联系单若超出1页，须双面打印。5.本表可根据需要搭配签证单使用，签证单格式参见附件3。</w:t>
      </w:r>
    </w:p>
    <w:p>
      <w:pPr>
        <w:pageBreakBefore w:val="0"/>
        <w:kinsoku/>
        <w:wordWrap/>
        <w:overflowPunct/>
        <w:topLinePunct w:val="0"/>
        <w:autoSpaceDE/>
        <w:autoSpaceDN/>
        <w:bidi w:val="0"/>
        <w:outlineLvl w:val="9"/>
        <w:rPr>
          <w:rFonts w:ascii="宋体" w:hAnsi="宋体"/>
          <w:sz w:val="24"/>
        </w:rPr>
      </w:pPr>
    </w:p>
    <w:p>
      <w:pPr>
        <w:pageBreakBefore w:val="0"/>
        <w:kinsoku/>
        <w:wordWrap/>
        <w:overflowPunct/>
        <w:topLinePunct w:val="0"/>
        <w:autoSpaceDE/>
        <w:autoSpaceDN/>
        <w:bidi w:val="0"/>
        <w:outlineLvl w:val="9"/>
      </w:pPr>
    </w:p>
    <w:p>
      <w:pPr>
        <w:pageBreakBefore w:val="0"/>
        <w:kinsoku/>
        <w:wordWrap/>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附件2：</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463" w:name="_Toc7576_WPSOffice_Level1"/>
      <w:r>
        <w:rPr>
          <w:rFonts w:hint="eastAsia"/>
          <w:b/>
          <w:color w:val="000000"/>
          <w:sz w:val="36"/>
          <w:szCs w:val="36"/>
        </w:rPr>
        <w:t>柳州职业技术学院工程联系单</w:t>
      </w:r>
      <w:bookmarkEnd w:id="1463"/>
    </w:p>
    <w:p>
      <w:pPr>
        <w:pageBreakBefore w:val="0"/>
        <w:kinsoku/>
        <w:wordWrap/>
        <w:overflowPunct/>
        <w:topLinePunct w:val="0"/>
        <w:autoSpaceDE/>
        <w:autoSpaceDN/>
        <w:bidi w:val="0"/>
        <w:spacing w:line="596" w:lineRule="exact"/>
        <w:jc w:val="center"/>
        <w:outlineLvl w:val="9"/>
        <w:rPr>
          <w:rFonts w:hint="eastAsia"/>
          <w:b/>
          <w:color w:val="000000"/>
          <w:sz w:val="30"/>
          <w:szCs w:val="30"/>
        </w:rPr>
      </w:pPr>
      <w:r>
        <w:rPr>
          <w:rFonts w:hint="eastAsia"/>
          <w:b/>
          <w:color w:val="000000"/>
          <w:sz w:val="30"/>
          <w:szCs w:val="30"/>
        </w:rPr>
        <w:t>（较大变更）</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编号：</w:t>
      </w:r>
    </w:p>
    <w:tbl>
      <w:tblPr>
        <w:tblStyle w:val="14"/>
        <w:tblW w:w="8752" w:type="dxa"/>
        <w:jc w:val="center"/>
        <w:tblInd w:w="0" w:type="dxa"/>
        <w:tblLayout w:type="fixed"/>
        <w:tblCellMar>
          <w:top w:w="0" w:type="dxa"/>
          <w:left w:w="0" w:type="dxa"/>
          <w:bottom w:w="0" w:type="dxa"/>
          <w:right w:w="0" w:type="dxa"/>
        </w:tblCellMar>
      </w:tblPr>
      <w:tblGrid>
        <w:gridCol w:w="1097"/>
        <w:gridCol w:w="567"/>
        <w:gridCol w:w="1314"/>
        <w:gridCol w:w="1222"/>
        <w:gridCol w:w="1434"/>
        <w:gridCol w:w="318"/>
        <w:gridCol w:w="2800"/>
      </w:tblGrid>
      <w:tr>
        <w:tblPrEx>
          <w:tblLayout w:type="fixed"/>
          <w:tblCellMar>
            <w:top w:w="0" w:type="dxa"/>
            <w:left w:w="0" w:type="dxa"/>
            <w:bottom w:w="0" w:type="dxa"/>
            <w:right w:w="0" w:type="dxa"/>
          </w:tblCellMar>
        </w:tblPrEx>
        <w:trPr>
          <w:trHeight w:val="600" w:hRule="atLeast"/>
          <w:jc w:val="center"/>
        </w:trPr>
        <w:tc>
          <w:tcPr>
            <w:tcW w:w="1664" w:type="dxa"/>
            <w:gridSpan w:val="2"/>
            <w:tcBorders>
              <w:top w:val="single" w:color="000000" w:sz="6" w:space="0"/>
              <w:left w:val="single" w:color="000000" w:sz="6" w:space="0"/>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工程名称</w:t>
            </w:r>
          </w:p>
        </w:tc>
        <w:tc>
          <w:tcPr>
            <w:tcW w:w="2536" w:type="dxa"/>
            <w:gridSpan w:val="2"/>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1752" w:type="dxa"/>
            <w:gridSpan w:val="2"/>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合同价</w:t>
            </w:r>
          </w:p>
        </w:tc>
        <w:tc>
          <w:tcPr>
            <w:tcW w:w="2800" w:type="dxa"/>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0" w:type="dxa"/>
            <w:bottom w:w="0" w:type="dxa"/>
            <w:right w:w="0" w:type="dxa"/>
          </w:tblCellMar>
        </w:tblPrEx>
        <w:trPr>
          <w:trHeight w:val="600" w:hRule="atLeast"/>
          <w:jc w:val="center"/>
        </w:trPr>
        <w:tc>
          <w:tcPr>
            <w:tcW w:w="1664" w:type="dxa"/>
            <w:gridSpan w:val="2"/>
            <w:tcBorders>
              <w:top w:val="single" w:color="000000" w:sz="6" w:space="0"/>
              <w:left w:val="single" w:color="000000" w:sz="6" w:space="0"/>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本次变更金额</w:t>
            </w:r>
          </w:p>
        </w:tc>
        <w:tc>
          <w:tcPr>
            <w:tcW w:w="2536" w:type="dxa"/>
            <w:gridSpan w:val="2"/>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1752" w:type="dxa"/>
            <w:gridSpan w:val="2"/>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累计变更金额</w:t>
            </w:r>
          </w:p>
        </w:tc>
        <w:tc>
          <w:tcPr>
            <w:tcW w:w="2800" w:type="dxa"/>
            <w:tcBorders>
              <w:top w:val="single" w:color="000000" w:sz="6" w:space="0"/>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0" w:type="dxa"/>
            <w:bottom w:w="0" w:type="dxa"/>
            <w:right w:w="0" w:type="dxa"/>
          </w:tblCellMar>
        </w:tblPrEx>
        <w:trPr>
          <w:trHeight w:val="2441" w:hRule="atLeast"/>
          <w:jc w:val="center"/>
        </w:trPr>
        <w:tc>
          <w:tcPr>
            <w:tcW w:w="1097" w:type="dxa"/>
            <w:tcBorders>
              <w:top w:val="nil"/>
              <w:left w:val="single" w:color="000000" w:sz="6" w:space="0"/>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变更原因、内容</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、工程量</w:t>
            </w:r>
          </w:p>
        </w:tc>
        <w:tc>
          <w:tcPr>
            <w:tcW w:w="7655" w:type="dxa"/>
            <w:gridSpan w:val="6"/>
            <w:tcBorders>
              <w:top w:val="nil"/>
              <w:left w:val="nil"/>
              <w:bottom w:val="single" w:color="000000" w:sz="6" w:space="0"/>
              <w:right w:val="single" w:color="000000" w:sz="6" w:space="0"/>
            </w:tcBorders>
            <w:tcMar>
              <w:left w:w="105" w:type="dxa"/>
              <w:right w:w="105" w:type="dxa"/>
            </w:tcMar>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申报单位（签章）：         项目负责人：       日期：</w:t>
            </w:r>
          </w:p>
        </w:tc>
      </w:tr>
      <w:tr>
        <w:tblPrEx>
          <w:tblLayout w:type="fixed"/>
          <w:tblCellMar>
            <w:top w:w="0" w:type="dxa"/>
            <w:left w:w="0" w:type="dxa"/>
            <w:bottom w:w="0" w:type="dxa"/>
            <w:right w:w="0" w:type="dxa"/>
          </w:tblCellMar>
        </w:tblPrEx>
        <w:trPr>
          <w:trHeight w:val="1695" w:hRule="atLeast"/>
          <w:jc w:val="center"/>
        </w:trPr>
        <w:tc>
          <w:tcPr>
            <w:tcW w:w="2978" w:type="dxa"/>
            <w:gridSpan w:val="3"/>
            <w:tcBorders>
              <w:top w:val="nil"/>
              <w:left w:val="single" w:color="000000" w:sz="6" w:space="0"/>
              <w:bottom w:val="single" w:color="auto" w:sz="4" w:space="0"/>
              <w:right w:val="single" w:color="auto" w:sz="4"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监理单位意见（签章）：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c>
          <w:tcPr>
            <w:tcW w:w="2656" w:type="dxa"/>
            <w:gridSpan w:val="2"/>
            <w:tcBorders>
              <w:top w:val="nil"/>
              <w:left w:val="single" w:color="auto" w:sz="4" w:space="0"/>
              <w:bottom w:val="single" w:color="auto" w:sz="4" w:space="0"/>
              <w:right w:val="single" w:color="auto" w:sz="4"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设计单位意见（签章）：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c>
          <w:tcPr>
            <w:tcW w:w="3118" w:type="dxa"/>
            <w:gridSpan w:val="2"/>
            <w:tcBorders>
              <w:top w:val="nil"/>
              <w:left w:val="single" w:color="auto" w:sz="4" w:space="0"/>
              <w:bottom w:val="single" w:color="auto" w:sz="4" w:space="0"/>
              <w:right w:val="single" w:color="000000" w:sz="6"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施工单位意见（签章）：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r>
      <w:tr>
        <w:tblPrEx>
          <w:tblLayout w:type="fixed"/>
          <w:tblCellMar>
            <w:top w:w="0" w:type="dxa"/>
            <w:left w:w="0" w:type="dxa"/>
            <w:bottom w:w="0" w:type="dxa"/>
            <w:right w:w="0" w:type="dxa"/>
          </w:tblCellMar>
        </w:tblPrEx>
        <w:trPr>
          <w:trHeight w:val="1778" w:hRule="atLeast"/>
          <w:jc w:val="center"/>
        </w:trPr>
        <w:tc>
          <w:tcPr>
            <w:tcW w:w="2978" w:type="dxa"/>
            <w:gridSpan w:val="3"/>
            <w:tcBorders>
              <w:top w:val="single" w:color="auto" w:sz="4" w:space="0"/>
              <w:left w:val="single" w:color="000000" w:sz="6" w:space="0"/>
              <w:bottom w:val="single" w:color="000000" w:sz="6" w:space="0"/>
              <w:right w:val="single" w:color="auto" w:sz="4"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使用部门意见（签章）：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bookmarkStart w:id="1464" w:name="_Toc31741_WPSOffice_Level1"/>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c>
          <w:tcPr>
            <w:tcW w:w="2656" w:type="dxa"/>
            <w:gridSpan w:val="2"/>
            <w:tcBorders>
              <w:top w:val="single" w:color="auto" w:sz="4" w:space="0"/>
              <w:left w:val="single" w:color="auto" w:sz="4" w:space="0"/>
              <w:bottom w:val="single" w:color="000000" w:sz="6" w:space="0"/>
              <w:right w:val="single" w:color="auto" w:sz="4" w:space="0"/>
            </w:tcBorders>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后勤基建科意见：</w:t>
            </w:r>
            <w:bookmarkEnd w:id="1464"/>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c>
          <w:tcPr>
            <w:tcW w:w="3118" w:type="dxa"/>
            <w:gridSpan w:val="2"/>
            <w:tcBorders>
              <w:top w:val="single" w:color="auto" w:sz="4" w:space="0"/>
              <w:left w:val="single" w:color="auto" w:sz="4" w:space="0"/>
              <w:bottom w:val="single" w:color="000000" w:sz="6" w:space="0"/>
              <w:right w:val="single" w:color="000000" w:sz="6"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基建管</w:t>
            </w:r>
            <w:bookmarkStart w:id="1465" w:name="_Toc19238_WPSOffice_Level1"/>
            <w:r>
              <w:rPr>
                <w:rFonts w:hint="eastAsia" w:ascii="仿宋_GB2312" w:hAnsi="宋体" w:eastAsia="仿宋_GB2312" w:cs="宋体"/>
                <w:color w:val="000000"/>
                <w:kern w:val="0"/>
                <w:sz w:val="24"/>
                <w:lang w:bidi="ar"/>
              </w:rPr>
              <w:t>理部门意见（签章）</w:t>
            </w:r>
            <w:bookmarkEnd w:id="1465"/>
            <w:r>
              <w:rPr>
                <w:rFonts w:hint="eastAsia" w:ascii="仿宋_GB2312" w:hAnsi="宋体" w:eastAsia="仿宋_GB2312" w:cs="宋体"/>
                <w:color w:val="000000"/>
                <w:kern w:val="0"/>
                <w:sz w:val="24"/>
                <w:lang w:bidi="ar"/>
              </w:rPr>
              <w:t>：</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部门领导：</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日期：</w:t>
            </w:r>
          </w:p>
        </w:tc>
      </w:tr>
      <w:tr>
        <w:tblPrEx>
          <w:tblLayout w:type="fixed"/>
          <w:tblCellMar>
            <w:top w:w="0" w:type="dxa"/>
            <w:left w:w="0" w:type="dxa"/>
            <w:bottom w:w="0" w:type="dxa"/>
            <w:right w:w="0" w:type="dxa"/>
          </w:tblCellMar>
        </w:tblPrEx>
        <w:trPr>
          <w:trHeight w:val="877" w:hRule="atLeast"/>
          <w:jc w:val="center"/>
        </w:trPr>
        <w:tc>
          <w:tcPr>
            <w:tcW w:w="8752" w:type="dxa"/>
            <w:gridSpan w:val="7"/>
            <w:tcBorders>
              <w:top w:val="single" w:color="auto" w:sz="4" w:space="0"/>
              <w:left w:val="single" w:color="000000" w:sz="6" w:space="0"/>
              <w:bottom w:val="single" w:color="auto" w:sz="4" w:space="0"/>
              <w:right w:val="single" w:color="000000" w:sz="6"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分管校领导意见：</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日期：</w:t>
            </w:r>
          </w:p>
        </w:tc>
      </w:tr>
      <w:tr>
        <w:tblPrEx>
          <w:tblLayout w:type="fixed"/>
          <w:tblCellMar>
            <w:top w:w="0" w:type="dxa"/>
            <w:left w:w="0" w:type="dxa"/>
            <w:bottom w:w="0" w:type="dxa"/>
            <w:right w:w="0" w:type="dxa"/>
          </w:tblCellMar>
        </w:tblPrEx>
        <w:trPr>
          <w:trHeight w:val="1052" w:hRule="atLeast"/>
          <w:jc w:val="center"/>
        </w:trPr>
        <w:tc>
          <w:tcPr>
            <w:tcW w:w="8752" w:type="dxa"/>
            <w:gridSpan w:val="7"/>
            <w:tcBorders>
              <w:top w:val="single" w:color="auto" w:sz="4" w:space="0"/>
              <w:left w:val="single" w:color="000000" w:sz="6" w:space="0"/>
              <w:bottom w:val="single" w:color="000000" w:sz="6" w:space="0"/>
              <w:right w:val="single" w:color="000000" w:sz="6" w:space="0"/>
            </w:tcBorders>
            <w:tcMar>
              <w:left w:w="105" w:type="dxa"/>
              <w:right w:w="105" w:type="dxa"/>
            </w:tcMa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校长审批：</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日期：</w:t>
            </w:r>
          </w:p>
        </w:tc>
      </w:tr>
    </w:tbl>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注：1.本表一式7份，其中：设计单位1份，监理单位1份，施工单位3份，基建科留存2份。2.无单独设计单位的项目，“设计单位意见”不填。3.具体变更金额以第三方审核单位审核结</w:t>
      </w:r>
      <w:bookmarkStart w:id="1466" w:name="_Toc29983_WPSOffice_Level1"/>
      <w:r>
        <w:rPr>
          <w:rFonts w:hint="eastAsia" w:ascii="仿宋_GB2312" w:hAnsi="宋体" w:eastAsia="仿宋_GB2312" w:cs="宋体"/>
          <w:color w:val="000000"/>
          <w:kern w:val="0"/>
          <w:sz w:val="24"/>
          <w:lang w:bidi="ar"/>
        </w:rPr>
        <w:t>果为准，若审核结果高于本次申请金额，按本次申请金额</w:t>
      </w:r>
      <w:bookmarkEnd w:id="1466"/>
      <w:r>
        <w:rPr>
          <w:rFonts w:hint="eastAsia" w:ascii="仿宋_GB2312" w:hAnsi="宋体" w:eastAsia="仿宋_GB2312" w:cs="宋体"/>
          <w:color w:val="000000"/>
          <w:kern w:val="0"/>
          <w:sz w:val="24"/>
          <w:lang w:bidi="ar"/>
        </w:rPr>
        <w:t>支付。4.联系单若超出1页，须双面打印。5.本表可根据需要搭配签证单使用，签证单格式参见附件3。</w:t>
      </w:r>
    </w:p>
    <w:p>
      <w:pPr>
        <w:pageBreakBefore w:val="0"/>
        <w:kinsoku/>
        <w:wordWrap/>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附件3：</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467" w:name="_Toc31900_WPSOffice_Level1"/>
      <w:r>
        <w:rPr>
          <w:rFonts w:hint="eastAsia"/>
          <w:b/>
          <w:color w:val="000000"/>
          <w:sz w:val="36"/>
          <w:szCs w:val="36"/>
        </w:rPr>
        <w:t>柳州职业技术学院工程量签证单</w:t>
      </w:r>
      <w:bookmarkEnd w:id="1467"/>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对应联系单编号：</w:t>
      </w:r>
    </w:p>
    <w:tbl>
      <w:tblPr>
        <w:tblStyle w:val="14"/>
        <w:tblpPr w:leftFromText="180" w:rightFromText="180" w:vertAnchor="text" w:horzAnchor="margin" w:tblpXSpec="center" w:tblpY="83"/>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60"/>
        <w:gridCol w:w="156"/>
        <w:gridCol w:w="1824"/>
        <w:gridCol w:w="504"/>
        <w:gridCol w:w="1012"/>
        <w:gridCol w:w="1256"/>
        <w:gridCol w:w="2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5" w:hRule="atLeast"/>
        </w:trPr>
        <w:tc>
          <w:tcPr>
            <w:tcW w:w="216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工程名称</w:t>
            </w:r>
          </w:p>
        </w:tc>
        <w:tc>
          <w:tcPr>
            <w:tcW w:w="7128" w:type="dxa"/>
            <w:gridSpan w:val="6"/>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645" w:hRule="atLeast"/>
        </w:trPr>
        <w:tc>
          <w:tcPr>
            <w:tcW w:w="216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施工单位</w:t>
            </w:r>
          </w:p>
        </w:tc>
        <w:tc>
          <w:tcPr>
            <w:tcW w:w="1980"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516"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签证时间</w:t>
            </w:r>
          </w:p>
        </w:tc>
        <w:tc>
          <w:tcPr>
            <w:tcW w:w="3632" w:type="dxa"/>
            <w:gridSpan w:val="2"/>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169" w:hRule="atLeast"/>
        </w:trPr>
        <w:tc>
          <w:tcPr>
            <w:tcW w:w="9288" w:type="dxa"/>
            <w:gridSpan w:val="7"/>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具体签证工程量：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676" w:hRule="atLeast"/>
        </w:trPr>
        <w:tc>
          <w:tcPr>
            <w:tcW w:w="2316" w:type="dxa"/>
            <w:gridSpan w:val="2"/>
            <w:tcBorders>
              <w:right w:val="single" w:color="auto" w:sz="4" w:space="0"/>
            </w:tcBorders>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施工单位：（章）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tc>
        <w:tc>
          <w:tcPr>
            <w:tcW w:w="2328" w:type="dxa"/>
            <w:gridSpan w:val="2"/>
            <w:tcBorders>
              <w:left w:val="single" w:color="auto" w:sz="4" w:space="0"/>
            </w:tcBorders>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监理单位：（章）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tc>
        <w:tc>
          <w:tcPr>
            <w:tcW w:w="2268" w:type="dxa"/>
            <w:gridSpan w:val="2"/>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使用部门：（章）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tc>
        <w:tc>
          <w:tcPr>
            <w:tcW w:w="2376" w:type="dxa"/>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基建管理部门：（章）</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30" w:hRule="atLeast"/>
        </w:trPr>
        <w:tc>
          <w:tcPr>
            <w:tcW w:w="9288" w:type="dxa"/>
            <w:gridSpan w:val="7"/>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说明：</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 此签证必须结合《柳州职业技术学院工程联系单》使用，且仅用于确认工程量；签证单后可附相关图片。</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 隐蔽工程量（含工时数），在实施之前施工单位要向建设单位提出，双方现场及时签证，过后不予补签。</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 签证内容必须由监理单位、使用部门、后勤部门至少一名代表参加核定。</w:t>
            </w:r>
          </w:p>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 本表份数与相应联系单份数一致。</w:t>
            </w:r>
          </w:p>
        </w:tc>
      </w:tr>
    </w:tbl>
    <w:p>
      <w:pPr>
        <w:pageBreakBefore w:val="0"/>
        <w:kinsoku/>
        <w:wordWrap/>
        <w:overflowPunct/>
        <w:topLinePunct w:val="0"/>
        <w:autoSpaceDE/>
        <w:autoSpaceDN/>
        <w:bidi w:val="0"/>
        <w:outlineLvl w:val="9"/>
      </w:pPr>
    </w:p>
    <w:p>
      <w:pPr>
        <w:pageBreakBefore w:val="0"/>
        <w:kinsoku/>
        <w:wordWrap/>
        <w:overflowPunct/>
        <w:topLinePunct w:val="0"/>
        <w:autoSpaceDE/>
        <w:autoSpaceDN/>
        <w:bidi w:val="0"/>
        <w:spacing w:line="596" w:lineRule="exact"/>
        <w:jc w:val="left"/>
        <w:outlineLvl w:val="9"/>
        <w:rPr>
          <w:rFonts w:ascii="黑体" w:eastAsia="黑体"/>
          <w:sz w:val="32"/>
          <w:szCs w:val="32"/>
        </w:rPr>
      </w:pPr>
      <w:r>
        <w:rPr>
          <w:rFonts w:hint="eastAsia" w:ascii="黑体" w:eastAsia="黑体"/>
          <w:sz w:val="32"/>
          <w:szCs w:val="32"/>
        </w:rPr>
        <w:t>附件4：</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468" w:name="_Toc27880_WPSOffice_Level1"/>
      <w:r>
        <w:rPr>
          <w:rFonts w:hint="eastAsia"/>
          <w:b/>
          <w:color w:val="000000"/>
          <w:sz w:val="36"/>
          <w:szCs w:val="36"/>
        </w:rPr>
        <w:t>施工单位评价表</w:t>
      </w:r>
      <w:bookmarkEnd w:id="1468"/>
    </w:p>
    <w:p>
      <w:pPr>
        <w:pageBreakBefore w:val="0"/>
        <w:kinsoku/>
        <w:wordWrap/>
        <w:overflowPunct/>
        <w:topLinePunct w:val="0"/>
        <w:autoSpaceDE/>
        <w:autoSpaceDN/>
        <w:bidi w:val="0"/>
        <w:jc w:val="center"/>
        <w:outlineLvl w:val="9"/>
        <w:rPr>
          <w:rFonts w:ascii="仿宋" w:hAnsi="仿宋" w:eastAsia="仿宋" w:cs="仿宋"/>
          <w:sz w:val="30"/>
          <w:szCs w:val="30"/>
        </w:rPr>
      </w:pPr>
      <w:r>
        <w:rPr>
          <w:rFonts w:hint="eastAsia" w:ascii="仿宋" w:hAnsi="仿宋" w:eastAsia="仿宋" w:cs="仿宋"/>
          <w:sz w:val="30"/>
          <w:szCs w:val="30"/>
        </w:rPr>
        <w:t xml:space="preserve">                       </w:t>
      </w:r>
      <w:bookmarkStart w:id="1469" w:name="_Toc20143_WPSOffice_Level1"/>
      <w:r>
        <w:rPr>
          <w:rFonts w:hint="eastAsia" w:ascii="仿宋" w:hAnsi="仿宋" w:eastAsia="仿宋" w:cs="仿宋"/>
          <w:sz w:val="30"/>
          <w:szCs w:val="30"/>
        </w:rPr>
        <w:t>填表日期：</w:t>
      </w:r>
      <w:bookmarkEnd w:id="1469"/>
    </w:p>
    <w:tbl>
      <w:tblPr>
        <w:tblStyle w:val="15"/>
        <w:tblW w:w="9515" w:type="dxa"/>
        <w:tblInd w:w="-3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5515"/>
        <w:gridCol w:w="154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113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b/>
                <w:bCs/>
                <w:sz w:val="24"/>
              </w:rPr>
            </w:pPr>
            <w:r>
              <w:rPr>
                <w:rFonts w:hint="eastAsia" w:ascii="仿宋" w:hAnsi="仿宋" w:eastAsia="仿宋" w:cs="仿宋"/>
                <w:b/>
                <w:bCs/>
                <w:sz w:val="24"/>
              </w:rPr>
              <w:t>项目名称</w:t>
            </w:r>
          </w:p>
        </w:tc>
        <w:tc>
          <w:tcPr>
            <w:tcW w:w="8380" w:type="dxa"/>
            <w:gridSpan w:val="3"/>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13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b/>
                <w:bCs/>
                <w:sz w:val="24"/>
              </w:rPr>
            </w:pPr>
            <w:r>
              <w:rPr>
                <w:rFonts w:hint="eastAsia" w:ascii="仿宋" w:hAnsi="仿宋" w:eastAsia="仿宋" w:cs="仿宋"/>
                <w:b/>
                <w:bCs/>
                <w:sz w:val="24"/>
              </w:rPr>
              <w:t>施工单位</w:t>
            </w:r>
          </w:p>
        </w:tc>
        <w:tc>
          <w:tcPr>
            <w:tcW w:w="8380" w:type="dxa"/>
            <w:gridSpan w:val="3"/>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3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b/>
                <w:bCs/>
                <w:sz w:val="24"/>
              </w:rPr>
            </w:pPr>
            <w:r>
              <w:rPr>
                <w:rFonts w:hint="eastAsia" w:ascii="仿宋" w:hAnsi="仿宋" w:eastAsia="仿宋" w:cs="仿宋"/>
                <w:b/>
                <w:bCs/>
                <w:sz w:val="24"/>
              </w:rPr>
              <w:t>评价项目</w:t>
            </w:r>
          </w:p>
        </w:tc>
        <w:tc>
          <w:tcPr>
            <w:tcW w:w="551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b/>
                <w:bCs/>
                <w:sz w:val="24"/>
              </w:rPr>
            </w:pPr>
            <w:r>
              <w:rPr>
                <w:rFonts w:hint="eastAsia" w:ascii="仿宋" w:hAnsi="仿宋" w:eastAsia="仿宋" w:cs="仿宋"/>
                <w:b/>
                <w:bCs/>
                <w:sz w:val="24"/>
              </w:rPr>
              <w:t>评分标准</w:t>
            </w:r>
          </w:p>
        </w:tc>
        <w:tc>
          <w:tcPr>
            <w:tcW w:w="154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b/>
                <w:bCs/>
                <w:sz w:val="24"/>
              </w:rPr>
            </w:pPr>
            <w:r>
              <w:rPr>
                <w:rFonts w:hint="eastAsia" w:ascii="仿宋" w:hAnsi="仿宋" w:eastAsia="仿宋" w:cs="仿宋"/>
                <w:b/>
                <w:bCs/>
                <w:sz w:val="24"/>
              </w:rPr>
              <w:t>标准分</w:t>
            </w:r>
          </w:p>
        </w:tc>
        <w:tc>
          <w:tcPr>
            <w:tcW w:w="1320"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b/>
                <w:bCs/>
                <w:sz w:val="24"/>
              </w:rPr>
            </w:pPr>
            <w:r>
              <w:rPr>
                <w:rFonts w:hint="eastAsia" w:ascii="仿宋" w:hAnsi="仿宋" w:eastAsia="仿宋" w:cs="仿宋"/>
                <w:b/>
                <w:bCs/>
                <w:sz w:val="24"/>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项目组织情况</w:t>
            </w:r>
          </w:p>
        </w:tc>
        <w:tc>
          <w:tcPr>
            <w:tcW w:w="5515" w:type="dxa"/>
          </w:tcPr>
          <w:p>
            <w:pPr>
              <w:pageBreakBefore w:val="0"/>
              <w:numPr>
                <w:ilvl w:val="0"/>
                <w:numId w:val="9"/>
              </w:numPr>
              <w:kinsoku/>
              <w:wordWrap/>
              <w:overflowPunct/>
              <w:topLinePunct w:val="0"/>
              <w:autoSpaceDE/>
              <w:autoSpaceDN/>
              <w:bidi w:val="0"/>
              <w:spacing w:line="240" w:lineRule="exact"/>
              <w:outlineLvl w:val="9"/>
              <w:rPr>
                <w:rFonts w:hint="eastAsia" w:ascii="仿宋" w:hAnsi="仿宋" w:eastAsia="仿宋" w:cs="仿宋"/>
                <w:sz w:val="24"/>
              </w:rPr>
            </w:pPr>
            <w:r>
              <w:rPr>
                <w:rFonts w:hint="eastAsia" w:ascii="仿宋" w:hAnsi="仿宋" w:eastAsia="仿宋" w:cs="仿宋"/>
                <w:sz w:val="24"/>
              </w:rPr>
              <w:t>项目负责人专业、组织、协调及管理能力（0-5分</w:t>
            </w:r>
            <w:bookmarkStart w:id="1470" w:name="_Toc18307_WPSOffice_Level1"/>
            <w:r>
              <w:rPr>
                <w:rFonts w:hint="eastAsia" w:ascii="仿宋" w:hAnsi="仿宋" w:eastAsia="仿宋" w:cs="仿宋"/>
                <w:sz w:val="24"/>
              </w:rPr>
              <w:t>）；</w:t>
            </w:r>
          </w:p>
          <w:p>
            <w:pPr>
              <w:pageBreakBefore w:val="0"/>
              <w:numPr>
                <w:ilvl w:val="0"/>
                <w:numId w:val="9"/>
              </w:numPr>
              <w:kinsoku/>
              <w:wordWrap/>
              <w:overflowPunct/>
              <w:topLinePunct w:val="0"/>
              <w:autoSpaceDE/>
              <w:autoSpaceDN/>
              <w:bidi w:val="0"/>
              <w:spacing w:line="240" w:lineRule="exact"/>
              <w:outlineLvl w:val="9"/>
              <w:rPr>
                <w:rFonts w:ascii="仿宋" w:hAnsi="仿宋" w:eastAsia="仿宋" w:cs="仿宋"/>
                <w:sz w:val="24"/>
              </w:rPr>
            </w:pPr>
            <w:r>
              <w:rPr>
                <w:rFonts w:hint="eastAsia" w:ascii="仿宋" w:hAnsi="仿宋" w:eastAsia="仿宋" w:cs="仿宋"/>
                <w:sz w:val="24"/>
              </w:rPr>
              <w:t>劳务资源是否充足，施工技</w:t>
            </w:r>
            <w:bookmarkEnd w:id="1470"/>
            <w:r>
              <w:rPr>
                <w:rFonts w:hint="eastAsia" w:ascii="仿宋" w:hAnsi="仿宋" w:eastAsia="仿宋" w:cs="仿宋"/>
                <w:sz w:val="24"/>
              </w:rPr>
              <w:t>术水平是否满足施工需求（0-5分）；</w:t>
            </w:r>
          </w:p>
          <w:p>
            <w:pPr>
              <w:pageBreakBefore w:val="0"/>
              <w:numPr>
                <w:ilvl w:val="0"/>
                <w:numId w:val="9"/>
              </w:numPr>
              <w:kinsoku/>
              <w:wordWrap/>
              <w:overflowPunct/>
              <w:topLinePunct w:val="0"/>
              <w:autoSpaceDE/>
              <w:autoSpaceDN/>
              <w:bidi w:val="0"/>
              <w:spacing w:line="240" w:lineRule="exact"/>
              <w:outlineLvl w:val="9"/>
              <w:rPr>
                <w:rFonts w:ascii="仿宋" w:hAnsi="仿宋" w:eastAsia="仿宋" w:cs="仿宋"/>
                <w:sz w:val="24"/>
              </w:rPr>
            </w:pPr>
            <w:r>
              <w:rPr>
                <w:rFonts w:hint="eastAsia" w:ascii="仿宋" w:hAnsi="仿宋" w:eastAsia="仿宋" w:cs="仿宋"/>
                <w:sz w:val="24"/>
              </w:rPr>
              <w:t>材料组织是否及时，材料质量是否满足要求（0-5分）；</w:t>
            </w:r>
          </w:p>
          <w:p>
            <w:pPr>
              <w:pageBreakBefore w:val="0"/>
              <w:numPr>
                <w:ilvl w:val="0"/>
                <w:numId w:val="9"/>
              </w:numPr>
              <w:kinsoku/>
              <w:wordWrap/>
              <w:overflowPunct/>
              <w:topLinePunct w:val="0"/>
              <w:autoSpaceDE/>
              <w:autoSpaceDN/>
              <w:bidi w:val="0"/>
              <w:spacing w:line="240" w:lineRule="exact"/>
              <w:outlineLvl w:val="9"/>
              <w:rPr>
                <w:rFonts w:ascii="仿宋" w:hAnsi="仿宋" w:eastAsia="仿宋" w:cs="仿宋"/>
                <w:sz w:val="24"/>
              </w:rPr>
            </w:pPr>
            <w:r>
              <w:rPr>
                <w:rFonts w:hint="eastAsia" w:ascii="仿宋" w:hAnsi="仿宋" w:eastAsia="仿宋" w:cs="仿宋"/>
                <w:sz w:val="24"/>
              </w:rPr>
              <w:t>各节点完成后场地是否及时清理干净，保证场清料净（0-5分）。</w:t>
            </w:r>
          </w:p>
        </w:tc>
        <w:tc>
          <w:tcPr>
            <w:tcW w:w="154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20</w:t>
            </w:r>
          </w:p>
        </w:tc>
        <w:tc>
          <w:tcPr>
            <w:tcW w:w="1320"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工程质量</w:t>
            </w:r>
          </w:p>
        </w:tc>
        <w:tc>
          <w:tcPr>
            <w:tcW w:w="5515" w:type="dxa"/>
          </w:tcPr>
          <w:p>
            <w:pPr>
              <w:pageBreakBefore w:val="0"/>
              <w:numPr>
                <w:ilvl w:val="0"/>
                <w:numId w:val="10"/>
              </w:numPr>
              <w:kinsoku/>
              <w:wordWrap/>
              <w:overflowPunct/>
              <w:topLinePunct w:val="0"/>
              <w:autoSpaceDE/>
              <w:autoSpaceDN/>
              <w:bidi w:val="0"/>
              <w:spacing w:line="240" w:lineRule="exact"/>
              <w:outlineLvl w:val="9"/>
              <w:rPr>
                <w:rFonts w:hint="eastAsia" w:ascii="仿宋" w:hAnsi="仿宋" w:eastAsia="仿宋" w:cs="仿宋"/>
                <w:sz w:val="24"/>
              </w:rPr>
            </w:pPr>
            <w:r>
              <w:rPr>
                <w:rFonts w:hint="eastAsia" w:ascii="仿宋" w:hAnsi="仿宋" w:eastAsia="仿宋" w:cs="仿宋"/>
                <w:sz w:val="24"/>
              </w:rPr>
              <w:t>是否一次性通过验收（0-5分）；</w:t>
            </w:r>
          </w:p>
          <w:p>
            <w:pPr>
              <w:pageBreakBefore w:val="0"/>
              <w:numPr>
                <w:ilvl w:val="0"/>
                <w:numId w:val="10"/>
              </w:numPr>
              <w:kinsoku/>
              <w:wordWrap/>
              <w:overflowPunct/>
              <w:topLinePunct w:val="0"/>
              <w:autoSpaceDE/>
              <w:autoSpaceDN/>
              <w:bidi w:val="0"/>
              <w:spacing w:line="240" w:lineRule="exact"/>
              <w:outlineLvl w:val="9"/>
              <w:rPr>
                <w:rFonts w:ascii="仿宋" w:hAnsi="仿宋" w:eastAsia="仿宋" w:cs="仿宋"/>
                <w:sz w:val="24"/>
              </w:rPr>
            </w:pPr>
            <w:r>
              <w:rPr>
                <w:rFonts w:hint="eastAsia" w:ascii="仿宋" w:hAnsi="仿宋" w:eastAsia="仿宋" w:cs="仿宋"/>
                <w:sz w:val="24"/>
              </w:rPr>
              <w:t>主要工序是否合理规范（0-5分）；</w:t>
            </w:r>
          </w:p>
          <w:p>
            <w:pPr>
              <w:pageBreakBefore w:val="0"/>
              <w:numPr>
                <w:ilvl w:val="0"/>
                <w:numId w:val="10"/>
              </w:numPr>
              <w:kinsoku/>
              <w:wordWrap/>
              <w:overflowPunct/>
              <w:topLinePunct w:val="0"/>
              <w:autoSpaceDE/>
              <w:autoSpaceDN/>
              <w:bidi w:val="0"/>
              <w:spacing w:line="240" w:lineRule="exact"/>
              <w:outlineLvl w:val="9"/>
              <w:rPr>
                <w:rFonts w:ascii="仿宋" w:hAnsi="仿宋" w:eastAsia="仿宋" w:cs="仿宋"/>
                <w:sz w:val="24"/>
              </w:rPr>
            </w:pPr>
            <w:r>
              <w:rPr>
                <w:rFonts w:hint="eastAsia" w:ascii="仿宋" w:hAnsi="仿宋" w:eastAsia="仿宋" w:cs="仿宋"/>
                <w:sz w:val="24"/>
              </w:rPr>
              <w:t>施工期间对材料及成品的保护情况（0-5分）；</w:t>
            </w:r>
          </w:p>
          <w:p>
            <w:pPr>
              <w:pageBreakBefore w:val="0"/>
              <w:numPr>
                <w:ilvl w:val="0"/>
                <w:numId w:val="10"/>
              </w:numPr>
              <w:kinsoku/>
              <w:wordWrap/>
              <w:overflowPunct/>
              <w:topLinePunct w:val="0"/>
              <w:autoSpaceDE/>
              <w:autoSpaceDN/>
              <w:bidi w:val="0"/>
              <w:spacing w:line="240" w:lineRule="exact"/>
              <w:outlineLvl w:val="9"/>
              <w:rPr>
                <w:rFonts w:ascii="仿宋" w:hAnsi="仿宋" w:eastAsia="仿宋" w:cs="仿宋"/>
                <w:sz w:val="24"/>
              </w:rPr>
            </w:pPr>
            <w:r>
              <w:rPr>
                <w:rFonts w:hint="eastAsia" w:ascii="仿宋" w:hAnsi="仿宋" w:eastAsia="仿宋" w:cs="仿宋"/>
                <w:sz w:val="24"/>
              </w:rPr>
              <w:t>是否存在偷工减料情况（0-5分）；</w:t>
            </w:r>
          </w:p>
          <w:p>
            <w:pPr>
              <w:pageBreakBefore w:val="0"/>
              <w:numPr>
                <w:ilvl w:val="0"/>
                <w:numId w:val="10"/>
              </w:numPr>
              <w:kinsoku/>
              <w:wordWrap/>
              <w:overflowPunct/>
              <w:topLinePunct w:val="0"/>
              <w:autoSpaceDE/>
              <w:autoSpaceDN/>
              <w:bidi w:val="0"/>
              <w:spacing w:line="240" w:lineRule="exact"/>
              <w:outlineLvl w:val="9"/>
              <w:rPr>
                <w:rFonts w:ascii="仿宋" w:hAnsi="仿宋" w:eastAsia="仿宋" w:cs="仿宋"/>
                <w:sz w:val="24"/>
              </w:rPr>
            </w:pPr>
            <w:r>
              <w:rPr>
                <w:rFonts w:hint="eastAsia" w:ascii="仿宋" w:hAnsi="仿宋" w:eastAsia="仿宋" w:cs="仿宋"/>
                <w:sz w:val="24"/>
              </w:rPr>
              <w:t>施工后是否有遗留质量问题（0-5分）。</w:t>
            </w:r>
          </w:p>
        </w:tc>
        <w:tc>
          <w:tcPr>
            <w:tcW w:w="154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25</w:t>
            </w:r>
          </w:p>
        </w:tc>
        <w:tc>
          <w:tcPr>
            <w:tcW w:w="1320"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工程进度</w:t>
            </w:r>
          </w:p>
        </w:tc>
        <w:tc>
          <w:tcPr>
            <w:tcW w:w="5515" w:type="dxa"/>
          </w:tcPr>
          <w:p>
            <w:pPr>
              <w:pageBreakBefore w:val="0"/>
              <w:numPr>
                <w:ilvl w:val="0"/>
                <w:numId w:val="11"/>
              </w:numPr>
              <w:kinsoku/>
              <w:wordWrap/>
              <w:overflowPunct/>
              <w:topLinePunct w:val="0"/>
              <w:autoSpaceDE/>
              <w:autoSpaceDN/>
              <w:bidi w:val="0"/>
              <w:spacing w:line="240" w:lineRule="exact"/>
              <w:outlineLvl w:val="9"/>
              <w:rPr>
                <w:rFonts w:hint="eastAsia" w:ascii="仿宋" w:hAnsi="仿宋" w:eastAsia="仿宋" w:cs="仿宋"/>
                <w:sz w:val="24"/>
              </w:rPr>
            </w:pPr>
            <w:r>
              <w:rPr>
                <w:rFonts w:hint="eastAsia" w:ascii="仿宋" w:hAnsi="仿宋" w:eastAsia="仿宋" w:cs="仿宋"/>
                <w:sz w:val="24"/>
              </w:rPr>
              <w:t>对业主要求的进度要求响应情况（0-10分）；</w:t>
            </w:r>
          </w:p>
          <w:p>
            <w:pPr>
              <w:pageBreakBefore w:val="0"/>
              <w:numPr>
                <w:ilvl w:val="0"/>
                <w:numId w:val="11"/>
              </w:numPr>
              <w:kinsoku/>
              <w:wordWrap/>
              <w:overflowPunct/>
              <w:topLinePunct w:val="0"/>
              <w:autoSpaceDE/>
              <w:autoSpaceDN/>
              <w:bidi w:val="0"/>
              <w:spacing w:line="240" w:lineRule="exact"/>
              <w:outlineLvl w:val="9"/>
              <w:rPr>
                <w:rFonts w:ascii="仿宋" w:hAnsi="仿宋" w:eastAsia="仿宋" w:cs="仿宋"/>
                <w:sz w:val="24"/>
              </w:rPr>
            </w:pPr>
            <w:r>
              <w:rPr>
                <w:rFonts w:hint="eastAsia" w:ascii="仿宋" w:hAnsi="仿宋" w:eastAsia="仿宋" w:cs="仿宋"/>
                <w:sz w:val="24"/>
              </w:rPr>
              <w:t>是否能及时采取有效措施确保主要节点如期完成（0-10分）。</w:t>
            </w:r>
          </w:p>
        </w:tc>
        <w:tc>
          <w:tcPr>
            <w:tcW w:w="154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20</w:t>
            </w:r>
          </w:p>
        </w:tc>
        <w:tc>
          <w:tcPr>
            <w:tcW w:w="1320"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安全文明施工</w:t>
            </w:r>
          </w:p>
        </w:tc>
        <w:tc>
          <w:tcPr>
            <w:tcW w:w="5515" w:type="dxa"/>
          </w:tcPr>
          <w:p>
            <w:pPr>
              <w:pageBreakBefore w:val="0"/>
              <w:numPr>
                <w:ilvl w:val="0"/>
                <w:numId w:val="12"/>
              </w:numPr>
              <w:kinsoku/>
              <w:wordWrap/>
              <w:overflowPunct/>
              <w:topLinePunct w:val="0"/>
              <w:autoSpaceDE/>
              <w:autoSpaceDN/>
              <w:bidi w:val="0"/>
              <w:spacing w:line="240" w:lineRule="exact"/>
              <w:ind w:left="968"/>
              <w:outlineLvl w:val="9"/>
              <w:rPr>
                <w:rFonts w:hint="eastAsia" w:ascii="仿宋" w:hAnsi="仿宋" w:eastAsia="仿宋" w:cs="仿宋"/>
                <w:sz w:val="24"/>
              </w:rPr>
            </w:pPr>
            <w:r>
              <w:rPr>
                <w:rFonts w:hint="eastAsia" w:ascii="仿宋" w:hAnsi="仿宋" w:eastAsia="仿宋" w:cs="仿宋"/>
                <w:sz w:val="24"/>
              </w:rPr>
              <w:t>是否建立安全文明责任制，是否按照规定为施工人员提供安全施工环境、设施设备、劳保等（0-5分）；</w:t>
            </w:r>
          </w:p>
          <w:p>
            <w:pPr>
              <w:pageBreakBefore w:val="0"/>
              <w:numPr>
                <w:ilvl w:val="0"/>
                <w:numId w:val="12"/>
              </w:numPr>
              <w:kinsoku/>
              <w:wordWrap/>
              <w:overflowPunct/>
              <w:topLinePunct w:val="0"/>
              <w:autoSpaceDE/>
              <w:autoSpaceDN/>
              <w:bidi w:val="0"/>
              <w:spacing w:line="240" w:lineRule="exact"/>
              <w:ind w:left="968"/>
              <w:outlineLvl w:val="9"/>
              <w:rPr>
                <w:rFonts w:ascii="仿宋" w:hAnsi="仿宋" w:eastAsia="仿宋" w:cs="仿宋"/>
                <w:sz w:val="24"/>
              </w:rPr>
            </w:pPr>
            <w:r>
              <w:rPr>
                <w:rFonts w:hint="eastAsia" w:ascii="仿宋" w:hAnsi="仿宋" w:eastAsia="仿宋" w:cs="仿宋"/>
                <w:sz w:val="24"/>
              </w:rPr>
              <w:t>施工现场是否存在脏乱差现象，施工是否影响周围环境（0-5分）；</w:t>
            </w:r>
          </w:p>
          <w:p>
            <w:pPr>
              <w:pageBreakBefore w:val="0"/>
              <w:numPr>
                <w:ilvl w:val="0"/>
                <w:numId w:val="12"/>
              </w:numPr>
              <w:kinsoku/>
              <w:wordWrap/>
              <w:overflowPunct/>
              <w:topLinePunct w:val="0"/>
              <w:autoSpaceDE/>
              <w:autoSpaceDN/>
              <w:bidi w:val="0"/>
              <w:spacing w:line="240" w:lineRule="exact"/>
              <w:ind w:left="968"/>
              <w:outlineLvl w:val="9"/>
              <w:rPr>
                <w:rFonts w:ascii="仿宋" w:hAnsi="仿宋" w:eastAsia="仿宋" w:cs="仿宋"/>
                <w:sz w:val="24"/>
              </w:rPr>
            </w:pPr>
            <w:r>
              <w:rPr>
                <w:rFonts w:hint="eastAsia" w:ascii="仿宋" w:hAnsi="仿宋" w:eastAsia="仿宋" w:cs="仿宋"/>
                <w:sz w:val="24"/>
              </w:rPr>
              <w:t>施工场地是否封闭管理，是否有安全标识，材料是否堆放整齐规范（0-5分）。</w:t>
            </w:r>
          </w:p>
        </w:tc>
        <w:tc>
          <w:tcPr>
            <w:tcW w:w="154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15</w:t>
            </w:r>
          </w:p>
        </w:tc>
        <w:tc>
          <w:tcPr>
            <w:tcW w:w="1320"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工程配合</w:t>
            </w:r>
          </w:p>
        </w:tc>
        <w:tc>
          <w:tcPr>
            <w:tcW w:w="5515" w:type="dxa"/>
          </w:tcPr>
          <w:p>
            <w:pPr>
              <w:pageBreakBefore w:val="0"/>
              <w:numPr>
                <w:ilvl w:val="0"/>
                <w:numId w:val="13"/>
              </w:numPr>
              <w:kinsoku/>
              <w:wordWrap/>
              <w:overflowPunct/>
              <w:topLinePunct w:val="0"/>
              <w:autoSpaceDE/>
              <w:autoSpaceDN/>
              <w:bidi w:val="0"/>
              <w:spacing w:line="240" w:lineRule="exact"/>
              <w:ind w:left="908"/>
              <w:outlineLvl w:val="9"/>
              <w:rPr>
                <w:rFonts w:hint="eastAsia" w:ascii="仿宋" w:hAnsi="仿宋" w:eastAsia="仿宋" w:cs="仿宋"/>
                <w:sz w:val="24"/>
              </w:rPr>
            </w:pPr>
            <w:r>
              <w:rPr>
                <w:rFonts w:hint="eastAsia" w:ascii="仿宋" w:hAnsi="仿宋" w:eastAsia="仿宋" w:cs="仿宋"/>
                <w:sz w:val="24"/>
              </w:rPr>
              <w:t>对业主现场指令响应程度（0-5分）；</w:t>
            </w:r>
          </w:p>
          <w:p>
            <w:pPr>
              <w:pageBreakBefore w:val="0"/>
              <w:numPr>
                <w:ilvl w:val="0"/>
                <w:numId w:val="13"/>
              </w:numPr>
              <w:kinsoku/>
              <w:wordWrap/>
              <w:overflowPunct/>
              <w:topLinePunct w:val="0"/>
              <w:autoSpaceDE/>
              <w:autoSpaceDN/>
              <w:bidi w:val="0"/>
              <w:spacing w:line="240" w:lineRule="exact"/>
              <w:ind w:left="908"/>
              <w:outlineLvl w:val="9"/>
              <w:rPr>
                <w:rFonts w:ascii="仿宋" w:hAnsi="仿宋" w:eastAsia="仿宋" w:cs="仿宋"/>
                <w:sz w:val="24"/>
              </w:rPr>
            </w:pPr>
            <w:r>
              <w:rPr>
                <w:rFonts w:hint="eastAsia" w:ascii="仿宋" w:hAnsi="仿宋" w:eastAsia="仿宋" w:cs="仿宋"/>
                <w:sz w:val="24"/>
              </w:rPr>
              <w:t>是否能积极主动沟通、汇报现场情况（0-5分）；</w:t>
            </w:r>
          </w:p>
          <w:p>
            <w:pPr>
              <w:pageBreakBefore w:val="0"/>
              <w:numPr>
                <w:ilvl w:val="0"/>
                <w:numId w:val="13"/>
              </w:numPr>
              <w:kinsoku/>
              <w:wordWrap/>
              <w:overflowPunct/>
              <w:topLinePunct w:val="0"/>
              <w:autoSpaceDE/>
              <w:autoSpaceDN/>
              <w:bidi w:val="0"/>
              <w:spacing w:line="240" w:lineRule="exact"/>
              <w:ind w:left="908"/>
              <w:outlineLvl w:val="9"/>
              <w:rPr>
                <w:rFonts w:ascii="仿宋" w:hAnsi="仿宋" w:eastAsia="仿宋" w:cs="仿宋"/>
                <w:sz w:val="24"/>
              </w:rPr>
            </w:pPr>
            <w:r>
              <w:rPr>
                <w:rFonts w:hint="eastAsia" w:ascii="仿宋" w:hAnsi="仿宋" w:eastAsia="仿宋" w:cs="仿宋"/>
                <w:sz w:val="24"/>
              </w:rPr>
              <w:t>是否按时按要求提供资料（0-10分）。</w:t>
            </w:r>
          </w:p>
        </w:tc>
        <w:tc>
          <w:tcPr>
            <w:tcW w:w="154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20</w:t>
            </w:r>
          </w:p>
        </w:tc>
        <w:tc>
          <w:tcPr>
            <w:tcW w:w="1320"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6650" w:type="dxa"/>
            <w:gridSpan w:val="2"/>
            <w:vAlign w:val="center"/>
          </w:tcPr>
          <w:p>
            <w:pPr>
              <w:pageBreakBefore w:val="0"/>
              <w:kinsoku/>
              <w:wordWrap/>
              <w:overflowPunct/>
              <w:topLinePunct w:val="0"/>
              <w:autoSpaceDE/>
              <w:autoSpaceDN/>
              <w:bidi w:val="0"/>
              <w:spacing w:line="240" w:lineRule="exact"/>
              <w:jc w:val="center"/>
              <w:outlineLvl w:val="9"/>
              <w:rPr>
                <w:rFonts w:ascii="仿宋" w:hAnsi="仿宋" w:eastAsia="仿宋" w:cs="仿宋"/>
                <w:sz w:val="24"/>
              </w:rPr>
            </w:pPr>
            <w:r>
              <w:rPr>
                <w:rFonts w:hint="eastAsia" w:ascii="仿宋" w:hAnsi="仿宋" w:eastAsia="仿宋" w:cs="仿宋"/>
                <w:sz w:val="24"/>
              </w:rPr>
              <w:t>合计</w:t>
            </w:r>
          </w:p>
        </w:tc>
        <w:tc>
          <w:tcPr>
            <w:tcW w:w="1545"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r>
              <w:rPr>
                <w:rFonts w:hint="eastAsia" w:ascii="仿宋" w:hAnsi="仿宋" w:eastAsia="仿宋" w:cs="仿宋"/>
                <w:sz w:val="24"/>
              </w:rPr>
              <w:t>100</w:t>
            </w:r>
          </w:p>
        </w:tc>
        <w:tc>
          <w:tcPr>
            <w:tcW w:w="1320" w:type="dxa"/>
            <w:vAlign w:val="center"/>
          </w:tcPr>
          <w:p>
            <w:pPr>
              <w:pageBreakBefore w:val="0"/>
              <w:kinsoku/>
              <w:wordWrap/>
              <w:overflowPunct/>
              <w:topLinePunct w:val="0"/>
              <w:autoSpaceDE/>
              <w:autoSpaceDN/>
              <w:bidi w:val="0"/>
              <w:spacing w:line="240" w:lineRule="exact"/>
              <w:ind w:left="548"/>
              <w:jc w:val="center"/>
              <w:outlineLvl w:val="9"/>
              <w:rPr>
                <w:rFonts w:ascii="仿宋" w:hAnsi="仿宋" w:eastAsia="仿宋" w:cs="仿宋"/>
                <w:sz w:val="24"/>
              </w:rPr>
            </w:pPr>
          </w:p>
        </w:tc>
      </w:tr>
    </w:tbl>
    <w:p>
      <w:pPr>
        <w:pageBreakBefore w:val="0"/>
        <w:kinsoku/>
        <w:wordWrap/>
        <w:overflowPunct/>
        <w:topLinePunct w:val="0"/>
        <w:autoSpaceDE/>
        <w:autoSpaceDN/>
        <w:bidi w:val="0"/>
        <w:spacing w:line="596" w:lineRule="exact"/>
        <w:jc w:val="left"/>
        <w:outlineLvl w:val="9"/>
        <w:rPr>
          <w:rFonts w:hint="eastAsia" w:ascii="黑体" w:eastAsia="黑体"/>
          <w:sz w:val="32"/>
          <w:szCs w:val="32"/>
        </w:rPr>
      </w:pPr>
    </w:p>
    <w:p>
      <w:pPr>
        <w:pageBreakBefore w:val="0"/>
        <w:kinsoku/>
        <w:wordWrap/>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附件5：</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471" w:name="_Toc16711_WPSOffice_Level1"/>
      <w:r>
        <w:rPr>
          <w:rFonts w:hint="eastAsia"/>
          <w:b/>
          <w:color w:val="000000"/>
          <w:sz w:val="36"/>
          <w:szCs w:val="36"/>
        </w:rPr>
        <w:t>监</w:t>
      </w:r>
      <w:bookmarkStart w:id="1472" w:name="_Toc23389_WPSOffice_Level1"/>
      <w:r>
        <w:rPr>
          <w:rFonts w:hint="eastAsia"/>
          <w:b/>
          <w:color w:val="000000"/>
          <w:sz w:val="36"/>
          <w:szCs w:val="36"/>
        </w:rPr>
        <w:t>理单位工作情况评价表</w:t>
      </w:r>
      <w:bookmarkEnd w:id="1471"/>
    </w:p>
    <w:bookmarkEnd w:id="1472"/>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3165"/>
        <w:gridCol w:w="3667"/>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tcPr>
          <w:p>
            <w:pPr>
              <w:pageBreakBefore w:val="0"/>
              <w:kinsoku/>
              <w:wordWrap/>
              <w:overflowPunct/>
              <w:topLinePunct w:val="0"/>
              <w:autoSpaceDE/>
              <w:autoSpaceDN/>
              <w:bidi w:val="0"/>
              <w:spacing w:line="440" w:lineRule="exact"/>
              <w:ind w:left="548"/>
              <w:outlineLvl w:val="9"/>
              <w:rPr>
                <w:rFonts w:ascii="仿宋" w:hAnsi="仿宋" w:eastAsia="仿宋" w:cs="仿宋"/>
                <w:szCs w:val="28"/>
              </w:rPr>
            </w:pPr>
            <w:r>
              <w:rPr>
                <w:rFonts w:hint="eastAsia" w:ascii="仿宋" w:hAnsi="仿宋" w:eastAsia="仿宋" w:cs="仿宋"/>
                <w:szCs w:val="28"/>
              </w:rPr>
              <w:t>监理单位：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695" w:type="dxa"/>
            <w:gridSpan w:val="2"/>
          </w:tcPr>
          <w:p>
            <w:pPr>
              <w:pageBreakBefore w:val="0"/>
              <w:kinsoku/>
              <w:wordWrap/>
              <w:overflowPunct/>
              <w:topLinePunct w:val="0"/>
              <w:autoSpaceDE/>
              <w:autoSpaceDN/>
              <w:bidi w:val="0"/>
              <w:spacing w:line="440" w:lineRule="exact"/>
              <w:ind w:left="548"/>
              <w:jc w:val="center"/>
              <w:outlineLvl w:val="9"/>
              <w:rPr>
                <w:rFonts w:ascii="仿宋" w:hAnsi="仿宋" w:eastAsia="仿宋" w:cs="仿宋"/>
                <w:szCs w:val="28"/>
              </w:rPr>
            </w:pPr>
            <w:r>
              <w:rPr>
                <w:rFonts w:hint="eastAsia" w:ascii="仿宋" w:hAnsi="仿宋" w:eastAsia="仿宋" w:cs="仿宋"/>
                <w:szCs w:val="28"/>
              </w:rPr>
              <w:t>评价内容</w:t>
            </w:r>
          </w:p>
        </w:tc>
        <w:tc>
          <w:tcPr>
            <w:tcW w:w="3667"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Cs w:val="28"/>
              </w:rPr>
            </w:pPr>
            <w:r>
              <w:rPr>
                <w:rFonts w:hint="eastAsia" w:ascii="仿宋" w:hAnsi="仿宋" w:eastAsia="仿宋" w:cs="仿宋"/>
                <w:szCs w:val="28"/>
              </w:rPr>
              <w:t>评价</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Cs w:val="28"/>
              </w:rPr>
            </w:pPr>
            <w:r>
              <w:rPr>
                <w:rFonts w:hint="eastAsia" w:ascii="仿宋" w:hAnsi="仿宋" w:eastAsia="仿宋" w:cs="仿宋"/>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1</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是否主动下工地检查质量、进度、安全？</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2</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是否督促依规施工？</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3</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ascii="仿宋" w:hAnsi="仿宋" w:eastAsia="仿宋" w:cs="仿宋"/>
                <w:sz w:val="24"/>
              </w:rPr>
              <w:t>对发现的质量问题书面提出、及时督促处理并反馈结果？</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4</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ascii="仿宋" w:hAnsi="仿宋" w:eastAsia="仿宋" w:cs="仿宋"/>
                <w:sz w:val="24"/>
              </w:rPr>
              <w:t>配合隐蔽验收及工程验收情况？</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5</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hint="eastAsia" w:ascii="仿宋" w:hAnsi="仿宋" w:eastAsia="仿宋" w:cs="仿宋"/>
                <w:sz w:val="24"/>
              </w:rPr>
            </w:pPr>
            <w:r>
              <w:rPr>
                <w:rFonts w:ascii="仿宋" w:hAnsi="仿宋" w:eastAsia="仿宋" w:cs="仿宋"/>
                <w:sz w:val="24"/>
              </w:rPr>
              <w:t>是否对原材料进场严格把关和按规定抽检？</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6</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是否进行重点安全验收的安全检查？</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7</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是否及时处理有关工期方面的签证？</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8</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hint="eastAsia" w:ascii="仿宋" w:hAnsi="仿宋" w:eastAsia="仿宋" w:cs="仿宋"/>
                <w:sz w:val="24"/>
              </w:rPr>
            </w:pPr>
            <w:r>
              <w:rPr>
                <w:rFonts w:hint="eastAsia" w:ascii="仿宋" w:hAnsi="仿宋" w:eastAsia="仿宋" w:cs="仿宋"/>
                <w:sz w:val="24"/>
              </w:rPr>
              <w:t>与建设单位代表的工作配合情</w:t>
            </w:r>
            <w:bookmarkStart w:id="1473" w:name="_Toc19181_WPSOffice_Level1"/>
            <w:r>
              <w:rPr>
                <w:rFonts w:hint="eastAsia" w:ascii="仿宋" w:hAnsi="仿宋" w:eastAsia="仿宋" w:cs="仿宋"/>
                <w:sz w:val="24"/>
              </w:rPr>
              <w:t>况？</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w:t>
            </w:r>
            <w:bookmarkEnd w:id="1473"/>
            <w:r>
              <w:rPr>
                <w:rFonts w:hint="eastAsia" w:ascii="仿宋" w:hAnsi="仿宋" w:eastAsia="仿宋" w:cs="仿宋"/>
                <w:sz w:val="24"/>
              </w:rPr>
              <w:t>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9</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hint="eastAsia" w:ascii="仿宋" w:hAnsi="仿宋" w:eastAsia="仿宋" w:cs="仿宋"/>
                <w:sz w:val="24"/>
              </w:rPr>
            </w:pPr>
            <w:r>
              <w:rPr>
                <w:rFonts w:ascii="仿宋" w:hAnsi="仿宋" w:eastAsia="仿宋" w:cs="仿宋"/>
                <w:sz w:val="24"/>
              </w:rPr>
              <w:t>对各参建单位交叉工作协调情况？</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53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10</w:t>
            </w:r>
          </w:p>
        </w:tc>
        <w:tc>
          <w:tcPr>
            <w:tcW w:w="3165" w:type="dxa"/>
            <w:vAlign w:val="center"/>
          </w:tcPr>
          <w:p>
            <w:pPr>
              <w:pageBreakBefore w:val="0"/>
              <w:kinsoku/>
              <w:wordWrap/>
              <w:overflowPunct/>
              <w:topLinePunct w:val="0"/>
              <w:autoSpaceDE/>
              <w:autoSpaceDN/>
              <w:bidi w:val="0"/>
              <w:spacing w:line="440" w:lineRule="exact"/>
              <w:ind w:left="548"/>
              <w:jc w:val="left"/>
              <w:outlineLvl w:val="9"/>
              <w:rPr>
                <w:rFonts w:hint="eastAsia" w:ascii="仿宋" w:hAnsi="仿宋" w:eastAsia="仿宋" w:cs="仿宋"/>
                <w:sz w:val="24"/>
              </w:rPr>
            </w:pPr>
            <w:r>
              <w:rPr>
                <w:rFonts w:hint="eastAsia" w:ascii="仿宋" w:hAnsi="仿宋" w:eastAsia="仿宋" w:cs="仿宋"/>
                <w:sz w:val="24"/>
              </w:rPr>
              <w:t>该项目监理部廉政建设情况</w:t>
            </w:r>
          </w:p>
        </w:tc>
        <w:tc>
          <w:tcPr>
            <w:tcW w:w="3667" w:type="dxa"/>
            <w:vAlign w:val="center"/>
          </w:tcPr>
          <w:p>
            <w:pPr>
              <w:pageBreakBefore w:val="0"/>
              <w:kinsoku/>
              <w:wordWrap/>
              <w:overflowPunct/>
              <w:topLinePunct w:val="0"/>
              <w:autoSpaceDE/>
              <w:autoSpaceDN/>
              <w:bidi w:val="0"/>
              <w:spacing w:line="440" w:lineRule="exact"/>
              <w:ind w:left="548"/>
              <w:jc w:val="left"/>
              <w:outlineLvl w:val="9"/>
              <w:rPr>
                <w:rFonts w:ascii="仿宋" w:hAnsi="仿宋" w:eastAsia="仿宋" w:cs="仿宋"/>
                <w:sz w:val="24"/>
              </w:rPr>
            </w:pPr>
            <w:r>
              <w:rPr>
                <w:rFonts w:hint="eastAsia" w:ascii="仿宋" w:hAnsi="仿宋" w:eastAsia="仿宋" w:cs="仿宋"/>
                <w:sz w:val="24"/>
              </w:rPr>
              <w:t>好10分、一般8分、欠佳3分</w:t>
            </w:r>
          </w:p>
        </w:tc>
        <w:tc>
          <w:tcPr>
            <w:tcW w:w="1160" w:type="dxa"/>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7362" w:type="dxa"/>
            <w:gridSpan w:val="3"/>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r>
              <w:rPr>
                <w:rFonts w:hint="eastAsia" w:ascii="仿宋" w:hAnsi="仿宋" w:eastAsia="仿宋" w:cs="仿宋"/>
                <w:sz w:val="24"/>
              </w:rPr>
              <w:t>合计</w:t>
            </w:r>
          </w:p>
        </w:tc>
        <w:tc>
          <w:tcPr>
            <w:tcW w:w="1160" w:type="dxa"/>
            <w:vAlign w:val="center"/>
          </w:tcPr>
          <w:p>
            <w:pPr>
              <w:pageBreakBefore w:val="0"/>
              <w:kinsoku/>
              <w:wordWrap/>
              <w:overflowPunct/>
              <w:topLinePunct w:val="0"/>
              <w:autoSpaceDE/>
              <w:autoSpaceDN/>
              <w:bidi w:val="0"/>
              <w:spacing w:line="440" w:lineRule="exact"/>
              <w:ind w:left="548"/>
              <w:jc w:val="center"/>
              <w:outlineLvl w:val="9"/>
              <w:rPr>
                <w:rFonts w:ascii="仿宋" w:hAnsi="仿宋" w:eastAsia="仿宋" w:cs="仿宋"/>
                <w:sz w:val="24"/>
              </w:rPr>
            </w:pPr>
          </w:p>
        </w:tc>
      </w:tr>
    </w:tbl>
    <w:p>
      <w:pPr>
        <w:pageBreakBefore w:val="0"/>
        <w:kinsoku/>
        <w:wordWrap/>
        <w:overflowPunct/>
        <w:topLinePunct w:val="0"/>
        <w:autoSpaceDE/>
        <w:autoSpaceDN/>
        <w:bidi w:val="0"/>
        <w:spacing w:line="596" w:lineRule="exact"/>
        <w:jc w:val="left"/>
        <w:outlineLvl w:val="9"/>
        <w:rPr>
          <w:rFonts w:ascii="黑体" w:eastAsia="黑体"/>
          <w:sz w:val="32"/>
          <w:szCs w:val="32"/>
        </w:rPr>
      </w:pPr>
      <w:r>
        <w:rPr>
          <w:rFonts w:hint="eastAsia" w:ascii="黑体" w:eastAsia="黑体"/>
          <w:sz w:val="32"/>
          <w:szCs w:val="32"/>
        </w:rPr>
        <w:t>附件6：</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474" w:name="_Toc20966_WPSOffice_Level1"/>
      <w:r>
        <w:rPr>
          <w:rFonts w:hint="eastAsia"/>
          <w:b/>
          <w:color w:val="000000"/>
          <w:sz w:val="36"/>
          <w:szCs w:val="36"/>
        </w:rPr>
        <w:t>工程竣工验收报告</w:t>
      </w:r>
      <w:bookmarkEnd w:id="1474"/>
    </w:p>
    <w:tbl>
      <w:tblPr>
        <w:tblStyle w:val="14"/>
        <w:tblW w:w="9783" w:type="dxa"/>
        <w:tblInd w:w="-3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32"/>
        <w:gridCol w:w="143"/>
        <w:gridCol w:w="1925"/>
        <w:gridCol w:w="1367"/>
        <w:gridCol w:w="653"/>
        <w:gridCol w:w="479"/>
        <w:gridCol w:w="781"/>
        <w:gridCol w:w="1425"/>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trPr>
        <w:tc>
          <w:tcPr>
            <w:tcW w:w="1620" w:type="dxa"/>
            <w:gridSpan w:val="2"/>
            <w:vAlign w:val="center"/>
          </w:tcPr>
          <w:p>
            <w:pPr>
              <w:pageBreakBefore w:val="0"/>
              <w:kinsoku/>
              <w:wordWrap/>
              <w:overflowPunct/>
              <w:topLinePunct w:val="0"/>
              <w:autoSpaceDE/>
              <w:autoSpaceDN/>
              <w:bidi w:val="0"/>
              <w:spacing w:line="380" w:lineRule="exact"/>
              <w:jc w:val="center"/>
              <w:outlineLvl w:val="9"/>
              <w:rPr>
                <w:rFonts w:ascii="仿宋" w:hAnsi="仿宋" w:eastAsia="仿宋" w:cs="仿宋"/>
                <w:sz w:val="24"/>
              </w:rPr>
            </w:pPr>
            <w:r>
              <w:rPr>
                <w:rFonts w:hint="eastAsia" w:ascii="仿宋" w:hAnsi="仿宋" w:eastAsia="仿宋" w:cs="仿宋"/>
                <w:sz w:val="24"/>
              </w:rPr>
              <w:t>工程名称</w:t>
            </w:r>
          </w:p>
        </w:tc>
        <w:tc>
          <w:tcPr>
            <w:tcW w:w="8163" w:type="dxa"/>
            <w:gridSpan w:val="8"/>
            <w:vAlign w:val="center"/>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trPr>
        <w:tc>
          <w:tcPr>
            <w:tcW w:w="1620" w:type="dxa"/>
            <w:gridSpan w:val="2"/>
            <w:vAlign w:val="center"/>
          </w:tcPr>
          <w:p>
            <w:pPr>
              <w:pageBreakBefore w:val="0"/>
              <w:kinsoku/>
              <w:wordWrap/>
              <w:overflowPunct/>
              <w:topLinePunct w:val="0"/>
              <w:autoSpaceDE/>
              <w:autoSpaceDN/>
              <w:bidi w:val="0"/>
              <w:spacing w:line="380" w:lineRule="exact"/>
              <w:jc w:val="center"/>
              <w:outlineLvl w:val="9"/>
              <w:rPr>
                <w:rFonts w:ascii="仿宋" w:hAnsi="仿宋" w:eastAsia="仿宋" w:cs="仿宋"/>
                <w:sz w:val="24"/>
              </w:rPr>
            </w:pPr>
            <w:r>
              <w:rPr>
                <w:rFonts w:hint="eastAsia" w:ascii="仿宋" w:hAnsi="仿宋" w:eastAsia="仿宋" w:cs="仿宋"/>
                <w:sz w:val="24"/>
              </w:rPr>
              <w:t>建设单位</w:t>
            </w:r>
          </w:p>
        </w:tc>
        <w:tc>
          <w:tcPr>
            <w:tcW w:w="8163" w:type="dxa"/>
            <w:gridSpan w:val="8"/>
            <w:vAlign w:val="center"/>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柳州</w:t>
            </w:r>
            <w:bookmarkStart w:id="1475" w:name="_Toc22093_WPSOffice_Level1"/>
            <w:r>
              <w:rPr>
                <w:rFonts w:hint="eastAsia" w:ascii="仿宋" w:hAnsi="仿宋" w:eastAsia="仿宋" w:cs="仿宋"/>
                <w:sz w:val="24"/>
              </w:rPr>
              <w:t>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5" w:hRule="atLeast"/>
        </w:trPr>
        <w:tc>
          <w:tcPr>
            <w:tcW w:w="1620" w:type="dxa"/>
            <w:gridSpan w:val="2"/>
            <w:vAlign w:val="center"/>
          </w:tcPr>
          <w:p>
            <w:pPr>
              <w:pageBreakBefore w:val="0"/>
              <w:kinsoku/>
              <w:wordWrap/>
              <w:overflowPunct/>
              <w:topLinePunct w:val="0"/>
              <w:autoSpaceDE/>
              <w:autoSpaceDN/>
              <w:bidi w:val="0"/>
              <w:spacing w:line="380" w:lineRule="exact"/>
              <w:jc w:val="center"/>
              <w:outlineLvl w:val="9"/>
              <w:rPr>
                <w:rFonts w:ascii="仿宋" w:hAnsi="仿宋" w:eastAsia="仿宋" w:cs="仿宋"/>
                <w:sz w:val="24"/>
              </w:rPr>
            </w:pPr>
            <w:r>
              <w:rPr>
                <w:rFonts w:hint="eastAsia" w:ascii="仿宋" w:hAnsi="仿宋" w:eastAsia="仿宋" w:cs="仿宋"/>
                <w:sz w:val="24"/>
              </w:rPr>
              <w:t>施工单位</w:t>
            </w:r>
          </w:p>
        </w:tc>
        <w:tc>
          <w:tcPr>
            <w:tcW w:w="8163" w:type="dxa"/>
            <w:gridSpan w:val="8"/>
            <w:vAlign w:val="center"/>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trPr>
        <w:tc>
          <w:tcPr>
            <w:tcW w:w="1620" w:type="dxa"/>
            <w:gridSpan w:val="2"/>
            <w:vAlign w:val="center"/>
          </w:tcPr>
          <w:p>
            <w:pPr>
              <w:pageBreakBefore w:val="0"/>
              <w:kinsoku/>
              <w:wordWrap/>
              <w:overflowPunct/>
              <w:topLinePunct w:val="0"/>
              <w:autoSpaceDE/>
              <w:autoSpaceDN/>
              <w:bidi w:val="0"/>
              <w:spacing w:line="380" w:lineRule="exact"/>
              <w:jc w:val="center"/>
              <w:outlineLvl w:val="9"/>
              <w:rPr>
                <w:rFonts w:ascii="仿宋" w:hAnsi="仿宋" w:eastAsia="仿宋" w:cs="仿宋"/>
                <w:sz w:val="24"/>
              </w:rPr>
            </w:pPr>
            <w:r>
              <w:rPr>
                <w:rFonts w:hint="eastAsia" w:ascii="仿宋" w:hAnsi="仿宋" w:eastAsia="仿宋" w:cs="仿宋"/>
                <w:sz w:val="24"/>
              </w:rPr>
              <w:t>工程地址</w:t>
            </w:r>
          </w:p>
          <w:bookmarkEnd w:id="1475"/>
        </w:tc>
        <w:tc>
          <w:tcPr>
            <w:tcW w:w="8163" w:type="dxa"/>
            <w:gridSpan w:val="8"/>
            <w:vAlign w:val="center"/>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1620" w:type="dxa"/>
            <w:gridSpan w:val="2"/>
            <w:vAlign w:val="center"/>
          </w:tcPr>
          <w:p>
            <w:pPr>
              <w:pageBreakBefore w:val="0"/>
              <w:kinsoku/>
              <w:wordWrap/>
              <w:overflowPunct/>
              <w:topLinePunct w:val="0"/>
              <w:autoSpaceDE/>
              <w:autoSpaceDN/>
              <w:bidi w:val="0"/>
              <w:spacing w:line="380" w:lineRule="exact"/>
              <w:jc w:val="center"/>
              <w:outlineLvl w:val="9"/>
              <w:rPr>
                <w:rFonts w:ascii="仿宋" w:hAnsi="仿宋" w:eastAsia="仿宋" w:cs="仿宋"/>
                <w:sz w:val="24"/>
              </w:rPr>
            </w:pPr>
            <w:r>
              <w:rPr>
                <w:rFonts w:hint="eastAsia" w:ascii="仿宋" w:hAnsi="仿宋" w:eastAsia="仿宋" w:cs="仿宋"/>
                <w:sz w:val="24"/>
              </w:rPr>
              <w:t>工程预算</w:t>
            </w:r>
          </w:p>
        </w:tc>
        <w:tc>
          <w:tcPr>
            <w:tcW w:w="8163" w:type="dxa"/>
            <w:gridSpan w:val="8"/>
            <w:vAlign w:val="center"/>
          </w:tcPr>
          <w:p>
            <w:pPr>
              <w:pageBreakBefore w:val="0"/>
              <w:kinsoku/>
              <w:wordWrap/>
              <w:overflowPunct/>
              <w:topLinePunct w:val="0"/>
              <w:autoSpaceDE/>
              <w:autoSpaceDN/>
              <w:bidi w:val="0"/>
              <w:spacing w:line="380" w:lineRule="exact"/>
              <w:ind w:firstLine="960" w:firstLineChars="400"/>
              <w:jc w:val="left"/>
              <w:outlineLvl w:val="9"/>
              <w:rPr>
                <w:rFonts w:ascii="仿宋" w:hAnsi="仿宋" w:eastAsia="仿宋" w:cs="仿宋"/>
                <w:sz w:val="24"/>
              </w:rPr>
            </w:pP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620" w:type="dxa"/>
            <w:gridSpan w:val="2"/>
            <w:vAlign w:val="center"/>
          </w:tcPr>
          <w:p>
            <w:pPr>
              <w:pageBreakBefore w:val="0"/>
              <w:kinsoku/>
              <w:wordWrap/>
              <w:overflowPunct/>
              <w:topLinePunct w:val="0"/>
              <w:autoSpaceDE/>
              <w:autoSpaceDN/>
              <w:bidi w:val="0"/>
              <w:spacing w:line="380" w:lineRule="exact"/>
              <w:jc w:val="center"/>
              <w:outlineLvl w:val="9"/>
              <w:rPr>
                <w:rFonts w:ascii="仿宋" w:hAnsi="仿宋" w:eastAsia="仿宋" w:cs="仿宋"/>
                <w:sz w:val="24"/>
              </w:rPr>
            </w:pPr>
            <w:r>
              <w:rPr>
                <w:rFonts w:hint="eastAsia" w:ascii="仿宋" w:hAnsi="仿宋" w:eastAsia="仿宋" w:cs="仿宋"/>
                <w:sz w:val="24"/>
              </w:rPr>
              <w:t>开工日期</w:t>
            </w:r>
          </w:p>
        </w:tc>
        <w:tc>
          <w:tcPr>
            <w:tcW w:w="3435" w:type="dxa"/>
            <w:gridSpan w:val="3"/>
            <w:vAlign w:val="center"/>
          </w:tcPr>
          <w:p>
            <w:pPr>
              <w:pageBreakBefore w:val="0"/>
              <w:kinsoku/>
              <w:wordWrap/>
              <w:overflowPunct/>
              <w:topLinePunct w:val="0"/>
              <w:autoSpaceDE/>
              <w:autoSpaceDN/>
              <w:bidi w:val="0"/>
              <w:spacing w:line="380" w:lineRule="exact"/>
              <w:ind w:firstLine="960" w:firstLineChars="400"/>
              <w:jc w:val="left"/>
              <w:outlineLvl w:val="9"/>
              <w:rPr>
                <w:rFonts w:ascii="仿宋" w:hAnsi="仿宋" w:eastAsia="仿宋" w:cs="仿宋"/>
                <w:sz w:val="24"/>
              </w:rPr>
            </w:pPr>
            <w:r>
              <w:rPr>
                <w:rFonts w:hint="eastAsia" w:ascii="仿宋" w:hAnsi="仿宋" w:eastAsia="仿宋" w:cs="仿宋"/>
                <w:sz w:val="24"/>
              </w:rPr>
              <w:t>年    月     日</w:t>
            </w:r>
          </w:p>
        </w:tc>
        <w:tc>
          <w:tcPr>
            <w:tcW w:w="1913" w:type="dxa"/>
            <w:gridSpan w:val="3"/>
            <w:vAlign w:val="center"/>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完工日期</w:t>
            </w:r>
          </w:p>
        </w:tc>
        <w:tc>
          <w:tcPr>
            <w:tcW w:w="2815" w:type="dxa"/>
            <w:gridSpan w:val="2"/>
            <w:vAlign w:val="center"/>
          </w:tcPr>
          <w:p>
            <w:pPr>
              <w:pageBreakBefore w:val="0"/>
              <w:kinsoku/>
              <w:wordWrap/>
              <w:overflowPunct/>
              <w:topLinePunct w:val="0"/>
              <w:autoSpaceDE/>
              <w:autoSpaceDN/>
              <w:bidi w:val="0"/>
              <w:spacing w:line="380" w:lineRule="exact"/>
              <w:ind w:firstLine="720" w:firstLineChars="300"/>
              <w:jc w:val="left"/>
              <w:outlineLvl w:val="9"/>
              <w:rPr>
                <w:rFonts w:ascii="仿宋" w:hAnsi="仿宋" w:eastAsia="仿宋" w:cs="仿宋"/>
                <w:sz w:val="24"/>
              </w:rPr>
            </w:pPr>
            <w:r>
              <w:rPr>
                <w:rFonts w:hint="eastAsia" w:ascii="仿宋" w:hAnsi="仿宋" w:eastAsia="仿宋" w:cs="仿宋"/>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0" w:hRule="atLeast"/>
        </w:trPr>
        <w:tc>
          <w:tcPr>
            <w:tcW w:w="9783" w:type="dxa"/>
            <w:gridSpan w:val="10"/>
            <w:tcBorders>
              <w:bottom w:val="single" w:color="auto" w:sz="4" w:space="0"/>
            </w:tcBorders>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完成主要工程内容：</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5" w:hRule="atLeast"/>
        </w:trPr>
        <w:tc>
          <w:tcPr>
            <w:tcW w:w="6187" w:type="dxa"/>
            <w:gridSpan w:val="7"/>
            <w:tcBorders>
              <w:bottom w:val="single" w:color="auto" w:sz="4" w:space="0"/>
            </w:tcBorders>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存在的问题：</w:t>
            </w:r>
          </w:p>
        </w:tc>
        <w:tc>
          <w:tcPr>
            <w:tcW w:w="3596" w:type="dxa"/>
            <w:gridSpan w:val="3"/>
            <w:tcBorders>
              <w:bottom w:val="single" w:color="auto" w:sz="4" w:space="0"/>
            </w:tcBorders>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整改情况：</w:t>
            </w:r>
          </w:p>
          <w:p>
            <w:pPr>
              <w:pageBreakBefore w:val="0"/>
              <w:kinsoku/>
              <w:wordWrap/>
              <w:overflowPunct/>
              <w:topLinePunct w:val="0"/>
              <w:autoSpaceDE/>
              <w:autoSpaceDN/>
              <w:bidi w:val="0"/>
              <w:spacing w:line="380" w:lineRule="exact"/>
              <w:jc w:val="left"/>
              <w:outlineLvl w:val="9"/>
              <w:rPr>
                <w:rFonts w:hint="eastAsia" w:ascii="仿宋" w:hAnsi="仿宋" w:eastAsia="仿宋" w:cs="仿宋"/>
                <w:sz w:val="24"/>
              </w:rPr>
            </w:pPr>
          </w:p>
          <w:p>
            <w:pPr>
              <w:pageBreakBefore w:val="0"/>
              <w:kinsoku/>
              <w:wordWrap/>
              <w:overflowPunct/>
              <w:topLinePunct w:val="0"/>
              <w:autoSpaceDE/>
              <w:autoSpaceDN/>
              <w:bidi w:val="0"/>
              <w:spacing w:line="380" w:lineRule="exact"/>
              <w:jc w:val="left"/>
              <w:outlineLvl w:val="9"/>
              <w:rPr>
                <w:rFonts w:hint="eastAsia" w:ascii="仿宋" w:hAnsi="仿宋" w:eastAsia="仿宋" w:cs="仿宋"/>
                <w:sz w:val="24"/>
              </w:rPr>
            </w:pPr>
            <w:r>
              <w:rPr>
                <w:rFonts w:hint="eastAsia" w:ascii="仿宋" w:hAnsi="仿宋" w:eastAsia="仿宋" w:cs="仿宋"/>
                <w:sz w:val="24"/>
              </w:rPr>
              <w:t xml:space="preserve">后勤、使用的验收人：       </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00" w:hRule="atLeast"/>
        </w:trPr>
        <w:tc>
          <w:tcPr>
            <w:tcW w:w="1488" w:type="dxa"/>
            <w:tcBorders>
              <w:bottom w:val="single" w:color="auto" w:sz="4" w:space="0"/>
            </w:tcBorders>
            <w:vAlign w:val="center"/>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验收结论</w:t>
            </w:r>
          </w:p>
        </w:tc>
        <w:tc>
          <w:tcPr>
            <w:tcW w:w="8295" w:type="dxa"/>
            <w:gridSpan w:val="9"/>
            <w:tcBorders>
              <w:bottom w:val="single" w:color="auto" w:sz="4" w:space="0"/>
            </w:tcBorders>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1、按照施工规范、施工图、建设方要求施工，场地已清理干净，经验收合格，同意交付使用。</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2、工程量验收情况：见工程验收清单（或竣工图）。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6" w:hRule="atLeast"/>
        </w:trPr>
        <w:tc>
          <w:tcPr>
            <w:tcW w:w="1763" w:type="dxa"/>
            <w:gridSpan w:val="3"/>
            <w:vMerge w:val="restart"/>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施工单位（章）：</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项目负责人：</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ind w:firstLine="240" w:firstLineChars="100"/>
              <w:jc w:val="left"/>
              <w:outlineLvl w:val="9"/>
              <w:rPr>
                <w:rFonts w:ascii="仿宋" w:hAnsi="仿宋" w:eastAsia="仿宋" w:cs="仿宋"/>
                <w:sz w:val="24"/>
              </w:rPr>
            </w:pPr>
            <w:r>
              <w:rPr>
                <w:rFonts w:hint="eastAsia" w:ascii="仿宋" w:hAnsi="仿宋" w:eastAsia="仿宋" w:cs="仿宋"/>
                <w:sz w:val="24"/>
              </w:rPr>
              <w:t>年  月  日</w:t>
            </w:r>
          </w:p>
        </w:tc>
        <w:tc>
          <w:tcPr>
            <w:tcW w:w="1925" w:type="dxa"/>
            <w:vMerge w:val="restart"/>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监理单位（章）：</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hint="eastAsia"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项目负责人：</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ind w:firstLine="480" w:firstLineChars="200"/>
              <w:jc w:val="left"/>
              <w:outlineLvl w:val="9"/>
              <w:rPr>
                <w:rFonts w:ascii="仿宋" w:hAnsi="仿宋" w:eastAsia="仿宋" w:cs="仿宋"/>
                <w:sz w:val="24"/>
              </w:rPr>
            </w:pPr>
            <w:r>
              <w:rPr>
                <w:rFonts w:hint="eastAsia" w:ascii="仿宋" w:hAnsi="仿宋" w:eastAsia="仿宋" w:cs="仿宋"/>
                <w:sz w:val="24"/>
              </w:rPr>
              <w:t>年  月  日</w:t>
            </w:r>
          </w:p>
        </w:tc>
        <w:tc>
          <w:tcPr>
            <w:tcW w:w="2020" w:type="dxa"/>
            <w:gridSpan w:val="2"/>
            <w:vMerge w:val="restart"/>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建设单（章）：</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hint="eastAsia"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项目负责人：</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p>
            <w:pPr>
              <w:pageBreakBefore w:val="0"/>
              <w:kinsoku/>
              <w:wordWrap/>
              <w:overflowPunct/>
              <w:topLinePunct w:val="0"/>
              <w:autoSpaceDE/>
              <w:autoSpaceDN/>
              <w:bidi w:val="0"/>
              <w:spacing w:line="380" w:lineRule="exact"/>
              <w:ind w:firstLine="480" w:firstLineChars="200"/>
              <w:jc w:val="left"/>
              <w:outlineLvl w:val="9"/>
              <w:rPr>
                <w:rFonts w:ascii="仿宋" w:hAnsi="仿宋" w:eastAsia="仿宋" w:cs="仿宋"/>
                <w:sz w:val="24"/>
              </w:rPr>
            </w:pPr>
            <w:r>
              <w:rPr>
                <w:rFonts w:hint="eastAsia" w:ascii="仿宋" w:hAnsi="仿宋" w:eastAsia="仿宋" w:cs="仿宋"/>
                <w:sz w:val="24"/>
              </w:rPr>
              <w:t>年  月  日</w:t>
            </w:r>
          </w:p>
        </w:tc>
        <w:tc>
          <w:tcPr>
            <w:tcW w:w="1260" w:type="dxa"/>
            <w:gridSpan w:val="2"/>
            <w:vAlign w:val="center"/>
          </w:tcPr>
          <w:p>
            <w:pPr>
              <w:pageBreakBefore w:val="0"/>
              <w:kinsoku/>
              <w:wordWrap/>
              <w:overflowPunct/>
              <w:topLinePunct w:val="0"/>
              <w:autoSpaceDE/>
              <w:autoSpaceDN/>
              <w:bidi w:val="0"/>
              <w:spacing w:line="380" w:lineRule="exact"/>
              <w:jc w:val="center"/>
              <w:outlineLvl w:val="9"/>
              <w:rPr>
                <w:rFonts w:ascii="仿宋" w:hAnsi="仿宋" w:eastAsia="仿宋" w:cs="仿宋"/>
                <w:sz w:val="24"/>
              </w:rPr>
            </w:pPr>
            <w:r>
              <w:rPr>
                <w:rFonts w:hint="eastAsia" w:ascii="仿宋" w:hAnsi="仿宋" w:eastAsia="仿宋" w:cs="仿宋"/>
                <w:sz w:val="24"/>
              </w:rPr>
              <w:t>单位</w:t>
            </w:r>
          </w:p>
        </w:tc>
        <w:tc>
          <w:tcPr>
            <w:tcW w:w="1425" w:type="dxa"/>
            <w:vAlign w:val="center"/>
          </w:tcPr>
          <w:p>
            <w:pPr>
              <w:pageBreakBefore w:val="0"/>
              <w:kinsoku/>
              <w:wordWrap/>
              <w:overflowPunct/>
              <w:topLinePunct w:val="0"/>
              <w:autoSpaceDE/>
              <w:autoSpaceDN/>
              <w:bidi w:val="0"/>
              <w:spacing w:line="380" w:lineRule="exact"/>
              <w:jc w:val="center"/>
              <w:outlineLvl w:val="9"/>
              <w:rPr>
                <w:rFonts w:ascii="仿宋" w:hAnsi="仿宋" w:eastAsia="仿宋" w:cs="仿宋"/>
                <w:sz w:val="24"/>
              </w:rPr>
            </w:pPr>
            <w:r>
              <w:rPr>
                <w:rFonts w:hint="eastAsia" w:ascii="仿宋" w:hAnsi="仿宋" w:eastAsia="仿宋" w:cs="仿宋"/>
                <w:sz w:val="24"/>
              </w:rPr>
              <w:t>验收人</w:t>
            </w:r>
          </w:p>
        </w:tc>
        <w:tc>
          <w:tcPr>
            <w:tcW w:w="1390" w:type="dxa"/>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部门领导（3万元以上）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2" w:hRule="atLeast"/>
        </w:trPr>
        <w:tc>
          <w:tcPr>
            <w:tcW w:w="1763" w:type="dxa"/>
            <w:gridSpan w:val="3"/>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925" w:type="dxa"/>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2020" w:type="dxa"/>
            <w:gridSpan w:val="2"/>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260" w:type="dxa"/>
            <w:gridSpan w:val="2"/>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监理</w:t>
            </w:r>
          </w:p>
        </w:tc>
        <w:tc>
          <w:tcPr>
            <w:tcW w:w="1425" w:type="dxa"/>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390" w:type="dxa"/>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1763" w:type="dxa"/>
            <w:gridSpan w:val="3"/>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925" w:type="dxa"/>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2020" w:type="dxa"/>
            <w:gridSpan w:val="2"/>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260" w:type="dxa"/>
            <w:gridSpan w:val="2"/>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后勤</w:t>
            </w:r>
          </w:p>
        </w:tc>
        <w:tc>
          <w:tcPr>
            <w:tcW w:w="1425" w:type="dxa"/>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390" w:type="dxa"/>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trPr>
        <w:tc>
          <w:tcPr>
            <w:tcW w:w="1763" w:type="dxa"/>
            <w:gridSpan w:val="3"/>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925" w:type="dxa"/>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2020" w:type="dxa"/>
            <w:gridSpan w:val="2"/>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260" w:type="dxa"/>
            <w:gridSpan w:val="2"/>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使用</w:t>
            </w:r>
          </w:p>
        </w:tc>
        <w:tc>
          <w:tcPr>
            <w:tcW w:w="1425" w:type="dxa"/>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390" w:type="dxa"/>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763" w:type="dxa"/>
            <w:gridSpan w:val="3"/>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925" w:type="dxa"/>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2020" w:type="dxa"/>
            <w:gridSpan w:val="2"/>
            <w:vMerge w:val="continue"/>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260" w:type="dxa"/>
            <w:gridSpan w:val="2"/>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内部审计</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r>
              <w:rPr>
                <w:rFonts w:hint="eastAsia" w:ascii="仿宋" w:hAnsi="仿宋" w:eastAsia="仿宋" w:cs="仿宋"/>
                <w:sz w:val="24"/>
              </w:rPr>
              <w:t>与督导室</w:t>
            </w:r>
          </w:p>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425" w:type="dxa"/>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c>
          <w:tcPr>
            <w:tcW w:w="1390" w:type="dxa"/>
          </w:tcPr>
          <w:p>
            <w:pPr>
              <w:pageBreakBefore w:val="0"/>
              <w:kinsoku/>
              <w:wordWrap/>
              <w:overflowPunct/>
              <w:topLinePunct w:val="0"/>
              <w:autoSpaceDE/>
              <w:autoSpaceDN/>
              <w:bidi w:val="0"/>
              <w:spacing w:line="380" w:lineRule="exact"/>
              <w:jc w:val="left"/>
              <w:outlineLvl w:val="9"/>
              <w:rPr>
                <w:rFonts w:ascii="仿宋" w:hAnsi="仿宋" w:eastAsia="仿宋" w:cs="仿宋"/>
                <w:sz w:val="24"/>
              </w:rPr>
            </w:pPr>
          </w:p>
        </w:tc>
      </w:tr>
    </w:tbl>
    <w:p>
      <w:pPr>
        <w:pageBreakBefore w:val="0"/>
        <w:kinsoku/>
        <w:wordWrap/>
        <w:overflowPunct/>
        <w:topLinePunct w:val="0"/>
        <w:autoSpaceDE/>
        <w:autoSpaceDN/>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476" w:name="_Toc27311"/>
      <w:bookmarkStart w:id="1477" w:name="_Toc5704_WPSOffice_Level1"/>
      <w:bookmarkStart w:id="1478" w:name="_Toc534377785"/>
      <w:bookmarkStart w:id="1479" w:name="_Toc18813"/>
      <w:r>
        <w:rPr>
          <w:rFonts w:hint="eastAsia"/>
          <w:b/>
          <w:color w:val="000000"/>
          <w:sz w:val="36"/>
          <w:szCs w:val="36"/>
        </w:rPr>
        <w:t>柳州职业技术学院门面考核管理办法</w:t>
      </w:r>
      <w:bookmarkEnd w:id="1476"/>
      <w:bookmarkEnd w:id="1477"/>
      <w:bookmarkEnd w:id="1478"/>
      <w:bookmarkEnd w:id="1479"/>
    </w:p>
    <w:p>
      <w:pPr>
        <w:pStyle w:val="10"/>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（柳职院字〔2017〕56号）</w:t>
      </w:r>
    </w:p>
    <w:p>
      <w:pPr>
        <w:pageBreakBefore w:val="0"/>
        <w:kinsoku/>
        <w:wordWrap/>
        <w:overflowPunct/>
        <w:topLinePunct w:val="0"/>
        <w:autoSpaceDE/>
        <w:autoSpaceDN/>
        <w:bidi w:val="0"/>
        <w:ind w:firstLine="480" w:firstLineChars="200"/>
        <w:outlineLvl w:val="9"/>
        <w:rPr>
          <w:rFonts w:ascii="宋体" w:hAnsi="宋体"/>
          <w:sz w:val="24"/>
        </w:rPr>
      </w:pP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为规范校园经营活动，进一步落实经营主体职责，维护校园正常秩序，保障师生工作、学习、生活不受干扰，杜绝食物中毒事故的发生、维护校园安全稳定，根据有关法律规定，结合我校实际，除双方签订《柳州职业技术学院门面安全责任书》（见附件）外，特制定以下考核标准和违约处理办法：</w:t>
      </w:r>
    </w:p>
    <w:p>
      <w:pPr>
        <w:pageBreakBefore w:val="0"/>
        <w:kinsoku/>
        <w:wordWrap/>
        <w:overflowPunct/>
        <w:topLinePunct w:val="0"/>
        <w:autoSpaceDE/>
        <w:autoSpaceDN/>
        <w:bidi w:val="0"/>
        <w:spacing w:line="590" w:lineRule="exact"/>
        <w:ind w:firstLine="643" w:firstLineChars="200"/>
        <w:outlineLvl w:val="9"/>
        <w:rPr>
          <w:rFonts w:ascii="黑体" w:eastAsia="黑体"/>
          <w:b/>
          <w:sz w:val="32"/>
          <w:szCs w:val="32"/>
        </w:rPr>
      </w:pPr>
      <w:bookmarkStart w:id="1480" w:name="_Toc6159_WPSOffice_Level1"/>
      <w:r>
        <w:rPr>
          <w:rFonts w:hint="eastAsia" w:ascii="黑体" w:eastAsia="黑体"/>
          <w:b/>
          <w:sz w:val="32"/>
          <w:szCs w:val="32"/>
        </w:rPr>
        <w:t>一、考核标准</w:t>
      </w:r>
      <w:bookmarkEnd w:id="1480"/>
    </w:p>
    <w:p>
      <w:pPr>
        <w:pageBreakBefore w:val="0"/>
        <w:kinsoku/>
        <w:wordWrap/>
        <w:overflowPunct/>
        <w:topLinePunct w:val="0"/>
        <w:autoSpaceDE/>
        <w:autoSpaceDN/>
        <w:bidi w:val="0"/>
        <w:spacing w:line="590" w:lineRule="exact"/>
        <w:ind w:firstLine="643" w:firstLineChars="200"/>
        <w:outlineLvl w:val="9"/>
        <w:rPr>
          <w:rFonts w:ascii="楷体_GB2312" w:eastAsia="楷体_GB2312"/>
          <w:b/>
          <w:sz w:val="32"/>
          <w:szCs w:val="32"/>
        </w:rPr>
      </w:pPr>
      <w:r>
        <w:rPr>
          <w:rFonts w:hint="eastAsia" w:ascii="楷体_GB2312" w:eastAsia="楷体_GB2312"/>
          <w:b/>
          <w:sz w:val="32"/>
          <w:szCs w:val="32"/>
        </w:rPr>
        <w:t>（一）所有门面（包括超市、小卖部）</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必须在符合国家法律、法规的前提下从事经营活动，证照等手续齐全。未经校方许可，不得擅自改变经营项目。遵守学校相关规定并签订《柳州职业技术学院门面安全责任书》，经营期间门面所发生的一切安全事故，均由门面经营方负责全额赔偿，并追求其法律责任。</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2．在指定的地点开展经营活动，不得擅自改变房屋结构，不得占道经营（含宣传）、乱搭乱摆扩大经营面积和宣传面积，不得转租。</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3．在规定的时间内营业，不干扰学校正常的作息秩序。不得因经营性噪音妨碍师生的学习、工作和休息。门面的送货车辆服从学校管理，遵守校园交通安全规定，按规定时间、规定路线进出校园。</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认真执行门前三包制度，保持周围洁净，不乱倒垃圾、污水。自觉在每年7月20日前缴纳一年的垃圾清运费（每月7.5元/平方米）和水电费。门面经营方按照学校要求安装智能水表、智能电表，水费单价以当地水务部门核定的价格为标准；电费单价遵照学校门面电费单价标准，每月1元/度，每年3月3日和9月30日结算半年水电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5．做好防盗、防火、防毒、用电安全，不违章用电、用火、用气，不准私拉乱接电源，禁止在门面内煮饭、住宿等。</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6．不得销售非法出版的刊物书籍，严禁提供反动、色情、赌博等违法经营项目，不为违法活动提供便利条件。</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7．严禁出售或放置管制刀具和易燃易爆、剧毒、麻醉、腐蚀性危险化学品、放射性物品和加热棒（热得快）、电炉等学校禁售物品；严禁向学生出售香烟、酒等有碍学生身心健康的商品；不得超范围经营其他商品；不得以诱导方式吸引学生购买商品，不得强求学生购买商品。</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8．提供优质服务、礼貌待人，禁止在门面内与师生产生激烈语言碰撞，严禁在门店内大声喧哗、争执或嬉笑追逐，禁止在校园内发生猜码、喝酒等、辱骂他人等一切不文明行为。</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9．服从学校监督和管理，学校后勤与资产管理处食宿管理科负有日常监管职责，实施日常检查、监督整改及违约处理等职能。</w:t>
      </w:r>
    </w:p>
    <w:p>
      <w:pPr>
        <w:pageBreakBefore w:val="0"/>
        <w:kinsoku/>
        <w:wordWrap/>
        <w:overflowPunct/>
        <w:topLinePunct w:val="0"/>
        <w:autoSpaceDE/>
        <w:autoSpaceDN/>
        <w:bidi w:val="0"/>
        <w:spacing w:line="590" w:lineRule="exact"/>
        <w:ind w:firstLine="643" w:firstLineChars="200"/>
        <w:outlineLvl w:val="9"/>
        <w:rPr>
          <w:rFonts w:ascii="楷体_GB2312" w:eastAsia="楷体_GB2312"/>
          <w:b/>
          <w:sz w:val="32"/>
          <w:szCs w:val="32"/>
        </w:rPr>
      </w:pPr>
      <w:r>
        <w:rPr>
          <w:rFonts w:hint="eastAsia" w:ascii="楷体_GB2312" w:eastAsia="楷体_GB2312"/>
          <w:b/>
          <w:sz w:val="32"/>
          <w:szCs w:val="32"/>
        </w:rPr>
        <w:t>（二）校园超市、小卖部</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校园超市、小卖部除同样遵守上述门面规定外，还必须根据规定到当地有关部门办理相应的审批手续，取得营业执照，其中从事食品销售的，还需办理食品流通许可证、从业人员健康证等相应的证照，合法经营。</w:t>
      </w:r>
      <w:r>
        <w:rPr>
          <w:rFonts w:ascii="仿宋_GB2312" w:eastAsia="仿宋_GB2312"/>
          <w:sz w:val="32"/>
          <w:szCs w:val="32"/>
        </w:rPr>
        <w:t xml:space="preserve"> </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2．校园超市、小卖部从业人员必须持有效的健康证上岗，着装整洁，服务态度端正，服从学校的管理。</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实行定点采购，在食品采购过程中必须向供货单位索取生产许可证（食品流通许可证）、质量检验报告和正规票据（批发单位的“一票通”），食品、饮料应符合食品安全标准。要建立进货台帐，如实记录食品的名称、规格、数量、生产批号、保质期、供货者（购货者）名称及联系方式和进货（销售）日期等内容，或者保留载有相关信息的进货（销售）票据（一票通票据）。记录台帐、票据的保存期限不得少于二年。</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校园超市、小卖部中的食品和非食品要分类、分架、离墙、离地存放，定期检查，及时处理变质或过期的食品，并做好待销食品检查记录，销毁记录。不得销售《食品安全法》、自治区相关规定严禁销售的食品，尤其禁止销售以下食品：</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w:instrText>
      </w:r>
      <w:r>
        <w:rPr>
          <w:rFonts w:hint="eastAsia" w:ascii="仿宋_GB2312" w:eastAsia="仿宋_GB2312"/>
          <w:sz w:val="32"/>
          <w:szCs w:val="32"/>
        </w:rPr>
        <w:instrText xml:space="preserve">= 1 \* GB2</w:instrText>
      </w:r>
      <w:r>
        <w:rPr>
          <w:rFonts w:ascii="仿宋_GB2312" w:eastAsia="仿宋_GB2312"/>
          <w:sz w:val="32"/>
          <w:szCs w:val="32"/>
        </w:rPr>
        <w:instrText xml:space="preserve"> </w:instrText>
      </w:r>
      <w:r>
        <w:rPr>
          <w:rFonts w:ascii="仿宋_GB2312" w:eastAsia="仿宋_GB2312"/>
          <w:sz w:val="32"/>
          <w:szCs w:val="32"/>
        </w:rPr>
        <w:fldChar w:fldCharType="separate"/>
      </w:r>
      <w:r>
        <w:rPr>
          <w:rFonts w:hint="eastAsia" w:ascii="仿宋_GB2312" w:eastAsia="仿宋_GB2312"/>
          <w:sz w:val="32"/>
          <w:szCs w:val="32"/>
        </w:rPr>
        <w:t>⑴</w:t>
      </w:r>
      <w:r>
        <w:rPr>
          <w:rFonts w:ascii="仿宋_GB2312" w:eastAsia="仿宋_GB2312"/>
          <w:sz w:val="32"/>
          <w:szCs w:val="32"/>
        </w:rPr>
        <w:fldChar w:fldCharType="end"/>
      </w:r>
      <w:r>
        <w:rPr>
          <w:rFonts w:hint="eastAsia" w:ascii="仿宋_GB2312" w:eastAsia="仿宋_GB2312"/>
          <w:sz w:val="32"/>
          <w:szCs w:val="32"/>
        </w:rPr>
        <w:t xml:space="preserve"> 超保质期的食品和饮料。</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w:instrText>
      </w:r>
      <w:r>
        <w:rPr>
          <w:rFonts w:hint="eastAsia" w:ascii="仿宋_GB2312" w:eastAsia="仿宋_GB2312"/>
          <w:sz w:val="32"/>
          <w:szCs w:val="32"/>
        </w:rPr>
        <w:instrText xml:space="preserve">= 2 \* GB2</w:instrText>
      </w:r>
      <w:r>
        <w:rPr>
          <w:rFonts w:ascii="仿宋_GB2312" w:eastAsia="仿宋_GB2312"/>
          <w:sz w:val="32"/>
          <w:szCs w:val="32"/>
        </w:rPr>
        <w:instrText xml:space="preserve"> </w:instrText>
      </w:r>
      <w:r>
        <w:rPr>
          <w:rFonts w:ascii="仿宋_GB2312" w:eastAsia="仿宋_GB2312"/>
          <w:sz w:val="32"/>
          <w:szCs w:val="32"/>
        </w:rPr>
        <w:fldChar w:fldCharType="separate"/>
      </w:r>
      <w:r>
        <w:rPr>
          <w:rFonts w:hint="eastAsia" w:ascii="仿宋_GB2312" w:eastAsia="仿宋_GB2312"/>
          <w:sz w:val="32"/>
          <w:szCs w:val="32"/>
        </w:rPr>
        <w:t>⑵</w:t>
      </w:r>
      <w:r>
        <w:rPr>
          <w:rFonts w:ascii="仿宋_GB2312" w:eastAsia="仿宋_GB2312"/>
          <w:sz w:val="32"/>
          <w:szCs w:val="32"/>
        </w:rPr>
        <w:fldChar w:fldCharType="end"/>
      </w:r>
      <w:r>
        <w:rPr>
          <w:rFonts w:hint="eastAsia" w:ascii="仿宋_GB2312" w:eastAsia="仿宋_GB2312"/>
          <w:sz w:val="32"/>
          <w:szCs w:val="32"/>
        </w:rPr>
        <w:t xml:space="preserve"> 无生产日期、无厂名厂址、无保质期的“三无食品”。</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w:instrText>
      </w:r>
      <w:r>
        <w:rPr>
          <w:rFonts w:hint="eastAsia" w:ascii="仿宋_GB2312" w:eastAsia="仿宋_GB2312"/>
          <w:sz w:val="32"/>
          <w:szCs w:val="32"/>
        </w:rPr>
        <w:instrText xml:space="preserve">= 3 \* GB2</w:instrText>
      </w:r>
      <w:r>
        <w:rPr>
          <w:rFonts w:ascii="仿宋_GB2312" w:eastAsia="仿宋_GB2312"/>
          <w:sz w:val="32"/>
          <w:szCs w:val="32"/>
        </w:rPr>
        <w:instrText xml:space="preserve"> </w:instrText>
      </w:r>
      <w:r>
        <w:rPr>
          <w:rFonts w:ascii="仿宋_GB2312" w:eastAsia="仿宋_GB2312"/>
          <w:sz w:val="32"/>
          <w:szCs w:val="32"/>
        </w:rPr>
        <w:fldChar w:fldCharType="separate"/>
      </w:r>
      <w:r>
        <w:rPr>
          <w:rFonts w:hint="eastAsia" w:ascii="仿宋_GB2312" w:eastAsia="仿宋_GB2312"/>
          <w:sz w:val="32"/>
          <w:szCs w:val="32"/>
        </w:rPr>
        <w:t>⑶</w:t>
      </w:r>
      <w:r>
        <w:rPr>
          <w:rFonts w:ascii="仿宋_GB2312" w:eastAsia="仿宋_GB2312"/>
          <w:sz w:val="32"/>
          <w:szCs w:val="32"/>
        </w:rPr>
        <w:fldChar w:fldCharType="end"/>
      </w:r>
      <w:r>
        <w:rPr>
          <w:rFonts w:hint="eastAsia" w:ascii="仿宋_GB2312" w:eastAsia="仿宋_GB2312"/>
          <w:sz w:val="32"/>
          <w:szCs w:val="32"/>
        </w:rPr>
        <w:t xml:space="preserve"> 无“QS”标识的各类食品。</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w:instrText>
      </w:r>
      <w:r>
        <w:rPr>
          <w:rFonts w:hint="eastAsia" w:ascii="仿宋_GB2312" w:eastAsia="仿宋_GB2312"/>
          <w:sz w:val="32"/>
          <w:szCs w:val="32"/>
        </w:rPr>
        <w:instrText xml:space="preserve">= 4 \* GB2</w:instrText>
      </w:r>
      <w:r>
        <w:rPr>
          <w:rFonts w:ascii="仿宋_GB2312" w:eastAsia="仿宋_GB2312"/>
          <w:sz w:val="32"/>
          <w:szCs w:val="32"/>
        </w:rPr>
        <w:instrText xml:space="preserve"> </w:instrText>
      </w:r>
      <w:r>
        <w:rPr>
          <w:rFonts w:ascii="仿宋_GB2312" w:eastAsia="仿宋_GB2312"/>
          <w:sz w:val="32"/>
          <w:szCs w:val="32"/>
        </w:rPr>
        <w:fldChar w:fldCharType="separate"/>
      </w:r>
      <w:r>
        <w:rPr>
          <w:rFonts w:hint="eastAsia" w:ascii="仿宋_GB2312" w:eastAsia="仿宋_GB2312"/>
          <w:sz w:val="32"/>
          <w:szCs w:val="32"/>
        </w:rPr>
        <w:t>⑷</w:t>
      </w:r>
      <w:r>
        <w:rPr>
          <w:rFonts w:ascii="仿宋_GB2312" w:eastAsia="仿宋_GB2312"/>
          <w:sz w:val="32"/>
          <w:szCs w:val="32"/>
        </w:rPr>
        <w:fldChar w:fldCharType="end"/>
      </w:r>
      <w:r>
        <w:rPr>
          <w:rFonts w:hint="eastAsia" w:ascii="仿宋_GB2312" w:eastAsia="仿宋_GB2312"/>
          <w:sz w:val="32"/>
          <w:szCs w:val="32"/>
        </w:rPr>
        <w:t xml:space="preserve"> 无证无照食品加工场生产的散装食品。</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校园超市、小卖部实行明码标价。校园超市、小卖部内所有商品必须实行明码标价，其平均价格水平不得高于同类商品在本市各大型商场、超市的价格水平；官塘校区超市、小卖部所售商品价格不得高于联华、步步高、南城百货、大润发等大型超市在市内销售同样商品最低价格的90%（搞促销打黄牌的除外）。</w:t>
      </w:r>
    </w:p>
    <w:p>
      <w:pPr>
        <w:pageBreakBefore w:val="0"/>
        <w:kinsoku/>
        <w:wordWrap/>
        <w:overflowPunct/>
        <w:topLinePunct w:val="0"/>
        <w:autoSpaceDE/>
        <w:autoSpaceDN/>
        <w:bidi w:val="0"/>
        <w:spacing w:line="590" w:lineRule="exact"/>
        <w:ind w:firstLine="643" w:firstLineChars="200"/>
        <w:outlineLvl w:val="9"/>
        <w:rPr>
          <w:rFonts w:ascii="黑体" w:eastAsia="黑体"/>
          <w:b/>
          <w:sz w:val="32"/>
          <w:szCs w:val="32"/>
        </w:rPr>
      </w:pPr>
      <w:bookmarkStart w:id="1481" w:name="_Toc20706_WPSOffice_Level1"/>
      <w:r>
        <w:rPr>
          <w:rFonts w:hint="eastAsia" w:ascii="黑体" w:eastAsia="黑体"/>
          <w:b/>
          <w:sz w:val="32"/>
          <w:szCs w:val="32"/>
        </w:rPr>
        <w:t>二、违约处理办法（含退出机制）</w:t>
      </w:r>
      <w:bookmarkEnd w:id="1481"/>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门面经营方一旦违反本办法相关条例，学校将以门面经营方缴纳履约保证金的10%-100%作为违约金。</w:t>
      </w:r>
    </w:p>
    <w:p>
      <w:pPr>
        <w:pageBreakBefore w:val="0"/>
        <w:kinsoku/>
        <w:wordWrap/>
        <w:overflowPunct/>
        <w:topLinePunct w:val="0"/>
        <w:autoSpaceDE/>
        <w:autoSpaceDN/>
        <w:bidi w:val="0"/>
        <w:spacing w:line="590" w:lineRule="exact"/>
        <w:ind w:firstLine="643" w:firstLineChars="200"/>
        <w:outlineLvl w:val="9"/>
        <w:rPr>
          <w:rFonts w:ascii="楷体_GB2312" w:eastAsia="楷体_GB2312"/>
          <w:b/>
          <w:sz w:val="32"/>
          <w:szCs w:val="32"/>
        </w:rPr>
      </w:pPr>
      <w:r>
        <w:rPr>
          <w:rFonts w:hint="eastAsia" w:ascii="楷体_GB2312" w:eastAsia="楷体_GB2312"/>
          <w:b/>
          <w:sz w:val="32"/>
          <w:szCs w:val="32"/>
        </w:rPr>
        <w:t>（一）所有门面（包含校园超市、小卖部）</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 未办理相关证照或证照过期未及时办理的，下达整改通知限期整改，整改期间停业整顿。</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占道经营（含宣传）、乱搭乱摆扩大经营面积或宣传面积等不在指定地点开展经营活动的，每次向校方支付200元违约金（按日期计算、以照片为依据）。发现转租的，警告两次、下发整改通知书，两次不改，取消经营资格，责令规定期限退场。</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3．扰乱师生教学、生活秩序，打扰学生休息，或门面送货车辆不服从学校管理、乱停乱放、随意鸣喇叭，接到师生投诉、证据确凿的，每次向校方支付100元违约金。</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未执行门前三包制度，门面周围脏乱的，或门面内被师生发现四害、白蚁等有害动物的，每发现一次向校方支付200元违约金（按日期计算、以照片为依据）。未按安装智能水表、智能电表的，除重新购买安装外，按当月水电费1%的标准，向校方支付违约金。水电费、垃圾清运费未按时缴纳的，按照应缴纳数额的1%的标准，向校方支付违约金。</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5．违章用电、用火、用气，或私拉乱接电源，或在门面内煮饭、住宿的，每次向校方支付200元违约金。</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6. 官塘校区门面（除食堂楼梯口小卖部外）实行学生满意度一票否决制。学校不定期组织学生对承租人商品质量、服务质量、卫生情况、服务价格等进行满意度调查。当调查满意度达不到60%时，承租人必须立刻整改。再次调查满意度仍然达不到60%时，对承租人进行严重警告。如果下次调查满意度仍然达不到60%的，学校可以撤销承租人的经营管理权，终止合同，所造成的损失由门面经营方自行承担。学校可视情况部分或者全部扣除中标人的履约保证金。</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7．发生第一（一）大点6、7、8条任何禁止行为或不服从学校后勤与资产管理处管理的，除向学校支付5000元违约金外，仅允许一次停业整顿整改机会；同一学期或六个月内发生两次第一（一）大点6、7、8条任何禁止行为的或同一学期或六个月内被学校后勤与资产管理处下发两次停业整顿整改处罚通知单的，解除双方合同，由后勤与资产管理处代表校方收回门面经营权，没收全部履约保证金。</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8.退出机制：出现以下情况之一，校方将单方终止合同，收回经营权，履约保证金不予返还，所造成的所有损失由经营方全责承担。</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（1）经营方违反相关食品安全法规及学校规定销售明令禁止销售的食品。</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（2）在校方组织的检查中，一个学期内或六个月内被处以两次停业整顿或一个月支付的违约金达到1000元或合同期内履约保证金作为违约金支付完毕。</w:t>
      </w:r>
    </w:p>
    <w:p>
      <w:pPr>
        <w:pageBreakBefore w:val="0"/>
        <w:kinsoku/>
        <w:wordWrap/>
        <w:overflowPunct/>
        <w:topLinePunct w:val="0"/>
        <w:autoSpaceDE/>
        <w:autoSpaceDN/>
        <w:bidi w:val="0"/>
        <w:spacing w:line="590" w:lineRule="exact"/>
        <w:ind w:firstLine="643" w:firstLineChars="200"/>
        <w:outlineLvl w:val="9"/>
        <w:rPr>
          <w:rFonts w:ascii="楷体_GB2312" w:eastAsia="楷体_GB2312"/>
          <w:b/>
          <w:sz w:val="32"/>
          <w:szCs w:val="32"/>
        </w:rPr>
      </w:pPr>
      <w:r>
        <w:rPr>
          <w:rFonts w:hint="eastAsia" w:ascii="楷体_GB2312" w:eastAsia="楷体_GB2312"/>
          <w:b/>
          <w:sz w:val="32"/>
          <w:szCs w:val="32"/>
        </w:rPr>
        <w:t>（二）校园超市、小卖部</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 销售本管理办法第一（二）大点第4条规定的四类严禁销售食品，或违反学校规定出售烟酒有碍学生身心健康的商品，除当场支付1000元违约金外，责令整改。如一学期内因类似问题被责令整改两次者，终止合作合同，履约保证金不予返还，所造成的所有损失（包括食用者因身体不适就医产生的所有费用）由门面经营方全责承担。</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2.商品超过保质期后仍上架在售的，经营方应向校方支付每次每种商品200元人民币的违约金。</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3.经营方采购索证档案、采购验收台帐、过期商品处理销毁记录等不落实的，责令停业整顿，期限3天。记录不全的给予警告，责令改正，连续三次检查发现同类问题的，按不落实规定，执行停业整顿。</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 xml:space="preserve"> </w:t>
      </w:r>
      <w:r>
        <w:rPr>
          <w:rFonts w:hint="eastAsia" w:ascii="仿宋_GB2312" w:eastAsia="仿宋_GB2312"/>
          <w:sz w:val="32"/>
          <w:szCs w:val="32"/>
        </w:rPr>
        <w:t>不按照本管理办法第一（二）大点第5条规定，高价销售或随意变更商品售价的，责令改正，经营方应向校方支付每次每种商品200元人民币的违约金。同一时段</w:t>
      </w:r>
      <w:bookmarkStart w:id="1482" w:name="_Toc21423_WPSOffice_Level1"/>
      <w:r>
        <w:rPr>
          <w:rFonts w:hint="eastAsia" w:ascii="仿宋_GB2312" w:eastAsia="仿宋_GB2312"/>
          <w:sz w:val="32"/>
          <w:szCs w:val="32"/>
        </w:rPr>
        <w:t>（指一个学期）内出现两次以上的，每次每种商品处</w:t>
      </w:r>
      <w:bookmarkEnd w:id="1482"/>
      <w:r>
        <w:rPr>
          <w:rFonts w:hint="eastAsia" w:ascii="仿宋_GB2312" w:eastAsia="仿宋_GB2312"/>
          <w:sz w:val="32"/>
          <w:szCs w:val="32"/>
        </w:rPr>
        <w:t>400元人民币的违约金</w:t>
      </w:r>
      <w:bookmarkStart w:id="1483" w:name="_Toc13302_WPSOffice_Level1"/>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 商品未分类、分架、离地、离墙</w:t>
      </w:r>
      <w:bookmarkEnd w:id="1483"/>
      <w:r>
        <w:rPr>
          <w:rFonts w:hint="eastAsia" w:ascii="仿宋_GB2312" w:eastAsia="仿宋_GB2312"/>
          <w:sz w:val="32"/>
          <w:szCs w:val="32"/>
        </w:rPr>
        <w:t>摆放，</w:t>
      </w:r>
      <w:bookmarkStart w:id="1484" w:name="_Toc9484_WPSOffice_Level1"/>
      <w:r>
        <w:rPr>
          <w:rFonts w:hint="eastAsia" w:ascii="仿宋_GB2312" w:eastAsia="仿宋_GB2312"/>
          <w:sz w:val="32"/>
          <w:szCs w:val="32"/>
        </w:rPr>
        <w:t>或卫生不</w:t>
      </w:r>
      <w:bookmarkEnd w:id="1484"/>
      <w:r>
        <w:rPr>
          <w:rFonts w:hint="eastAsia" w:ascii="仿宋_GB2312" w:eastAsia="仿宋_GB2312"/>
          <w:sz w:val="32"/>
          <w:szCs w:val="32"/>
        </w:rPr>
        <w:t>达</w:t>
      </w:r>
      <w:bookmarkStart w:id="1485" w:name="_Toc2687_WPSOffice_Level1"/>
      <w:r>
        <w:rPr>
          <w:rFonts w:hint="eastAsia" w:ascii="仿宋_GB2312" w:eastAsia="仿宋_GB2312"/>
          <w:sz w:val="32"/>
          <w:szCs w:val="32"/>
        </w:rPr>
        <w:t>标， “门前三包”不落实等情况，经通</w:t>
      </w:r>
      <w:bookmarkEnd w:id="1485"/>
      <w:r>
        <w:rPr>
          <w:rFonts w:hint="eastAsia" w:ascii="仿宋_GB2312" w:eastAsia="仿宋_GB2312"/>
          <w:sz w:val="32"/>
          <w:szCs w:val="32"/>
        </w:rPr>
        <w:t>报两次以上拒不改正的，经营方应向校方支付每项200元人民币的违约金。</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以上门面考核管理办法，可参照条例累计支付违约金，上不封顶。</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附件：《</w:t>
      </w:r>
      <w:r>
        <w:rPr>
          <w:rFonts w:ascii="仿宋_GB2312" w:eastAsia="仿宋_GB2312"/>
          <w:sz w:val="32"/>
          <w:szCs w:val="32"/>
        </w:rPr>
        <w:t>柳州职业技术学院门面安全责任书</w:t>
      </w:r>
      <w:r>
        <w:rPr>
          <w:rFonts w:hint="eastAsia" w:ascii="仿宋_GB2312" w:eastAsia="仿宋_GB2312"/>
          <w:sz w:val="32"/>
          <w:szCs w:val="32"/>
        </w:rPr>
        <w:t>》</w:t>
      </w:r>
    </w:p>
    <w:p>
      <w:pPr>
        <w:pageBreakBefore w:val="0"/>
        <w:kinsoku/>
        <w:wordWrap/>
        <w:overflowPunct/>
        <w:topLinePunct w:val="0"/>
        <w:autoSpaceDE/>
        <w:autoSpaceDN/>
        <w:bidi w:val="0"/>
        <w:spacing w:line="590" w:lineRule="exact"/>
        <w:ind w:firstLine="480" w:firstLineChars="200"/>
        <w:outlineLvl w:val="9"/>
        <w:rPr>
          <w:sz w:val="24"/>
        </w:rPr>
      </w:pPr>
      <w:r>
        <w:rPr>
          <w:rFonts w:hint="eastAsia"/>
          <w:sz w:val="24"/>
        </w:rPr>
        <w:t xml:space="preserve">                 </w:t>
      </w:r>
    </w:p>
    <w:p>
      <w:pPr>
        <w:pageBreakBefore w:val="0"/>
        <w:kinsoku/>
        <w:wordWrap/>
        <w:overflowPunct/>
        <w:topLinePunct w:val="0"/>
        <w:autoSpaceDE/>
        <w:autoSpaceDN/>
        <w:bidi w:val="0"/>
        <w:spacing w:line="590" w:lineRule="exact"/>
        <w:jc w:val="center"/>
        <w:outlineLvl w:val="9"/>
        <w:rPr>
          <w:b/>
          <w:bCs/>
          <w:sz w:val="36"/>
          <w:szCs w:val="36"/>
        </w:rPr>
      </w:pPr>
      <w:r>
        <w:rPr>
          <w:sz w:val="24"/>
        </w:rPr>
        <w:br w:type="page"/>
      </w:r>
      <w:bookmarkStart w:id="1486" w:name="_Toc11047_WPSOffice_Level1"/>
      <w:r>
        <w:rPr>
          <w:b/>
          <w:bCs/>
          <w:sz w:val="36"/>
          <w:szCs w:val="36"/>
        </w:rPr>
        <w:t>柳州职业技术学院门面安全责任书</w:t>
      </w:r>
      <w:bookmarkEnd w:id="1486"/>
    </w:p>
    <w:p>
      <w:pPr>
        <w:pageBreakBefore w:val="0"/>
        <w:kinsoku/>
        <w:wordWrap/>
        <w:overflowPunct/>
        <w:topLinePunct w:val="0"/>
        <w:autoSpaceDE/>
        <w:autoSpaceDN/>
        <w:bidi w:val="0"/>
        <w:outlineLvl w:val="9"/>
        <w:rPr>
          <w:sz w:val="24"/>
        </w:rPr>
      </w:pPr>
    </w:p>
    <w:p>
      <w:pPr>
        <w:pageBreakBefore w:val="0"/>
        <w:kinsoku/>
        <w:wordWrap/>
        <w:overflowPunct/>
        <w:topLinePunct w:val="0"/>
        <w:autoSpaceDE/>
        <w:autoSpaceDN/>
        <w:bidi w:val="0"/>
        <w:spacing w:line="540" w:lineRule="exact"/>
        <w:outlineLvl w:val="9"/>
        <w:rPr>
          <w:rFonts w:ascii="仿宋_GB2312" w:eastAsia="仿宋_GB2312"/>
          <w:sz w:val="32"/>
          <w:szCs w:val="32"/>
        </w:rPr>
      </w:pPr>
      <w:r>
        <w:rPr>
          <w:rFonts w:ascii="仿宋_GB2312" w:eastAsia="仿宋_GB2312"/>
          <w:sz w:val="32"/>
          <w:szCs w:val="32"/>
        </w:rPr>
        <w:t>甲方：柳州职业技术学院</w:t>
      </w:r>
    </w:p>
    <w:p>
      <w:pPr>
        <w:pageBreakBefore w:val="0"/>
        <w:kinsoku/>
        <w:wordWrap/>
        <w:overflowPunct/>
        <w:topLinePunct w:val="0"/>
        <w:autoSpaceDE/>
        <w:autoSpaceDN/>
        <w:bidi w:val="0"/>
        <w:spacing w:line="540" w:lineRule="exact"/>
        <w:outlineLvl w:val="9"/>
        <w:rPr>
          <w:rFonts w:ascii="仿宋_GB2312" w:eastAsia="仿宋_GB2312"/>
          <w:sz w:val="32"/>
          <w:szCs w:val="32"/>
        </w:rPr>
      </w:pPr>
      <w:r>
        <w:rPr>
          <w:rFonts w:ascii="仿宋_GB2312" w:eastAsia="仿宋_GB2312"/>
          <w:sz w:val="32"/>
          <w:szCs w:val="32"/>
        </w:rPr>
        <w:t>乙方：</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为做好各项安全工作，杜绝各类事故、保障师生的生命财产安全，按照国家颁布的《中华人民共和国安全生产法》，本着“谁主管，谁负责”的原则，特制定本《门面安全责任书》。</w:t>
      </w:r>
    </w:p>
    <w:p>
      <w:pPr>
        <w:pageBreakBefore w:val="0"/>
        <w:kinsoku/>
        <w:wordWrap/>
        <w:overflowPunct/>
        <w:topLinePunct w:val="0"/>
        <w:autoSpaceDE/>
        <w:autoSpaceDN/>
        <w:bidi w:val="0"/>
        <w:spacing w:line="540" w:lineRule="exact"/>
        <w:ind w:firstLine="643" w:firstLineChars="200"/>
        <w:outlineLvl w:val="9"/>
        <w:rPr>
          <w:rFonts w:ascii="仿宋_GB2312" w:eastAsia="仿宋_GB2312"/>
          <w:sz w:val="32"/>
          <w:szCs w:val="32"/>
        </w:rPr>
      </w:pPr>
      <w:r>
        <w:rPr>
          <w:rFonts w:hint="eastAsia" w:ascii="仿宋_GB2312" w:eastAsia="仿宋_GB2312"/>
          <w:b/>
          <w:sz w:val="32"/>
          <w:szCs w:val="32"/>
        </w:rPr>
        <w:t>一、</w:t>
      </w:r>
      <w:r>
        <w:rPr>
          <w:rFonts w:ascii="仿宋_GB2312" w:eastAsia="仿宋_GB2312"/>
          <w:sz w:val="32"/>
          <w:szCs w:val="32"/>
        </w:rPr>
        <w:t>各门面负责人（乙方）为门面安全工作的第一责任人，全面负责所管门面的安全工作；必须做好门面职工的安全教育工作，提高全体职工的安全防范意识。</w:t>
      </w:r>
    </w:p>
    <w:p>
      <w:pPr>
        <w:pageBreakBefore w:val="0"/>
        <w:kinsoku/>
        <w:wordWrap/>
        <w:overflowPunct/>
        <w:topLinePunct w:val="0"/>
        <w:autoSpaceDE/>
        <w:autoSpaceDN/>
        <w:bidi w:val="0"/>
        <w:spacing w:line="540" w:lineRule="exact"/>
        <w:ind w:firstLine="643" w:firstLineChars="200"/>
        <w:outlineLvl w:val="9"/>
        <w:rPr>
          <w:rFonts w:ascii="仿宋_GB2312" w:eastAsia="仿宋_GB2312"/>
          <w:sz w:val="32"/>
          <w:szCs w:val="32"/>
        </w:rPr>
      </w:pPr>
      <w:r>
        <w:rPr>
          <w:rFonts w:hint="eastAsia" w:ascii="仿宋_GB2312" w:eastAsia="仿宋_GB2312"/>
          <w:b/>
          <w:sz w:val="32"/>
          <w:szCs w:val="32"/>
        </w:rPr>
        <w:t>二、</w:t>
      </w:r>
      <w:r>
        <w:rPr>
          <w:rFonts w:ascii="仿宋_GB2312" w:eastAsia="仿宋_GB2312"/>
          <w:sz w:val="32"/>
          <w:szCs w:val="32"/>
        </w:rPr>
        <w:t>安全工作范围</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 食品卫生安全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2. 劳动生产安全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3. 员工的人身安全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4. 治安、防火安全</w:t>
      </w:r>
    </w:p>
    <w:p>
      <w:pPr>
        <w:pageBreakBefore w:val="0"/>
        <w:kinsoku/>
        <w:wordWrap/>
        <w:overflowPunct/>
        <w:topLinePunct w:val="0"/>
        <w:autoSpaceDE/>
        <w:autoSpaceDN/>
        <w:bidi w:val="0"/>
        <w:spacing w:line="540" w:lineRule="exact"/>
        <w:ind w:firstLine="643" w:firstLineChars="200"/>
        <w:outlineLvl w:val="9"/>
        <w:rPr>
          <w:rFonts w:ascii="仿宋_GB2312" w:eastAsia="仿宋_GB2312"/>
          <w:sz w:val="32"/>
          <w:szCs w:val="32"/>
        </w:rPr>
      </w:pPr>
      <w:r>
        <w:rPr>
          <w:rFonts w:ascii="仿宋_GB2312" w:eastAsia="仿宋_GB2312"/>
          <w:b/>
          <w:sz w:val="32"/>
          <w:szCs w:val="32"/>
        </w:rPr>
        <w:t>三、</w:t>
      </w:r>
      <w:r>
        <w:rPr>
          <w:rFonts w:ascii="仿宋_GB2312" w:eastAsia="仿宋_GB2312"/>
          <w:sz w:val="32"/>
          <w:szCs w:val="32"/>
        </w:rPr>
        <w:t>食品安全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 门面在符合国家法律、法规的前提下从事经营活动，证照等手续齐全。从事食品销售的门面（校园超市、小卖部）还必须根据规定到当地有关部门办理相应的审批手续，取得营业执照、食品流通许可证、从业人员健康证等相应的证照，合法经营。经营者身体健康、思想进步，遵纪守法，严禁聘用心理不健康、有精神病史、没有服务意识或有其他不安全倾向的人员从事门面经营。</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2．门面内卫生合格，符合有关食品卫生安全要求。加强门面环境卫生的整治，严把食品卫生关，加强不洁食品的控制。</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3．严把进货关、验收关、贮存关、销售关。保证门面所售商品无“三无”产品、无过期变质食品。</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4．坚持食品原料索证制原则。供货商必须有合法证件，必须有《卫生许可证》，门面经营者必须持有全部供货商的相关合格档案资料。</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5．严禁不洁食品</w:t>
      </w:r>
      <w:r>
        <w:rPr>
          <w:rFonts w:hint="eastAsia" w:ascii="仿宋_GB2312" w:eastAsia="仿宋_GB2312"/>
          <w:sz w:val="32"/>
          <w:szCs w:val="32"/>
        </w:rPr>
        <w:t>、过期食品、“三无”产品</w:t>
      </w:r>
      <w:r>
        <w:rPr>
          <w:rFonts w:ascii="仿宋_GB2312" w:eastAsia="仿宋_GB2312"/>
          <w:sz w:val="32"/>
          <w:szCs w:val="32"/>
        </w:rPr>
        <w:t>流入门面销售。</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6．建立食品储藏管理制度。不定期检查售剩食品，及时销毁不洁或腐烂变质、包装漏气、过有效期的食品，必须建立食品销毁记录。</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7．不得经营烟酒或对学生有危害性的玩</w:t>
      </w:r>
      <w:bookmarkStart w:id="1487" w:name="_Toc9396_WPSOffice_Level1"/>
      <w:r>
        <w:rPr>
          <w:rFonts w:ascii="仿宋_GB2312" w:eastAsia="仿宋_GB2312"/>
          <w:sz w:val="32"/>
          <w:szCs w:val="32"/>
        </w:rPr>
        <w:t>具，譬如</w:t>
      </w:r>
      <w:bookmarkEnd w:id="1487"/>
      <w:r>
        <w:rPr>
          <w:rFonts w:ascii="仿宋_GB2312" w:eastAsia="仿宋_GB2312"/>
          <w:sz w:val="32"/>
          <w:szCs w:val="32"/>
        </w:rPr>
        <w:t>枪</w:t>
      </w:r>
      <w:bookmarkStart w:id="1488" w:name="_Toc22614_WPSOffice_Level1"/>
      <w:r>
        <w:rPr>
          <w:rFonts w:ascii="仿宋_GB2312" w:eastAsia="仿宋_GB2312"/>
          <w:sz w:val="32"/>
          <w:szCs w:val="32"/>
        </w:rPr>
        <w:t>械、刀具等，更不许带有博彩性质的</w:t>
      </w:r>
      <w:bookmarkEnd w:id="1488"/>
      <w:r>
        <w:rPr>
          <w:rFonts w:ascii="仿宋_GB2312" w:eastAsia="仿宋_GB2312"/>
          <w:sz w:val="32"/>
          <w:szCs w:val="32"/>
        </w:rPr>
        <w:t>经营。</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8．做好店内食品与其他物品的隔离存放工作，严禁食品与其他物品混放。</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9．严禁非工作人员进入柜台内部和贮藏区，严防犯罪分子投毒等破坏性行为的发生。</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10．</w:t>
      </w:r>
      <w:r>
        <w:rPr>
          <w:rFonts w:hint="eastAsia" w:ascii="仿宋_GB2312" w:eastAsia="仿宋_GB2312"/>
          <w:sz w:val="32"/>
          <w:szCs w:val="32"/>
        </w:rPr>
        <w:t>做好门面内四害、白蚁等有害动物消杀工作。</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sz w:val="32"/>
          <w:szCs w:val="32"/>
        </w:rPr>
        <w:t>11</w:t>
      </w:r>
      <w:r>
        <w:rPr>
          <w:rFonts w:ascii="仿宋_GB2312" w:eastAsia="仿宋_GB2312"/>
          <w:sz w:val="32"/>
          <w:szCs w:val="32"/>
        </w:rPr>
        <w:t>．门面负责人是门面的安全责任人，必须保证门面食品及其他物品合法地购入销售。如有造成学校师生中毒事件发生、导致师生人身健康损害，必须承担全部法律与经济赔偿责任。</w:t>
      </w:r>
    </w:p>
    <w:p>
      <w:pPr>
        <w:pageBreakBefore w:val="0"/>
        <w:kinsoku/>
        <w:wordWrap/>
        <w:overflowPunct/>
        <w:topLinePunct w:val="0"/>
        <w:autoSpaceDE/>
        <w:autoSpaceDN/>
        <w:bidi w:val="0"/>
        <w:spacing w:line="540" w:lineRule="exact"/>
        <w:ind w:firstLine="643" w:firstLineChars="200"/>
        <w:outlineLvl w:val="9"/>
        <w:rPr>
          <w:rFonts w:ascii="仿宋_GB2312" w:eastAsia="仿宋_GB2312"/>
          <w:sz w:val="32"/>
          <w:szCs w:val="32"/>
        </w:rPr>
      </w:pPr>
      <w:r>
        <w:rPr>
          <w:rFonts w:ascii="仿宋_GB2312" w:eastAsia="仿宋_GB2312"/>
          <w:b/>
          <w:sz w:val="32"/>
          <w:szCs w:val="32"/>
        </w:rPr>
        <w:t>四、</w:t>
      </w:r>
      <w:r>
        <w:rPr>
          <w:rFonts w:ascii="仿宋_GB2312" w:eastAsia="仿宋_GB2312"/>
          <w:sz w:val="32"/>
          <w:szCs w:val="32"/>
        </w:rPr>
        <w:t>治安、防火安全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1．门面商品的摆放要安全，无倒堆、无滑卸、通道应无杂物，并实施防意外碰伤、滑倒的措施，以保证商品及顾客的安全。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2．门面负责人和经营人员做好防毒、防电、防火、防盗等工作。商铺内应配有应急照明设备，设有安全疏散的方案及设施。负责人和经营人员要经常检查</w:t>
      </w:r>
      <w:r>
        <w:rPr>
          <w:rFonts w:hint="eastAsia" w:ascii="仿宋_GB2312" w:eastAsia="仿宋_GB2312"/>
          <w:sz w:val="32"/>
          <w:szCs w:val="32"/>
        </w:rPr>
        <w:t>消防栓</w:t>
      </w:r>
      <w:r>
        <w:rPr>
          <w:rFonts w:ascii="仿宋_GB2312" w:eastAsia="仿宋_GB2312"/>
          <w:sz w:val="32"/>
          <w:szCs w:val="32"/>
        </w:rPr>
        <w:t>是否过期或压力不足。经常检查电路和电器，确保不因用电发生触电和火灾事故。</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sz w:val="32"/>
          <w:szCs w:val="32"/>
        </w:rPr>
        <w:t>3. 各门面</w:t>
      </w:r>
      <w:r>
        <w:rPr>
          <w:rFonts w:ascii="仿宋_GB2312" w:eastAsia="仿宋_GB2312"/>
          <w:sz w:val="32"/>
          <w:szCs w:val="32"/>
        </w:rPr>
        <w:t>消防组织制度健全</w:t>
      </w:r>
      <w:r>
        <w:rPr>
          <w:rFonts w:hint="eastAsia" w:ascii="仿宋_GB2312" w:eastAsia="仿宋_GB2312"/>
          <w:sz w:val="32"/>
          <w:szCs w:val="32"/>
        </w:rPr>
        <w:t>、</w:t>
      </w:r>
      <w:r>
        <w:rPr>
          <w:rFonts w:ascii="仿宋_GB2312" w:eastAsia="仿宋_GB2312"/>
          <w:sz w:val="32"/>
          <w:szCs w:val="32"/>
        </w:rPr>
        <w:t>目标明确</w:t>
      </w:r>
      <w:r>
        <w:rPr>
          <w:rFonts w:hint="eastAsia" w:ascii="仿宋_GB2312" w:eastAsia="仿宋_GB2312"/>
          <w:sz w:val="32"/>
          <w:szCs w:val="32"/>
        </w:rPr>
        <w:t>、</w:t>
      </w:r>
      <w:r>
        <w:rPr>
          <w:rFonts w:ascii="仿宋_GB2312" w:eastAsia="仿宋_GB2312"/>
          <w:sz w:val="32"/>
          <w:szCs w:val="32"/>
        </w:rPr>
        <w:t>责任到人。各</w:t>
      </w:r>
      <w:r>
        <w:rPr>
          <w:rFonts w:hint="eastAsia" w:ascii="仿宋_GB2312" w:eastAsia="仿宋_GB2312"/>
          <w:sz w:val="32"/>
          <w:szCs w:val="32"/>
        </w:rPr>
        <w:t>门面负责人</w:t>
      </w:r>
      <w:r>
        <w:rPr>
          <w:rFonts w:ascii="仿宋_GB2312" w:eastAsia="仿宋_GB2312"/>
          <w:sz w:val="32"/>
          <w:szCs w:val="32"/>
        </w:rPr>
        <w:t>必须学习掌握消防安全知识，</w:t>
      </w:r>
      <w:r>
        <w:rPr>
          <w:rFonts w:hint="eastAsia" w:ascii="仿宋_GB2312" w:eastAsia="仿宋_GB2312"/>
          <w:sz w:val="32"/>
          <w:szCs w:val="32"/>
        </w:rPr>
        <w:t>对所聘员工</w:t>
      </w:r>
      <w:r>
        <w:rPr>
          <w:rFonts w:ascii="仿宋_GB2312" w:eastAsia="仿宋_GB2312"/>
          <w:sz w:val="32"/>
          <w:szCs w:val="32"/>
        </w:rPr>
        <w:t>达到100％的普及培训率</w:t>
      </w:r>
      <w:r>
        <w:rPr>
          <w:rFonts w:hint="eastAsia" w:ascii="仿宋_GB2312" w:eastAsia="仿宋_GB2312"/>
          <w:sz w:val="32"/>
          <w:szCs w:val="32"/>
        </w:rPr>
        <w:t>，</w:t>
      </w:r>
      <w:r>
        <w:rPr>
          <w:rFonts w:ascii="仿宋_GB2312" w:eastAsia="仿宋_GB2312"/>
          <w:sz w:val="32"/>
          <w:szCs w:val="32"/>
        </w:rPr>
        <w:t>使员工能不断的增加消防安全意识，提高员工对初发火灾的自扑自救能力。</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 xml:space="preserve">. </w:t>
      </w:r>
      <w:r>
        <w:rPr>
          <w:rFonts w:hint="eastAsia" w:ascii="仿宋_GB2312" w:eastAsia="仿宋_GB2312"/>
          <w:sz w:val="32"/>
          <w:szCs w:val="32"/>
        </w:rPr>
        <w:t>不得私自占用</w:t>
      </w:r>
      <w:r>
        <w:rPr>
          <w:rFonts w:ascii="仿宋_GB2312" w:eastAsia="仿宋_GB2312"/>
          <w:sz w:val="32"/>
          <w:szCs w:val="32"/>
        </w:rPr>
        <w:t>公共走廊</w:t>
      </w:r>
      <w:r>
        <w:rPr>
          <w:rFonts w:hint="eastAsia" w:ascii="仿宋_GB2312" w:eastAsia="仿宋_GB2312"/>
          <w:sz w:val="32"/>
          <w:szCs w:val="32"/>
        </w:rPr>
        <w:t>或公共区域</w:t>
      </w:r>
      <w:r>
        <w:rPr>
          <w:rFonts w:ascii="仿宋_GB2312" w:eastAsia="仿宋_GB2312"/>
          <w:sz w:val="32"/>
          <w:szCs w:val="32"/>
        </w:rPr>
        <w:t>，</w:t>
      </w:r>
      <w:r>
        <w:rPr>
          <w:rFonts w:hint="eastAsia" w:ascii="仿宋_GB2312" w:eastAsia="仿宋_GB2312"/>
          <w:sz w:val="32"/>
          <w:szCs w:val="32"/>
        </w:rPr>
        <w:t>不得在门面以外公共区域乱摆乱搭建；</w:t>
      </w:r>
      <w:r>
        <w:rPr>
          <w:rFonts w:ascii="仿宋_GB2312" w:eastAsia="仿宋_GB2312"/>
          <w:sz w:val="32"/>
          <w:szCs w:val="32"/>
        </w:rPr>
        <w:t>不得在商店内乱堆、乱放杂物，废弃物要及时清理。</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5. </w:t>
      </w:r>
      <w:r>
        <w:rPr>
          <w:rFonts w:ascii="仿宋_GB2312" w:eastAsia="仿宋_GB2312"/>
          <w:sz w:val="32"/>
          <w:szCs w:val="32"/>
        </w:rPr>
        <w:t>不许挪动消防设施，不得改变商铺的原配消防设备，经营商户新增的消防设备须与原配设备相匹配，不能影响原配设备的功能及使用。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sz w:val="32"/>
          <w:szCs w:val="32"/>
        </w:rPr>
        <w:t>6. 门面</w:t>
      </w:r>
      <w:r>
        <w:rPr>
          <w:rFonts w:ascii="仿宋_GB2312" w:eastAsia="仿宋_GB2312"/>
          <w:sz w:val="32"/>
          <w:szCs w:val="32"/>
        </w:rPr>
        <w:t>所经营的商品必须符合消防安全，</w:t>
      </w:r>
      <w:r>
        <w:rPr>
          <w:rFonts w:hint="eastAsia" w:ascii="仿宋_GB2312" w:eastAsia="仿宋_GB2312"/>
          <w:sz w:val="32"/>
          <w:szCs w:val="32"/>
        </w:rPr>
        <w:t>门面内</w:t>
      </w:r>
      <w:r>
        <w:rPr>
          <w:rFonts w:ascii="仿宋_GB2312" w:eastAsia="仿宋_GB2312"/>
          <w:sz w:val="32"/>
          <w:szCs w:val="32"/>
        </w:rPr>
        <w:t>严禁存放煤气、</w:t>
      </w:r>
      <w:r>
        <w:rPr>
          <w:rFonts w:hint="eastAsia" w:ascii="仿宋_GB2312" w:eastAsia="仿宋_GB2312"/>
          <w:sz w:val="32"/>
          <w:szCs w:val="32"/>
        </w:rPr>
        <w:t>液化气、</w:t>
      </w:r>
      <w:r>
        <w:rPr>
          <w:rFonts w:ascii="仿宋_GB2312" w:eastAsia="仿宋_GB2312"/>
          <w:sz w:val="32"/>
          <w:szCs w:val="32"/>
        </w:rPr>
        <w:t>汽油、酒精、雷管、炸药等易爆危险品</w:t>
      </w:r>
      <w:r>
        <w:rPr>
          <w:rFonts w:hint="eastAsia" w:ascii="仿宋_GB2312" w:eastAsia="仿宋_GB2312"/>
          <w:sz w:val="32"/>
          <w:szCs w:val="32"/>
        </w:rPr>
        <w:t>；</w:t>
      </w:r>
      <w:r>
        <w:rPr>
          <w:rFonts w:ascii="仿宋_GB2312" w:eastAsia="仿宋_GB2312"/>
          <w:sz w:val="32"/>
          <w:szCs w:val="32"/>
        </w:rPr>
        <w:t>严禁室内烟火。</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sz w:val="32"/>
          <w:szCs w:val="32"/>
        </w:rPr>
        <w:t>7. 门面负责人和经营人</w:t>
      </w:r>
      <w:r>
        <w:rPr>
          <w:rFonts w:ascii="仿宋_GB2312" w:eastAsia="仿宋_GB2312"/>
          <w:sz w:val="32"/>
          <w:szCs w:val="32"/>
        </w:rPr>
        <w:t>要严格遵守消防制度，建立消防隐患记录，严禁私拉乱用电源，严禁用电</w:t>
      </w:r>
      <w:bookmarkStart w:id="1489" w:name="_Toc20703_WPSOffice_Level1"/>
      <w:r>
        <w:rPr>
          <w:rFonts w:ascii="仿宋_GB2312" w:eastAsia="仿宋_GB2312"/>
          <w:sz w:val="32"/>
          <w:szCs w:val="32"/>
        </w:rPr>
        <w:t>炉取暖、做饭等。</w:t>
      </w:r>
      <w:r>
        <w:rPr>
          <w:rFonts w:ascii="仿宋_GB2312" w:eastAsia="仿宋_GB2312"/>
          <w:sz w:val="32"/>
          <w:szCs w:val="32"/>
        </w:rPr>
        <w:br w:type="textWrapping"/>
      </w:r>
      <w:r>
        <w:rPr>
          <w:rFonts w:hint="eastAsia" w:ascii="仿宋_GB2312" w:eastAsia="仿宋_GB2312"/>
          <w:sz w:val="32"/>
          <w:szCs w:val="32"/>
        </w:rPr>
        <w:t xml:space="preserve">    8. 门面经营</w:t>
      </w:r>
      <w:bookmarkEnd w:id="1489"/>
      <w:r>
        <w:rPr>
          <w:rFonts w:hint="eastAsia" w:ascii="仿宋_GB2312" w:eastAsia="仿宋_GB2312"/>
          <w:sz w:val="32"/>
          <w:szCs w:val="32"/>
        </w:rPr>
        <w:t>人对门面</w:t>
      </w:r>
      <w:r>
        <w:rPr>
          <w:rFonts w:ascii="仿宋_GB2312" w:eastAsia="仿宋_GB2312"/>
          <w:sz w:val="32"/>
          <w:szCs w:val="32"/>
        </w:rPr>
        <w:t>的电源</w:t>
      </w:r>
      <w:r>
        <w:rPr>
          <w:rFonts w:hint="eastAsia" w:ascii="仿宋_GB2312" w:eastAsia="仿宋_GB2312"/>
          <w:sz w:val="32"/>
          <w:szCs w:val="32"/>
        </w:rPr>
        <w:t>必须做到</w:t>
      </w:r>
      <w:r>
        <w:rPr>
          <w:rFonts w:ascii="仿宋_GB2312" w:eastAsia="仿宋_GB2312"/>
          <w:sz w:val="32"/>
          <w:szCs w:val="32"/>
        </w:rPr>
        <w:t>人走断电，人走关灯，对电脑等</w:t>
      </w:r>
      <w:r>
        <w:rPr>
          <w:rFonts w:hint="eastAsia" w:ascii="仿宋_GB2312" w:eastAsia="仿宋_GB2312"/>
          <w:sz w:val="32"/>
          <w:szCs w:val="32"/>
        </w:rPr>
        <w:t>用电</w:t>
      </w:r>
      <w:r>
        <w:rPr>
          <w:rFonts w:ascii="仿宋_GB2312" w:eastAsia="仿宋_GB2312"/>
          <w:sz w:val="32"/>
          <w:szCs w:val="32"/>
        </w:rPr>
        <w:t>设备</w:t>
      </w:r>
      <w:r>
        <w:rPr>
          <w:rFonts w:hint="eastAsia" w:ascii="仿宋_GB2312" w:eastAsia="仿宋_GB2312"/>
          <w:sz w:val="32"/>
          <w:szCs w:val="32"/>
        </w:rPr>
        <w:t>也须做到</w:t>
      </w:r>
      <w:r>
        <w:rPr>
          <w:rFonts w:ascii="仿宋_GB2312" w:eastAsia="仿宋_GB2312"/>
          <w:sz w:val="32"/>
          <w:szCs w:val="32"/>
        </w:rPr>
        <w:t>人走断电，</w:t>
      </w:r>
      <w:r>
        <w:rPr>
          <w:rFonts w:hint="eastAsia" w:ascii="仿宋_GB2312" w:eastAsia="仿宋_GB2312"/>
          <w:sz w:val="32"/>
          <w:szCs w:val="32"/>
        </w:rPr>
        <w:t>门面内</w:t>
      </w:r>
      <w:r>
        <w:rPr>
          <w:rFonts w:ascii="仿宋_GB2312" w:eastAsia="仿宋_GB2312"/>
          <w:sz w:val="32"/>
          <w:szCs w:val="32"/>
        </w:rPr>
        <w:t>不准私拉电源</w:t>
      </w:r>
      <w:r>
        <w:rPr>
          <w:rFonts w:hint="eastAsia" w:ascii="仿宋_GB2312" w:eastAsia="仿宋_GB2312"/>
          <w:sz w:val="32"/>
          <w:szCs w:val="32"/>
        </w:rPr>
        <w:t>、电线</w:t>
      </w:r>
      <w:r>
        <w:rPr>
          <w:rFonts w:ascii="仿宋_GB2312" w:eastAsia="仿宋_GB2312"/>
          <w:sz w:val="32"/>
          <w:szCs w:val="32"/>
        </w:rPr>
        <w:t>，严防电器设备老化引发火灾。</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9. </w:t>
      </w:r>
      <w:r>
        <w:rPr>
          <w:rFonts w:ascii="仿宋_GB2312" w:eastAsia="仿宋_GB2312"/>
          <w:sz w:val="32"/>
          <w:szCs w:val="32"/>
        </w:rPr>
        <w:t>各商店不得在夜间住宿或留宿，同时要认真落实防盗门（卷闸门）、铁护栏等治安防范措施。</w:t>
      </w:r>
    </w:p>
    <w:p>
      <w:pPr>
        <w:pageBreakBefore w:val="0"/>
        <w:kinsoku/>
        <w:wordWrap/>
        <w:overflowPunct/>
        <w:topLinePunct w:val="0"/>
        <w:autoSpaceDE/>
        <w:autoSpaceDN/>
        <w:bidi w:val="0"/>
        <w:spacing w:line="540" w:lineRule="exact"/>
        <w:ind w:firstLine="643" w:firstLineChars="200"/>
        <w:outlineLvl w:val="9"/>
        <w:rPr>
          <w:rFonts w:ascii="仿宋_GB2312" w:eastAsia="仿宋_GB2312"/>
          <w:sz w:val="32"/>
          <w:szCs w:val="32"/>
        </w:rPr>
      </w:pPr>
      <w:r>
        <w:rPr>
          <w:rFonts w:hint="eastAsia" w:ascii="仿宋_GB2312" w:eastAsia="仿宋_GB2312"/>
          <w:b/>
          <w:sz w:val="32"/>
          <w:szCs w:val="32"/>
        </w:rPr>
        <w:t>五、</w:t>
      </w:r>
      <w:r>
        <w:rPr>
          <w:rFonts w:ascii="仿宋_GB2312" w:eastAsia="仿宋_GB2312"/>
          <w:sz w:val="32"/>
          <w:szCs w:val="32"/>
        </w:rPr>
        <w:t>门面</w:t>
      </w:r>
      <w:r>
        <w:rPr>
          <w:rFonts w:hint="eastAsia" w:ascii="仿宋_GB2312" w:eastAsia="仿宋_GB2312"/>
          <w:sz w:val="32"/>
          <w:szCs w:val="32"/>
        </w:rPr>
        <w:t>负责人、门面各</w:t>
      </w:r>
      <w:r>
        <w:rPr>
          <w:rFonts w:ascii="仿宋_GB2312" w:eastAsia="仿宋_GB2312"/>
          <w:sz w:val="32"/>
          <w:szCs w:val="32"/>
        </w:rPr>
        <w:t>经营人员，必须听从学校的监督检查管理，及时整改卫生安全隐患，确保师生人身安全。如门面负责人和经营人员不服从学校管理，对学校提出的安全工作不予落实，学校有权根值啊据情节对门面承包人进行经济处罚，违约金从门面履约保证金中扣除。对违反以上规定并造成严重后果的，由公安消防机关依照有关规定对责任人进行处罚。</w:t>
      </w:r>
    </w:p>
    <w:p>
      <w:pPr>
        <w:pageBreakBefore w:val="0"/>
        <w:kinsoku/>
        <w:wordWrap/>
        <w:overflowPunct/>
        <w:topLinePunct w:val="0"/>
        <w:autoSpaceDE/>
        <w:autoSpaceDN/>
        <w:bidi w:val="0"/>
        <w:spacing w:line="540" w:lineRule="exact"/>
        <w:ind w:firstLine="643" w:firstLineChars="200"/>
        <w:outlineLvl w:val="9"/>
        <w:rPr>
          <w:rFonts w:ascii="仿宋_GB2312" w:eastAsia="仿宋_GB2312"/>
          <w:sz w:val="32"/>
          <w:szCs w:val="32"/>
        </w:rPr>
      </w:pPr>
      <w:r>
        <w:rPr>
          <w:rFonts w:hint="eastAsia" w:ascii="仿宋_GB2312" w:eastAsia="仿宋_GB2312"/>
          <w:b/>
          <w:sz w:val="32"/>
          <w:szCs w:val="32"/>
        </w:rPr>
        <w:t>六</w:t>
      </w:r>
      <w:r>
        <w:rPr>
          <w:rFonts w:ascii="仿宋_GB2312" w:eastAsia="仿宋_GB2312"/>
          <w:b/>
          <w:sz w:val="32"/>
          <w:szCs w:val="32"/>
        </w:rPr>
        <w:t>、</w:t>
      </w:r>
      <w:r>
        <w:rPr>
          <w:rFonts w:ascii="仿宋_GB2312" w:eastAsia="仿宋_GB2312"/>
          <w:sz w:val="32"/>
          <w:szCs w:val="32"/>
        </w:rPr>
        <w:t>本责任书自双方签订之日起生效，《</w:t>
      </w:r>
      <w:r>
        <w:rPr>
          <w:rFonts w:hint="eastAsia" w:ascii="仿宋_GB2312" w:eastAsia="仿宋_GB2312"/>
          <w:sz w:val="32"/>
          <w:szCs w:val="32"/>
        </w:rPr>
        <w:t>门面使用协议书</w:t>
      </w:r>
      <w:r>
        <w:rPr>
          <w:rFonts w:ascii="仿宋_GB2312" w:eastAsia="仿宋_GB2312"/>
          <w:sz w:val="32"/>
          <w:szCs w:val="32"/>
        </w:rPr>
        <w:t>》期满后自行失效。</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本责任书一式两份（作为</w:t>
      </w:r>
      <w:r>
        <w:rPr>
          <w:rFonts w:hint="eastAsia" w:ascii="仿宋_GB2312" w:eastAsia="仿宋_GB2312"/>
          <w:sz w:val="32"/>
          <w:szCs w:val="32"/>
        </w:rPr>
        <w:t>双方合同</w:t>
      </w:r>
      <w:r>
        <w:rPr>
          <w:rFonts w:ascii="仿宋_GB2312" w:eastAsia="仿宋_GB2312"/>
          <w:sz w:val="32"/>
          <w:szCs w:val="32"/>
        </w:rPr>
        <w:t>的附件之一），签约双方各执一份</w:t>
      </w:r>
      <w:r>
        <w:rPr>
          <w:rFonts w:hint="eastAsia" w:ascii="仿宋_GB2312" w:eastAsia="仿宋_GB2312"/>
          <w:sz w:val="32"/>
          <w:szCs w:val="32"/>
        </w:rPr>
        <w:t>；双方签订的其他《补充</w:t>
      </w:r>
      <w:r>
        <w:rPr>
          <w:rFonts w:ascii="仿宋_GB2312" w:eastAsia="仿宋_GB2312"/>
          <w:sz w:val="32"/>
          <w:szCs w:val="32"/>
        </w:rPr>
        <w:t>合同》</w:t>
      </w:r>
      <w:r>
        <w:rPr>
          <w:rFonts w:hint="eastAsia" w:ascii="仿宋_GB2312" w:eastAsia="仿宋_GB2312"/>
          <w:sz w:val="32"/>
          <w:szCs w:val="32"/>
        </w:rPr>
        <w:t>、《补充协议》</w:t>
      </w:r>
      <w:r>
        <w:rPr>
          <w:rFonts w:ascii="仿宋_GB2312" w:eastAsia="仿宋_GB2312"/>
          <w:sz w:val="32"/>
          <w:szCs w:val="32"/>
        </w:rPr>
        <w:t>具同等法律效力，受《中华人民共和国安全生产法》约束。</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　</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outlineLvl w:val="9"/>
        <w:rPr>
          <w:rFonts w:ascii="仿宋_GB2312" w:eastAsia="仿宋_GB2312"/>
          <w:sz w:val="32"/>
          <w:szCs w:val="32"/>
        </w:rPr>
      </w:pPr>
      <w:r>
        <w:rPr>
          <w:rFonts w:ascii="仿宋_GB2312" w:eastAsia="仿宋_GB2312"/>
          <w:sz w:val="32"/>
          <w:szCs w:val="32"/>
        </w:rPr>
        <w:t>甲方：柳州职业技术学院       乙方名称及公章：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outlineLvl w:val="9"/>
        <w:rPr>
          <w:rFonts w:ascii="仿宋_GB2312" w:eastAsia="仿宋_GB2312"/>
          <w:sz w:val="32"/>
          <w:szCs w:val="32"/>
        </w:rPr>
      </w:pPr>
      <w:r>
        <w:rPr>
          <w:rFonts w:ascii="仿宋_GB2312" w:eastAsia="仿宋_GB2312"/>
          <w:sz w:val="32"/>
          <w:szCs w:val="32"/>
        </w:rPr>
        <w:t>负责人：                      负责人：</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outlineLvl w:val="9"/>
        <w:rPr>
          <w:rFonts w:ascii="仿宋_GB2312" w:eastAsia="仿宋_GB2312"/>
          <w:sz w:val="32"/>
          <w:szCs w:val="32"/>
        </w:rPr>
      </w:pPr>
      <w:r>
        <w:rPr>
          <w:rFonts w:ascii="仿宋_GB2312" w:eastAsia="仿宋_GB2312"/>
          <w:sz w:val="32"/>
          <w:szCs w:val="32"/>
        </w:rPr>
        <w:t>签订时间：                    签订时间：</w:t>
      </w:r>
    </w:p>
    <w:p>
      <w:pPr>
        <w:pageBreakBefore w:val="0"/>
        <w:kinsoku/>
        <w:wordWrap/>
        <w:overflowPunct/>
        <w:topLinePunct w:val="0"/>
        <w:autoSpaceDE/>
        <w:autoSpaceDN/>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lang w:val="en-US" w:eastAsia="zh-CN"/>
        </w:rPr>
      </w:pPr>
      <w:bookmarkStart w:id="1490" w:name="_Toc8149"/>
      <w:bookmarkStart w:id="1491" w:name="_Toc4238_WPSOffice_Level1"/>
      <w:bookmarkStart w:id="1492" w:name="_Toc26814"/>
      <w:bookmarkStart w:id="1493" w:name="_Toc534379499"/>
      <w:r>
        <w:rPr>
          <w:rFonts w:hint="eastAsia"/>
          <w:b/>
          <w:color w:val="000000"/>
          <w:sz w:val="36"/>
          <w:szCs w:val="36"/>
          <w:lang w:val="en-US" w:eastAsia="zh-CN"/>
        </w:rPr>
        <w:t>柳州职业技术学院食品安全应急预案</w:t>
      </w:r>
      <w:bookmarkEnd w:id="1490"/>
      <w:bookmarkEnd w:id="1491"/>
      <w:bookmarkEnd w:id="1492"/>
      <w:bookmarkEnd w:id="1493"/>
    </w:p>
    <w:p>
      <w:pPr>
        <w:pStyle w:val="10"/>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（柳职院字〔2018〕55号）</w:t>
      </w:r>
    </w:p>
    <w:p>
      <w:pPr>
        <w:pageBreakBefore w:val="0"/>
        <w:kinsoku/>
        <w:wordWrap/>
        <w:overflowPunct/>
        <w:topLinePunct w:val="0"/>
        <w:autoSpaceDE/>
        <w:autoSpaceDN/>
        <w:bidi w:val="0"/>
        <w:spacing w:line="560" w:lineRule="exact"/>
        <w:outlineLvl w:val="9"/>
        <w:rPr>
          <w:rFonts w:ascii="宋体" w:hAnsi="宋体"/>
          <w:b/>
          <w:sz w:val="30"/>
          <w:szCs w:val="30"/>
        </w:rPr>
      </w:pP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为了有效应急处置学校内可能发生的食品安全事故，确保处理工作高效、有序地进行，最大限度地减轻事故造成的损失，切实保障师生的生命安全，维护学校社会稳定，促进学校教育的健康发展，特制定本预案。</w:t>
      </w:r>
    </w:p>
    <w:p>
      <w:pPr>
        <w:pageBreakBefore w:val="0"/>
        <w:kinsoku/>
        <w:wordWrap/>
        <w:overflowPunct/>
        <w:topLinePunct w:val="0"/>
        <w:autoSpaceDE/>
        <w:autoSpaceDN/>
        <w:bidi w:val="0"/>
        <w:spacing w:line="560" w:lineRule="exact"/>
        <w:ind w:firstLine="643" w:firstLineChars="200"/>
        <w:jc w:val="left"/>
        <w:outlineLvl w:val="9"/>
        <w:rPr>
          <w:rFonts w:ascii="黑体" w:hAnsi="黑体" w:eastAsia="黑体"/>
          <w:b/>
          <w:sz w:val="32"/>
          <w:szCs w:val="32"/>
        </w:rPr>
      </w:pPr>
      <w:bookmarkStart w:id="1494" w:name="_Toc15460_WPSOffice_Level1"/>
      <w:r>
        <w:rPr>
          <w:rFonts w:hint="eastAsia" w:ascii="黑体" w:hAnsi="黑体" w:eastAsia="黑体"/>
          <w:b/>
          <w:sz w:val="32"/>
          <w:szCs w:val="32"/>
        </w:rPr>
        <w:t>一、领导机构与职责</w:t>
      </w:r>
      <w:bookmarkEnd w:id="1494"/>
    </w:p>
    <w:p>
      <w:pPr>
        <w:pageBreakBefore w:val="0"/>
        <w:kinsoku/>
        <w:wordWrap/>
        <w:overflowPunct/>
        <w:topLinePunct w:val="0"/>
        <w:autoSpaceDE/>
        <w:autoSpaceDN/>
        <w:bidi w:val="0"/>
        <w:spacing w:line="560" w:lineRule="exact"/>
        <w:ind w:firstLine="643" w:firstLineChars="200"/>
        <w:jc w:val="left"/>
        <w:outlineLvl w:val="9"/>
        <w:rPr>
          <w:rFonts w:hint="eastAsia" w:ascii="楷体_GB2312" w:hAnsi="宋体" w:eastAsia="楷体_GB2312"/>
          <w:b/>
          <w:sz w:val="32"/>
          <w:szCs w:val="32"/>
        </w:rPr>
      </w:pPr>
      <w:r>
        <w:rPr>
          <w:rFonts w:hint="eastAsia" w:ascii="楷体_GB2312" w:hAnsi="宋体" w:eastAsia="楷体_GB2312"/>
          <w:b/>
          <w:sz w:val="32"/>
          <w:szCs w:val="32"/>
        </w:rPr>
        <w:t>（一）领导小组成员</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组  长：石令明</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 xml:space="preserve">副组长：杨  毅  瞿  凡  </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成  员：邓亮顺  安掌明  杨  琳  高勇军  刘  恒</w:t>
      </w:r>
    </w:p>
    <w:p>
      <w:pPr>
        <w:pageBreakBefore w:val="0"/>
        <w:kinsoku/>
        <w:wordWrap/>
        <w:overflowPunct/>
        <w:topLinePunct w:val="0"/>
        <w:autoSpaceDE/>
        <w:autoSpaceDN/>
        <w:bidi w:val="0"/>
        <w:spacing w:line="560" w:lineRule="exact"/>
        <w:ind w:firstLine="1920" w:firstLineChars="600"/>
        <w:jc w:val="left"/>
        <w:outlineLvl w:val="9"/>
        <w:rPr>
          <w:rFonts w:ascii="仿宋_GB2312" w:hAnsi="宋体" w:eastAsia="仿宋_GB2312"/>
          <w:sz w:val="32"/>
          <w:szCs w:val="32"/>
        </w:rPr>
      </w:pPr>
      <w:r>
        <w:rPr>
          <w:rFonts w:hint="eastAsia" w:ascii="仿宋_GB2312" w:hAnsi="宋体" w:eastAsia="仿宋_GB2312"/>
          <w:sz w:val="32"/>
          <w:szCs w:val="32"/>
        </w:rPr>
        <w:t>韩  霄  胡慕贤  韦  萌  游丽梅</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学校食品安全工作领导小组下设办公室，日常工作由食品安全办公室负责。办公室设在后勤与资产管理处，由刘恒兼任办公室主任。韦萌为专职食品安全管理员。</w:t>
      </w:r>
    </w:p>
    <w:p>
      <w:pPr>
        <w:pageBreakBefore w:val="0"/>
        <w:kinsoku/>
        <w:wordWrap/>
        <w:overflowPunct/>
        <w:topLinePunct w:val="0"/>
        <w:autoSpaceDE/>
        <w:autoSpaceDN/>
        <w:bidi w:val="0"/>
        <w:spacing w:line="560" w:lineRule="exact"/>
        <w:ind w:firstLine="643" w:firstLineChars="200"/>
        <w:jc w:val="left"/>
        <w:outlineLvl w:val="9"/>
        <w:rPr>
          <w:rFonts w:ascii="楷体_GB2312" w:hAnsi="宋体" w:eastAsia="楷体_GB2312"/>
          <w:b/>
          <w:sz w:val="32"/>
          <w:szCs w:val="32"/>
        </w:rPr>
      </w:pPr>
      <w:r>
        <w:rPr>
          <w:rFonts w:hint="eastAsia" w:ascii="楷体_GB2312" w:hAnsi="宋体" w:eastAsia="楷体_GB2312"/>
          <w:b/>
          <w:sz w:val="32"/>
          <w:szCs w:val="32"/>
        </w:rPr>
        <w:t>（二）主要职责</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当出现食品中毒事件（多人同时间段、出现相似症状），由学校办公室统一协调、指挥食品安全事故处理，协调各方力量进行应急救援，控制事态发展。统一组织事故善后处理工作，落实整改措施，尽快恢复学校的正常教育教学秩序。</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1.后勤与资产管理处负责协调食药监局对校园内食堂承包方、超市、门面发生的食品安全事故进行调查、控制和处理。</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2.保卫处负责与市行政执法部门保</w:t>
      </w:r>
      <w:bookmarkStart w:id="1495" w:name="_Toc7786_WPSOffice_Level1"/>
      <w:r>
        <w:rPr>
          <w:rFonts w:hint="eastAsia" w:ascii="仿宋_GB2312" w:hAnsi="宋体" w:eastAsia="仿宋_GB2312"/>
          <w:sz w:val="32"/>
          <w:szCs w:val="32"/>
        </w:rPr>
        <w:t>护现场、配合调查，保证校园的安全稳定。</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3</w:t>
      </w:r>
      <w:bookmarkEnd w:id="1495"/>
      <w:r>
        <w:rPr>
          <w:rFonts w:hint="eastAsia" w:ascii="仿宋_GB2312" w:hAnsi="宋体" w:eastAsia="仿宋_GB2312"/>
          <w:sz w:val="32"/>
          <w:szCs w:val="32"/>
        </w:rPr>
        <w:t>.党</w:t>
      </w:r>
      <w:bookmarkStart w:id="1496" w:name="_Toc31748_WPSOffice_Level1"/>
      <w:r>
        <w:rPr>
          <w:rFonts w:hint="eastAsia" w:ascii="仿宋_GB2312" w:hAnsi="宋体" w:eastAsia="仿宋_GB2312"/>
          <w:sz w:val="32"/>
          <w:szCs w:val="32"/>
        </w:rPr>
        <w:t>委宣传部负责</w:t>
      </w:r>
      <w:bookmarkEnd w:id="1496"/>
      <w:r>
        <w:rPr>
          <w:rFonts w:hint="eastAsia" w:ascii="仿宋_GB2312" w:hAnsi="宋体" w:eastAsia="仿宋_GB2312"/>
          <w:sz w:val="32"/>
          <w:szCs w:val="32"/>
        </w:rPr>
        <w:t>及时发布事故发展进程，控制舆情，防止谣言的扩散。</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4.学生工作处、团委负责排查发病人员，安抚发病人员亲属的情绪，及善后事宜。</w:t>
      </w:r>
    </w:p>
    <w:p>
      <w:pPr>
        <w:pageBreakBefore w:val="0"/>
        <w:kinsoku/>
        <w:wordWrap/>
        <w:overflowPunct/>
        <w:topLinePunct w:val="0"/>
        <w:autoSpaceDE/>
        <w:autoSpaceDN/>
        <w:bidi w:val="0"/>
        <w:spacing w:line="560" w:lineRule="exact"/>
        <w:ind w:firstLine="643" w:firstLineChars="200"/>
        <w:jc w:val="left"/>
        <w:outlineLvl w:val="9"/>
        <w:rPr>
          <w:rFonts w:ascii="黑体" w:hAnsi="黑体" w:eastAsia="黑体"/>
          <w:b/>
          <w:sz w:val="32"/>
          <w:szCs w:val="32"/>
        </w:rPr>
      </w:pPr>
      <w:bookmarkStart w:id="1497" w:name="_Toc15021_WPSOffice_Level1"/>
      <w:r>
        <w:rPr>
          <w:rFonts w:hint="eastAsia" w:ascii="黑体" w:hAnsi="黑体" w:eastAsia="黑体"/>
          <w:b/>
          <w:sz w:val="32"/>
          <w:szCs w:val="32"/>
        </w:rPr>
        <w:t>二、事故应急处理</w:t>
      </w:r>
      <w:bookmarkEnd w:id="1497"/>
    </w:p>
    <w:p>
      <w:pPr>
        <w:pageBreakBefore w:val="0"/>
        <w:kinsoku/>
        <w:wordWrap/>
        <w:overflowPunct/>
        <w:topLinePunct w:val="0"/>
        <w:autoSpaceDE/>
        <w:autoSpaceDN/>
        <w:bidi w:val="0"/>
        <w:spacing w:line="560" w:lineRule="exact"/>
        <w:ind w:firstLine="643" w:firstLineChars="200"/>
        <w:jc w:val="left"/>
        <w:outlineLvl w:val="9"/>
        <w:rPr>
          <w:rFonts w:ascii="仿宋_GB2312" w:hAnsi="宋体" w:eastAsia="仿宋_GB2312"/>
          <w:b/>
          <w:sz w:val="32"/>
          <w:szCs w:val="32"/>
        </w:rPr>
      </w:pPr>
      <w:r>
        <w:rPr>
          <w:rFonts w:hint="eastAsia" w:ascii="仿宋_GB2312" w:hAnsi="宋体" w:eastAsia="仿宋_GB2312"/>
          <w:b/>
          <w:sz w:val="32"/>
          <w:szCs w:val="32"/>
        </w:rPr>
        <w:t>1.报告制度</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食品卫生安全事故发生后必须及时上报。具体为师生发现少量（5人以下）、轻度症状（如呕吐、腹泻）、症状出现时间分散，应及时向学校报告；发现食品中毒事故（指发病呈爆发性，来势急剧，先吐后泄【毒素中毒】、先泄后吐【细菌中毒】，发病者具有相似症状）；出现发病情况后，在2小时内由领导小组向市教育局及辖区食药监部门报告。</w:t>
      </w:r>
    </w:p>
    <w:p>
      <w:pPr>
        <w:pageBreakBefore w:val="0"/>
        <w:kinsoku/>
        <w:wordWrap/>
        <w:overflowPunct/>
        <w:topLinePunct w:val="0"/>
        <w:autoSpaceDE/>
        <w:autoSpaceDN/>
        <w:bidi w:val="0"/>
        <w:spacing w:line="560" w:lineRule="exact"/>
        <w:ind w:firstLine="643" w:firstLineChars="200"/>
        <w:jc w:val="left"/>
        <w:outlineLvl w:val="9"/>
        <w:rPr>
          <w:rFonts w:ascii="仿宋_GB2312" w:hAnsi="宋体" w:eastAsia="仿宋_GB2312"/>
          <w:b/>
          <w:sz w:val="32"/>
          <w:szCs w:val="32"/>
        </w:rPr>
      </w:pPr>
      <w:r>
        <w:rPr>
          <w:rFonts w:hint="eastAsia" w:ascii="仿宋_GB2312" w:hAnsi="宋体" w:eastAsia="仿宋_GB2312"/>
          <w:b/>
          <w:sz w:val="32"/>
          <w:szCs w:val="32"/>
        </w:rPr>
        <w:t>2.救援措施</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一旦发生食品中毒事故，由校长负责救援指挥，立即启动应急预案，各就各位，组织救援行动，配合相关部门彻查事故原因，学生工作处负责排查发病人员。建立动态性名册，防止遗漏。</w:t>
      </w:r>
    </w:p>
    <w:p>
      <w:pPr>
        <w:pageBreakBefore w:val="0"/>
        <w:kinsoku/>
        <w:wordWrap/>
        <w:overflowPunct/>
        <w:topLinePunct w:val="0"/>
        <w:autoSpaceDE/>
        <w:autoSpaceDN/>
        <w:bidi w:val="0"/>
        <w:spacing w:line="560" w:lineRule="exact"/>
        <w:ind w:firstLine="643" w:firstLineChars="200"/>
        <w:jc w:val="left"/>
        <w:outlineLvl w:val="9"/>
        <w:rPr>
          <w:rFonts w:ascii="仿宋_GB2312" w:hAnsi="宋体" w:eastAsia="仿宋_GB2312"/>
          <w:b/>
          <w:sz w:val="32"/>
          <w:szCs w:val="32"/>
        </w:rPr>
      </w:pPr>
      <w:r>
        <w:rPr>
          <w:rFonts w:hint="eastAsia" w:ascii="仿宋_GB2312" w:hAnsi="宋体" w:eastAsia="仿宋_GB2312"/>
          <w:b/>
          <w:sz w:val="32"/>
          <w:szCs w:val="32"/>
        </w:rPr>
        <w:t>3.医疗救援</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校卫生室立即向疾病防控中心发出医疗求援，并拨打“120”急救中心电话。及时果断将发病人员送到医院抢救。主动向医疗人员报告发病情况。</w:t>
      </w:r>
    </w:p>
    <w:p>
      <w:pPr>
        <w:pageBreakBefore w:val="0"/>
        <w:kinsoku/>
        <w:wordWrap/>
        <w:overflowPunct/>
        <w:topLinePunct w:val="0"/>
        <w:autoSpaceDE/>
        <w:autoSpaceDN/>
        <w:bidi w:val="0"/>
        <w:spacing w:line="560" w:lineRule="exact"/>
        <w:ind w:firstLine="643" w:firstLineChars="200"/>
        <w:jc w:val="left"/>
        <w:outlineLvl w:val="9"/>
        <w:rPr>
          <w:rFonts w:ascii="仿宋_GB2312" w:hAnsi="宋体" w:eastAsia="仿宋_GB2312"/>
          <w:b/>
          <w:sz w:val="32"/>
          <w:szCs w:val="32"/>
        </w:rPr>
      </w:pPr>
      <w:r>
        <w:rPr>
          <w:rFonts w:hint="eastAsia" w:ascii="仿宋_GB2312" w:hAnsi="宋体" w:eastAsia="仿宋_GB2312"/>
          <w:b/>
          <w:sz w:val="32"/>
          <w:szCs w:val="32"/>
        </w:rPr>
        <w:t>4.病源保护</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保卫处、食堂方立即封存食堂菜肴样品、可疑食品，封锁现场，以便相关部门及时查找致病原因。</w:t>
      </w:r>
    </w:p>
    <w:p>
      <w:pPr>
        <w:pageBreakBefore w:val="0"/>
        <w:kinsoku/>
        <w:wordWrap/>
        <w:overflowPunct/>
        <w:topLinePunct w:val="0"/>
        <w:autoSpaceDE/>
        <w:autoSpaceDN/>
        <w:bidi w:val="0"/>
        <w:spacing w:line="560" w:lineRule="exact"/>
        <w:ind w:firstLine="643" w:firstLineChars="200"/>
        <w:jc w:val="left"/>
        <w:outlineLvl w:val="9"/>
        <w:rPr>
          <w:rFonts w:ascii="仿宋_GB2312" w:hAnsi="宋体" w:eastAsia="仿宋_GB2312"/>
          <w:b/>
          <w:sz w:val="32"/>
          <w:szCs w:val="32"/>
        </w:rPr>
      </w:pPr>
      <w:r>
        <w:rPr>
          <w:rFonts w:hint="eastAsia" w:ascii="仿宋_GB2312" w:hAnsi="宋体" w:eastAsia="仿宋_GB2312"/>
          <w:b/>
          <w:sz w:val="32"/>
          <w:szCs w:val="32"/>
        </w:rPr>
        <w:t>5.人员调度</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事故应急处理人员由领导小组组长统一调度，明确分工，落实职责，听从指挥，确保到位。</w:t>
      </w:r>
    </w:p>
    <w:p>
      <w:pPr>
        <w:pageBreakBefore w:val="0"/>
        <w:kinsoku/>
        <w:wordWrap/>
        <w:overflowPunct/>
        <w:topLinePunct w:val="0"/>
        <w:autoSpaceDE/>
        <w:autoSpaceDN/>
        <w:bidi w:val="0"/>
        <w:spacing w:line="560" w:lineRule="exact"/>
        <w:ind w:firstLine="643" w:firstLineChars="200"/>
        <w:jc w:val="left"/>
        <w:outlineLvl w:val="9"/>
        <w:rPr>
          <w:rFonts w:ascii="仿宋_GB2312" w:hAnsi="宋体" w:eastAsia="仿宋_GB2312"/>
          <w:b/>
          <w:sz w:val="32"/>
          <w:szCs w:val="32"/>
        </w:rPr>
      </w:pPr>
      <w:r>
        <w:rPr>
          <w:rFonts w:hint="eastAsia" w:ascii="仿宋_GB2312" w:hAnsi="宋体" w:eastAsia="仿宋_GB2312"/>
          <w:b/>
          <w:sz w:val="32"/>
          <w:szCs w:val="32"/>
        </w:rPr>
        <w:t>6.联系家长</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学生工作处根据实际情况，需要时及时联系发病学生家长，如实说明发病情况，不盲目猜测。要做好家长思想安抚，防止过激行为发生；设立家长联络处，及时解答问题，为家长做好服务工作。</w:t>
      </w:r>
    </w:p>
    <w:p>
      <w:pPr>
        <w:pageBreakBefore w:val="0"/>
        <w:kinsoku/>
        <w:wordWrap/>
        <w:overflowPunct/>
        <w:topLinePunct w:val="0"/>
        <w:autoSpaceDE/>
        <w:autoSpaceDN/>
        <w:bidi w:val="0"/>
        <w:spacing w:line="560" w:lineRule="exact"/>
        <w:ind w:firstLine="643" w:firstLineChars="200"/>
        <w:jc w:val="left"/>
        <w:outlineLvl w:val="9"/>
        <w:rPr>
          <w:rFonts w:ascii="仿宋_GB2312" w:hAnsi="宋体" w:eastAsia="仿宋_GB2312"/>
          <w:b/>
          <w:sz w:val="32"/>
          <w:szCs w:val="32"/>
        </w:rPr>
      </w:pPr>
      <w:r>
        <w:rPr>
          <w:rFonts w:hint="eastAsia" w:ascii="仿宋_GB2312" w:hAnsi="宋体" w:eastAsia="仿宋_GB2312"/>
          <w:b/>
          <w:sz w:val="32"/>
          <w:szCs w:val="32"/>
        </w:rPr>
        <w:t>7.信息公开</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党委宣传部要及时、准确地做好信息公开工作，并如实向上级部门汇报，不瞒报、谎报，保证广大师生和家长在事故发生和处理过程中的知情权；对一些谣传也要及时澄清，避免不必要的误解。</w:t>
      </w:r>
    </w:p>
    <w:p>
      <w:pPr>
        <w:pageBreakBefore w:val="0"/>
        <w:kinsoku/>
        <w:wordWrap/>
        <w:overflowPunct/>
        <w:topLinePunct w:val="0"/>
        <w:autoSpaceDE/>
        <w:autoSpaceDN/>
        <w:bidi w:val="0"/>
        <w:spacing w:line="560" w:lineRule="exact"/>
        <w:ind w:firstLine="643" w:firstLineChars="200"/>
        <w:jc w:val="left"/>
        <w:outlineLvl w:val="9"/>
        <w:rPr>
          <w:rFonts w:ascii="黑体" w:hAnsi="黑体" w:eastAsia="黑体"/>
          <w:b/>
          <w:sz w:val="32"/>
          <w:szCs w:val="32"/>
        </w:rPr>
      </w:pPr>
      <w:bookmarkStart w:id="1498" w:name="_Toc14500_WPSOffice_Level1"/>
      <w:r>
        <w:rPr>
          <w:rFonts w:hint="eastAsia" w:ascii="黑体" w:hAnsi="黑体" w:eastAsia="黑体"/>
          <w:b/>
          <w:sz w:val="32"/>
          <w:szCs w:val="32"/>
        </w:rPr>
        <w:t>三、事故责任追究</w:t>
      </w:r>
      <w:bookmarkEnd w:id="1498"/>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1.对导致事故起因的相关责任人进行责任追究。</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2.对事故上报不及时，或瞒报、谎报的行为进行严肃追究。</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3.对事故处理中的玩忽职守、推诿扯皮等影响应急</w:t>
      </w:r>
      <w:bookmarkStart w:id="1499" w:name="_Toc3447_WPSOffice_Level1"/>
      <w:r>
        <w:rPr>
          <w:rFonts w:hint="eastAsia" w:ascii="仿宋_GB2312" w:hAnsi="宋体" w:eastAsia="仿宋_GB2312"/>
          <w:sz w:val="32"/>
          <w:szCs w:val="32"/>
        </w:rPr>
        <w:t>方案顺利实施的行为进</w:t>
      </w:r>
      <w:bookmarkEnd w:id="1499"/>
      <w:r>
        <w:rPr>
          <w:rFonts w:hint="eastAsia" w:ascii="仿宋_GB2312" w:hAnsi="宋体" w:eastAsia="仿宋_GB2312"/>
          <w:sz w:val="32"/>
          <w:szCs w:val="32"/>
        </w:rPr>
        <w:t>行严肃追究。</w:t>
      </w:r>
    </w:p>
    <w:p>
      <w:pPr>
        <w:pageBreakBefore w:val="0"/>
        <w:kinsoku/>
        <w:wordWrap/>
        <w:overflowPunct/>
        <w:topLinePunct w:val="0"/>
        <w:autoSpaceDE/>
        <w:autoSpaceDN/>
        <w:bidi w:val="0"/>
        <w:spacing w:line="560" w:lineRule="exact"/>
        <w:ind w:firstLine="643" w:firstLineChars="200"/>
        <w:jc w:val="left"/>
        <w:outlineLvl w:val="9"/>
        <w:rPr>
          <w:rFonts w:ascii="黑体" w:hAnsi="黑体" w:eastAsia="黑体"/>
          <w:b/>
          <w:sz w:val="32"/>
          <w:szCs w:val="32"/>
        </w:rPr>
      </w:pPr>
      <w:bookmarkStart w:id="1500" w:name="_Toc6585_WPSOffice_Level1"/>
      <w:r>
        <w:rPr>
          <w:rFonts w:hint="eastAsia" w:ascii="黑体" w:hAnsi="黑体" w:eastAsia="黑体"/>
          <w:b/>
          <w:sz w:val="32"/>
          <w:szCs w:val="32"/>
        </w:rPr>
        <w:t>四、相关联系电话</w:t>
      </w:r>
      <w:bookmarkEnd w:id="1500"/>
    </w:p>
    <w:p>
      <w:pPr>
        <w:pageBreakBefore w:val="0"/>
        <w:kinsoku/>
        <w:wordWrap/>
        <w:overflowPunct/>
        <w:topLinePunct w:val="0"/>
        <w:autoSpaceDE/>
        <w:autoSpaceDN/>
        <w:bidi w:val="0"/>
        <w:spacing w:line="560"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学校食品安全工作领导小组办公室主任</w:t>
      </w:r>
    </w:p>
    <w:p>
      <w:pPr>
        <w:pageBreakBefore w:val="0"/>
        <w:kinsoku/>
        <w:wordWrap/>
        <w:overflowPunct/>
        <w:topLinePunct w:val="0"/>
        <w:autoSpaceDE/>
        <w:autoSpaceDN/>
        <w:bidi w:val="0"/>
        <w:spacing w:line="560" w:lineRule="exact"/>
        <w:ind w:firstLine="2560" w:firstLineChars="800"/>
        <w:jc w:val="left"/>
        <w:outlineLvl w:val="9"/>
        <w:rPr>
          <w:rFonts w:ascii="仿宋_GB2312" w:hAnsi="宋体" w:eastAsia="仿宋_GB2312"/>
          <w:sz w:val="32"/>
          <w:szCs w:val="32"/>
        </w:rPr>
      </w:pPr>
      <w:r>
        <w:rPr>
          <w:rFonts w:hint="eastAsia" w:ascii="仿宋_GB2312" w:hAnsi="宋体" w:eastAsia="仿宋_GB2312"/>
          <w:sz w:val="32"/>
          <w:szCs w:val="32"/>
        </w:rPr>
        <w:t>刘  恒  13507722875</w:t>
      </w:r>
    </w:p>
    <w:p>
      <w:pPr>
        <w:pageBreakBefore w:val="0"/>
        <w:kinsoku/>
        <w:wordWrap/>
        <w:overflowPunct/>
        <w:topLinePunct w:val="0"/>
        <w:autoSpaceDE/>
        <w:autoSpaceDN/>
        <w:bidi w:val="0"/>
        <w:spacing w:line="560" w:lineRule="exact"/>
        <w:ind w:firstLine="640" w:firstLineChars="200"/>
        <w:jc w:val="left"/>
        <w:outlineLvl w:val="9"/>
        <w:rPr>
          <w:rFonts w:hint="eastAsia" w:ascii="仿宋_GB2312" w:hAnsi="宋体" w:eastAsia="仿宋_GB2312"/>
          <w:sz w:val="32"/>
          <w:szCs w:val="32"/>
        </w:rPr>
      </w:pPr>
      <w:r>
        <w:rPr>
          <w:rFonts w:hint="eastAsia" w:ascii="仿宋_GB2312" w:hAnsi="宋体" w:eastAsia="仿宋_GB2312"/>
          <w:sz w:val="32"/>
          <w:szCs w:val="32"/>
        </w:rPr>
        <w:t>学校食品安全专职管理员</w:t>
      </w:r>
    </w:p>
    <w:p>
      <w:pPr>
        <w:pageBreakBefore w:val="0"/>
        <w:kinsoku/>
        <w:wordWrap/>
        <w:overflowPunct/>
        <w:topLinePunct w:val="0"/>
        <w:autoSpaceDE/>
        <w:autoSpaceDN/>
        <w:bidi w:val="0"/>
        <w:spacing w:line="560" w:lineRule="exact"/>
        <w:ind w:firstLine="960" w:firstLineChars="300"/>
        <w:jc w:val="left"/>
        <w:outlineLvl w:val="9"/>
        <w:rPr>
          <w:rFonts w:ascii="仿宋_GB2312" w:hAnsi="宋体" w:eastAsia="仿宋_GB2312"/>
          <w:spacing w:val="-4"/>
          <w:sz w:val="32"/>
          <w:szCs w:val="32"/>
        </w:rPr>
      </w:pPr>
      <w:r>
        <w:rPr>
          <w:rFonts w:hint="eastAsia" w:ascii="仿宋_GB2312" w:hAnsi="宋体" w:eastAsia="仿宋_GB2312"/>
          <w:sz w:val="32"/>
          <w:szCs w:val="32"/>
        </w:rPr>
        <w:t xml:space="preserve">          韦  萌  1</w:t>
      </w:r>
      <w:r>
        <w:rPr>
          <w:rFonts w:hint="eastAsia" w:ascii="仿宋_GB2312" w:hAnsi="宋体" w:eastAsia="仿宋_GB2312"/>
          <w:spacing w:val="-4"/>
          <w:sz w:val="32"/>
          <w:szCs w:val="32"/>
        </w:rPr>
        <w:t>3324720006、15347720006、3156021</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学校医务室  游丽梅 13978058460、3156076（社湾校区）</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 xml:space="preserve">            姚俏婷 18775240966、3182054（官塘校区）</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市急救中心  120</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食药监局热线  12331</w:t>
      </w:r>
    </w:p>
    <w:p>
      <w:pPr>
        <w:pageBreakBefore w:val="0"/>
        <w:kinsoku/>
        <w:wordWrap/>
        <w:overflowPunct/>
        <w:topLinePunct w:val="0"/>
        <w:autoSpaceDE/>
        <w:autoSpaceDN/>
        <w:bidi w:val="0"/>
        <w:spacing w:line="56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市教育局值班电话  2825931、13977296104</w:t>
      </w:r>
    </w:p>
    <w:p>
      <w:pPr>
        <w:pageBreakBefore w:val="0"/>
        <w:kinsoku/>
        <w:wordWrap/>
        <w:overflowPunct/>
        <w:topLinePunct w:val="0"/>
        <w:autoSpaceDE/>
        <w:autoSpaceDN/>
        <w:bidi w:val="0"/>
        <w:spacing w:line="560" w:lineRule="exact"/>
        <w:ind w:firstLine="640" w:firstLineChars="200"/>
        <w:jc w:val="left"/>
        <w:outlineLvl w:val="9"/>
        <w:rPr>
          <w:rFonts w:hint="eastAsia" w:ascii="仿宋_GB2312" w:hAnsi="宋体" w:eastAsia="仿宋_GB2312"/>
          <w:sz w:val="32"/>
          <w:szCs w:val="32"/>
        </w:rPr>
      </w:pPr>
    </w:p>
    <w:p>
      <w:pPr>
        <w:pageBreakBefore w:val="0"/>
        <w:kinsoku/>
        <w:wordWrap/>
        <w:overflowPunct/>
        <w:topLinePunct w:val="0"/>
        <w:autoSpaceDE/>
        <w:autoSpaceDN/>
        <w:bidi w:val="0"/>
        <w:spacing w:line="596" w:lineRule="exact"/>
        <w:jc w:val="center"/>
        <w:outlineLvl w:val="9"/>
        <w:rPr>
          <w:rFonts w:hint="eastAsia"/>
          <w:b/>
          <w:color w:val="000000"/>
          <w:sz w:val="36"/>
          <w:szCs w:val="36"/>
        </w:rPr>
      </w:pPr>
      <w:r>
        <w:rPr>
          <w:rFonts w:ascii="仿宋_GB2312" w:hAnsi="仿宋_GB2312" w:eastAsia="仿宋_GB2312" w:cs="仿宋_GB2312"/>
          <w:kern w:val="0"/>
          <w:sz w:val="32"/>
          <w:szCs w:val="32"/>
          <w:lang w:bidi="ar"/>
        </w:rPr>
        <w:br w:type="page"/>
      </w:r>
      <w:bookmarkStart w:id="1501" w:name="_Toc21824_WPSOffice_Level1"/>
      <w:bookmarkStart w:id="1502" w:name="_Toc32283"/>
      <w:bookmarkStart w:id="1503" w:name="_Toc23283"/>
      <w:r>
        <w:rPr>
          <w:rFonts w:hint="eastAsia"/>
          <w:b/>
          <w:color w:val="000000"/>
          <w:sz w:val="36"/>
          <w:szCs w:val="36"/>
        </w:rPr>
        <w:t>柳州职业技术学院食堂管理处罚规定</w:t>
      </w:r>
      <w:bookmarkEnd w:id="1501"/>
      <w:bookmarkEnd w:id="1502"/>
      <w:bookmarkEnd w:id="1503"/>
    </w:p>
    <w:p>
      <w:pPr>
        <w:pageBreakBefore w:val="0"/>
        <w:kinsoku/>
        <w:wordWrap/>
        <w:overflowPunct/>
        <w:topLinePunct w:val="0"/>
        <w:autoSpaceDE/>
        <w:autoSpaceDN/>
        <w:bidi w:val="0"/>
        <w:spacing w:line="596" w:lineRule="exact"/>
        <w:jc w:val="center"/>
        <w:outlineLvl w:val="9"/>
        <w:rPr>
          <w:rFonts w:hint="eastAsia"/>
          <w:b w:val="0"/>
          <w:bCs/>
          <w:color w:val="000000"/>
          <w:sz w:val="36"/>
          <w:szCs w:val="36"/>
          <w:lang w:eastAsia="zh-CN"/>
        </w:rPr>
      </w:pPr>
      <w:r>
        <w:rPr>
          <w:rFonts w:hint="eastAsia"/>
          <w:b w:val="0"/>
          <w:bCs/>
          <w:color w:val="000000"/>
          <w:sz w:val="36"/>
          <w:szCs w:val="36"/>
          <w:lang w:eastAsia="zh-CN"/>
        </w:rPr>
        <w:t>（</w:t>
      </w:r>
      <w:r>
        <w:rPr>
          <w:rFonts w:hint="eastAsia" w:ascii="仿宋_GB2312" w:eastAsia="仿宋_GB2312"/>
          <w:b w:val="0"/>
          <w:bCs/>
          <w:sz w:val="32"/>
          <w:szCs w:val="32"/>
        </w:rPr>
        <w:t>柳职院字〔2019〕6 号</w:t>
      </w:r>
      <w:r>
        <w:rPr>
          <w:rFonts w:hint="eastAsia"/>
          <w:b w:val="0"/>
          <w:bCs/>
          <w:color w:val="000000"/>
          <w:sz w:val="36"/>
          <w:szCs w:val="36"/>
          <w:lang w:eastAsia="zh-CN"/>
        </w:rPr>
        <w:t>）</w:t>
      </w:r>
    </w:p>
    <w:p>
      <w:pPr>
        <w:pageBreakBefore w:val="0"/>
        <w:kinsoku/>
        <w:wordWrap/>
        <w:overflowPunct/>
        <w:topLinePunct w:val="0"/>
        <w:autoSpaceDE/>
        <w:autoSpaceDN/>
        <w:bidi w:val="0"/>
        <w:spacing w:line="596" w:lineRule="exact"/>
        <w:jc w:val="center"/>
        <w:outlineLvl w:val="9"/>
        <w:rPr>
          <w:rFonts w:hint="eastAsia"/>
          <w:b w:val="0"/>
          <w:bCs/>
          <w:color w:val="000000"/>
          <w:sz w:val="36"/>
          <w:szCs w:val="36"/>
          <w:lang w:eastAsia="zh-CN"/>
        </w:rPr>
      </w:pP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为保证学校食堂的食品卫生安全，食堂经营方必须严格遵守食堂卫生管理制度，有责任和义务做好各项食品卫生安全工作。根据高校食堂卫生管理的要求，特制定本食堂卫生管理处罚规定。</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按照《普通高等学校食堂安全工作指南》（教发司﹝2017﹞2号）文件精神，食堂经营方与学校签订《柳州职业技术学院食堂安全责任书》（见附件），若食堂经营方违反了《柳州职业技术学院食堂卫生管理处罚规定》中的相关条例，学校将以食堂经营方缴纳履约保证金的0.1%-100%作为违约金。</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 未制定食堂安全管理制度（含食品安全应急预案），扣500元。未做好每日自检记录工作，扣500元。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 未建立从业人员健康管理制度（包括“实名晨捡制度”等），扣500元；未建立从业人员健康档案、未存有完备的“实名晨捡”记录，扣500元。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3. 未建立食堂采购工作监管制度，扣500元；未建立并落实食品原料的采购、索票索证、验收、保管、发放制度，扣500元。未如实记录并保存供应商许可证和食品出场检验合格证，扣1000元。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 未建立食品原料日常性查验制度，扣500元；未做好食品原料出库、入库记录，扣500元。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5. 未建立健全食品调味料和食品添加剂安全管理制度，扣500元；食品添加剂未由专人负责保管、领用、登记并有相关记录，扣500元。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 未制定治安、消防等各类突发事件应急预案，扣500元。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7. 未制定隔餐菜规范处置管理制度，扣500元。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 食堂餐厨垃圾废弃物、潲水处理没有与政府规定的相关单位签订正式合同，或收购方不在上级部门规定的范围内，扣1000元。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9.操作规程未上墙，或食品处理区未张贴洗手消毒方法标识，扣300元。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10.送货人员没有健康证，或健康证不在有效期内，扣300元。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11.未持有效健康证明上岗或健康证过期，扣300元/每人；关键岗位从业人员未持培训合格证上岗，扣300元； 未对员工开展食品安全知识和技能培训、未建立培训档案或未保存培训记录（现场图片、培训方案等），扣500元。带病伤（感染性疾病）上岗，扣500元。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12.未每天对员工进行晨检的，扣300元。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13.从业工作人员不穿工作服,不戴工作帽、不规范戴口罩，供餐人员在供餐前未洗手并带口罩，使用一次性手套，或从业工作人员上卫生间没换下工作服或工作服不干净，有异味、破损、有油污，或工作人员工作期间吸烟或工作场所有烟味、穿拖鞋、打闹、随地吐痰、披头散发（要求：男性剃须，手及腕上、颈部无佩带饰物；留长指甲（要求：指甲：剪至与肉齐：女性无涂指甲油）、外露肢体有纹</w:t>
      </w:r>
      <w:bookmarkStart w:id="1504" w:name="_Toc9099_WPSOffice_Level1"/>
      <w:r>
        <w:rPr>
          <w:rFonts w:hint="eastAsia" w:ascii="仿宋_GB2312" w:hAnsi="宋体" w:eastAsia="仿宋_GB2312"/>
          <w:sz w:val="32"/>
          <w:szCs w:val="32"/>
        </w:rPr>
        <w:t>身等，每人每次扣200元。从业</w:t>
      </w:r>
      <w:bookmarkEnd w:id="1504"/>
      <w:r>
        <w:rPr>
          <w:rFonts w:hint="eastAsia" w:ascii="仿宋_GB2312" w:hAnsi="宋体" w:eastAsia="仿宋_GB2312"/>
          <w:sz w:val="32"/>
          <w:szCs w:val="32"/>
        </w:rPr>
        <w:t>人员穿戴不符合《餐饮服务食品安全操作规范》（国食药监食〔2011〕395号）有关卫生要求的，每人每项扣200元。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从业人员个人卫生要求如下：</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（1）操作时应穿戴整洁的工作衣帽，头发不得外露，不得留长发指甲、涂指甲油、佩戴饰物。工作人员应正确戴口罩。</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（2）操作前应洗净手部，操作过程中应保持手部清洁，手部受到污染后应及时洗手。洗手消毒符合相关新食品安全操作规范。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3）接触直接入口食品的操作人员，在处理食物前，使用卫生间后，接触生食物后，接触受到污染的工具或设备后，咳嗽、打喷嚏或擦鼻涕后，处理动物或废弃物后，触摸耳朵、鼻子、头发、面部、口腔或身体其他部位后，从事任何可能会污染双手的活动后，必须洗手并消毒。</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（4）专间操作人员进入专间时，应更换专用工作衣帽并正确佩戴口罩，操作前应严格进行双手清洗消毒，操作中适时消毒。不得穿戴专间工作衣帽从事与专间内操作无关的工作。</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（5）不得将私人物品带入食品处理区；生产操作区不能存放私人物品。</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（6）不得在食品处理区内吸烟、饮食或从事其他可能污染食品的行为。</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（7）进入食品处理区的非操作人员，应符合现场操作人员卫生要求。</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（8）从业人员工作服（包括衣、帽、口罩）宜用白色或浅色布料制作，专间工作服宜从颜色或式样上予以区分。</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（9）工作服应定期更换，保持清洁。接触直接入口食品的操作人员的工作服应每天更换。每名从业人员不得少于2套工作服。</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（10）从业人员上卫生间前应在食品处理区内脱去工作服。</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（11）待清洗的工作服应远离食品处理区。</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14.消毒操作人员不熟悉、不掌握基本消毒知识，扣200元。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15.更衣间：更衣柜外有除鞋子以外的个人物品，鞋子码放不整齐，扣200元。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16.防蝇、虫，灭蝇、虫设施不齐全、不能正常工作，扣300元。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17.未有消除鼠、蟑螂、苍蝇和其他有害昆虫及孽生条件的防治措施，或沟盖板不符合规范、下水口未设有防鼠设施的，或防尘、防鼠设施并未有效、正确使用，或未落实“每月至少一次灭蝇、灭蚊及食堂周边环境消毒活动”（保存图片、记录），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18.库房无防鼠粘板，或不按规定放在货架下方靠墙处（非墙角处），仓库内有鼠迹、霉变、虫咬现象，扣300元。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19.空调机、风帘机不能正常工作，扣200元。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 xml:space="preserve">20.工作间、通道、公共用地有杂物，扣200元。 </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21.清洁用品（拖把、抹布、扫帚等）不定位储存，或与食品原料、食品容器混放，扣200元。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22.食堂场所内外就餐环境不清洁、餐厅卫生清理不及时，或餐具、菜托、菜盘、汤盆等盛放熟食食品的用具，未有专人在餐具回收点收拾，或每餐未做到及时清理桌面和地面的残渣剩饭、用餐完毕未及时清扫干净，供用餐者使用的洗手设施未能正常使用，每次扣300元；一学期内被投诉五次，再扣5000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23.食堂卫生要求：</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食堂内部墙壁定期清理，各类标识清晰，设备摆放整洁。食堂内部天花板定期清理，无蜘蛛网；地面清洁，不油腻无卫生死角。餐厅卫生清理及时，保持良好。</w:t>
      </w:r>
      <w:r>
        <w:rPr>
          <w:rFonts w:ascii="仿宋_GB2312" w:hAnsi="宋体" w:eastAsia="仿宋_GB2312"/>
          <w:sz w:val="32"/>
          <w:szCs w:val="32"/>
        </w:rPr>
        <w:t>餐厅附属设施（</w:t>
      </w:r>
      <w:r>
        <w:rPr>
          <w:rFonts w:hint="eastAsia" w:ascii="仿宋_GB2312" w:hAnsi="宋体" w:eastAsia="仿宋_GB2312"/>
          <w:sz w:val="32"/>
          <w:szCs w:val="32"/>
        </w:rPr>
        <w:t>空调、</w:t>
      </w:r>
      <w:r>
        <w:rPr>
          <w:rFonts w:ascii="仿宋_GB2312" w:hAnsi="宋体" w:eastAsia="仿宋_GB2312"/>
          <w:sz w:val="32"/>
          <w:szCs w:val="32"/>
        </w:rPr>
        <w:t>风扇、灯管、灭蝇灯、消防箱）及桌椅干净。</w:t>
      </w:r>
      <w:r>
        <w:rPr>
          <w:rFonts w:hint="eastAsia" w:ascii="仿宋_GB2312" w:hAnsi="宋体" w:eastAsia="仿宋_GB2312"/>
          <w:sz w:val="32"/>
          <w:szCs w:val="32"/>
        </w:rPr>
        <w:t>门、窗户、售饭台玻璃干净无灰尘。IC卡机清洁干净。废弃物清理及时，垃圾桶加盖。食堂外部垃圾桶周围无垃圾，食堂周边卫生清理彻底，垃圾桶带盖并与食堂直线距离25米以上。排油烟机（罩）清洁不滴油。下水道及阴沟畅通不结油污。卫生间上述要求不合格的，每次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24.食堂卫生责任范围内地面、墙壁、天花板、机械设备、货架、门窗、水池、水沟、员工宿舍、卫生间等未保持清洁，或发现蜘蛛网、霉斑、明显积垢，或有鼠迹、异味等，扣300元。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25.工作间工作完毕不立即清洁卫生（包含水池、台面、各种设备的外立面），扣300元。；未</w:t>
      </w:r>
      <w:bookmarkStart w:id="1505" w:name="_Toc26230_WPSOffice_Level1"/>
      <w:r>
        <w:rPr>
          <w:rFonts w:hint="eastAsia" w:ascii="仿宋_GB2312" w:hAnsi="宋体" w:eastAsia="仿宋_GB2312"/>
          <w:sz w:val="32"/>
          <w:szCs w:val="32"/>
        </w:rPr>
        <w:t>做到每周一次全面的清洁消毒卫生</w:t>
      </w:r>
      <w:bookmarkEnd w:id="1505"/>
      <w:r>
        <w:rPr>
          <w:rFonts w:hint="eastAsia" w:ascii="仿宋_GB2312" w:hAnsi="宋体" w:eastAsia="仿宋_GB2312"/>
          <w:sz w:val="32"/>
          <w:szCs w:val="32"/>
        </w:rPr>
        <w:t>，或卫生做得不彻底的，扣500元。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26.零散物品不使用收纳箱归类放置，扣200元。</w:t>
      </w:r>
      <w:r>
        <w:rPr>
          <w:rFonts w:ascii="仿宋_GB2312" w:hAnsi="宋体" w:eastAsia="仿宋_GB2312"/>
          <w:sz w:val="32"/>
          <w:szCs w:val="32"/>
        </w:rPr>
        <w:t xml:space="preserve"> </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27.加工食品后的废品、残渣、垃圾不及时清扫到垃圾桶，扣200元；垃圾桶无袋、无盖储存垃圾，垃圾有外溢，垃圾桶外观肮脏，扣300元。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28.未按规定安装紫外线灭菌灯（距地面2米，灯之间相距不超过3米），扣400元。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29.在配餐前打开紫外线灭菌灯未超过30分钟，未做好记录，扣500元。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30.供货商资质材料不全（营业执照、生产经营许可证、供货合同等），扣1000元。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31.生鲜类食品进货时无当日的动物检疫合格证、肉品品质检验合格证明（或鲜肉上的针刺滚筒章与合格证不相符），扣1000元。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32.冻货类无同批次检疫合格证明。如是复印件，无供应商红章，扣1000元。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33.食品原料进货无当日供货小票（须加盖供货商印章），扣500元。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34.各类工作台帐（实名晨检记录、食堂自查记录、食品采购与进货查验记录、原料采购验收台帐、餐具消毒记录、紫外线消毒记录、熟食留样记录、冰箱除霜清洗记录、餐厨垃圾处理记录、从业人员情况登记、加工从业人员岗位责任制、蔬菜清洗记录、员工会议培训记录、灭害物品使用记录等）不按时记录，每项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35.主食库房温度、湿度不符合法规标准（温度2 5度以下，湿度40%以下），扣500元。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36.食品原料在收货时、存放或待加工过程中未分类存放整齐或直接落地，扣300元。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37.预包装食品入库没有去除一级包装（木箱、纸箱、麻袋等），扣200元。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38.已收货鸡蛋没有在收货区进行倒箱，并放入专用容器中储存，扣200元。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39.待用食品容器、货架不清洁，有食物残渣、污垢，扣200元。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 xml:space="preserve">40.食品添加剂的采购、储存、使用、管理不符合以下规范的，扣1000元。      </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GB 2760《食品安全国家标准 食品添加剂使用标准》规定的食品添加剂品种、使用范围、使用量。采购时索取相应票证备查；专柜存放，必须将食品添加剂放在指定区域的专柜保存并上锁；专人使用、配制；专用台账，每次使用按照要求逐项登记；专用称量用具（专用称量用具每年校准一次）。</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41.有禁止食用的食品原料（发芽土豆、野菜、四季豆、空心菜、鲜黄花菜、苦杏仁、毒蘑菇、河豚鱼、无鳞鱼、鱼胆等食品安全法规定不能食用的食品原料）。停业1周。使用学校规定不能使用的食品原材料的，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42.库房内所有散装食品原料没有放入统一的容器储存，标签不明确（品名、重量、进货日期及截止日期），扣300元。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43.采购、储存、使用亚硝酸盐（包括亚硝酸钠、亚硝酸钾），停业两周。</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44.主副食品未设置分类储存场所，或食品原料存贮未做到分架分类、离墙离地存放，扣300元。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45.预包装食品原料包装是否标识不完整、不清晰（内容应包含：名称、成分表、规格、净含量、产品标准代号、生产许可证编号(SC开头)、生产日期、保质期、贮存方式、所使用的添加剂在国家标准中的通用名称、生产单位（者）的名称、地址、联系方式），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46.进口预包装食品没有符合法规要求的中文标识，没有同一批次的出入境检验检疫合格报告，扣500元。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47.使用无标识的塑料袋装食品原料，扣200元。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48.食品原料不按包装标识规定温度存放，扣500元。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49.冰箱内、烹调间、配餐间储存食品原料的容器叠落码放，扣200元。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50.已使用的容器在粗加工间内清洗与存放，扣300元。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51.保洁柜内有已消毒餐具以外的物品，扣200元。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52.供餐热食品储存温度未达到60度以上，摆台时间超过4小时，扣300元。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53.使用的洗涤剂标识不完整，不符合GB14930.1《食品工具、设备用洗涤卫生标准》卫生标准和要求，扣300元。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54.洗涤池中洗涤剂浓度不够（洗涤剂泡沫完全覆盖水面），扣200元。已消毒餐具、厨具的消毒效果未符合要求（达到光、洁、涩、干），扣300元。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55.空气消毒设施设备未正常运转，扣200元。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56.更衣间、预进间未落实流动水、洗手消毒液等要求，扣200元。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57.餐具用具不按照一洗、二冲、三消毒、四储存进行消洗，或未落实供餐前后各进行一次紫外线空气消毒，或餐具、工具消毒后未及时存放在专用密闭保洁柜，或保洁柜不定期清洗、消毒（无定期清洗、消毒记录），或保洁柜有积垢、灰层，每次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58.食品留样不符合规范：食品留样冰箱不符合温度要求（1-8度），储存其他食品原料 ；留样样品取样量少于125克；食品留样时间不符合规范（48小时）；盛放留样食品的容器使用后未进行清洗消毒，未定位储存；留样食品的称量器具未专用，留样标识不齐全（日期、时间、留样品种、留样人），扣800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59.隔餐菜不按规定存放及再加热（中心温度70度以上）出售，扣1000元。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60.冷冻食品使用无保温设备工具运输，扣500元。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61.送货车辆不密闭，卫生不合格（内部脏污、有垃圾），或与非食品混放，扣300元。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62.有化学制剂存放在加工区域，扣200元。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63.工器具、设备不清洁，或有铁锈，扣200元。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64.待加工食品堆叠、落地码放，扣200元。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65.鸡蛋加工前没有清洗表面，扣200元。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66.工作间使用有色塑料袋（垃圾桶用除外），扣200元。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67.冰柜外部、内部不清洁，不定期清洁消毒，无记录，扣500元。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68.冷藏设备温度不合格（冷藏温度0℃～8℃，冷冻温度低于-12℃），扣500元。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69.烹制加工的菜肴未烧熟煮透，中心温度低于70度，扣500元。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70.供餐热食品储存温度未达到60度以上，摆台时间超过4小时，扣500元。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71.消毒柜、洗碗机温度未符合要求（100度以上），扣1000元。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72.制作食品的设施设备及加工工具、容器等没有显著标识、生熟标识不清晰或不按标识区分使用或不干净、未定位放置，或岗位操作台不干净、原料未定位放置，或刀具砧板未分类切配、分类存放，或清洗切配后的原料未有专用盛器、搁物架，未离地存放，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73.原料、半成品和成品未分类、分开存放，或未做到生熟、动植、净菜与未清洗菜分开。</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74.肉类、水产和蔬菜类原料粗加工未分类设置，或分类设置却无对应的水池、操</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作台及冰箱等，或原材料鱼、肉、菜等未在对应的水池分池清洗，或未使用色标管理要求的容器盛放的，扣500元。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75.冷藏设施内存放杂物和个人物品，冷藏设施(冰箱、冷库）内物品未分类、密封存放，有生熟混放、晕素混放现象，有可能导致交叉感染，扣500元。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76.剩余食品未加盖或覆保鲜膜密闭储存，或堆叠存放，扣200元。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77.开封后食品原料未倒罐储存，扣200元。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78.未用完的点心馅料、半成品点心等，未在冷藏柜内密封存放，并标注规定的存放期限，扣500元。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79.原料切配未按照规定要求先洗后切，叶类菜未加盐浸泡15分钟以上，或未洗净的。扣500元。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80.熟食无明确标志，有生熟混放现象。扣500元。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81.食品未烧熟煮透、存在外熟里生现象，扣500元。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82.专间的消毒、冷藏、冷冻、空调、用具等任何一项设施运转不正常，立即停止专间的生产。否则扣1000元。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83.备餐间存放非直接入口的食品或未经清洗处理的水果、蔬菜、杂物等，扣500元。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84.烹调后至使用超过2小时的食物，未在高于60℃或低于8℃的条件存放的，扣500元。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85.用于传递物品的传递窗过人，或非分餐时间、分餐间相连的门窗未关好，或未定时开风帘机</w:t>
      </w:r>
      <w:bookmarkStart w:id="1506" w:name="_Toc8438_WPSOffice_Level1"/>
      <w:r>
        <w:rPr>
          <w:rFonts w:hint="eastAsia" w:ascii="仿宋_GB2312" w:hAnsi="宋体" w:eastAsia="仿宋_GB2312"/>
          <w:sz w:val="32"/>
          <w:szCs w:val="32"/>
        </w:rPr>
        <w:t>和灭蝇灯，扣</w:t>
      </w:r>
      <w:bookmarkEnd w:id="1506"/>
      <w:r>
        <w:rPr>
          <w:rFonts w:hint="eastAsia" w:ascii="仿宋_GB2312" w:hAnsi="宋体" w:eastAsia="仿宋_GB2312"/>
          <w:sz w:val="32"/>
          <w:szCs w:val="32"/>
        </w:rPr>
        <w:t>200元。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86.用餐者在购餐或用餐过程中发现食物有蚊虫、苍蝇、毛发、烟头、钢丝或其他异物或其他投诉事项，经查属实的，扣500元。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87.销售供应或储存变质、异味、不洁食品，或加工出售的食品有变质异味尚未引起卫生事故的，或用回收后的食品（包括辅料、盘花等）经烹调加工后再次使用的，一次扣3000元；加工出售劣质、变质食品，造成食物中毒事件将取消经营资格，没收全部履约保证金，追究法律责任。</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88.使用超过保质期的食品原材料，扣1000元。有两次以上行为</w:t>
      </w:r>
      <w:bookmarkStart w:id="1507" w:name="_Toc28578_WPSOffice_Level1"/>
      <w:r>
        <w:rPr>
          <w:rFonts w:hint="eastAsia" w:ascii="仿宋_GB2312" w:hAnsi="宋体" w:eastAsia="仿宋_GB2312"/>
          <w:sz w:val="32"/>
          <w:szCs w:val="32"/>
        </w:rPr>
        <w:t>的，停业整顿。</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89.中餐或晚餐全素</w:t>
      </w:r>
      <w:bookmarkEnd w:id="1507"/>
      <w:r>
        <w:rPr>
          <w:rFonts w:hint="eastAsia" w:ascii="仿宋_GB2312" w:hAnsi="宋体" w:eastAsia="仿宋_GB2312"/>
          <w:sz w:val="32"/>
          <w:szCs w:val="32"/>
        </w:rPr>
        <w:t>菜少于6个（其中必须有豆腐）、全荤菜少于5个，扣500元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90.菜品重量少于标准：全荤：130克（固形物）以上；半荤半素：总重200克以上，其中荤菜占80克（固形物）以上；全素：250克以上，扣300元。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91.未经学校管理部门审批同意，擅自提高饭菜供应价格，扣500元。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92.所生产、销售的食品品种及种类，未报学校批准备案的，扣500元。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93.未实行明码标价（一菜一价），扣400元。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94.食堂有刷卡套现行为，扣1000元。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95.与就餐人员发生争吵，态度恶劣受到投诉，扣300元；有员工打架、闹事，扣500元。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96.开餐时餐厅值班经理不到位，或食堂未公布投诉电话，或食堂投诉解决不及时，扣300元。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97.免费汤处未设专人执勤，扣300元。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98.未在规定时间完成上级食品监察部门改正建议的，或自管理部门（后勤与资产管理处）下达书面整改通知后规定期限内仍无改进措施的，扣1000元。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99.各食堂之间出现恶性竞争现象时，经学院方管理部门提出警告后仍不加以约束的，扣除30%的履约保证金。</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100.存在超范围经营情况，扣500元。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101.例会时，通知要求参会的食堂相关人员未经允许缺席不到，每次扣300元。撤换食堂经理、主管等管理人员，事前未经学校管理部门考核同意的，扣10000元。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102.宿舍生活设施不齐全，或损坏后不及时维修，扣300元。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103.宿舍内外环境不定期、定员清洁，扣300元。</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104.上述七项（含内部各细条）一学期内违反3次及以上的（以整改通知书为准），食堂经营方所经营整个区域（不特指某个档口或工作间）将作停业整顿处理；整顿期限视整改情况而定，至校方认定达到再次开餐条件，方允许再次营业。</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105.一学期内被停业整顿2次的食堂经营方，校方没收全部履约保证金，并终止双方合同。</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106.因乙方经营管理不善导致甲方食堂被有关部门通报批评或对甲方参与的各种市级、区级、国家级考评及标准化食堂评估等活动造成不良影响的，扣10000元。因乙方经营不善引发卫生事件（如食品中毒）、安全事故或食堂被卫生监管部门处罚造成恶劣影响（被媒体通报或网上热议），扣除全部履约保证金，解除双方合同和责任书。</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107.经查实一个学期内或六个月内有两次采购“三无”产品、地沟油、病死禽肉类、伪劣食品原材料等行为的，扣除全部履约保证金，解除双方合同和责任书。</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108.违反法律、法规和学校相关管理规定，利用经营场地进行黄、赌、毒活动以及其他违法行为，扣除全部履约保证金，解除双方合同和责任书。</w:t>
      </w:r>
    </w:p>
    <w:p>
      <w:pPr>
        <w:pageBreakBefore w:val="0"/>
        <w:kinsoku/>
        <w:wordWrap/>
        <w:overflowPunct/>
        <w:topLinePunct w:val="0"/>
        <w:autoSpaceDE/>
        <w:autoSpaceDN/>
        <w:bidi w:val="0"/>
        <w:adjustRightInd w:val="0"/>
        <w:snapToGrid w:val="0"/>
        <w:spacing w:line="580"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109.破坏食堂消防设施或监控设施，或擅自将经营场所进行任何方式的分包、转包或托管其他单位或个人经营的，扣除30%的履约保证金，限期恢复和整改；限期未整改到位的，解除双方合同和责任书。</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110.无故停餐一次或非正常经营（经营状况出现恶性循环、就餐人数或营业额不足其余两个食堂的40%）情况达一周时，扣30%的履约保证金，限期整改；限期未整改到位的，解除双方合同和责任书，扣除所有履约保证金。</w:t>
      </w:r>
    </w:p>
    <w:p>
      <w:pPr>
        <w:pageBreakBefore w:val="0"/>
        <w:kinsoku/>
        <w:wordWrap/>
        <w:overflowPunct/>
        <w:topLinePunct w:val="0"/>
        <w:autoSpaceDE/>
        <w:autoSpaceDN/>
        <w:bidi w:val="0"/>
        <w:adjustRightInd w:val="0"/>
        <w:snapToGrid w:val="0"/>
        <w:spacing w:line="580" w:lineRule="exact"/>
        <w:ind w:firstLine="640" w:firstLineChars="200"/>
        <w:outlineLvl w:val="9"/>
        <w:rPr>
          <w:rFonts w:hint="eastAsia" w:ascii="仿宋_GB2312" w:hAnsi="宋体" w:eastAsia="仿宋_GB2312"/>
          <w:sz w:val="32"/>
          <w:szCs w:val="32"/>
        </w:rPr>
      </w:pPr>
      <w:r>
        <w:rPr>
          <w:rFonts w:hint="eastAsia" w:ascii="仿宋_GB2312" w:hAnsi="宋体" w:eastAsia="仿宋_GB2312"/>
          <w:sz w:val="32"/>
          <w:szCs w:val="32"/>
        </w:rPr>
        <w:t>上述学校食堂卫生管理处罚规定，各食堂经营方必须严格遵守，并按照《食品卫生安全法》、《普通高等学校食堂安全工作指南》（教发司﹝2017﹞2号）、《新修改的餐饮服务食品安全操作  规范》和卫生监督部门的有关规定做好食堂各项工作。</w:t>
      </w:r>
    </w:p>
    <w:p>
      <w:pPr>
        <w:pageBreakBefore w:val="0"/>
        <w:kinsoku/>
        <w:wordWrap/>
        <w:overflowPunct/>
        <w:topLinePunct w:val="0"/>
        <w:autoSpaceDE/>
        <w:autoSpaceDN/>
        <w:bidi w:val="0"/>
        <w:outlineLvl w:val="9"/>
        <w:rPr>
          <w:rFonts w:hint="eastAsia" w:ascii="仿宋_GB2312" w:hAnsi="宋体" w:eastAsia="仿宋_GB2312"/>
          <w:sz w:val="32"/>
          <w:szCs w:val="32"/>
        </w:rPr>
      </w:pPr>
      <w:r>
        <w:rPr>
          <w:rFonts w:hint="eastAsia" w:ascii="仿宋_GB2312" w:hAnsi="宋体"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508" w:name="_Toc30534_WPSOffice_Level1"/>
      <w:bookmarkStart w:id="1509" w:name="_Toc32418"/>
      <w:bookmarkStart w:id="1510" w:name="_Toc8442"/>
      <w:bookmarkStart w:id="1511" w:name="_Toc15367"/>
      <w:bookmarkStart w:id="1512" w:name="_Toc7207"/>
      <w:r>
        <w:rPr>
          <w:rFonts w:hint="eastAsia"/>
          <w:b/>
          <w:color w:val="000000"/>
          <w:sz w:val="36"/>
          <w:szCs w:val="36"/>
        </w:rPr>
        <w:t>柳州职业技术学院国有资产管理岗位职责（暂行）</w:t>
      </w:r>
      <w:bookmarkEnd w:id="1508"/>
      <w:bookmarkEnd w:id="1509"/>
      <w:bookmarkEnd w:id="1510"/>
      <w:bookmarkEnd w:id="1511"/>
      <w:bookmarkEnd w:id="1512"/>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（柳职院字〔2021〕59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96" w:lineRule="exact"/>
        <w:jc w:val="center"/>
        <w:outlineLvl w:val="9"/>
        <w:rPr>
          <w:rFonts w:ascii="黑体" w:hAnsi="黑体" w:eastAsia="黑体"/>
          <w:b/>
          <w:sz w:val="32"/>
          <w:szCs w:val="32"/>
        </w:rPr>
      </w:pPr>
      <w:bookmarkStart w:id="1513" w:name="_Toc150_WPSOffice_Level1"/>
      <w:r>
        <w:rPr>
          <w:rFonts w:hint="eastAsia" w:ascii="黑体" w:hAnsi="黑体" w:eastAsia="黑体"/>
          <w:b/>
          <w:sz w:val="32"/>
          <w:szCs w:val="32"/>
        </w:rPr>
        <w:t>第一章  总  则</w:t>
      </w:r>
      <w:bookmarkEnd w:id="1513"/>
    </w:p>
    <w:p>
      <w:pPr>
        <w:pageBreakBefore w:val="0"/>
        <w:widowControl/>
        <w:kinsoku/>
        <w:wordWrap/>
        <w:overflowPunct/>
        <w:topLinePunct w:val="0"/>
        <w:autoSpaceDE/>
        <w:autoSpaceDN/>
        <w:bidi w:val="0"/>
        <w:spacing w:line="596" w:lineRule="exact"/>
        <w:ind w:firstLine="643" w:firstLineChars="200"/>
        <w:jc w:val="left"/>
        <w:outlineLvl w:val="9"/>
        <w:rPr>
          <w:rFonts w:ascii="仿宋" w:hAnsi="仿宋" w:eastAsia="仿宋" w:cs="Arial"/>
          <w:kern w:val="0"/>
          <w:sz w:val="32"/>
          <w:szCs w:val="32"/>
          <w:lang w:bidi="ar"/>
        </w:rPr>
      </w:pPr>
      <w:r>
        <w:rPr>
          <w:rFonts w:hint="eastAsia" w:ascii="仿宋" w:hAnsi="仿宋" w:eastAsia="仿宋" w:cs="Arial"/>
          <w:b/>
          <w:kern w:val="0"/>
          <w:sz w:val="32"/>
          <w:szCs w:val="32"/>
          <w:lang w:bidi="ar"/>
        </w:rPr>
        <w:t>第一条</w:t>
      </w:r>
      <w:r>
        <w:rPr>
          <w:rFonts w:hint="eastAsia" w:ascii="仿宋" w:hAnsi="仿宋" w:eastAsia="仿宋" w:cs="Arial"/>
          <w:kern w:val="0"/>
          <w:sz w:val="32"/>
          <w:szCs w:val="32"/>
          <w:lang w:bidi="ar"/>
        </w:rPr>
        <w:t xml:space="preserve"> </w:t>
      </w:r>
      <w:r>
        <w:rPr>
          <w:rFonts w:ascii="仿宋" w:hAnsi="仿宋" w:eastAsia="仿宋" w:cs="Arial"/>
          <w:kern w:val="0"/>
          <w:sz w:val="32"/>
          <w:szCs w:val="32"/>
          <w:lang w:bidi="ar"/>
        </w:rPr>
        <w:t>为</w:t>
      </w:r>
      <w:r>
        <w:rPr>
          <w:rFonts w:hint="eastAsia" w:ascii="仿宋" w:hAnsi="仿宋" w:eastAsia="仿宋" w:cs="Arial"/>
          <w:kern w:val="0"/>
          <w:sz w:val="32"/>
          <w:szCs w:val="32"/>
          <w:lang w:bidi="ar"/>
        </w:rPr>
        <w:t>进一步</w:t>
      </w:r>
      <w:r>
        <w:rPr>
          <w:rFonts w:ascii="仿宋" w:hAnsi="仿宋" w:eastAsia="仿宋" w:cs="Arial"/>
          <w:kern w:val="0"/>
          <w:sz w:val="32"/>
          <w:szCs w:val="32"/>
          <w:lang w:bidi="ar"/>
        </w:rPr>
        <w:t>加强</w:t>
      </w:r>
      <w:r>
        <w:rPr>
          <w:rFonts w:hint="eastAsia" w:ascii="仿宋" w:hAnsi="仿宋" w:eastAsia="仿宋" w:cs="Arial"/>
          <w:kern w:val="0"/>
          <w:sz w:val="32"/>
          <w:szCs w:val="32"/>
          <w:lang w:bidi="ar"/>
        </w:rPr>
        <w:t>学校</w:t>
      </w:r>
      <w:r>
        <w:rPr>
          <w:rFonts w:ascii="仿宋" w:hAnsi="仿宋" w:eastAsia="仿宋" w:cs="Arial"/>
          <w:kern w:val="0"/>
          <w:sz w:val="32"/>
          <w:szCs w:val="32"/>
          <w:lang w:bidi="ar"/>
        </w:rPr>
        <w:t>资产管理，</w:t>
      </w:r>
      <w:r>
        <w:rPr>
          <w:rFonts w:hint="eastAsia" w:ascii="仿宋" w:hAnsi="仿宋" w:eastAsia="仿宋" w:cs="Arial"/>
          <w:kern w:val="0"/>
          <w:sz w:val="32"/>
          <w:szCs w:val="32"/>
          <w:lang w:bidi="ar"/>
        </w:rPr>
        <w:t>确保</w:t>
      </w:r>
      <w:r>
        <w:rPr>
          <w:rFonts w:ascii="仿宋" w:hAnsi="仿宋" w:eastAsia="仿宋" w:cs="Arial"/>
          <w:kern w:val="0"/>
          <w:sz w:val="32"/>
          <w:szCs w:val="32"/>
          <w:lang w:bidi="ar"/>
        </w:rPr>
        <w:t>国有资产的安全和完整，提高资产使用</w:t>
      </w:r>
      <w:r>
        <w:rPr>
          <w:rFonts w:hint="eastAsia" w:ascii="仿宋" w:hAnsi="仿宋" w:eastAsia="仿宋" w:cs="Arial"/>
          <w:kern w:val="0"/>
          <w:sz w:val="32"/>
          <w:szCs w:val="32"/>
          <w:lang w:bidi="ar"/>
        </w:rPr>
        <w:t>效率</w:t>
      </w:r>
      <w:r>
        <w:rPr>
          <w:rFonts w:ascii="仿宋" w:hAnsi="仿宋" w:eastAsia="仿宋" w:cs="Arial"/>
          <w:kern w:val="0"/>
          <w:sz w:val="32"/>
          <w:szCs w:val="32"/>
          <w:lang w:bidi="ar"/>
        </w:rPr>
        <w:t>，</w:t>
      </w:r>
      <w:r>
        <w:rPr>
          <w:rFonts w:hint="eastAsia" w:ascii="仿宋" w:hAnsi="仿宋" w:eastAsia="仿宋" w:cs="Arial"/>
          <w:kern w:val="0"/>
          <w:sz w:val="32"/>
          <w:szCs w:val="32"/>
          <w:lang w:bidi="ar"/>
        </w:rPr>
        <w:t>明确各级资产管理人员的职责，根据《柳州职业技术学院国有资产管理暂行办法》</w:t>
      </w:r>
      <w:r>
        <w:rPr>
          <w:rFonts w:hint="eastAsia" w:ascii="仿宋_GB2312" w:eastAsia="仿宋_GB2312"/>
          <w:sz w:val="32"/>
          <w:szCs w:val="32"/>
        </w:rPr>
        <w:t>（柳职院字〔2019〕15 号）</w:t>
      </w:r>
      <w:r>
        <w:rPr>
          <w:rFonts w:hint="eastAsia" w:ascii="仿宋" w:hAnsi="仿宋" w:eastAsia="仿宋" w:cs="Arial"/>
          <w:kern w:val="0"/>
          <w:sz w:val="32"/>
          <w:szCs w:val="32"/>
          <w:lang w:bidi="ar"/>
        </w:rPr>
        <w:t>的配套要求，对国有资产管理岗位职责做了如下规定。</w:t>
      </w:r>
    </w:p>
    <w:p>
      <w:pPr>
        <w:pageBreakBefore w:val="0"/>
        <w:widowControl/>
        <w:kinsoku/>
        <w:wordWrap/>
        <w:overflowPunct/>
        <w:topLinePunct w:val="0"/>
        <w:autoSpaceDE/>
        <w:autoSpaceDN/>
        <w:bidi w:val="0"/>
        <w:spacing w:line="596" w:lineRule="exact"/>
        <w:ind w:firstLine="643" w:firstLineChars="200"/>
        <w:jc w:val="left"/>
        <w:outlineLvl w:val="9"/>
        <w:rPr>
          <w:rFonts w:ascii="仿宋" w:hAnsi="仿宋" w:eastAsia="仿宋" w:cs="Arial"/>
          <w:kern w:val="0"/>
          <w:sz w:val="32"/>
          <w:szCs w:val="32"/>
          <w:lang w:bidi="ar"/>
        </w:rPr>
      </w:pPr>
      <w:r>
        <w:rPr>
          <w:rFonts w:hint="eastAsia" w:ascii="仿宋" w:hAnsi="仿宋" w:eastAsia="仿宋" w:cs="Arial"/>
          <w:b/>
          <w:kern w:val="0"/>
          <w:sz w:val="32"/>
          <w:szCs w:val="32"/>
          <w:lang w:bidi="ar"/>
        </w:rPr>
        <w:t>第二条</w:t>
      </w:r>
      <w:r>
        <w:rPr>
          <w:rFonts w:hint="eastAsia" w:ascii="仿宋" w:hAnsi="仿宋" w:eastAsia="仿宋" w:cs="Arial"/>
          <w:kern w:val="0"/>
          <w:sz w:val="32"/>
          <w:szCs w:val="32"/>
          <w:lang w:bidi="ar"/>
        </w:rPr>
        <w:t xml:space="preserve"> 学校</w:t>
      </w:r>
      <w:r>
        <w:rPr>
          <w:rFonts w:ascii="仿宋" w:hAnsi="仿宋" w:eastAsia="仿宋" w:cs="Arial"/>
          <w:kern w:val="0"/>
          <w:sz w:val="32"/>
          <w:szCs w:val="32"/>
          <w:lang w:bidi="ar"/>
        </w:rPr>
        <w:t>国有资产</w:t>
      </w:r>
      <w:r>
        <w:rPr>
          <w:rFonts w:hint="eastAsia" w:ascii="仿宋" w:hAnsi="仿宋" w:eastAsia="仿宋" w:cs="Arial"/>
          <w:kern w:val="0"/>
          <w:sz w:val="32"/>
          <w:szCs w:val="32"/>
          <w:lang w:bidi="ar"/>
        </w:rPr>
        <w:t>执</w:t>
      </w:r>
      <w:r>
        <w:rPr>
          <w:rFonts w:ascii="仿宋" w:hAnsi="仿宋" w:eastAsia="仿宋" w:cs="Arial"/>
          <w:kern w:val="0"/>
          <w:sz w:val="32"/>
          <w:szCs w:val="32"/>
          <w:lang w:bidi="ar"/>
        </w:rPr>
        <w:t>行“统一所有、归口管理、分级负责、责任到人”的管理体制</w:t>
      </w:r>
      <w:r>
        <w:rPr>
          <w:rFonts w:hint="eastAsia" w:ascii="仿宋" w:hAnsi="仿宋" w:eastAsia="仿宋" w:cs="Arial"/>
          <w:kern w:val="0"/>
          <w:sz w:val="32"/>
          <w:szCs w:val="32"/>
          <w:lang w:bidi="ar"/>
        </w:rPr>
        <w:t>，实行“谁使用，谁负责”的全员管理办法。</w:t>
      </w:r>
    </w:p>
    <w:p>
      <w:pPr>
        <w:pageBreakBefore w:val="0"/>
        <w:widowControl/>
        <w:kinsoku/>
        <w:wordWrap/>
        <w:overflowPunct/>
        <w:topLinePunct w:val="0"/>
        <w:autoSpaceDE/>
        <w:autoSpaceDN/>
        <w:bidi w:val="0"/>
        <w:spacing w:line="596" w:lineRule="exact"/>
        <w:ind w:firstLine="643" w:firstLineChars="200"/>
        <w:jc w:val="left"/>
        <w:outlineLvl w:val="9"/>
        <w:rPr>
          <w:rFonts w:ascii="仿宋" w:hAnsi="仿宋" w:eastAsia="仿宋" w:cs="Arial"/>
          <w:kern w:val="0"/>
          <w:sz w:val="32"/>
          <w:szCs w:val="32"/>
          <w:lang w:bidi="ar"/>
        </w:rPr>
      </w:pPr>
      <w:r>
        <w:rPr>
          <w:rFonts w:hint="eastAsia" w:ascii="仿宋" w:hAnsi="仿宋" w:eastAsia="仿宋" w:cs="Arial"/>
          <w:b/>
          <w:kern w:val="0"/>
          <w:sz w:val="32"/>
          <w:szCs w:val="32"/>
          <w:lang w:bidi="ar"/>
        </w:rPr>
        <w:t>第三条</w:t>
      </w:r>
      <w:r>
        <w:rPr>
          <w:rFonts w:hint="eastAsia" w:ascii="仿宋" w:hAnsi="仿宋" w:eastAsia="仿宋" w:cs="Arial"/>
          <w:kern w:val="0"/>
          <w:sz w:val="32"/>
          <w:szCs w:val="32"/>
          <w:lang w:bidi="ar"/>
        </w:rPr>
        <w:t xml:space="preserve"> 学校资产管理处负责对全校资产的统一管理，其他校属部门和二级学院的职责范围按照《柳州职业技术学院国有资产管理暂行办法》设定执行。</w:t>
      </w:r>
    </w:p>
    <w:p>
      <w:pPr>
        <w:pageBreakBefore w:val="0"/>
        <w:widowControl/>
        <w:kinsoku/>
        <w:wordWrap/>
        <w:overflowPunct/>
        <w:topLinePunct w:val="0"/>
        <w:autoSpaceDE/>
        <w:autoSpaceDN/>
        <w:bidi w:val="0"/>
        <w:spacing w:before="292" w:beforeLines="50" w:after="292" w:afterLines="50" w:line="596" w:lineRule="exact"/>
        <w:jc w:val="center"/>
        <w:outlineLvl w:val="9"/>
        <w:rPr>
          <w:rFonts w:ascii="黑体" w:hAnsi="黑体" w:eastAsia="黑体" w:cs="Arial"/>
          <w:b/>
          <w:kern w:val="0"/>
          <w:sz w:val="32"/>
          <w:szCs w:val="32"/>
          <w:lang w:bidi="ar"/>
        </w:rPr>
      </w:pPr>
      <w:bookmarkStart w:id="1514" w:name="_Toc3820_WPSOffice_Level1"/>
      <w:r>
        <w:rPr>
          <w:rFonts w:hint="eastAsia" w:ascii="黑体" w:hAnsi="黑体" w:eastAsia="黑体" w:cs="Arial"/>
          <w:b/>
          <w:kern w:val="0"/>
          <w:sz w:val="32"/>
          <w:szCs w:val="32"/>
          <w:lang w:bidi="ar"/>
        </w:rPr>
        <w:t>第二章 党政、教辅部门及二级学院资产负责人岗位职责</w:t>
      </w:r>
      <w:bookmarkEnd w:id="1514"/>
    </w:p>
    <w:p>
      <w:pPr>
        <w:pageBreakBefore w:val="0"/>
        <w:widowControl/>
        <w:kinsoku/>
        <w:wordWrap/>
        <w:overflowPunct/>
        <w:topLinePunct w:val="0"/>
        <w:autoSpaceDE/>
        <w:autoSpaceDN/>
        <w:bidi w:val="0"/>
        <w:spacing w:line="596" w:lineRule="exact"/>
        <w:ind w:firstLine="643" w:firstLineChars="200"/>
        <w:jc w:val="left"/>
        <w:outlineLvl w:val="9"/>
        <w:rPr>
          <w:rFonts w:ascii="仿宋" w:hAnsi="仿宋" w:eastAsia="仿宋" w:cs="Arial"/>
          <w:kern w:val="0"/>
          <w:sz w:val="32"/>
          <w:szCs w:val="32"/>
          <w:lang w:bidi="ar"/>
        </w:rPr>
      </w:pPr>
      <w:r>
        <w:rPr>
          <w:rFonts w:hint="eastAsia" w:ascii="仿宋" w:hAnsi="仿宋" w:eastAsia="仿宋" w:cs="Arial"/>
          <w:b/>
          <w:bCs/>
          <w:kern w:val="0"/>
          <w:sz w:val="32"/>
          <w:szCs w:val="32"/>
          <w:lang w:bidi="ar"/>
        </w:rPr>
        <w:t>第四条</w:t>
      </w:r>
      <w:r>
        <w:rPr>
          <w:rFonts w:hint="eastAsia" w:ascii="仿宋" w:hAnsi="仿宋" w:eastAsia="仿宋" w:cs="Arial"/>
          <w:kern w:val="0"/>
          <w:sz w:val="32"/>
          <w:szCs w:val="32"/>
          <w:lang w:bidi="ar"/>
        </w:rPr>
        <w:t xml:space="preserve"> 学校党政、教辅部门及二级学院应确定一名领导作为</w:t>
      </w:r>
      <w:r>
        <w:rPr>
          <w:rFonts w:ascii="仿宋" w:hAnsi="仿宋" w:eastAsia="仿宋" w:cs="Arial"/>
          <w:kern w:val="0"/>
          <w:sz w:val="32"/>
          <w:szCs w:val="32"/>
          <w:lang w:bidi="ar"/>
        </w:rPr>
        <w:t>资产管理的第一责任人，对本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的资产负全面领导责任，其主要职责：</w:t>
      </w:r>
    </w:p>
    <w:p>
      <w:pPr>
        <w:pageBreakBefore w:val="0"/>
        <w:widowControl/>
        <w:kinsoku/>
        <w:wordWrap/>
        <w:overflowPunct/>
        <w:topLinePunct w:val="0"/>
        <w:autoSpaceDE/>
        <w:autoSpaceDN/>
        <w:bidi w:val="0"/>
        <w:spacing w:line="596" w:lineRule="exact"/>
        <w:ind w:firstLine="640" w:firstLineChars="200"/>
        <w:jc w:val="left"/>
        <w:outlineLvl w:val="9"/>
        <w:rPr>
          <w:rFonts w:ascii="仿宋" w:hAnsi="仿宋" w:eastAsia="仿宋"/>
          <w:sz w:val="32"/>
          <w:szCs w:val="32"/>
        </w:rPr>
      </w:pPr>
      <w:r>
        <w:rPr>
          <w:rFonts w:hint="eastAsia" w:ascii="仿宋" w:hAnsi="仿宋" w:eastAsia="仿宋" w:cs="Arial"/>
          <w:bCs/>
          <w:kern w:val="0"/>
          <w:sz w:val="32"/>
          <w:szCs w:val="32"/>
          <w:lang w:bidi="ar"/>
        </w:rPr>
        <w:t>（一）</w:t>
      </w:r>
      <w:r>
        <w:rPr>
          <w:rFonts w:ascii="仿宋" w:hAnsi="仿宋" w:eastAsia="仿宋" w:cs="Arial"/>
          <w:kern w:val="0"/>
          <w:sz w:val="32"/>
          <w:szCs w:val="32"/>
          <w:lang w:bidi="ar"/>
        </w:rPr>
        <w:t>熟悉</w:t>
      </w:r>
      <w:r>
        <w:rPr>
          <w:rFonts w:hint="eastAsia" w:ascii="仿宋" w:hAnsi="仿宋" w:eastAsia="仿宋" w:cs="Arial"/>
          <w:kern w:val="0"/>
          <w:sz w:val="32"/>
          <w:szCs w:val="32"/>
          <w:lang w:bidi="ar"/>
        </w:rPr>
        <w:t>相关</w:t>
      </w:r>
      <w:r>
        <w:rPr>
          <w:rFonts w:ascii="仿宋" w:hAnsi="仿宋" w:eastAsia="仿宋" w:cs="Arial"/>
          <w:kern w:val="0"/>
          <w:sz w:val="32"/>
          <w:szCs w:val="32"/>
          <w:lang w:bidi="ar"/>
        </w:rPr>
        <w:t>法规</w:t>
      </w:r>
      <w:r>
        <w:rPr>
          <w:rFonts w:hint="eastAsia" w:ascii="仿宋" w:hAnsi="仿宋" w:eastAsia="仿宋" w:cs="Arial"/>
          <w:kern w:val="0"/>
          <w:sz w:val="32"/>
          <w:szCs w:val="32"/>
          <w:lang w:bidi="ar"/>
        </w:rPr>
        <w:t>准则</w:t>
      </w:r>
      <w:r>
        <w:rPr>
          <w:rFonts w:ascii="仿宋" w:hAnsi="仿宋" w:eastAsia="仿宋" w:cs="Arial"/>
          <w:kern w:val="0"/>
          <w:sz w:val="32"/>
          <w:szCs w:val="32"/>
          <w:lang w:bidi="ar"/>
        </w:rPr>
        <w:t>，贯彻执行上级主管部门和学校资产管理的规章制度，制定本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资产管理的实施细则，并组织实施。</w:t>
      </w:r>
    </w:p>
    <w:p>
      <w:pPr>
        <w:pageBreakBefore w:val="0"/>
        <w:widowControl/>
        <w:kinsoku/>
        <w:wordWrap/>
        <w:overflowPunct/>
        <w:topLinePunct w:val="0"/>
        <w:autoSpaceDE/>
        <w:autoSpaceDN/>
        <w:bidi w:val="0"/>
        <w:spacing w:line="596" w:lineRule="exact"/>
        <w:ind w:firstLine="640" w:firstLineChars="200"/>
        <w:jc w:val="left"/>
        <w:outlineLvl w:val="9"/>
        <w:rPr>
          <w:rFonts w:ascii="仿宋" w:hAnsi="仿宋" w:eastAsia="仿宋" w:cs="Arial"/>
          <w:kern w:val="0"/>
          <w:sz w:val="32"/>
          <w:szCs w:val="32"/>
          <w:lang w:bidi="ar"/>
        </w:rPr>
      </w:pPr>
      <w:r>
        <w:rPr>
          <w:rFonts w:hint="eastAsia" w:ascii="仿宋" w:hAnsi="仿宋" w:eastAsia="仿宋" w:cs="Arial"/>
          <w:kern w:val="0"/>
          <w:sz w:val="32"/>
          <w:szCs w:val="32"/>
          <w:lang w:bidi="ar"/>
        </w:rPr>
        <w:t>（二）</w:t>
      </w:r>
      <w:r>
        <w:rPr>
          <w:rFonts w:ascii="仿宋" w:hAnsi="仿宋" w:eastAsia="仿宋" w:cs="Arial"/>
          <w:kern w:val="0"/>
          <w:sz w:val="32"/>
          <w:szCs w:val="32"/>
          <w:lang w:bidi="ar"/>
        </w:rPr>
        <w:t>熟悉资产购置、处置政策与程序</w:t>
      </w:r>
      <w:r>
        <w:rPr>
          <w:rFonts w:hint="eastAsia" w:ascii="仿宋" w:hAnsi="仿宋" w:eastAsia="仿宋" w:cs="Arial"/>
          <w:kern w:val="0"/>
          <w:sz w:val="32"/>
          <w:szCs w:val="32"/>
          <w:lang w:bidi="ar"/>
        </w:rPr>
        <w:t>，</w:t>
      </w:r>
      <w:r>
        <w:rPr>
          <w:rFonts w:ascii="仿宋" w:hAnsi="仿宋" w:eastAsia="仿宋" w:cs="Arial"/>
          <w:kern w:val="0"/>
          <w:sz w:val="32"/>
          <w:szCs w:val="32"/>
          <w:lang w:bidi="ar"/>
        </w:rPr>
        <w:t>负责审查本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资产配置、</w:t>
      </w:r>
      <w:r>
        <w:rPr>
          <w:rFonts w:hint="eastAsia" w:ascii="仿宋" w:hAnsi="仿宋" w:eastAsia="仿宋" w:cs="Arial"/>
          <w:kern w:val="0"/>
          <w:sz w:val="32"/>
          <w:szCs w:val="32"/>
          <w:lang w:bidi="ar"/>
        </w:rPr>
        <w:t>资产</w:t>
      </w:r>
      <w:r>
        <w:rPr>
          <w:rFonts w:ascii="仿宋" w:hAnsi="仿宋" w:eastAsia="仿宋" w:cs="Arial"/>
          <w:kern w:val="0"/>
          <w:sz w:val="32"/>
          <w:szCs w:val="32"/>
          <w:lang w:bidi="ar"/>
        </w:rPr>
        <w:t>购置论证、资产调剂、报废报损等。</w:t>
      </w:r>
    </w:p>
    <w:p>
      <w:pPr>
        <w:pageBreakBefore w:val="0"/>
        <w:widowControl/>
        <w:kinsoku/>
        <w:wordWrap/>
        <w:overflowPunct/>
        <w:topLinePunct w:val="0"/>
        <w:autoSpaceDE/>
        <w:autoSpaceDN/>
        <w:bidi w:val="0"/>
        <w:spacing w:line="596" w:lineRule="exact"/>
        <w:ind w:firstLine="640" w:firstLineChars="200"/>
        <w:jc w:val="left"/>
        <w:outlineLvl w:val="9"/>
        <w:rPr>
          <w:rFonts w:ascii="仿宋" w:hAnsi="仿宋" w:eastAsia="仿宋" w:cs="Arial"/>
          <w:kern w:val="0"/>
          <w:sz w:val="32"/>
          <w:szCs w:val="32"/>
          <w:lang w:bidi="ar"/>
        </w:rPr>
      </w:pPr>
      <w:r>
        <w:rPr>
          <w:rFonts w:hint="eastAsia" w:ascii="Calibri" w:hAnsi="Calibri" w:eastAsia="仿宋" w:cs="Calibri"/>
          <w:kern w:val="0"/>
          <w:sz w:val="32"/>
          <w:szCs w:val="32"/>
          <w:lang w:bidi="ar"/>
        </w:rPr>
        <w:t>（三）</w:t>
      </w:r>
      <w:r>
        <w:rPr>
          <w:rFonts w:ascii="仿宋" w:hAnsi="仿宋" w:eastAsia="仿宋" w:cs="Arial"/>
          <w:kern w:val="0"/>
          <w:sz w:val="32"/>
          <w:szCs w:val="32"/>
          <w:lang w:bidi="ar"/>
        </w:rPr>
        <w:t>对本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使用的资产在学校规定的权限内进行调拨；对本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需要报废的资产严格审核，提出处理意见；对非正常损坏和丢失的资产按有关规定和实际情况提出处置意见上报</w:t>
      </w:r>
      <w:r>
        <w:rPr>
          <w:rFonts w:hint="eastAsia" w:ascii="仿宋" w:hAnsi="仿宋" w:eastAsia="仿宋" w:cs="Arial"/>
          <w:kern w:val="0"/>
          <w:sz w:val="32"/>
          <w:szCs w:val="32"/>
          <w:lang w:bidi="ar"/>
        </w:rPr>
        <w:t>学校资产管理处</w:t>
      </w:r>
      <w:r>
        <w:rPr>
          <w:rFonts w:ascii="仿宋" w:hAnsi="仿宋" w:eastAsia="仿宋" w:cs="Arial"/>
          <w:kern w:val="0"/>
          <w:sz w:val="32"/>
          <w:szCs w:val="32"/>
          <w:lang w:bidi="ar"/>
        </w:rPr>
        <w:t>。</w:t>
      </w:r>
    </w:p>
    <w:p>
      <w:pPr>
        <w:pageBreakBefore w:val="0"/>
        <w:widowControl/>
        <w:kinsoku/>
        <w:wordWrap/>
        <w:overflowPunct/>
        <w:topLinePunct w:val="0"/>
        <w:autoSpaceDE/>
        <w:autoSpaceDN/>
        <w:bidi w:val="0"/>
        <w:spacing w:line="596" w:lineRule="exact"/>
        <w:ind w:firstLine="640" w:firstLineChars="200"/>
        <w:jc w:val="left"/>
        <w:outlineLvl w:val="9"/>
        <w:rPr>
          <w:rFonts w:ascii="仿宋" w:hAnsi="仿宋" w:eastAsia="仿宋"/>
          <w:sz w:val="32"/>
          <w:szCs w:val="32"/>
        </w:rPr>
      </w:pPr>
      <w:r>
        <w:rPr>
          <w:rFonts w:hint="eastAsia" w:ascii="Calibri" w:hAnsi="Calibri" w:eastAsia="仿宋" w:cs="Calibri"/>
          <w:kern w:val="0"/>
          <w:sz w:val="32"/>
          <w:szCs w:val="32"/>
          <w:lang w:bidi="ar"/>
        </w:rPr>
        <w:t>（四）</w:t>
      </w:r>
      <w:r>
        <w:rPr>
          <w:rFonts w:ascii="仿宋" w:hAnsi="仿宋" w:eastAsia="仿宋" w:cs="Arial"/>
          <w:kern w:val="0"/>
          <w:sz w:val="32"/>
          <w:szCs w:val="32"/>
          <w:lang w:bidi="ar"/>
        </w:rPr>
        <w:t>定期组织检查本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资产日常使用和管理的情况，并及时解决存在的问题，对发现的重大问题及时报</w:t>
      </w:r>
      <w:r>
        <w:rPr>
          <w:rFonts w:hint="eastAsia" w:ascii="仿宋" w:hAnsi="仿宋" w:eastAsia="仿宋" w:cs="Arial"/>
          <w:kern w:val="0"/>
          <w:sz w:val="32"/>
          <w:szCs w:val="32"/>
          <w:lang w:bidi="ar"/>
        </w:rPr>
        <w:t>告</w:t>
      </w:r>
      <w:r>
        <w:rPr>
          <w:rFonts w:ascii="仿宋" w:hAnsi="仿宋" w:eastAsia="仿宋" w:cs="Arial"/>
          <w:kern w:val="0"/>
          <w:sz w:val="32"/>
          <w:szCs w:val="32"/>
          <w:lang w:bidi="ar"/>
        </w:rPr>
        <w:t>学校</w:t>
      </w:r>
      <w:r>
        <w:rPr>
          <w:rFonts w:hint="eastAsia" w:ascii="仿宋" w:hAnsi="仿宋" w:eastAsia="仿宋" w:cs="Arial"/>
          <w:kern w:val="0"/>
          <w:sz w:val="32"/>
          <w:szCs w:val="32"/>
          <w:lang w:bidi="ar"/>
        </w:rPr>
        <w:t>资产管理处</w:t>
      </w:r>
      <w:r>
        <w:rPr>
          <w:rFonts w:ascii="仿宋" w:hAnsi="仿宋" w:eastAsia="仿宋" w:cs="Arial"/>
          <w:kern w:val="0"/>
          <w:sz w:val="32"/>
          <w:szCs w:val="32"/>
          <w:lang w:bidi="ar"/>
        </w:rPr>
        <w:t>。</w:t>
      </w:r>
    </w:p>
    <w:p>
      <w:pPr>
        <w:pageBreakBefore w:val="0"/>
        <w:widowControl/>
        <w:kinsoku/>
        <w:wordWrap/>
        <w:overflowPunct/>
        <w:topLinePunct w:val="0"/>
        <w:autoSpaceDE/>
        <w:autoSpaceDN/>
        <w:bidi w:val="0"/>
        <w:spacing w:line="596" w:lineRule="exact"/>
        <w:ind w:firstLine="640" w:firstLineChars="200"/>
        <w:jc w:val="left"/>
        <w:outlineLvl w:val="9"/>
        <w:rPr>
          <w:rFonts w:hint="eastAsia" w:ascii="仿宋" w:hAnsi="仿宋" w:eastAsia="仿宋" w:cs="Arial"/>
          <w:kern w:val="0"/>
          <w:sz w:val="32"/>
          <w:szCs w:val="32"/>
          <w:lang w:bidi="ar"/>
        </w:rPr>
      </w:pPr>
      <w:r>
        <w:rPr>
          <w:rFonts w:hint="eastAsia" w:ascii="仿宋" w:hAnsi="仿宋" w:eastAsia="仿宋" w:cs="Arial"/>
          <w:kern w:val="0"/>
          <w:sz w:val="32"/>
          <w:szCs w:val="32"/>
          <w:lang w:bidi="ar"/>
        </w:rPr>
        <w:t>（五）根据实际派选一名以上</w:t>
      </w:r>
      <w:r>
        <w:rPr>
          <w:rFonts w:ascii="仿宋" w:hAnsi="仿宋" w:eastAsia="仿宋" w:cs="Arial"/>
          <w:kern w:val="0"/>
          <w:sz w:val="32"/>
          <w:szCs w:val="32"/>
          <w:lang w:bidi="ar"/>
        </w:rPr>
        <w:t>具有</w:t>
      </w:r>
      <w:r>
        <w:rPr>
          <w:rFonts w:hint="eastAsia" w:ascii="仿宋" w:hAnsi="仿宋" w:eastAsia="仿宋" w:cs="Arial"/>
          <w:kern w:val="0"/>
          <w:sz w:val="32"/>
          <w:szCs w:val="32"/>
          <w:lang w:bidi="ar"/>
        </w:rPr>
        <w:t>较强</w:t>
      </w:r>
      <w:r>
        <w:rPr>
          <w:rFonts w:ascii="仿宋" w:hAnsi="仿宋" w:eastAsia="仿宋" w:cs="Arial"/>
          <w:kern w:val="0"/>
          <w:sz w:val="32"/>
          <w:szCs w:val="32"/>
          <w:lang w:bidi="ar"/>
        </w:rPr>
        <w:t>责任心和工作能力的人员担任本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资产管理员，</w:t>
      </w:r>
      <w:r>
        <w:rPr>
          <w:rFonts w:hint="eastAsia" w:ascii="仿宋" w:hAnsi="仿宋" w:eastAsia="仿宋" w:cs="Arial"/>
          <w:kern w:val="0"/>
          <w:sz w:val="32"/>
          <w:szCs w:val="32"/>
          <w:lang w:bidi="ar"/>
        </w:rPr>
        <w:t>并向学校资产管理处报备。</w:t>
      </w:r>
    </w:p>
    <w:p>
      <w:pPr>
        <w:pageBreakBefore w:val="0"/>
        <w:widowControl/>
        <w:kinsoku/>
        <w:wordWrap/>
        <w:overflowPunct/>
        <w:topLinePunct w:val="0"/>
        <w:autoSpaceDE/>
        <w:autoSpaceDN/>
        <w:bidi w:val="0"/>
        <w:spacing w:line="596" w:lineRule="exact"/>
        <w:ind w:firstLine="640" w:firstLineChars="200"/>
        <w:jc w:val="left"/>
        <w:outlineLvl w:val="9"/>
        <w:rPr>
          <w:rFonts w:ascii="仿宋" w:hAnsi="仿宋" w:eastAsia="仿宋" w:cs="Arial"/>
          <w:kern w:val="0"/>
          <w:sz w:val="32"/>
          <w:szCs w:val="32"/>
          <w:lang w:bidi="ar"/>
        </w:rPr>
      </w:pPr>
      <w:r>
        <w:rPr>
          <w:rFonts w:hint="eastAsia" w:ascii="仿宋" w:hAnsi="仿宋" w:eastAsia="仿宋" w:cs="Arial"/>
          <w:kern w:val="0"/>
          <w:sz w:val="32"/>
          <w:szCs w:val="32"/>
          <w:lang w:bidi="ar"/>
        </w:rPr>
        <w:t>（六）</w:t>
      </w:r>
      <w:r>
        <w:rPr>
          <w:rFonts w:ascii="仿宋" w:hAnsi="仿宋" w:eastAsia="仿宋" w:cs="Arial"/>
          <w:kern w:val="0"/>
          <w:sz w:val="32"/>
          <w:szCs w:val="32"/>
          <w:lang w:bidi="ar"/>
        </w:rPr>
        <w:t>安排</w:t>
      </w:r>
      <w:r>
        <w:rPr>
          <w:rFonts w:hint="eastAsia" w:ascii="仿宋" w:hAnsi="仿宋" w:eastAsia="仿宋" w:cs="Arial"/>
          <w:kern w:val="0"/>
          <w:sz w:val="32"/>
          <w:szCs w:val="32"/>
          <w:lang w:bidi="ar"/>
        </w:rPr>
        <w:t>好</w:t>
      </w:r>
      <w:r>
        <w:rPr>
          <w:rFonts w:ascii="仿宋" w:hAnsi="仿宋" w:eastAsia="仿宋" w:cs="Arial"/>
          <w:kern w:val="0"/>
          <w:sz w:val="32"/>
          <w:szCs w:val="32"/>
          <w:lang w:bidi="ar"/>
        </w:rPr>
        <w:t>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资产管理员的资产管理工作，并加以检查督促。</w:t>
      </w:r>
    </w:p>
    <w:p>
      <w:pPr>
        <w:pageBreakBefore w:val="0"/>
        <w:widowControl/>
        <w:kinsoku/>
        <w:wordWrap/>
        <w:overflowPunct/>
        <w:topLinePunct w:val="0"/>
        <w:autoSpaceDE/>
        <w:autoSpaceDN/>
        <w:bidi w:val="0"/>
        <w:spacing w:line="596" w:lineRule="exact"/>
        <w:ind w:firstLine="640" w:firstLineChars="200"/>
        <w:jc w:val="left"/>
        <w:outlineLvl w:val="9"/>
        <w:rPr>
          <w:rFonts w:ascii="仿宋" w:hAnsi="仿宋" w:eastAsia="仿宋" w:cs="Arial"/>
          <w:kern w:val="0"/>
          <w:sz w:val="32"/>
          <w:szCs w:val="32"/>
          <w:lang w:bidi="ar"/>
        </w:rPr>
      </w:pPr>
      <w:r>
        <w:rPr>
          <w:rFonts w:hint="eastAsia" w:ascii="仿宋" w:hAnsi="仿宋" w:eastAsia="仿宋" w:cs="Arial"/>
          <w:kern w:val="0"/>
          <w:sz w:val="32"/>
          <w:szCs w:val="32"/>
          <w:lang w:bidi="ar"/>
        </w:rPr>
        <w:t>（七）</w:t>
      </w:r>
      <w:r>
        <w:rPr>
          <w:rFonts w:ascii="仿宋" w:hAnsi="仿宋" w:eastAsia="仿宋" w:cs="Arial"/>
          <w:kern w:val="0"/>
          <w:sz w:val="32"/>
          <w:szCs w:val="32"/>
          <w:lang w:bidi="ar"/>
        </w:rPr>
        <w:t>提高本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资产的使用</w:t>
      </w:r>
      <w:r>
        <w:rPr>
          <w:rFonts w:hint="eastAsia" w:ascii="仿宋" w:hAnsi="仿宋" w:eastAsia="仿宋" w:cs="Arial"/>
          <w:kern w:val="0"/>
          <w:sz w:val="32"/>
          <w:szCs w:val="32"/>
          <w:lang w:bidi="ar"/>
        </w:rPr>
        <w:t>效率</w:t>
      </w:r>
      <w:r>
        <w:rPr>
          <w:rFonts w:ascii="仿宋" w:hAnsi="仿宋" w:eastAsia="仿宋" w:cs="Arial"/>
          <w:kern w:val="0"/>
          <w:sz w:val="32"/>
          <w:szCs w:val="32"/>
          <w:lang w:bidi="ar"/>
        </w:rPr>
        <w:t>，积极推进资源共享。</w:t>
      </w:r>
    </w:p>
    <w:p>
      <w:pPr>
        <w:pageBreakBefore w:val="0"/>
        <w:widowControl/>
        <w:kinsoku/>
        <w:wordWrap/>
        <w:overflowPunct/>
        <w:topLinePunct w:val="0"/>
        <w:autoSpaceDE/>
        <w:autoSpaceDN/>
        <w:bidi w:val="0"/>
        <w:spacing w:line="596" w:lineRule="exact"/>
        <w:ind w:firstLine="640" w:firstLineChars="200"/>
        <w:jc w:val="left"/>
        <w:outlineLvl w:val="9"/>
        <w:rPr>
          <w:rFonts w:hint="eastAsia" w:ascii="仿宋" w:hAnsi="仿宋" w:eastAsia="仿宋" w:cs="Arial"/>
          <w:kern w:val="0"/>
          <w:sz w:val="32"/>
          <w:szCs w:val="32"/>
          <w:lang w:bidi="ar"/>
        </w:rPr>
      </w:pPr>
      <w:r>
        <w:rPr>
          <w:rFonts w:hint="eastAsia" w:ascii="仿宋" w:hAnsi="仿宋" w:eastAsia="仿宋" w:cs="Arial"/>
          <w:kern w:val="0"/>
          <w:sz w:val="32"/>
          <w:szCs w:val="32"/>
          <w:lang w:bidi="ar"/>
        </w:rPr>
        <w:t>（八）参加本部门项目初步验收及正式验收工作。</w:t>
      </w:r>
    </w:p>
    <w:p>
      <w:pPr>
        <w:pageBreakBefore w:val="0"/>
        <w:widowControl/>
        <w:kinsoku/>
        <w:wordWrap/>
        <w:overflowPunct/>
        <w:topLinePunct w:val="0"/>
        <w:autoSpaceDE/>
        <w:autoSpaceDN/>
        <w:bidi w:val="0"/>
        <w:spacing w:line="596" w:lineRule="exact"/>
        <w:ind w:firstLine="640" w:firstLineChars="200"/>
        <w:jc w:val="left"/>
        <w:outlineLvl w:val="9"/>
        <w:rPr>
          <w:rFonts w:ascii="仿宋" w:hAnsi="仿宋" w:eastAsia="仿宋" w:cs="Arial"/>
          <w:kern w:val="0"/>
          <w:sz w:val="32"/>
          <w:szCs w:val="32"/>
          <w:lang w:bidi="ar"/>
        </w:rPr>
      </w:pPr>
      <w:r>
        <w:rPr>
          <w:rFonts w:hint="eastAsia" w:ascii="仿宋" w:hAnsi="仿宋" w:eastAsia="仿宋" w:cs="Arial"/>
          <w:kern w:val="0"/>
          <w:sz w:val="32"/>
          <w:szCs w:val="32"/>
          <w:lang w:bidi="ar"/>
        </w:rPr>
        <w:t>（九）做好本部门每年资产清查工作。</w:t>
      </w:r>
    </w:p>
    <w:p>
      <w:pPr>
        <w:pageBreakBefore w:val="0"/>
        <w:widowControl/>
        <w:kinsoku/>
        <w:wordWrap/>
        <w:overflowPunct/>
        <w:topLinePunct w:val="0"/>
        <w:autoSpaceDE/>
        <w:autoSpaceDN/>
        <w:bidi w:val="0"/>
        <w:spacing w:before="292" w:beforeLines="50" w:after="292" w:afterLines="50" w:line="596" w:lineRule="exact"/>
        <w:jc w:val="center"/>
        <w:outlineLvl w:val="9"/>
        <w:rPr>
          <w:rFonts w:ascii="黑体" w:hAnsi="黑体" w:eastAsia="黑体" w:cs="Arial"/>
          <w:b/>
          <w:kern w:val="0"/>
          <w:sz w:val="32"/>
          <w:szCs w:val="32"/>
          <w:lang w:bidi="ar"/>
        </w:rPr>
      </w:pPr>
      <w:bookmarkStart w:id="1515" w:name="_Toc15305_WPSOffice_Level1"/>
      <w:r>
        <w:rPr>
          <w:rFonts w:hint="eastAsia" w:ascii="黑体" w:hAnsi="黑体" w:eastAsia="黑体" w:cs="Arial"/>
          <w:b/>
          <w:kern w:val="0"/>
          <w:sz w:val="32"/>
          <w:szCs w:val="32"/>
          <w:lang w:bidi="ar"/>
        </w:rPr>
        <w:t>第三章 部门</w:t>
      </w:r>
      <w:r>
        <w:rPr>
          <w:rFonts w:ascii="黑体" w:hAnsi="黑体" w:eastAsia="黑体" w:cs="Arial"/>
          <w:b/>
          <w:kern w:val="0"/>
          <w:sz w:val="32"/>
          <w:szCs w:val="32"/>
          <w:lang w:bidi="ar"/>
        </w:rPr>
        <w:t>资产管理员岗位职责</w:t>
      </w:r>
      <w:bookmarkEnd w:id="1515"/>
    </w:p>
    <w:p>
      <w:pPr>
        <w:pageBreakBefore w:val="0"/>
        <w:widowControl/>
        <w:kinsoku/>
        <w:wordWrap/>
        <w:overflowPunct/>
        <w:topLinePunct w:val="0"/>
        <w:autoSpaceDE/>
        <w:autoSpaceDN/>
        <w:bidi w:val="0"/>
        <w:spacing w:line="596" w:lineRule="exact"/>
        <w:ind w:firstLine="482" w:firstLineChars="150"/>
        <w:jc w:val="left"/>
        <w:outlineLvl w:val="9"/>
        <w:rPr>
          <w:rFonts w:ascii="仿宋" w:hAnsi="仿宋" w:eastAsia="仿宋"/>
          <w:sz w:val="32"/>
          <w:szCs w:val="32"/>
        </w:rPr>
      </w:pPr>
      <w:r>
        <w:rPr>
          <w:rFonts w:hint="eastAsia" w:ascii="仿宋" w:hAnsi="仿宋" w:eastAsia="仿宋" w:cs="Arial"/>
          <w:b/>
          <w:bCs/>
          <w:kern w:val="0"/>
          <w:sz w:val="32"/>
          <w:szCs w:val="32"/>
          <w:lang w:bidi="ar"/>
        </w:rPr>
        <w:t xml:space="preserve">第五条 </w:t>
      </w:r>
      <w:r>
        <w:rPr>
          <w:rFonts w:hint="eastAsia" w:ascii="仿宋" w:hAnsi="仿宋" w:eastAsia="仿宋" w:cs="Arial"/>
          <w:kern w:val="0"/>
          <w:sz w:val="32"/>
          <w:szCs w:val="32"/>
          <w:lang w:bidi="ar"/>
        </w:rPr>
        <w:t>部门配备的</w:t>
      </w:r>
      <w:r>
        <w:rPr>
          <w:rFonts w:ascii="仿宋" w:hAnsi="仿宋" w:eastAsia="仿宋" w:cs="Arial"/>
          <w:kern w:val="0"/>
          <w:sz w:val="32"/>
          <w:szCs w:val="32"/>
          <w:lang w:bidi="ar"/>
        </w:rPr>
        <w:t>资产管理员</w:t>
      </w:r>
      <w:r>
        <w:rPr>
          <w:rFonts w:hint="eastAsia" w:ascii="仿宋" w:hAnsi="仿宋" w:eastAsia="仿宋" w:cs="Arial"/>
          <w:kern w:val="0"/>
          <w:sz w:val="32"/>
          <w:szCs w:val="32"/>
          <w:lang w:bidi="ar"/>
        </w:rPr>
        <w:t>负责</w:t>
      </w:r>
      <w:r>
        <w:rPr>
          <w:rFonts w:ascii="仿宋" w:hAnsi="仿宋" w:eastAsia="仿宋" w:cs="Arial"/>
          <w:kern w:val="0"/>
          <w:sz w:val="32"/>
          <w:szCs w:val="32"/>
          <w:lang w:bidi="ar"/>
        </w:rPr>
        <w:t>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资产的日常监督</w:t>
      </w:r>
      <w:r>
        <w:rPr>
          <w:rFonts w:hint="eastAsia" w:ascii="仿宋" w:hAnsi="仿宋" w:eastAsia="仿宋" w:cs="Arial"/>
          <w:kern w:val="0"/>
          <w:sz w:val="32"/>
          <w:szCs w:val="32"/>
          <w:lang w:bidi="ar"/>
        </w:rPr>
        <w:t>和</w:t>
      </w:r>
      <w:r>
        <w:rPr>
          <w:rFonts w:ascii="仿宋" w:hAnsi="仿宋" w:eastAsia="仿宋" w:cs="Arial"/>
          <w:kern w:val="0"/>
          <w:sz w:val="32"/>
          <w:szCs w:val="32"/>
          <w:lang w:bidi="ar"/>
        </w:rPr>
        <w:t>管理</w:t>
      </w:r>
      <w:r>
        <w:rPr>
          <w:rFonts w:hint="eastAsia" w:ascii="仿宋" w:hAnsi="仿宋" w:eastAsia="仿宋" w:cs="Arial"/>
          <w:kern w:val="0"/>
          <w:sz w:val="32"/>
          <w:szCs w:val="32"/>
          <w:lang w:bidi="ar"/>
        </w:rPr>
        <w:t>使用，主要职责：</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bCs/>
          <w:kern w:val="0"/>
          <w:sz w:val="32"/>
          <w:szCs w:val="32"/>
          <w:lang w:bidi="ar"/>
        </w:rPr>
        <w:t>（一）</w:t>
      </w:r>
      <w:r>
        <w:rPr>
          <w:rFonts w:ascii="仿宋" w:hAnsi="仿宋" w:eastAsia="仿宋" w:cs="Arial"/>
          <w:kern w:val="0"/>
          <w:sz w:val="32"/>
          <w:szCs w:val="32"/>
          <w:lang w:bidi="ar"/>
        </w:rPr>
        <w:t>熟悉、宣传、掌握并贯彻执行学校资产管理制度</w:t>
      </w:r>
      <w:r>
        <w:rPr>
          <w:rFonts w:hint="eastAsia" w:ascii="仿宋" w:hAnsi="仿宋" w:eastAsia="仿宋" w:cs="Arial"/>
          <w:kern w:val="0"/>
          <w:sz w:val="32"/>
          <w:szCs w:val="32"/>
          <w:lang w:bidi="ar"/>
        </w:rPr>
        <w:t>、</w:t>
      </w:r>
      <w:r>
        <w:rPr>
          <w:rFonts w:ascii="仿宋" w:hAnsi="仿宋" w:eastAsia="仿宋" w:cs="Arial"/>
          <w:kern w:val="0"/>
          <w:sz w:val="32"/>
          <w:szCs w:val="32"/>
          <w:lang w:bidi="ar"/>
        </w:rPr>
        <w:t>资产配置标准、使用寿命、折旧年限、报废期限</w:t>
      </w:r>
      <w:r>
        <w:rPr>
          <w:rFonts w:hint="eastAsia" w:ascii="仿宋" w:hAnsi="仿宋" w:eastAsia="仿宋" w:cs="Arial"/>
          <w:kern w:val="0"/>
          <w:sz w:val="32"/>
          <w:szCs w:val="32"/>
          <w:lang w:bidi="ar"/>
        </w:rPr>
        <w:t>，执行</w:t>
      </w:r>
      <w:r>
        <w:rPr>
          <w:rFonts w:ascii="仿宋" w:hAnsi="仿宋" w:eastAsia="仿宋" w:cs="Arial"/>
          <w:kern w:val="0"/>
          <w:sz w:val="32"/>
          <w:szCs w:val="32"/>
          <w:lang w:bidi="ar"/>
        </w:rPr>
        <w:t>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资产管理的实施细则。</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kern w:val="0"/>
          <w:sz w:val="32"/>
          <w:szCs w:val="32"/>
          <w:lang w:bidi="ar"/>
        </w:rPr>
        <w:t>（二）对本部门资产采购合同复印存档并落实资产具体使用人（保管人），参加</w:t>
      </w:r>
      <w:r>
        <w:rPr>
          <w:rFonts w:ascii="仿宋" w:hAnsi="仿宋" w:eastAsia="仿宋" w:cs="Arial"/>
          <w:kern w:val="0"/>
          <w:sz w:val="32"/>
          <w:szCs w:val="32"/>
          <w:lang w:bidi="ar"/>
        </w:rPr>
        <w:t>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w:t>
      </w:r>
      <w:r>
        <w:rPr>
          <w:rFonts w:hint="eastAsia" w:ascii="仿宋" w:hAnsi="仿宋" w:eastAsia="仿宋" w:cs="Arial"/>
          <w:kern w:val="0"/>
          <w:sz w:val="32"/>
          <w:szCs w:val="32"/>
          <w:lang w:bidi="ar"/>
        </w:rPr>
        <w:t>采购验收</w:t>
      </w:r>
      <w:r>
        <w:rPr>
          <w:rFonts w:ascii="仿宋" w:hAnsi="仿宋" w:eastAsia="仿宋" w:cs="Arial"/>
          <w:kern w:val="0"/>
          <w:sz w:val="32"/>
          <w:szCs w:val="32"/>
          <w:lang w:bidi="ar"/>
        </w:rPr>
        <w:t>工作</w:t>
      </w:r>
      <w:r>
        <w:rPr>
          <w:rFonts w:hint="eastAsia" w:ascii="仿宋" w:hAnsi="仿宋" w:eastAsia="仿宋" w:cs="Arial"/>
          <w:kern w:val="0"/>
          <w:sz w:val="32"/>
          <w:szCs w:val="32"/>
          <w:lang w:bidi="ar"/>
        </w:rPr>
        <w:t>并形成验收报告</w:t>
      </w:r>
      <w:r>
        <w:rPr>
          <w:rFonts w:ascii="仿宋" w:hAnsi="仿宋" w:eastAsia="仿宋" w:cs="Arial"/>
          <w:kern w:val="0"/>
          <w:sz w:val="32"/>
          <w:szCs w:val="32"/>
          <w:lang w:bidi="ar"/>
        </w:rPr>
        <w:t>。</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kern w:val="0"/>
          <w:sz w:val="32"/>
          <w:szCs w:val="32"/>
          <w:lang w:bidi="ar"/>
        </w:rPr>
        <w:t>（三）</w:t>
      </w:r>
      <w:r>
        <w:rPr>
          <w:rFonts w:ascii="仿宋" w:hAnsi="仿宋" w:eastAsia="仿宋" w:cs="Arial"/>
          <w:kern w:val="0"/>
          <w:sz w:val="32"/>
          <w:szCs w:val="32"/>
          <w:lang w:bidi="ar"/>
        </w:rPr>
        <w:t>负责本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资产的信息录入、标签粘贴、调拨和统计上报等工作</w:t>
      </w:r>
      <w:r>
        <w:rPr>
          <w:rFonts w:hint="eastAsia" w:ascii="仿宋" w:hAnsi="仿宋" w:eastAsia="仿宋" w:cs="Arial"/>
          <w:kern w:val="0"/>
          <w:sz w:val="32"/>
          <w:szCs w:val="32"/>
          <w:lang w:bidi="ar"/>
        </w:rPr>
        <w:t>。</w:t>
      </w:r>
      <w:r>
        <w:rPr>
          <w:rFonts w:ascii="仿宋" w:hAnsi="仿宋" w:eastAsia="仿宋" w:cs="Arial"/>
          <w:kern w:val="0"/>
          <w:sz w:val="32"/>
          <w:szCs w:val="32"/>
          <w:lang w:bidi="ar"/>
        </w:rPr>
        <w:t>严格按规程操作和维护好资产管理系统</w:t>
      </w:r>
      <w:r>
        <w:rPr>
          <w:rFonts w:hint="eastAsia" w:ascii="仿宋" w:hAnsi="仿宋" w:eastAsia="仿宋" w:cs="Arial"/>
          <w:kern w:val="0"/>
          <w:sz w:val="32"/>
          <w:szCs w:val="32"/>
          <w:lang w:bidi="ar"/>
        </w:rPr>
        <w:t>，验收完成后在规定时间内完成信息录入、标签粘贴及办理转账结算手续工作。</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cs="Arial"/>
          <w:kern w:val="0"/>
          <w:sz w:val="32"/>
          <w:szCs w:val="32"/>
          <w:lang w:bidi="ar"/>
        </w:rPr>
      </w:pPr>
      <w:r>
        <w:rPr>
          <w:rFonts w:hint="eastAsia" w:ascii="仿宋" w:hAnsi="仿宋" w:eastAsia="仿宋" w:cs="Arial"/>
          <w:kern w:val="0"/>
          <w:sz w:val="32"/>
          <w:szCs w:val="32"/>
          <w:lang w:bidi="ar"/>
        </w:rPr>
        <w:t>（四）</w:t>
      </w:r>
      <w:r>
        <w:rPr>
          <w:rFonts w:ascii="仿宋" w:hAnsi="仿宋" w:eastAsia="仿宋" w:cs="Arial"/>
          <w:kern w:val="0"/>
          <w:sz w:val="32"/>
          <w:szCs w:val="32"/>
          <w:lang w:bidi="ar"/>
        </w:rPr>
        <w:t>按要求开展本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资产清查工作，发现问题及时向</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领导汇报。</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kern w:val="0"/>
          <w:sz w:val="32"/>
          <w:szCs w:val="32"/>
          <w:lang w:bidi="ar"/>
        </w:rPr>
        <w:t>（五）做好本部门变动、离职人员的资产移交工作，资产变更情况报学校资产管理处备案。</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kern w:val="0"/>
          <w:sz w:val="32"/>
          <w:szCs w:val="32"/>
          <w:lang w:bidi="ar"/>
        </w:rPr>
        <w:t>（六）</w:t>
      </w:r>
      <w:r>
        <w:rPr>
          <w:rFonts w:ascii="仿宋" w:hAnsi="仿宋" w:eastAsia="仿宋" w:cs="Arial"/>
          <w:kern w:val="0"/>
          <w:sz w:val="32"/>
          <w:szCs w:val="32"/>
          <w:lang w:bidi="ar"/>
        </w:rPr>
        <w:t>对超期限已不能正常使用或其他特殊原因需处置的资产，按规定程序办理资产处置手续。</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kern w:val="0"/>
          <w:sz w:val="32"/>
          <w:szCs w:val="32"/>
          <w:lang w:bidi="ar"/>
        </w:rPr>
        <w:t>（七）提醒</w:t>
      </w:r>
      <w:r>
        <w:rPr>
          <w:rFonts w:ascii="仿宋" w:hAnsi="仿宋" w:eastAsia="仿宋" w:cs="Arial"/>
          <w:kern w:val="0"/>
          <w:sz w:val="32"/>
          <w:szCs w:val="32"/>
          <w:lang w:bidi="ar"/>
        </w:rPr>
        <w:t>资产使（领）用人按要求使用、检修、养护资产</w:t>
      </w:r>
      <w:r>
        <w:rPr>
          <w:rFonts w:hint="eastAsia" w:ascii="仿宋" w:hAnsi="仿宋" w:eastAsia="仿宋" w:cs="Arial"/>
          <w:kern w:val="0"/>
          <w:sz w:val="32"/>
          <w:szCs w:val="32"/>
          <w:lang w:bidi="ar"/>
        </w:rPr>
        <w:t>物品</w:t>
      </w:r>
      <w:r>
        <w:rPr>
          <w:rFonts w:ascii="仿宋" w:hAnsi="仿宋" w:eastAsia="仿宋" w:cs="Arial"/>
          <w:kern w:val="0"/>
          <w:sz w:val="32"/>
          <w:szCs w:val="32"/>
          <w:lang w:bidi="ar"/>
        </w:rPr>
        <w:t>,并做好使用和检修保养情况记录</w:t>
      </w:r>
      <w:r>
        <w:rPr>
          <w:rFonts w:hint="eastAsia" w:ascii="仿宋" w:hAnsi="仿宋" w:eastAsia="仿宋" w:cs="Arial"/>
          <w:kern w:val="0"/>
          <w:sz w:val="32"/>
          <w:szCs w:val="32"/>
          <w:lang w:bidi="ar"/>
        </w:rPr>
        <w:t>。</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kern w:val="0"/>
          <w:sz w:val="32"/>
          <w:szCs w:val="32"/>
          <w:lang w:bidi="ar"/>
        </w:rPr>
        <w:t>（八）</w:t>
      </w:r>
      <w:r>
        <w:rPr>
          <w:rFonts w:ascii="仿宋" w:hAnsi="仿宋" w:eastAsia="仿宋" w:cs="Arial"/>
          <w:kern w:val="0"/>
          <w:sz w:val="32"/>
          <w:szCs w:val="32"/>
          <w:lang w:bidi="ar"/>
        </w:rPr>
        <w:t>协助</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资产负责人</w:t>
      </w:r>
      <w:r>
        <w:rPr>
          <w:rFonts w:hint="eastAsia" w:ascii="仿宋" w:hAnsi="仿宋" w:eastAsia="仿宋" w:cs="Arial"/>
          <w:kern w:val="0"/>
          <w:sz w:val="32"/>
          <w:szCs w:val="32"/>
          <w:lang w:bidi="ar"/>
        </w:rPr>
        <w:t>做好资产</w:t>
      </w:r>
      <w:r>
        <w:rPr>
          <w:rFonts w:ascii="仿宋" w:hAnsi="仿宋" w:eastAsia="仿宋" w:cs="Arial"/>
          <w:kern w:val="0"/>
          <w:sz w:val="32"/>
          <w:szCs w:val="32"/>
          <w:lang w:bidi="ar"/>
        </w:rPr>
        <w:t>配置与调配</w:t>
      </w:r>
      <w:r>
        <w:rPr>
          <w:rFonts w:hint="eastAsia" w:ascii="仿宋" w:hAnsi="仿宋" w:eastAsia="仿宋" w:cs="Arial"/>
          <w:kern w:val="0"/>
          <w:sz w:val="32"/>
          <w:szCs w:val="32"/>
          <w:lang w:bidi="ar"/>
        </w:rPr>
        <w:t>工作</w:t>
      </w:r>
      <w:r>
        <w:rPr>
          <w:rFonts w:ascii="仿宋" w:hAnsi="仿宋" w:eastAsia="仿宋" w:cs="Arial"/>
          <w:kern w:val="0"/>
          <w:sz w:val="32"/>
          <w:szCs w:val="32"/>
          <w:lang w:bidi="ar"/>
        </w:rPr>
        <w:t>，提高利用率，避免资源浪费。</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bCs/>
          <w:kern w:val="0"/>
          <w:sz w:val="32"/>
          <w:szCs w:val="32"/>
          <w:lang w:bidi="ar"/>
        </w:rPr>
        <w:t>（九）</w:t>
      </w:r>
      <w:r>
        <w:rPr>
          <w:rFonts w:ascii="仿宋" w:hAnsi="仿宋" w:eastAsia="仿宋" w:cs="Arial"/>
          <w:kern w:val="0"/>
          <w:sz w:val="32"/>
          <w:szCs w:val="32"/>
          <w:lang w:bidi="ar"/>
        </w:rPr>
        <w:t>负责做好本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资产档案的收集、整理和管理工作。</w:t>
      </w:r>
    </w:p>
    <w:p>
      <w:pPr>
        <w:pageBreakBefore w:val="0"/>
        <w:widowControl/>
        <w:kinsoku/>
        <w:wordWrap/>
        <w:overflowPunct/>
        <w:topLinePunct w:val="0"/>
        <w:autoSpaceDE/>
        <w:autoSpaceDN/>
        <w:bidi w:val="0"/>
        <w:spacing w:before="292" w:beforeLines="50" w:after="292" w:afterLines="50" w:line="596" w:lineRule="exact"/>
        <w:jc w:val="center"/>
        <w:outlineLvl w:val="9"/>
        <w:rPr>
          <w:rFonts w:ascii="黑体" w:hAnsi="黑体" w:eastAsia="黑体" w:cs="Arial"/>
          <w:b/>
          <w:kern w:val="0"/>
          <w:sz w:val="32"/>
          <w:szCs w:val="32"/>
          <w:lang w:bidi="ar"/>
        </w:rPr>
      </w:pPr>
      <w:bookmarkStart w:id="1516" w:name="_Toc27014_WPSOffice_Level1"/>
      <w:r>
        <w:rPr>
          <w:rFonts w:hint="eastAsia" w:ascii="黑体" w:hAnsi="黑体" w:eastAsia="黑体" w:cs="Arial"/>
          <w:b/>
          <w:kern w:val="0"/>
          <w:sz w:val="32"/>
          <w:szCs w:val="32"/>
          <w:lang w:bidi="ar"/>
        </w:rPr>
        <w:t xml:space="preserve">第四章 </w:t>
      </w:r>
      <w:r>
        <w:rPr>
          <w:rFonts w:ascii="黑体" w:hAnsi="黑体" w:eastAsia="黑体" w:cs="Arial"/>
          <w:b/>
          <w:kern w:val="0"/>
          <w:sz w:val="32"/>
          <w:szCs w:val="32"/>
          <w:lang w:bidi="ar"/>
        </w:rPr>
        <w:t>资产使用人职责</w:t>
      </w:r>
      <w:bookmarkEnd w:id="1516"/>
    </w:p>
    <w:p>
      <w:pPr>
        <w:pageBreakBefore w:val="0"/>
        <w:widowControl/>
        <w:kinsoku/>
        <w:wordWrap/>
        <w:overflowPunct/>
        <w:topLinePunct w:val="0"/>
        <w:autoSpaceDE/>
        <w:autoSpaceDN/>
        <w:bidi w:val="0"/>
        <w:spacing w:line="596" w:lineRule="exact"/>
        <w:ind w:firstLine="482" w:firstLineChars="150"/>
        <w:jc w:val="left"/>
        <w:outlineLvl w:val="9"/>
        <w:rPr>
          <w:rFonts w:ascii="仿宋" w:hAnsi="仿宋" w:eastAsia="仿宋"/>
          <w:sz w:val="32"/>
          <w:szCs w:val="32"/>
        </w:rPr>
      </w:pPr>
      <w:r>
        <w:rPr>
          <w:rFonts w:hint="eastAsia" w:ascii="仿宋" w:hAnsi="仿宋" w:eastAsia="仿宋" w:cs="Arial"/>
          <w:b/>
          <w:bCs/>
          <w:kern w:val="0"/>
          <w:sz w:val="32"/>
          <w:szCs w:val="32"/>
          <w:lang w:bidi="ar"/>
        </w:rPr>
        <w:t>第六条</w:t>
      </w:r>
      <w:r>
        <w:rPr>
          <w:rFonts w:hint="eastAsia" w:ascii="仿宋" w:hAnsi="仿宋" w:eastAsia="仿宋" w:cs="Arial"/>
          <w:kern w:val="0"/>
          <w:sz w:val="32"/>
          <w:szCs w:val="32"/>
          <w:lang w:bidi="ar"/>
        </w:rPr>
        <w:t xml:space="preserve"> </w:t>
      </w:r>
      <w:r>
        <w:rPr>
          <w:rFonts w:ascii="仿宋" w:hAnsi="仿宋" w:eastAsia="仿宋" w:cs="Arial"/>
          <w:kern w:val="0"/>
          <w:sz w:val="32"/>
          <w:szCs w:val="32"/>
          <w:lang w:bidi="ar"/>
        </w:rPr>
        <w:t>资产的使用人</w:t>
      </w:r>
      <w:r>
        <w:rPr>
          <w:rFonts w:hint="eastAsia" w:ascii="仿宋" w:hAnsi="仿宋" w:eastAsia="仿宋" w:cs="Arial"/>
          <w:kern w:val="0"/>
          <w:sz w:val="32"/>
          <w:szCs w:val="32"/>
          <w:lang w:bidi="ar"/>
        </w:rPr>
        <w:t>包括</w:t>
      </w:r>
      <w:r>
        <w:rPr>
          <w:rFonts w:ascii="仿宋" w:hAnsi="仿宋" w:eastAsia="仿宋" w:cs="Arial"/>
          <w:kern w:val="0"/>
          <w:sz w:val="32"/>
          <w:szCs w:val="32"/>
          <w:lang w:bidi="ar"/>
        </w:rPr>
        <w:t>保管人</w:t>
      </w:r>
      <w:r>
        <w:rPr>
          <w:rFonts w:hint="eastAsia" w:ascii="仿宋" w:hAnsi="仿宋" w:eastAsia="仿宋" w:cs="Arial"/>
          <w:kern w:val="0"/>
          <w:sz w:val="32"/>
          <w:szCs w:val="32"/>
          <w:lang w:bidi="ar"/>
        </w:rPr>
        <w:t>（下同）</w:t>
      </w:r>
      <w:r>
        <w:rPr>
          <w:rFonts w:ascii="仿宋" w:hAnsi="仿宋" w:eastAsia="仿宋" w:cs="Arial"/>
          <w:kern w:val="0"/>
          <w:sz w:val="32"/>
          <w:szCs w:val="32"/>
          <w:lang w:bidi="ar"/>
        </w:rPr>
        <w:t>对本人使用、保管的资产负有使用、保管的直接责任。</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bCs/>
          <w:kern w:val="0"/>
          <w:sz w:val="32"/>
          <w:szCs w:val="32"/>
          <w:lang w:bidi="ar"/>
        </w:rPr>
        <w:t>（一）</w:t>
      </w:r>
      <w:r>
        <w:rPr>
          <w:rFonts w:ascii="仿宋" w:hAnsi="仿宋" w:eastAsia="仿宋" w:cs="Arial"/>
          <w:kern w:val="0"/>
          <w:sz w:val="32"/>
          <w:szCs w:val="32"/>
          <w:lang w:bidi="ar"/>
        </w:rPr>
        <w:t>资产使用人应核对自己使用（保管）的资产信息</w:t>
      </w:r>
      <w:r>
        <w:rPr>
          <w:rFonts w:hint="eastAsia" w:ascii="仿宋" w:hAnsi="仿宋" w:eastAsia="仿宋" w:cs="Arial"/>
          <w:kern w:val="0"/>
          <w:sz w:val="32"/>
          <w:szCs w:val="32"/>
          <w:lang w:bidi="ar"/>
        </w:rPr>
        <w:t>。</w:t>
      </w:r>
      <w:r>
        <w:rPr>
          <w:rFonts w:ascii="仿宋" w:hAnsi="仿宋" w:eastAsia="仿宋" w:cs="Arial"/>
          <w:kern w:val="0"/>
          <w:sz w:val="32"/>
          <w:szCs w:val="32"/>
          <w:lang w:bidi="ar"/>
        </w:rPr>
        <w:t>如资产信息与实际不符，应及时向本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资产管理员提出更正要求。</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kern w:val="0"/>
          <w:sz w:val="32"/>
          <w:szCs w:val="32"/>
          <w:lang w:bidi="ar"/>
        </w:rPr>
        <w:t>（二）</w:t>
      </w:r>
      <w:r>
        <w:rPr>
          <w:rFonts w:ascii="仿宋" w:hAnsi="仿宋" w:eastAsia="仿宋" w:cs="Arial"/>
          <w:kern w:val="0"/>
          <w:sz w:val="32"/>
          <w:szCs w:val="32"/>
          <w:lang w:bidi="ar"/>
        </w:rPr>
        <w:t>资产使用人应正确使用、保管好资产，保证资产的安全与完整。</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cs="Arial"/>
          <w:kern w:val="0"/>
          <w:sz w:val="32"/>
          <w:szCs w:val="32"/>
          <w:lang w:bidi="ar"/>
        </w:rPr>
      </w:pPr>
      <w:r>
        <w:rPr>
          <w:rFonts w:hint="eastAsia" w:ascii="仿宋" w:hAnsi="仿宋" w:eastAsia="仿宋" w:cs="Arial"/>
          <w:kern w:val="0"/>
          <w:sz w:val="32"/>
          <w:szCs w:val="32"/>
          <w:lang w:bidi="ar"/>
        </w:rPr>
        <w:t>（三）</w:t>
      </w:r>
      <w:r>
        <w:rPr>
          <w:rFonts w:ascii="仿宋" w:hAnsi="仿宋" w:eastAsia="仿宋" w:cs="Arial"/>
          <w:kern w:val="0"/>
          <w:sz w:val="32"/>
          <w:szCs w:val="32"/>
          <w:lang w:bidi="ar"/>
        </w:rPr>
        <w:t>资产</w:t>
      </w:r>
      <w:r>
        <w:rPr>
          <w:rFonts w:hint="eastAsia" w:ascii="仿宋" w:hAnsi="仿宋" w:eastAsia="仿宋" w:cs="Arial"/>
          <w:kern w:val="0"/>
          <w:sz w:val="32"/>
          <w:szCs w:val="32"/>
          <w:lang w:bidi="ar"/>
        </w:rPr>
        <w:t>使用人的资产物品</w:t>
      </w:r>
      <w:r>
        <w:rPr>
          <w:rFonts w:ascii="仿宋" w:hAnsi="仿宋" w:eastAsia="仿宋" w:cs="Arial"/>
          <w:kern w:val="0"/>
          <w:sz w:val="32"/>
          <w:szCs w:val="32"/>
          <w:lang w:bidi="ar"/>
        </w:rPr>
        <w:t>如不能正常使用，应及时向本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资产管理员提出维修申请，经批准后进行维修</w:t>
      </w:r>
      <w:r>
        <w:rPr>
          <w:rFonts w:hint="eastAsia" w:ascii="仿宋" w:hAnsi="仿宋" w:eastAsia="仿宋" w:cs="Arial"/>
          <w:kern w:val="0"/>
          <w:sz w:val="32"/>
          <w:szCs w:val="32"/>
          <w:lang w:bidi="ar"/>
        </w:rPr>
        <w:t>。</w:t>
      </w:r>
    </w:p>
    <w:p>
      <w:pPr>
        <w:pageBreakBefore w:val="0"/>
        <w:widowControl/>
        <w:kinsoku/>
        <w:wordWrap/>
        <w:overflowPunct/>
        <w:topLinePunct w:val="0"/>
        <w:autoSpaceDE/>
        <w:autoSpaceDN/>
        <w:bidi w:val="0"/>
        <w:spacing w:line="596" w:lineRule="exact"/>
        <w:ind w:firstLine="480" w:firstLineChars="150"/>
        <w:jc w:val="left"/>
        <w:outlineLvl w:val="9"/>
        <w:rPr>
          <w:rFonts w:ascii="仿宋" w:hAnsi="仿宋" w:eastAsia="仿宋"/>
          <w:sz w:val="32"/>
          <w:szCs w:val="32"/>
        </w:rPr>
      </w:pPr>
      <w:r>
        <w:rPr>
          <w:rFonts w:hint="eastAsia" w:ascii="仿宋" w:hAnsi="仿宋" w:eastAsia="仿宋" w:cs="Arial"/>
          <w:kern w:val="0"/>
          <w:sz w:val="32"/>
          <w:szCs w:val="32"/>
          <w:lang w:bidi="ar"/>
        </w:rPr>
        <w:t>（四）</w:t>
      </w:r>
      <w:r>
        <w:rPr>
          <w:rFonts w:ascii="仿宋" w:hAnsi="仿宋" w:eastAsia="仿宋" w:cs="Arial"/>
          <w:kern w:val="0"/>
          <w:sz w:val="32"/>
          <w:szCs w:val="32"/>
          <w:lang w:bidi="ar"/>
        </w:rPr>
        <w:t>资产使用人未经批准不得将资产调拨或借给其他人使用</w:t>
      </w:r>
      <w:r>
        <w:rPr>
          <w:rFonts w:hint="eastAsia" w:ascii="仿宋" w:hAnsi="仿宋" w:eastAsia="仿宋" w:cs="Arial"/>
          <w:kern w:val="0"/>
          <w:sz w:val="32"/>
          <w:szCs w:val="32"/>
          <w:lang w:bidi="ar"/>
        </w:rPr>
        <w:t>。</w:t>
      </w:r>
      <w:r>
        <w:rPr>
          <w:rFonts w:ascii="仿宋" w:hAnsi="仿宋" w:eastAsia="仿宋" w:cs="Arial"/>
          <w:kern w:val="0"/>
          <w:sz w:val="32"/>
          <w:szCs w:val="32"/>
          <w:lang w:bidi="ar"/>
        </w:rPr>
        <w:t>如需调拨资产，须经</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领导同意，并上报资产管理</w:t>
      </w:r>
      <w:r>
        <w:rPr>
          <w:rFonts w:hint="eastAsia" w:ascii="仿宋" w:hAnsi="仿宋" w:eastAsia="仿宋" w:cs="Arial"/>
          <w:kern w:val="0"/>
          <w:sz w:val="32"/>
          <w:szCs w:val="32"/>
          <w:lang w:bidi="ar"/>
        </w:rPr>
        <w:t>处</w:t>
      </w:r>
      <w:r>
        <w:rPr>
          <w:rFonts w:ascii="仿宋" w:hAnsi="仿宋" w:eastAsia="仿宋" w:cs="Arial"/>
          <w:kern w:val="0"/>
          <w:sz w:val="32"/>
          <w:szCs w:val="32"/>
          <w:lang w:bidi="ar"/>
        </w:rPr>
        <w:t>办理调拨手续。</w:t>
      </w:r>
    </w:p>
    <w:p>
      <w:pPr>
        <w:pageBreakBefore w:val="0"/>
        <w:widowControl/>
        <w:kinsoku/>
        <w:wordWrap/>
        <w:overflowPunct/>
        <w:topLinePunct w:val="0"/>
        <w:autoSpaceDE/>
        <w:autoSpaceDN/>
        <w:bidi w:val="0"/>
        <w:spacing w:line="596" w:lineRule="exact"/>
        <w:ind w:firstLine="480" w:firstLineChars="150"/>
        <w:jc w:val="left"/>
        <w:outlineLvl w:val="9"/>
        <w:rPr>
          <w:rFonts w:hint="eastAsia" w:ascii="仿宋" w:hAnsi="仿宋" w:eastAsia="仿宋" w:cs="Arial"/>
          <w:kern w:val="0"/>
          <w:sz w:val="32"/>
          <w:szCs w:val="32"/>
          <w:lang w:bidi="ar"/>
        </w:rPr>
      </w:pPr>
      <w:r>
        <w:rPr>
          <w:rFonts w:hint="eastAsia" w:ascii="仿宋" w:hAnsi="仿宋" w:eastAsia="仿宋" w:cs="Arial"/>
          <w:kern w:val="0"/>
          <w:sz w:val="32"/>
          <w:szCs w:val="32"/>
          <w:lang w:bidi="ar"/>
        </w:rPr>
        <w:t>（五）</w:t>
      </w:r>
      <w:r>
        <w:rPr>
          <w:rFonts w:ascii="仿宋" w:hAnsi="仿宋" w:eastAsia="仿宋" w:cs="Arial"/>
          <w:kern w:val="0"/>
          <w:sz w:val="32"/>
          <w:szCs w:val="32"/>
          <w:lang w:bidi="ar"/>
        </w:rPr>
        <w:t>资产使用人应配合本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资产清查工作，向本</w:t>
      </w:r>
      <w:r>
        <w:rPr>
          <w:rFonts w:hint="eastAsia" w:ascii="仿宋" w:hAnsi="仿宋" w:eastAsia="仿宋" w:cs="Arial"/>
          <w:kern w:val="0"/>
          <w:sz w:val="32"/>
          <w:szCs w:val="32"/>
          <w:lang w:bidi="ar"/>
        </w:rPr>
        <w:t>部门</w:t>
      </w:r>
      <w:r>
        <w:rPr>
          <w:rFonts w:ascii="仿宋" w:hAnsi="仿宋" w:eastAsia="仿宋" w:cs="Arial"/>
          <w:kern w:val="0"/>
          <w:sz w:val="32"/>
          <w:szCs w:val="32"/>
          <w:lang w:bidi="ar"/>
        </w:rPr>
        <w:t>报告本人使用、保管的资产情况，确保账实一致。</w:t>
      </w:r>
    </w:p>
    <w:p>
      <w:pPr>
        <w:pageBreakBefore w:val="0"/>
        <w:widowControl/>
        <w:kinsoku/>
        <w:wordWrap/>
        <w:overflowPunct/>
        <w:topLinePunct w:val="0"/>
        <w:autoSpaceDE/>
        <w:autoSpaceDN/>
        <w:bidi w:val="0"/>
        <w:spacing w:before="292" w:beforeLines="50" w:after="292" w:afterLines="50" w:line="596" w:lineRule="exact"/>
        <w:ind w:firstLine="3534" w:firstLineChars="1100"/>
        <w:outlineLvl w:val="9"/>
        <w:rPr>
          <w:rFonts w:ascii="黑体" w:hAnsi="黑体" w:eastAsia="黑体" w:cs="Arial"/>
          <w:b/>
          <w:kern w:val="0"/>
          <w:sz w:val="32"/>
          <w:szCs w:val="32"/>
          <w:lang w:bidi="ar"/>
        </w:rPr>
      </w:pPr>
      <w:bookmarkStart w:id="1517" w:name="_Toc20353_WPSOffice_Level1"/>
      <w:r>
        <w:rPr>
          <w:rFonts w:hint="eastAsia" w:ascii="黑体" w:hAnsi="黑体" w:eastAsia="黑体" w:cs="Arial"/>
          <w:b/>
          <w:kern w:val="0"/>
          <w:sz w:val="32"/>
          <w:szCs w:val="32"/>
          <w:lang w:bidi="ar"/>
        </w:rPr>
        <w:t>第五章 其他</w:t>
      </w:r>
      <w:bookmarkEnd w:id="1517"/>
    </w:p>
    <w:p>
      <w:pPr>
        <w:pageBreakBefore w:val="0"/>
        <w:widowControl/>
        <w:kinsoku/>
        <w:wordWrap/>
        <w:overflowPunct/>
        <w:topLinePunct w:val="0"/>
        <w:autoSpaceDE/>
        <w:autoSpaceDN/>
        <w:bidi w:val="0"/>
        <w:spacing w:line="596" w:lineRule="exact"/>
        <w:ind w:firstLine="643" w:firstLineChars="200"/>
        <w:jc w:val="left"/>
        <w:outlineLvl w:val="9"/>
        <w:rPr>
          <w:rFonts w:ascii="仿宋" w:hAnsi="仿宋" w:eastAsia="仿宋"/>
          <w:sz w:val="32"/>
          <w:szCs w:val="32"/>
        </w:rPr>
      </w:pPr>
      <w:r>
        <w:rPr>
          <w:rFonts w:hint="eastAsia" w:ascii="仿宋" w:hAnsi="仿宋" w:eastAsia="仿宋" w:cs="Arial"/>
          <w:b/>
          <w:kern w:val="0"/>
          <w:sz w:val="32"/>
          <w:szCs w:val="32"/>
          <w:lang w:bidi="ar"/>
        </w:rPr>
        <w:t>第七条</w:t>
      </w:r>
      <w:r>
        <w:rPr>
          <w:rFonts w:hint="eastAsia" w:ascii="仿宋" w:hAnsi="仿宋" w:eastAsia="仿宋" w:cs="Arial"/>
          <w:kern w:val="0"/>
          <w:sz w:val="32"/>
          <w:szCs w:val="32"/>
          <w:lang w:bidi="ar"/>
        </w:rPr>
        <w:t xml:space="preserve"> 资产管理人员应严格按照已发《柳州职业技术学院国有资产管理暂行办法》做好本职工作。</w:t>
      </w:r>
      <w:r>
        <w:rPr>
          <w:rFonts w:hint="eastAsia" w:ascii="仿宋" w:hAnsi="仿宋" w:eastAsia="仿宋"/>
          <w:sz w:val="32"/>
          <w:szCs w:val="32"/>
        </w:rPr>
        <w:t>如违反本工作职责造成国有资产丢失、损坏的，依据国家有关规定和学校制度进行处理。</w:t>
      </w:r>
    </w:p>
    <w:p>
      <w:pPr>
        <w:pageBreakBefore w:val="0"/>
        <w:widowControl/>
        <w:kinsoku/>
        <w:wordWrap/>
        <w:overflowPunct/>
        <w:topLinePunct w:val="0"/>
        <w:autoSpaceDE/>
        <w:autoSpaceDN/>
        <w:bidi w:val="0"/>
        <w:spacing w:line="596" w:lineRule="exact"/>
        <w:ind w:firstLine="482" w:firstLineChars="150"/>
        <w:jc w:val="left"/>
        <w:outlineLvl w:val="9"/>
        <w:rPr>
          <w:rFonts w:hint="eastAsia" w:eastAsia="黑体"/>
          <w:color w:val="000000"/>
          <w:sz w:val="32"/>
          <w:szCs w:val="32"/>
        </w:rPr>
      </w:pPr>
      <w:r>
        <w:rPr>
          <w:rFonts w:hint="eastAsia" w:ascii="仿宋" w:hAnsi="仿宋" w:eastAsia="仿宋" w:cs="Arial"/>
          <w:b/>
          <w:kern w:val="0"/>
          <w:sz w:val="32"/>
          <w:szCs w:val="32"/>
          <w:lang w:bidi="ar"/>
        </w:rPr>
        <w:t>第八条</w:t>
      </w:r>
      <w:r>
        <w:rPr>
          <w:rFonts w:hint="eastAsia" w:ascii="仿宋" w:hAnsi="仿宋" w:eastAsia="仿宋" w:cs="Arial"/>
          <w:kern w:val="0"/>
          <w:sz w:val="32"/>
          <w:szCs w:val="32"/>
          <w:lang w:bidi="ar"/>
        </w:rPr>
        <w:t xml:space="preserve"> </w:t>
      </w:r>
      <w:r>
        <w:rPr>
          <w:rFonts w:ascii="仿宋" w:hAnsi="仿宋" w:eastAsia="仿宋" w:cs="Arial"/>
          <w:kern w:val="0"/>
          <w:sz w:val="32"/>
          <w:szCs w:val="32"/>
          <w:lang w:bidi="ar"/>
        </w:rPr>
        <w:t>本</w:t>
      </w:r>
      <w:r>
        <w:rPr>
          <w:rFonts w:hint="eastAsia" w:ascii="仿宋" w:hAnsi="仿宋" w:eastAsia="仿宋" w:cs="Arial"/>
          <w:kern w:val="0"/>
          <w:sz w:val="32"/>
          <w:szCs w:val="32"/>
          <w:lang w:bidi="ar"/>
        </w:rPr>
        <w:t>规定</w:t>
      </w:r>
      <w:r>
        <w:rPr>
          <w:rFonts w:ascii="仿宋" w:hAnsi="仿宋" w:eastAsia="仿宋" w:cs="Arial"/>
          <w:kern w:val="0"/>
          <w:sz w:val="32"/>
          <w:szCs w:val="32"/>
          <w:lang w:bidi="ar"/>
        </w:rPr>
        <w:t>由</w:t>
      </w:r>
      <w:r>
        <w:rPr>
          <w:rFonts w:hint="eastAsia" w:ascii="仿宋" w:hAnsi="仿宋" w:eastAsia="仿宋" w:cs="Arial"/>
          <w:kern w:val="0"/>
          <w:sz w:val="32"/>
          <w:szCs w:val="32"/>
          <w:lang w:bidi="ar"/>
        </w:rPr>
        <w:t>资产管理处</w:t>
      </w:r>
      <w:r>
        <w:rPr>
          <w:rFonts w:ascii="仿宋" w:hAnsi="仿宋" w:eastAsia="仿宋" w:cs="Arial"/>
          <w:kern w:val="0"/>
          <w:sz w:val="32"/>
          <w:szCs w:val="32"/>
          <w:lang w:bidi="ar"/>
        </w:rPr>
        <w:t>负责解释</w:t>
      </w:r>
      <w:r>
        <w:rPr>
          <w:rFonts w:hint="eastAsia" w:ascii="仿宋" w:hAnsi="仿宋" w:eastAsia="仿宋" w:cs="Arial"/>
          <w:kern w:val="0"/>
          <w:sz w:val="32"/>
          <w:szCs w:val="32"/>
          <w:lang w:bidi="ar"/>
        </w:rPr>
        <w:t>，</w:t>
      </w:r>
      <w:r>
        <w:rPr>
          <w:rFonts w:ascii="仿宋" w:hAnsi="仿宋" w:eastAsia="仿宋" w:cs="Arial"/>
          <w:kern w:val="0"/>
          <w:sz w:val="32"/>
          <w:szCs w:val="32"/>
          <w:lang w:bidi="ar"/>
        </w:rPr>
        <w:t>自颁布之日起施行</w:t>
      </w:r>
      <w:r>
        <w:rPr>
          <w:rFonts w:hint="eastAsia" w:ascii="仿宋" w:hAnsi="仿宋" w:eastAsia="仿宋" w:cs="Arial"/>
          <w:kern w:val="0"/>
          <w:sz w:val="32"/>
          <w:szCs w:val="32"/>
          <w:lang w:bidi="ar"/>
        </w:rPr>
        <w:t>。</w:t>
      </w:r>
    </w:p>
    <w:p>
      <w:pPr>
        <w:pageBreakBefore w:val="0"/>
        <w:kinsoku/>
        <w:wordWrap/>
        <w:overflowPunct/>
        <w:topLinePunct w:val="0"/>
        <w:autoSpaceDE/>
        <w:autoSpaceDN/>
        <w:bidi w:val="0"/>
        <w:outlineLvl w:val="9"/>
        <w:rPr>
          <w:rFonts w:hint="eastAsia"/>
          <w:b/>
          <w:color w:val="000000"/>
          <w:sz w:val="36"/>
          <w:szCs w:val="36"/>
        </w:rPr>
      </w:pPr>
      <w:r>
        <w:rPr>
          <w:rFonts w:hint="eastAsia"/>
          <w:b/>
          <w:color w:val="000000"/>
          <w:sz w:val="36"/>
          <w:szCs w:val="36"/>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518" w:name="_Toc27504_WPSOffice_Level1"/>
      <w:bookmarkStart w:id="1519" w:name="_Toc27727"/>
      <w:bookmarkStart w:id="1520" w:name="_Toc11432"/>
      <w:bookmarkStart w:id="1521" w:name="_Toc19793"/>
      <w:bookmarkStart w:id="1522" w:name="_Toc32124"/>
      <w:r>
        <w:rPr>
          <w:rFonts w:hint="eastAsia"/>
          <w:b/>
          <w:color w:val="000000"/>
          <w:sz w:val="36"/>
          <w:szCs w:val="36"/>
        </w:rPr>
        <w:t>柳州职业技术学院资产验收管理办法（暂行）</w:t>
      </w:r>
      <w:bookmarkEnd w:id="1518"/>
      <w:bookmarkEnd w:id="1519"/>
      <w:bookmarkEnd w:id="1520"/>
      <w:bookmarkEnd w:id="1521"/>
      <w:bookmarkEnd w:id="1522"/>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（柳职院字〔2021〕60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96" w:lineRule="exact"/>
        <w:jc w:val="center"/>
        <w:outlineLvl w:val="9"/>
        <w:rPr>
          <w:rFonts w:ascii="黑体" w:hAnsi="黑体" w:eastAsia="黑体"/>
          <w:b/>
          <w:color w:val="000000"/>
          <w:sz w:val="32"/>
          <w:szCs w:val="32"/>
        </w:rPr>
      </w:pPr>
      <w:bookmarkStart w:id="1523" w:name="_Toc7091_WPSOffice_Level1"/>
      <w:r>
        <w:rPr>
          <w:rFonts w:hint="eastAsia" w:ascii="黑体" w:hAnsi="黑体" w:eastAsia="黑体"/>
          <w:b/>
          <w:sz w:val="32"/>
          <w:szCs w:val="32"/>
        </w:rPr>
        <w:t>第一</w:t>
      </w:r>
      <w:r>
        <w:rPr>
          <w:rFonts w:hint="eastAsia" w:ascii="黑体" w:hAnsi="黑体" w:eastAsia="黑体"/>
          <w:b/>
          <w:color w:val="000000"/>
          <w:sz w:val="32"/>
          <w:szCs w:val="32"/>
        </w:rPr>
        <w:t>章</w:t>
      </w:r>
      <w:r>
        <w:rPr>
          <w:rFonts w:ascii="黑体" w:hAnsi="黑体" w:eastAsia="黑体"/>
          <w:b/>
          <w:color w:val="000000"/>
          <w:sz w:val="32"/>
          <w:szCs w:val="32"/>
        </w:rPr>
        <w:t xml:space="preserve"> 总则</w:t>
      </w:r>
      <w:bookmarkEnd w:id="1523"/>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第一条</w:t>
      </w:r>
      <w:r>
        <w:rPr>
          <w:rFonts w:ascii="仿宋" w:hAnsi="仿宋" w:eastAsia="仿宋"/>
          <w:color w:val="000000"/>
          <w:sz w:val="32"/>
          <w:szCs w:val="32"/>
        </w:rPr>
        <w:t xml:space="preserve"> 为加强学校资产管理，进一步规范我校资产验收工作，根据</w:t>
      </w:r>
      <w:r>
        <w:rPr>
          <w:rFonts w:hint="eastAsia" w:ascii="仿宋" w:hAnsi="仿宋" w:eastAsia="仿宋"/>
          <w:color w:val="000000"/>
          <w:sz w:val="32"/>
          <w:szCs w:val="32"/>
        </w:rPr>
        <w:t>根据《中华人民共和国政府采购法》(主席令第68号)、《中华人民共和国合同法》(主席令第15号)、</w:t>
      </w:r>
      <w:r>
        <w:rPr>
          <w:rFonts w:ascii="仿宋" w:hAnsi="仿宋" w:eastAsia="仿宋"/>
          <w:color w:val="000000"/>
          <w:sz w:val="32"/>
          <w:szCs w:val="32"/>
        </w:rPr>
        <w:t>《</w:t>
      </w:r>
      <w:r>
        <w:rPr>
          <w:rFonts w:hint="eastAsia" w:ascii="仿宋" w:hAnsi="仿宋" w:eastAsia="仿宋"/>
          <w:color w:val="000000"/>
          <w:sz w:val="32"/>
          <w:szCs w:val="32"/>
        </w:rPr>
        <w:t>广西壮族自治区政府采购项目履约验收管理办法</w:t>
      </w:r>
      <w:r>
        <w:rPr>
          <w:rFonts w:ascii="仿宋" w:hAnsi="仿宋" w:eastAsia="仿宋"/>
          <w:color w:val="000000"/>
          <w:sz w:val="32"/>
          <w:szCs w:val="32"/>
        </w:rPr>
        <w:t>》</w:t>
      </w:r>
      <w:r>
        <w:rPr>
          <w:rFonts w:hint="eastAsia" w:ascii="仿宋" w:hAnsi="仿宋" w:eastAsia="仿宋"/>
          <w:color w:val="000000"/>
          <w:sz w:val="32"/>
          <w:szCs w:val="32"/>
        </w:rPr>
        <w:t>（桂财采〔</w:t>
      </w:r>
      <w:r>
        <w:rPr>
          <w:rFonts w:ascii="仿宋" w:hAnsi="仿宋" w:eastAsia="仿宋"/>
          <w:color w:val="000000"/>
          <w:sz w:val="32"/>
          <w:szCs w:val="32"/>
        </w:rPr>
        <w:t>2015〕22号</w:t>
      </w:r>
      <w:r>
        <w:rPr>
          <w:rFonts w:hint="eastAsia" w:ascii="仿宋" w:hAnsi="仿宋" w:eastAsia="仿宋"/>
          <w:color w:val="000000"/>
          <w:sz w:val="32"/>
          <w:szCs w:val="32"/>
        </w:rPr>
        <w:t>）、《柳州职业技术学院采购管理办法（试行）》（柳职院字〔2021〕37 号）</w:t>
      </w:r>
      <w:r>
        <w:rPr>
          <w:rFonts w:ascii="仿宋" w:hAnsi="仿宋" w:eastAsia="仿宋"/>
          <w:color w:val="000000"/>
          <w:sz w:val="32"/>
          <w:szCs w:val="32"/>
        </w:rPr>
        <w:t>等</w:t>
      </w:r>
      <w:r>
        <w:rPr>
          <w:rFonts w:hint="eastAsia" w:ascii="仿宋" w:hAnsi="仿宋" w:eastAsia="仿宋"/>
          <w:color w:val="000000"/>
          <w:sz w:val="32"/>
          <w:szCs w:val="32"/>
        </w:rPr>
        <w:t>有关法律法规及文件精神</w:t>
      </w:r>
      <w:r>
        <w:rPr>
          <w:rFonts w:ascii="仿宋" w:hAnsi="仿宋" w:eastAsia="仿宋"/>
          <w:color w:val="000000"/>
          <w:sz w:val="32"/>
          <w:szCs w:val="32"/>
        </w:rPr>
        <w:t>，结合学校实际，制定本办法。</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第二条</w:t>
      </w:r>
      <w:r>
        <w:rPr>
          <w:rFonts w:ascii="仿宋" w:hAnsi="仿宋" w:eastAsia="仿宋"/>
          <w:color w:val="000000"/>
          <w:sz w:val="32"/>
          <w:szCs w:val="32"/>
        </w:rPr>
        <w:t xml:space="preserve"> 在资产验收工作中要遵循“统一领导、分级负责、规范管理、责任到人”的原则，确保资产验收质量，实现验收过程公开、公平、公正。</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第三条</w:t>
      </w:r>
      <w:r>
        <w:rPr>
          <w:rFonts w:ascii="仿宋" w:hAnsi="仿宋" w:eastAsia="仿宋"/>
          <w:color w:val="000000"/>
          <w:sz w:val="32"/>
          <w:szCs w:val="32"/>
        </w:rPr>
        <w:t xml:space="preserve"> 本办法中所称资产指利用政府及学校资金购置、建造等方式形成的，记入学校财务系统</w:t>
      </w:r>
      <w:r>
        <w:rPr>
          <w:rFonts w:hint="eastAsia" w:ascii="仿宋" w:hAnsi="仿宋" w:eastAsia="仿宋"/>
          <w:color w:val="000000"/>
          <w:sz w:val="32"/>
          <w:szCs w:val="32"/>
        </w:rPr>
        <w:t>及资产管理系统的</w:t>
      </w:r>
      <w:r>
        <w:rPr>
          <w:rFonts w:ascii="仿宋" w:hAnsi="仿宋" w:eastAsia="仿宋"/>
          <w:color w:val="000000"/>
          <w:sz w:val="32"/>
          <w:szCs w:val="32"/>
        </w:rPr>
        <w:t>各类资产科目的国有资产。资产验收是国有资产从购置、建造等方式获得到入账、使用的一个中间环节。学校各部门利用政府及学校自有经费购置和建造的资产，以及通过捐赠、调拨等形式取得的资产必须依照权限，通过相关规定程序的验收后，方可办理账款结算、资产登记入账等手续。</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第四条</w:t>
      </w:r>
      <w:r>
        <w:rPr>
          <w:rFonts w:ascii="仿宋" w:hAnsi="仿宋" w:eastAsia="仿宋"/>
          <w:color w:val="000000"/>
          <w:sz w:val="32"/>
          <w:szCs w:val="32"/>
        </w:rPr>
        <w:t xml:space="preserve"> 本办法适用于我校自行采购、我校委托招标代理机构和政府采购方式采购的货物和服务类履约验收。</w:t>
      </w:r>
      <w:r>
        <w:rPr>
          <w:rFonts w:hint="eastAsia" w:ascii="仿宋" w:hAnsi="仿宋" w:eastAsia="仿宋"/>
          <w:color w:val="000000"/>
          <w:sz w:val="32"/>
          <w:szCs w:val="32"/>
        </w:rPr>
        <w:t>教学实训耗材类货物、工程类项目验收</w:t>
      </w:r>
      <w:r>
        <w:rPr>
          <w:rFonts w:ascii="仿宋" w:hAnsi="仿宋" w:eastAsia="仿宋"/>
          <w:color w:val="000000"/>
          <w:sz w:val="32"/>
          <w:szCs w:val="32"/>
        </w:rPr>
        <w:t>按相关制度规定执行</w:t>
      </w:r>
      <w:r>
        <w:rPr>
          <w:rFonts w:hint="eastAsia" w:ascii="仿宋" w:hAnsi="仿宋" w:eastAsia="仿宋"/>
          <w:color w:val="000000"/>
          <w:sz w:val="32"/>
          <w:szCs w:val="32"/>
        </w:rPr>
        <w:t>。</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第五条</w:t>
      </w:r>
      <w:r>
        <w:rPr>
          <w:rFonts w:ascii="仿宋" w:hAnsi="仿宋" w:eastAsia="仿宋"/>
          <w:color w:val="000000"/>
          <w:sz w:val="32"/>
          <w:szCs w:val="32"/>
        </w:rPr>
        <w:t xml:space="preserve"> 采购合同是</w:t>
      </w:r>
      <w:r>
        <w:rPr>
          <w:rFonts w:hint="eastAsia" w:ascii="仿宋" w:hAnsi="仿宋" w:eastAsia="仿宋"/>
          <w:color w:val="000000"/>
          <w:sz w:val="32"/>
          <w:szCs w:val="32"/>
        </w:rPr>
        <w:t>学校</w:t>
      </w:r>
      <w:r>
        <w:rPr>
          <w:rFonts w:ascii="仿宋" w:hAnsi="仿宋" w:eastAsia="仿宋"/>
          <w:color w:val="000000"/>
          <w:sz w:val="32"/>
          <w:szCs w:val="32"/>
        </w:rPr>
        <w:t>采购项目履约验收及付款的依据。采购部门和供应商必须全面、准确、及时地履行合同，任何一方当事人均不得擅自变更、中止或终止合同。</w:t>
      </w:r>
      <w:r>
        <w:rPr>
          <w:rFonts w:hint="eastAsia" w:ascii="仿宋" w:hAnsi="仿宋" w:eastAsia="仿宋"/>
          <w:color w:val="000000"/>
          <w:sz w:val="32"/>
          <w:szCs w:val="32"/>
        </w:rPr>
        <w:t>无采购合同的以学校相关部门审批的采购流程为履约验收付款的依据。</w:t>
      </w:r>
    </w:p>
    <w:p>
      <w:pPr>
        <w:pageBreakBefore w:val="0"/>
        <w:kinsoku/>
        <w:wordWrap/>
        <w:overflowPunct/>
        <w:topLinePunct w:val="0"/>
        <w:autoSpaceDE/>
        <w:autoSpaceDN/>
        <w:bidi w:val="0"/>
        <w:spacing w:line="596" w:lineRule="exact"/>
        <w:jc w:val="center"/>
        <w:outlineLvl w:val="9"/>
        <w:rPr>
          <w:rFonts w:ascii="黑体" w:hAnsi="黑体" w:eastAsia="黑体"/>
          <w:b/>
          <w:color w:val="000000"/>
          <w:sz w:val="32"/>
          <w:szCs w:val="32"/>
        </w:rPr>
      </w:pPr>
      <w:bookmarkStart w:id="1524" w:name="_Toc30120_WPSOffice_Level1"/>
      <w:r>
        <w:rPr>
          <w:rFonts w:hint="eastAsia" w:ascii="黑体" w:hAnsi="黑体" w:eastAsia="黑体"/>
          <w:b/>
          <w:color w:val="000000"/>
          <w:sz w:val="32"/>
          <w:szCs w:val="32"/>
        </w:rPr>
        <w:t>第二章</w:t>
      </w:r>
      <w:r>
        <w:rPr>
          <w:rFonts w:ascii="黑体" w:hAnsi="黑体" w:eastAsia="黑体"/>
          <w:b/>
          <w:color w:val="000000"/>
          <w:sz w:val="32"/>
          <w:szCs w:val="32"/>
        </w:rPr>
        <w:t xml:space="preserve"> 组织机构及职责</w:t>
      </w:r>
      <w:bookmarkEnd w:id="1524"/>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第六条</w:t>
      </w:r>
      <w:r>
        <w:rPr>
          <w:rFonts w:ascii="仿宋" w:hAnsi="仿宋" w:eastAsia="仿宋"/>
          <w:color w:val="000000"/>
          <w:sz w:val="32"/>
          <w:szCs w:val="32"/>
        </w:rPr>
        <w:t xml:space="preserve"> 由</w:t>
      </w:r>
      <w:r>
        <w:rPr>
          <w:rFonts w:hint="eastAsia" w:ascii="仿宋" w:hAnsi="仿宋" w:eastAsia="仿宋"/>
          <w:color w:val="000000"/>
          <w:sz w:val="32"/>
          <w:szCs w:val="32"/>
        </w:rPr>
        <w:t>资产管理处</w:t>
      </w:r>
      <w:r>
        <w:rPr>
          <w:rFonts w:ascii="仿宋" w:hAnsi="仿宋" w:eastAsia="仿宋"/>
          <w:color w:val="000000"/>
          <w:sz w:val="32"/>
          <w:szCs w:val="32"/>
        </w:rPr>
        <w:t>、财务处、审计处、</w:t>
      </w:r>
      <w:r>
        <w:rPr>
          <w:rFonts w:hint="eastAsia" w:ascii="仿宋" w:hAnsi="仿宋" w:eastAsia="仿宋"/>
          <w:color w:val="000000"/>
          <w:sz w:val="32"/>
          <w:szCs w:val="32"/>
        </w:rPr>
        <w:t>归口管理部门（含教务与实训管理处、科技开发处、图书馆、信息技术中心、保卫处等）、</w:t>
      </w:r>
      <w:r>
        <w:rPr>
          <w:rFonts w:ascii="仿宋" w:hAnsi="仿宋" w:eastAsia="仿宋"/>
          <w:color w:val="000000"/>
          <w:sz w:val="32"/>
          <w:szCs w:val="32"/>
        </w:rPr>
        <w:t>资产使用部门等相关职能部门</w:t>
      </w:r>
      <w:r>
        <w:rPr>
          <w:rFonts w:hint="eastAsia" w:ascii="仿宋" w:hAnsi="仿宋" w:eastAsia="仿宋"/>
          <w:color w:val="000000"/>
          <w:sz w:val="32"/>
          <w:szCs w:val="32"/>
        </w:rPr>
        <w:t>组成</w:t>
      </w:r>
      <w:r>
        <w:rPr>
          <w:rFonts w:ascii="仿宋" w:hAnsi="仿宋" w:eastAsia="仿宋"/>
          <w:color w:val="000000"/>
          <w:sz w:val="32"/>
          <w:szCs w:val="32"/>
        </w:rPr>
        <w:t>学校资产验收工作小组</w:t>
      </w:r>
      <w:r>
        <w:rPr>
          <w:rFonts w:hint="eastAsia" w:ascii="仿宋" w:hAnsi="仿宋" w:eastAsia="仿宋"/>
          <w:color w:val="000000"/>
          <w:sz w:val="32"/>
          <w:szCs w:val="32"/>
        </w:rPr>
        <w:t>，</w:t>
      </w:r>
      <w:r>
        <w:rPr>
          <w:rFonts w:ascii="仿宋" w:hAnsi="仿宋" w:eastAsia="仿宋"/>
          <w:color w:val="000000"/>
          <w:sz w:val="32"/>
          <w:szCs w:val="32"/>
        </w:rPr>
        <w:t>在验收过程中合理分工，各司其职。</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（一）资产管理处是学校国有资产管理的主管部门，根据国家法律和上级有关规定，制定本校采购工作中涉及的国有资产验收管理的相关制度和具体办法，并牵头组织资产验收工作。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olor w:val="000000"/>
          <w:sz w:val="32"/>
          <w:szCs w:val="32"/>
        </w:rPr>
      </w:pPr>
      <w:r>
        <w:rPr>
          <w:rFonts w:hint="eastAsia" w:ascii="仿宋" w:hAnsi="仿宋" w:eastAsia="仿宋"/>
          <w:color w:val="000000"/>
          <w:sz w:val="32"/>
          <w:szCs w:val="32"/>
        </w:rPr>
        <w:t>（二）审计处负责对资产验收进行监督。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olor w:val="000000"/>
          <w:sz w:val="32"/>
          <w:szCs w:val="32"/>
        </w:rPr>
      </w:pPr>
      <w:r>
        <w:rPr>
          <w:rFonts w:hint="eastAsia" w:ascii="仿宋" w:hAnsi="仿宋" w:eastAsia="仿宋"/>
          <w:color w:val="000000"/>
          <w:sz w:val="32"/>
          <w:szCs w:val="32"/>
        </w:rPr>
        <w:t>（三）财务处负责财务资产系统的入账工作。</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四）资产使用部门负责资产的清点、检查与录入资产系统，完成初步验收工作并形成初验收报告；提供资产验收所需的相关资料（项目立项报告、论证报告、招投标文件、合同、使用说明书、质量合格证书及其它有关材料）。</w:t>
      </w:r>
    </w:p>
    <w:p>
      <w:pPr>
        <w:pageBreakBefore w:val="0"/>
        <w:kinsoku/>
        <w:wordWrap/>
        <w:overflowPunct/>
        <w:topLinePunct w:val="0"/>
        <w:autoSpaceDE/>
        <w:autoSpaceDN/>
        <w:bidi w:val="0"/>
        <w:spacing w:line="596" w:lineRule="exact"/>
        <w:jc w:val="center"/>
        <w:outlineLvl w:val="9"/>
        <w:rPr>
          <w:rFonts w:ascii="黑体" w:hAnsi="黑体" w:eastAsia="黑体"/>
          <w:b/>
          <w:color w:val="000000"/>
          <w:sz w:val="32"/>
          <w:szCs w:val="32"/>
        </w:rPr>
      </w:pPr>
      <w:bookmarkStart w:id="1525" w:name="_Toc705_WPSOffice_Level1"/>
      <w:r>
        <w:rPr>
          <w:rFonts w:hint="eastAsia" w:ascii="黑体" w:hAnsi="黑体" w:eastAsia="黑体"/>
          <w:b/>
          <w:color w:val="000000"/>
          <w:sz w:val="32"/>
          <w:szCs w:val="32"/>
        </w:rPr>
        <w:t>第三章</w:t>
      </w:r>
      <w:r>
        <w:rPr>
          <w:rFonts w:ascii="黑体" w:hAnsi="黑体" w:eastAsia="黑体"/>
          <w:b/>
          <w:color w:val="000000"/>
          <w:sz w:val="32"/>
          <w:szCs w:val="32"/>
        </w:rPr>
        <w:t xml:space="preserve"> 验收程序</w:t>
      </w:r>
      <w:bookmarkEnd w:id="1525"/>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第七条</w:t>
      </w:r>
      <w:r>
        <w:rPr>
          <w:rFonts w:ascii="仿宋" w:hAnsi="仿宋" w:eastAsia="仿宋"/>
          <w:color w:val="000000"/>
          <w:sz w:val="32"/>
          <w:szCs w:val="32"/>
        </w:rPr>
        <w:t xml:space="preserve"> 固定资产验收程序分为</w:t>
      </w:r>
      <w:r>
        <w:rPr>
          <w:rFonts w:hint="eastAsia" w:ascii="仿宋" w:hAnsi="仿宋" w:eastAsia="仿宋"/>
          <w:color w:val="000000"/>
          <w:sz w:val="32"/>
          <w:szCs w:val="32"/>
        </w:rPr>
        <w:t>前置预验收、</w:t>
      </w:r>
      <w:r>
        <w:rPr>
          <w:rFonts w:ascii="仿宋" w:hAnsi="仿宋" w:eastAsia="仿宋"/>
          <w:color w:val="000000"/>
          <w:sz w:val="32"/>
          <w:szCs w:val="32"/>
        </w:rPr>
        <w:t>初步验收</w:t>
      </w:r>
      <w:r>
        <w:rPr>
          <w:rFonts w:hint="eastAsia" w:ascii="仿宋" w:hAnsi="仿宋" w:eastAsia="仿宋"/>
          <w:color w:val="000000"/>
          <w:sz w:val="32"/>
          <w:szCs w:val="32"/>
        </w:rPr>
        <w:t>、</w:t>
      </w:r>
      <w:r>
        <w:rPr>
          <w:rFonts w:ascii="仿宋" w:hAnsi="仿宋" w:eastAsia="仿宋"/>
          <w:color w:val="000000"/>
          <w:sz w:val="32"/>
          <w:szCs w:val="32"/>
        </w:rPr>
        <w:t>正式验收。</w:t>
      </w:r>
    </w:p>
    <w:p>
      <w:pPr>
        <w:pageBreakBefore w:val="0"/>
        <w:kinsoku/>
        <w:wordWrap/>
        <w:overflowPunct/>
        <w:topLinePunct w:val="0"/>
        <w:autoSpaceDE/>
        <w:autoSpaceDN/>
        <w:bidi w:val="0"/>
        <w:spacing w:line="596" w:lineRule="exact"/>
        <w:ind w:firstLine="643" w:firstLineChars="200"/>
        <w:outlineLvl w:val="9"/>
        <w:rPr>
          <w:rFonts w:ascii="仿宋" w:hAnsi="仿宋" w:eastAsia="仿宋"/>
          <w:b/>
          <w:color w:val="000000"/>
          <w:sz w:val="32"/>
          <w:szCs w:val="32"/>
        </w:rPr>
      </w:pPr>
      <w:r>
        <w:rPr>
          <w:rFonts w:hint="eastAsia" w:ascii="仿宋" w:hAnsi="仿宋" w:eastAsia="仿宋"/>
          <w:b/>
          <w:color w:val="000000"/>
          <w:sz w:val="32"/>
          <w:szCs w:val="32"/>
        </w:rPr>
        <w:t>（一）前置预验收</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单价（或属于成套购置和需配套使用的）在人民币</w:t>
      </w:r>
      <w:r>
        <w:rPr>
          <w:rFonts w:ascii="仿宋" w:hAnsi="仿宋" w:eastAsia="仿宋"/>
          <w:color w:val="000000"/>
          <w:sz w:val="32"/>
          <w:szCs w:val="32"/>
        </w:rPr>
        <w:t>40万元（含）以上的仪器设备</w:t>
      </w:r>
      <w:r>
        <w:rPr>
          <w:rFonts w:hint="eastAsia" w:ascii="仿宋" w:hAnsi="仿宋" w:eastAsia="仿宋"/>
          <w:color w:val="000000"/>
          <w:sz w:val="32"/>
          <w:szCs w:val="32"/>
        </w:rPr>
        <w:t>需要进行前置预验收。在政府采购项目公开招标中采用综合评分法项目，投标人响应文件中注明其产品主要部件采用某著名品牌的主轴、导轨、电机等，由资产管理处组织资产使用部门组成联合验收小组，与设备生产厂家核实。前置</w:t>
      </w:r>
      <w:r>
        <w:rPr>
          <w:rFonts w:ascii="仿宋" w:hAnsi="仿宋" w:eastAsia="仿宋"/>
          <w:color w:val="000000"/>
          <w:sz w:val="32"/>
          <w:szCs w:val="32"/>
        </w:rPr>
        <w:t>预验收过程主要包括以下内容</w:t>
      </w:r>
      <w:r>
        <w:rPr>
          <w:rFonts w:hint="eastAsia" w:ascii="仿宋" w:hAnsi="仿宋" w:eastAsia="仿宋"/>
          <w:color w:val="000000"/>
          <w:sz w:val="32"/>
          <w:szCs w:val="32"/>
        </w:rPr>
        <w:t>：</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1.</w:t>
      </w:r>
      <w:r>
        <w:rPr>
          <w:rFonts w:ascii="仿宋" w:hAnsi="仿宋" w:eastAsia="仿宋"/>
          <w:color w:val="000000"/>
          <w:sz w:val="32"/>
          <w:szCs w:val="32"/>
        </w:rPr>
        <w:t>检验设备主要零部件是否按合同要求制造。</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2.</w:t>
      </w:r>
      <w:r>
        <w:rPr>
          <w:rFonts w:ascii="仿宋" w:hAnsi="仿宋" w:eastAsia="仿宋"/>
          <w:color w:val="000000"/>
          <w:sz w:val="32"/>
          <w:szCs w:val="32"/>
        </w:rPr>
        <w:t>设备主要零部件品牌型号是否达到合同要求。</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3.</w:t>
      </w:r>
      <w:r>
        <w:rPr>
          <w:rFonts w:ascii="仿宋" w:hAnsi="仿宋" w:eastAsia="仿宋"/>
          <w:color w:val="000000"/>
          <w:sz w:val="32"/>
          <w:szCs w:val="32"/>
        </w:rPr>
        <w:t>检验设备主要技术指标及加工工业是否达到合同要求。</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4.</w:t>
      </w:r>
      <w:r>
        <w:rPr>
          <w:rFonts w:ascii="仿宋" w:hAnsi="仿宋" w:eastAsia="仿宋"/>
          <w:color w:val="000000"/>
          <w:sz w:val="32"/>
          <w:szCs w:val="32"/>
        </w:rPr>
        <w:t>对合同未要求部分检验，如发现不满意处可向生产厂家提出，以便及时改进。</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5.</w:t>
      </w:r>
      <w:r>
        <w:rPr>
          <w:rFonts w:ascii="仿宋" w:hAnsi="仿宋" w:eastAsia="仿宋"/>
          <w:color w:val="000000"/>
          <w:sz w:val="32"/>
          <w:szCs w:val="32"/>
        </w:rPr>
        <w:t>对试件进行加工，检查是否达到精度要求</w:t>
      </w:r>
      <w:r>
        <w:rPr>
          <w:rFonts w:hint="eastAsia" w:ascii="仿宋" w:hAnsi="仿宋" w:eastAsia="仿宋"/>
          <w:color w:val="000000"/>
          <w:sz w:val="32"/>
          <w:szCs w:val="32"/>
        </w:rPr>
        <w:t>。</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6.</w:t>
      </w:r>
      <w:r>
        <w:rPr>
          <w:rFonts w:ascii="仿宋" w:hAnsi="仿宋" w:eastAsia="仿宋"/>
          <w:color w:val="000000"/>
          <w:sz w:val="32"/>
          <w:szCs w:val="32"/>
        </w:rPr>
        <w:t>做好收记录，包括精度检验及要求改进之处，并由生产厂家签字。</w:t>
      </w:r>
    </w:p>
    <w:p>
      <w:pPr>
        <w:pageBreakBefore w:val="0"/>
        <w:kinsoku/>
        <w:wordWrap/>
        <w:overflowPunct/>
        <w:topLinePunct w:val="0"/>
        <w:autoSpaceDE/>
        <w:autoSpaceDN/>
        <w:bidi w:val="0"/>
        <w:spacing w:line="596" w:lineRule="exact"/>
        <w:ind w:firstLine="643" w:firstLineChars="200"/>
        <w:outlineLvl w:val="9"/>
        <w:rPr>
          <w:rFonts w:ascii="仿宋" w:hAnsi="仿宋" w:eastAsia="仿宋"/>
          <w:b/>
          <w:color w:val="000000"/>
          <w:sz w:val="32"/>
          <w:szCs w:val="32"/>
        </w:rPr>
      </w:pPr>
      <w:r>
        <w:rPr>
          <w:rFonts w:hint="eastAsia" w:ascii="仿宋" w:hAnsi="仿宋" w:eastAsia="仿宋"/>
          <w:b/>
          <w:color w:val="000000"/>
          <w:sz w:val="32"/>
          <w:szCs w:val="32"/>
        </w:rPr>
        <w:t>（二）初步验收</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初步验收分到货验收与安装调试验收。</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1.</w:t>
      </w:r>
      <w:r>
        <w:rPr>
          <w:rFonts w:ascii="仿宋" w:hAnsi="仿宋" w:eastAsia="仿宋"/>
          <w:color w:val="000000"/>
          <w:sz w:val="32"/>
          <w:szCs w:val="32"/>
        </w:rPr>
        <w:t>到货验收：购置资产到校后，使用部门要按照合同及招投标文件所规定的内容对所购资产进行初次检查、清点，包括外观、数量、品牌及型号检查等，并收集相关仪器设备的说明书、出厂证书、合格书等资料。若发现有问题，使用部门应做好详细记录、拍照留据，书面通知供货商。视情况决定是否退货、更换或要求派员检修等，相关工作应按合同约定在履约期内完成。</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2.</w:t>
      </w:r>
      <w:r>
        <w:rPr>
          <w:rFonts w:ascii="仿宋" w:hAnsi="仿宋" w:eastAsia="仿宋"/>
          <w:color w:val="000000"/>
          <w:sz w:val="32"/>
          <w:szCs w:val="32"/>
        </w:rPr>
        <w:t>安装调试验收：使用部门购置仪器、设备安装完毕后应按照合同规定的相关性能参数组织调试，并试运行，检查资</w:t>
      </w:r>
      <w:bookmarkStart w:id="1526" w:name="_Toc12617_WPSOffice_Level1"/>
      <w:r>
        <w:rPr>
          <w:rFonts w:ascii="仿宋" w:hAnsi="仿宋" w:eastAsia="仿宋"/>
          <w:color w:val="000000"/>
          <w:sz w:val="32"/>
          <w:szCs w:val="32"/>
        </w:rPr>
        <w:t>产的技术指标是否达到要求，做好试机记录。若发现有问题</w:t>
      </w:r>
      <w:bookmarkEnd w:id="1526"/>
      <w:r>
        <w:rPr>
          <w:rFonts w:ascii="仿宋" w:hAnsi="仿宋" w:eastAsia="仿宋"/>
          <w:color w:val="000000"/>
          <w:sz w:val="32"/>
          <w:szCs w:val="32"/>
        </w:rPr>
        <w:t>，使用部门应做好详细记录、拍照留据，书面通知供货商。视情况决定是否退货、更换或要求派员检修等，相关工作应按合同约定在履约期内完成。</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3.供货商履行合同及仪器设备到货或安装调试完成后，资产使用部门应于3个工作日内完成初步验收，初步验收合格后须</w:t>
      </w:r>
      <w:r>
        <w:rPr>
          <w:rFonts w:ascii="仿宋" w:hAnsi="仿宋" w:eastAsia="仿宋"/>
          <w:color w:val="000000"/>
          <w:sz w:val="32"/>
          <w:szCs w:val="32"/>
        </w:rPr>
        <w:t>3</w:t>
      </w:r>
      <w:r>
        <w:rPr>
          <w:rFonts w:hint="eastAsia" w:ascii="仿宋" w:hAnsi="仿宋" w:eastAsia="仿宋"/>
          <w:color w:val="000000"/>
          <w:sz w:val="32"/>
          <w:szCs w:val="32"/>
        </w:rPr>
        <w:t>个工作日内提请资产管理处正式验收。</w:t>
      </w:r>
    </w:p>
    <w:p>
      <w:pPr>
        <w:pageBreakBefore w:val="0"/>
        <w:kinsoku/>
        <w:wordWrap/>
        <w:overflowPunct/>
        <w:topLinePunct w:val="0"/>
        <w:autoSpaceDE/>
        <w:autoSpaceDN/>
        <w:bidi w:val="0"/>
        <w:spacing w:line="596" w:lineRule="exact"/>
        <w:ind w:firstLine="643" w:firstLineChars="200"/>
        <w:outlineLvl w:val="9"/>
        <w:rPr>
          <w:rFonts w:ascii="仿宋" w:hAnsi="仿宋" w:eastAsia="仿宋"/>
          <w:b/>
          <w:color w:val="000000"/>
          <w:sz w:val="32"/>
          <w:szCs w:val="32"/>
        </w:rPr>
      </w:pPr>
      <w:r>
        <w:rPr>
          <w:rFonts w:hint="eastAsia" w:ascii="仿宋" w:hAnsi="仿宋" w:eastAsia="仿宋"/>
          <w:b/>
          <w:color w:val="000000"/>
          <w:sz w:val="32"/>
          <w:szCs w:val="32"/>
        </w:rPr>
        <w:t>（三）正式验收</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1.验收前准备</w:t>
      </w:r>
      <w:r>
        <w:rPr>
          <w:rFonts w:ascii="仿宋" w:hAnsi="仿宋" w:eastAsia="仿宋"/>
          <w:color w:val="000000"/>
          <w:sz w:val="32"/>
          <w:szCs w:val="32"/>
        </w:rPr>
        <w:t>：使用部门提供资产验收所需的相关资料（</w:t>
      </w:r>
      <w:r>
        <w:rPr>
          <w:rFonts w:hint="eastAsia" w:ascii="仿宋" w:hAnsi="仿宋" w:eastAsia="仿宋"/>
          <w:color w:val="000000"/>
          <w:sz w:val="32"/>
          <w:szCs w:val="32"/>
        </w:rPr>
        <w:t>项目验收清单、</w:t>
      </w:r>
      <w:r>
        <w:rPr>
          <w:rFonts w:ascii="仿宋" w:hAnsi="仿宋" w:eastAsia="仿宋"/>
          <w:color w:val="000000"/>
          <w:sz w:val="32"/>
          <w:szCs w:val="32"/>
        </w:rPr>
        <w:t>合同、初步验收报告等）</w:t>
      </w:r>
      <w:r>
        <w:rPr>
          <w:rFonts w:hint="eastAsia" w:ascii="仿宋" w:hAnsi="仿宋" w:eastAsia="仿宋"/>
          <w:color w:val="000000"/>
          <w:sz w:val="32"/>
          <w:szCs w:val="32"/>
        </w:rPr>
        <w:t>；验收小组成员应当在实施验收前全面掌握项目验收清单和标准，采购文件对项目的技术规定要求和中标或者成交供应商的响应承诺等情况以及合同明确约定的要求，并完成验收所需要的其他准备工作。</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2.实施验收</w:t>
      </w:r>
      <w:r>
        <w:rPr>
          <w:rFonts w:ascii="仿宋" w:hAnsi="仿宋" w:eastAsia="仿宋"/>
          <w:color w:val="000000"/>
          <w:sz w:val="32"/>
          <w:szCs w:val="32"/>
        </w:rPr>
        <w:t>：验收工作组成员先要审核资料，</w:t>
      </w:r>
      <w:r>
        <w:rPr>
          <w:rFonts w:hint="eastAsia" w:ascii="仿宋" w:hAnsi="仿宋" w:eastAsia="仿宋"/>
          <w:color w:val="000000"/>
          <w:sz w:val="32"/>
          <w:szCs w:val="32"/>
        </w:rPr>
        <w:t>并到</w:t>
      </w:r>
      <w:r>
        <w:rPr>
          <w:rFonts w:ascii="仿宋" w:hAnsi="仿宋" w:eastAsia="仿宋"/>
          <w:color w:val="000000"/>
          <w:sz w:val="32"/>
          <w:szCs w:val="32"/>
        </w:rPr>
        <w:t>现场</w:t>
      </w:r>
      <w:r>
        <w:rPr>
          <w:rFonts w:hint="eastAsia" w:ascii="仿宋" w:hAnsi="仿宋" w:eastAsia="仿宋"/>
          <w:color w:val="000000"/>
          <w:sz w:val="32"/>
          <w:szCs w:val="32"/>
        </w:rPr>
        <w:t>核验</w:t>
      </w:r>
      <w:r>
        <w:rPr>
          <w:rFonts w:ascii="仿宋" w:hAnsi="仿宋" w:eastAsia="仿宋"/>
          <w:color w:val="000000"/>
          <w:sz w:val="32"/>
          <w:szCs w:val="32"/>
        </w:rPr>
        <w:t>，根据合同及招投标文件相关内容进行验收工作。</w:t>
      </w:r>
      <w:r>
        <w:rPr>
          <w:rFonts w:hint="eastAsia" w:ascii="仿宋" w:hAnsi="仿宋" w:eastAsia="仿宋"/>
          <w:color w:val="000000"/>
          <w:sz w:val="32"/>
          <w:szCs w:val="32"/>
        </w:rPr>
        <w:t>项目验收必须严格依照合同与补充合同的约定进行，不得增加合同与补充合同内容规定以外的新的验收内容或标准。</w:t>
      </w:r>
      <w:r>
        <w:rPr>
          <w:rFonts w:ascii="仿宋" w:hAnsi="仿宋" w:eastAsia="仿宋"/>
          <w:color w:val="000000"/>
          <w:sz w:val="32"/>
          <w:szCs w:val="32"/>
        </w:rPr>
        <w:t>验收合格后，验收小组成员在《</w:t>
      </w:r>
      <w:r>
        <w:rPr>
          <w:rFonts w:hint="eastAsia" w:ascii="仿宋" w:hAnsi="仿宋" w:eastAsia="仿宋"/>
          <w:color w:val="000000"/>
          <w:sz w:val="32"/>
          <w:szCs w:val="32"/>
        </w:rPr>
        <w:t>柳州职业技术学院采购项目验收报告</w:t>
      </w:r>
      <w:r>
        <w:rPr>
          <w:rFonts w:ascii="仿宋" w:hAnsi="仿宋" w:eastAsia="仿宋"/>
          <w:color w:val="000000"/>
          <w:sz w:val="32"/>
          <w:szCs w:val="32"/>
        </w:rPr>
        <w:t>》上签署意见。</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3.合同金额在伍拾万元以上（含伍拾万元）的，验收时由使用部门委派至少</w:t>
      </w:r>
      <w:r>
        <w:rPr>
          <w:rFonts w:ascii="仿宋" w:hAnsi="仿宋" w:eastAsia="仿宋"/>
          <w:color w:val="000000"/>
          <w:sz w:val="32"/>
          <w:szCs w:val="32"/>
        </w:rPr>
        <w:t>3人以上（含</w:t>
      </w:r>
      <w:r>
        <w:rPr>
          <w:rFonts w:hint="eastAsia" w:ascii="仿宋" w:hAnsi="仿宋" w:eastAsia="仿宋"/>
          <w:color w:val="000000"/>
          <w:sz w:val="32"/>
          <w:szCs w:val="32"/>
        </w:rPr>
        <w:t>部门正职领导或委派负责人，专业技术员</w:t>
      </w:r>
      <w:r>
        <w:rPr>
          <w:rFonts w:ascii="仿宋" w:hAnsi="仿宋" w:eastAsia="仿宋"/>
          <w:color w:val="000000"/>
          <w:sz w:val="32"/>
          <w:szCs w:val="32"/>
        </w:rPr>
        <w:t>）、归口管理部门委派1人，资产管理处委派1人进行验收，审计处委派1人监督验收过程；合同金额在壹拾万至伍十万元的，验收时由使用部门委派至少2人以上（含</w:t>
      </w:r>
      <w:r>
        <w:rPr>
          <w:rFonts w:hint="eastAsia" w:ascii="仿宋" w:hAnsi="仿宋" w:eastAsia="仿宋"/>
          <w:color w:val="000000"/>
          <w:sz w:val="32"/>
          <w:szCs w:val="32"/>
        </w:rPr>
        <w:t>部门正职领导或委派负责人，专业技术员</w:t>
      </w:r>
      <w:r>
        <w:rPr>
          <w:rFonts w:ascii="仿宋" w:hAnsi="仿宋" w:eastAsia="仿宋"/>
          <w:color w:val="000000"/>
          <w:sz w:val="32"/>
          <w:szCs w:val="32"/>
        </w:rPr>
        <w:t>）、归口管理部门委派1人，资产管理处委派1人进行验收 ，审计处委派1人监督验收过程；合同金额在</w:t>
      </w:r>
      <w:r>
        <w:rPr>
          <w:rFonts w:hint="eastAsia" w:ascii="仿宋" w:hAnsi="仿宋" w:eastAsia="仿宋"/>
          <w:color w:val="000000"/>
          <w:sz w:val="32"/>
          <w:szCs w:val="32"/>
        </w:rPr>
        <w:t>壹万至</w:t>
      </w:r>
      <w:r>
        <w:rPr>
          <w:rFonts w:ascii="仿宋" w:hAnsi="仿宋" w:eastAsia="仿宋"/>
          <w:color w:val="000000"/>
          <w:sz w:val="32"/>
          <w:szCs w:val="32"/>
        </w:rPr>
        <w:t>壹拾万元的，验收时由使用部门委派2人（含</w:t>
      </w:r>
      <w:r>
        <w:rPr>
          <w:rFonts w:hint="eastAsia" w:ascii="仿宋" w:hAnsi="仿宋" w:eastAsia="仿宋"/>
          <w:color w:val="000000"/>
          <w:sz w:val="32"/>
          <w:szCs w:val="32"/>
        </w:rPr>
        <w:t>部门正职领导或委派负责人，专业技术员</w:t>
      </w:r>
      <w:r>
        <w:rPr>
          <w:rFonts w:ascii="仿宋" w:hAnsi="仿宋" w:eastAsia="仿宋"/>
          <w:color w:val="000000"/>
          <w:sz w:val="32"/>
          <w:szCs w:val="32"/>
        </w:rPr>
        <w:t>），资产管理处委派1人共同参与验收</w:t>
      </w:r>
      <w:r>
        <w:rPr>
          <w:rFonts w:hint="eastAsia" w:ascii="仿宋" w:hAnsi="仿宋" w:eastAsia="仿宋"/>
          <w:color w:val="000000"/>
          <w:sz w:val="32"/>
          <w:szCs w:val="32"/>
        </w:rPr>
        <w:t>；合同金额壹万元以下项目（政府采购项目以外）</w:t>
      </w:r>
      <w:r>
        <w:rPr>
          <w:rFonts w:ascii="仿宋" w:hAnsi="仿宋" w:eastAsia="仿宋"/>
          <w:color w:val="000000"/>
          <w:sz w:val="32"/>
          <w:szCs w:val="32"/>
        </w:rPr>
        <w:t>，</w:t>
      </w:r>
      <w:r>
        <w:rPr>
          <w:rFonts w:hint="eastAsia" w:ascii="仿宋" w:hAnsi="仿宋" w:eastAsia="仿宋"/>
          <w:color w:val="000000"/>
          <w:sz w:val="32"/>
          <w:szCs w:val="32"/>
        </w:rPr>
        <w:t>由</w:t>
      </w:r>
      <w:r>
        <w:rPr>
          <w:rFonts w:ascii="仿宋" w:hAnsi="仿宋" w:eastAsia="仿宋"/>
          <w:color w:val="000000"/>
          <w:sz w:val="32"/>
          <w:szCs w:val="32"/>
        </w:rPr>
        <w:t>使用部门自行组织的验收即为正式验收。</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bCs/>
          <w:color w:val="000000"/>
          <w:sz w:val="32"/>
          <w:szCs w:val="32"/>
        </w:rPr>
        <w:t>第八条</w:t>
      </w:r>
      <w:r>
        <w:rPr>
          <w:rFonts w:hint="eastAsia" w:ascii="仿宋" w:hAnsi="仿宋" w:eastAsia="仿宋"/>
          <w:color w:val="000000"/>
          <w:sz w:val="32"/>
          <w:szCs w:val="32"/>
        </w:rPr>
        <w:t xml:space="preserve"> 资产验收合格后，资产使用部门把</w:t>
      </w:r>
      <w:r>
        <w:rPr>
          <w:rFonts w:ascii="仿宋" w:hAnsi="仿宋" w:eastAsia="仿宋"/>
          <w:color w:val="000000"/>
          <w:sz w:val="32"/>
          <w:szCs w:val="32"/>
        </w:rPr>
        <w:t>验收</w:t>
      </w:r>
      <w:r>
        <w:rPr>
          <w:rFonts w:hint="eastAsia" w:ascii="仿宋" w:hAnsi="仿宋" w:eastAsia="仿宋"/>
          <w:color w:val="000000"/>
          <w:sz w:val="32"/>
          <w:szCs w:val="32"/>
        </w:rPr>
        <w:t>报告上报资产管理处资产科，按照学校有关规定进行资产的入库、张贴资产标签工作。</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第九条</w:t>
      </w:r>
      <w:r>
        <w:rPr>
          <w:rFonts w:hint="eastAsia" w:ascii="仿宋" w:hAnsi="仿宋" w:eastAsia="仿宋"/>
          <w:color w:val="000000"/>
          <w:sz w:val="32"/>
          <w:szCs w:val="32"/>
        </w:rPr>
        <w:t xml:space="preserve"> </w:t>
      </w:r>
      <w:r>
        <w:rPr>
          <w:rFonts w:ascii="仿宋" w:hAnsi="仿宋" w:eastAsia="仿宋"/>
          <w:color w:val="000000"/>
          <w:sz w:val="32"/>
          <w:szCs w:val="32"/>
        </w:rPr>
        <w:t>对需要进行质量检测验收的资产，由国家认定的质量检测机构作为第三方进行检测验收，出具质量检测验收报告，检测费用由供货商全额支付，须在招标文件及采购合同中明确标明该内容。</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第十条</w:t>
      </w:r>
      <w:r>
        <w:rPr>
          <w:rFonts w:hint="eastAsia" w:ascii="仿宋" w:hAnsi="仿宋" w:eastAsia="仿宋"/>
          <w:color w:val="000000"/>
          <w:sz w:val="32"/>
          <w:szCs w:val="32"/>
        </w:rPr>
        <w:t xml:space="preserve"> 必要时可邀请校外专家参与验收。</w:t>
      </w:r>
    </w:p>
    <w:p>
      <w:pPr>
        <w:pageBreakBefore w:val="0"/>
        <w:kinsoku/>
        <w:wordWrap/>
        <w:overflowPunct/>
        <w:topLinePunct w:val="0"/>
        <w:autoSpaceDE/>
        <w:autoSpaceDN/>
        <w:bidi w:val="0"/>
        <w:spacing w:line="596" w:lineRule="exact"/>
        <w:jc w:val="center"/>
        <w:outlineLvl w:val="9"/>
        <w:rPr>
          <w:rFonts w:ascii="黑体" w:hAnsi="黑体" w:eastAsia="黑体"/>
          <w:b/>
          <w:color w:val="000000"/>
          <w:sz w:val="32"/>
          <w:szCs w:val="32"/>
        </w:rPr>
      </w:pPr>
      <w:bookmarkStart w:id="1527" w:name="_Toc14587_WPSOffice_Level1"/>
      <w:r>
        <w:rPr>
          <w:rFonts w:hint="eastAsia" w:ascii="黑体" w:hAnsi="黑体" w:eastAsia="黑体"/>
          <w:b/>
          <w:color w:val="000000"/>
          <w:sz w:val="32"/>
          <w:szCs w:val="32"/>
        </w:rPr>
        <w:t>第四章 资产入库和结算</w:t>
      </w:r>
      <w:bookmarkEnd w:id="1527"/>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第十一条</w:t>
      </w:r>
      <w:r>
        <w:rPr>
          <w:rFonts w:ascii="仿宋" w:hAnsi="仿宋" w:eastAsia="仿宋"/>
          <w:color w:val="000000"/>
          <w:sz w:val="32"/>
          <w:szCs w:val="32"/>
        </w:rPr>
        <w:t xml:space="preserve"> 资产验收合格后，</w:t>
      </w:r>
      <w:r>
        <w:rPr>
          <w:rFonts w:hint="eastAsia" w:ascii="仿宋" w:hAnsi="仿宋" w:eastAsia="仿宋"/>
          <w:color w:val="000000"/>
          <w:sz w:val="32"/>
          <w:szCs w:val="32"/>
        </w:rPr>
        <w:t>资产使用部门的资产管理员</w:t>
      </w:r>
      <w:r>
        <w:rPr>
          <w:rFonts w:ascii="仿宋" w:hAnsi="仿宋" w:eastAsia="仿宋"/>
          <w:color w:val="000000"/>
          <w:sz w:val="32"/>
          <w:szCs w:val="32"/>
        </w:rPr>
        <w:t>将资产录入学校资产信息管理系统，</w:t>
      </w:r>
      <w:r>
        <w:rPr>
          <w:rFonts w:hint="eastAsia" w:ascii="仿宋" w:hAnsi="仿宋" w:eastAsia="仿宋"/>
          <w:color w:val="000000"/>
          <w:sz w:val="32"/>
          <w:szCs w:val="32"/>
        </w:rPr>
        <w:t>并把项目验收报告扫描发给资产科存档，资产科负责资产信息系统的审核并打印资产入库单、资产标签，资产标签由使用部门负责张贴到资产实物醒目处。</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第十二条</w:t>
      </w:r>
      <w:r>
        <w:rPr>
          <w:rFonts w:ascii="仿宋" w:hAnsi="仿宋" w:eastAsia="仿宋"/>
          <w:color w:val="000000"/>
          <w:sz w:val="32"/>
          <w:szCs w:val="32"/>
        </w:rPr>
        <w:t xml:space="preserve"> </w:t>
      </w:r>
      <w:r>
        <w:rPr>
          <w:rFonts w:hint="eastAsia" w:ascii="仿宋" w:hAnsi="仿宋" w:eastAsia="仿宋"/>
          <w:color w:val="000000"/>
          <w:sz w:val="32"/>
          <w:szCs w:val="32"/>
        </w:rPr>
        <w:t xml:space="preserve">采购资金结算 </w:t>
      </w:r>
      <w:r>
        <w:rPr>
          <w:rFonts w:ascii="仿宋" w:hAnsi="仿宋" w:eastAsia="仿宋"/>
          <w:color w:val="000000"/>
          <w:sz w:val="32"/>
          <w:szCs w:val="32"/>
        </w:rPr>
        <w:t>资产</w:t>
      </w:r>
      <w:r>
        <w:rPr>
          <w:rFonts w:hint="eastAsia" w:ascii="仿宋" w:hAnsi="仿宋" w:eastAsia="仿宋"/>
          <w:color w:val="000000"/>
          <w:sz w:val="32"/>
          <w:szCs w:val="32"/>
        </w:rPr>
        <w:t>验收报告、</w:t>
      </w:r>
      <w:r>
        <w:rPr>
          <w:rFonts w:ascii="仿宋" w:hAnsi="仿宋" w:eastAsia="仿宋"/>
          <w:color w:val="000000"/>
          <w:sz w:val="32"/>
          <w:szCs w:val="32"/>
        </w:rPr>
        <w:t>资产入库单</w:t>
      </w:r>
      <w:r>
        <w:rPr>
          <w:rFonts w:hint="eastAsia" w:ascii="仿宋" w:hAnsi="仿宋" w:eastAsia="仿宋"/>
          <w:color w:val="000000"/>
          <w:sz w:val="32"/>
          <w:szCs w:val="32"/>
        </w:rPr>
        <w:t>、</w:t>
      </w:r>
      <w:r>
        <w:rPr>
          <w:rFonts w:ascii="仿宋" w:hAnsi="仿宋" w:eastAsia="仿宋"/>
          <w:color w:val="000000"/>
          <w:sz w:val="32"/>
          <w:szCs w:val="32"/>
        </w:rPr>
        <w:t>发票、合同</w:t>
      </w:r>
      <w:r>
        <w:rPr>
          <w:rFonts w:hint="eastAsia" w:ascii="仿宋" w:hAnsi="仿宋" w:eastAsia="仿宋"/>
          <w:color w:val="000000"/>
          <w:sz w:val="32"/>
          <w:szCs w:val="32"/>
        </w:rPr>
        <w:t>等是申请支付全部合同价款的必备资料；验收合格后资产使用部门按照合同约定的时间支付资金，在3</w:t>
      </w:r>
      <w:r>
        <w:rPr>
          <w:rFonts w:ascii="仿宋" w:hAnsi="仿宋" w:eastAsia="仿宋"/>
          <w:color w:val="000000"/>
          <w:sz w:val="32"/>
          <w:szCs w:val="32"/>
        </w:rPr>
        <w:t>个工作日内办理采购资金支付</w:t>
      </w:r>
      <w:r>
        <w:rPr>
          <w:rFonts w:hint="eastAsia" w:ascii="仿宋" w:hAnsi="仿宋" w:eastAsia="仿宋"/>
          <w:color w:val="000000"/>
          <w:sz w:val="32"/>
          <w:szCs w:val="32"/>
        </w:rPr>
        <w:t>，报账程序</w:t>
      </w:r>
      <w:r>
        <w:rPr>
          <w:rFonts w:ascii="仿宋" w:hAnsi="仿宋" w:eastAsia="仿宋"/>
          <w:color w:val="000000"/>
          <w:sz w:val="32"/>
          <w:szCs w:val="32"/>
        </w:rPr>
        <w:t>按财务制度</w:t>
      </w:r>
      <w:r>
        <w:rPr>
          <w:rFonts w:hint="eastAsia" w:ascii="仿宋" w:hAnsi="仿宋" w:eastAsia="仿宋"/>
          <w:color w:val="000000"/>
          <w:sz w:val="32"/>
          <w:szCs w:val="32"/>
        </w:rPr>
        <w:t>执行</w:t>
      </w:r>
      <w:r>
        <w:rPr>
          <w:rFonts w:ascii="仿宋" w:hAnsi="仿宋" w:eastAsia="仿宋"/>
          <w:color w:val="000000"/>
          <w:sz w:val="32"/>
          <w:szCs w:val="32"/>
        </w:rPr>
        <w:t>。</w:t>
      </w:r>
      <w:r>
        <w:rPr>
          <w:rFonts w:hint="eastAsia" w:ascii="仿宋" w:hAnsi="仿宋" w:eastAsia="仿宋"/>
          <w:color w:val="000000"/>
          <w:sz w:val="32"/>
          <w:szCs w:val="32"/>
        </w:rPr>
        <w:t>如超过合同约定支付时间所引起的后果由资产使用部门承担并给予通报。</w:t>
      </w:r>
    </w:p>
    <w:p>
      <w:pPr>
        <w:pageBreakBefore w:val="0"/>
        <w:kinsoku/>
        <w:wordWrap/>
        <w:overflowPunct/>
        <w:topLinePunct w:val="0"/>
        <w:autoSpaceDE/>
        <w:autoSpaceDN/>
        <w:bidi w:val="0"/>
        <w:spacing w:line="596" w:lineRule="exact"/>
        <w:jc w:val="center"/>
        <w:outlineLvl w:val="9"/>
        <w:rPr>
          <w:rFonts w:ascii="黑体" w:hAnsi="黑体" w:eastAsia="黑体"/>
          <w:b/>
          <w:color w:val="000000"/>
          <w:sz w:val="32"/>
          <w:szCs w:val="32"/>
        </w:rPr>
      </w:pPr>
      <w:bookmarkStart w:id="1528" w:name="_Toc12907_WPSOffice_Level1"/>
      <w:r>
        <w:rPr>
          <w:rFonts w:hint="eastAsia" w:ascii="黑体" w:hAnsi="黑体" w:eastAsia="黑体"/>
          <w:b/>
          <w:color w:val="000000"/>
          <w:sz w:val="32"/>
          <w:szCs w:val="32"/>
        </w:rPr>
        <w:t>第五章 履约验收的职责</w:t>
      </w:r>
      <w:bookmarkEnd w:id="1528"/>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第十三条</w:t>
      </w:r>
      <w:r>
        <w:rPr>
          <w:rFonts w:hint="eastAsia" w:ascii="仿宋" w:hAnsi="仿宋" w:eastAsia="仿宋"/>
          <w:color w:val="000000"/>
          <w:sz w:val="32"/>
          <w:szCs w:val="32"/>
        </w:rPr>
        <w:t xml:space="preserve"> 验收小组成员职责</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（一）应具备与采购项目相关的专业知识和实践经验。</w:t>
      </w:r>
      <w:r>
        <w:rPr>
          <w:rFonts w:ascii="仿宋" w:hAnsi="仿宋" w:eastAsia="仿宋"/>
          <w:color w:val="000000"/>
          <w:sz w:val="32"/>
          <w:szCs w:val="32"/>
        </w:rPr>
        <w:t xml:space="preserve">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二）必须按照采购合同以及招标文件、投标文件、各项承诺、技术方案、配置型号等内容进行验收，不得私自改变验收标准，降低验收等级。对验收过程中需要共同认定的事项存在争议的，要按照少数服从多数的原则做出结论。验收小组成员有自由发表意见的权力，对验收有异议的，应当在验收书上签署不同意见，并说明理由，否则视为同意验收书。</w:t>
      </w:r>
      <w:r>
        <w:rPr>
          <w:rFonts w:ascii="仿宋" w:hAnsi="仿宋" w:eastAsia="仿宋"/>
          <w:color w:val="000000"/>
          <w:sz w:val="32"/>
          <w:szCs w:val="32"/>
        </w:rPr>
        <w:t xml:space="preserve">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三）要认真做好验收记录，在验收报告中应详细列明有关情况。包括：中标或者成交供应商是否按合同约定的时间、地点和方式履约；提供的货物品牌、型号和配置是否符合合同约定，是否缺少应有的配件、附件、材料，货物或工程数量、质量、性能、功能是否达到合同约定；中标或者成交供应商在安装、调试等方面是否违反合同约定或服务规范要求；提供的质量保证证明材料是否齐全等。</w:t>
      </w:r>
      <w:r>
        <w:rPr>
          <w:rFonts w:ascii="仿宋" w:hAnsi="仿宋" w:eastAsia="仿宋"/>
          <w:color w:val="000000"/>
          <w:sz w:val="32"/>
          <w:szCs w:val="32"/>
        </w:rPr>
        <w:t xml:space="preserve">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（四）应当坚持原则，客观公正地独立提出验收意见并对自己所签署的验收意见负责。</w:t>
      </w:r>
      <w:r>
        <w:rPr>
          <w:rFonts w:ascii="仿宋" w:hAnsi="仿宋" w:eastAsia="仿宋"/>
          <w:color w:val="000000"/>
          <w:sz w:val="32"/>
          <w:szCs w:val="32"/>
        </w:rPr>
        <w:t xml:space="preserve">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（五）在验收中发现有下列不符合合同约定情形的，应在验收报告中注明违约情形，并及时通知采购人。</w:t>
      </w:r>
      <w:r>
        <w:rPr>
          <w:rFonts w:ascii="仿宋" w:hAnsi="仿宋" w:eastAsia="仿宋"/>
          <w:color w:val="000000"/>
          <w:sz w:val="32"/>
          <w:szCs w:val="32"/>
        </w:rPr>
        <w:t xml:space="preserve">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 xml:space="preserve">1.中标或者成交供应商未按合同约定的时间、地点或方式履约，提供的货物型号或配置不符合合同约定，缺少应有的配件、附件、材料，货物的数量、质量、性能、功能达不到合同约定的（合同未约定的，按国家、行业有关标准或技术文件规定执行）。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 xml:space="preserve">2.中标或者成交供应商在安装、调试等方面违反合同约定或服务规范要求。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 xml:space="preserve">3.其他违反合同约定的情形。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（六）验收结束后，填写验收报告</w:t>
      </w:r>
      <w:r>
        <w:rPr>
          <w:rFonts w:ascii="仿宋" w:hAnsi="仿宋" w:eastAsia="仿宋"/>
          <w:color w:val="000000"/>
          <w:sz w:val="32"/>
          <w:szCs w:val="32"/>
        </w:rPr>
        <w:t xml:space="preserve">，出具验收意见，明确验收是否合格等，验收小组成员应当签字确认。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七）在验收过程中发现有严重质量问题、假冒伪劣产品等重大可疑情况的，应及时书面向采购人反映。经确认属质量等问题的，采购人当及时与中标或者成交供应商进行交涉，追究其违约责任；经确认属假冒伪劣产品的，应移交工商、质量监督等行政执法部门依法查处。</w:t>
      </w:r>
      <w:r>
        <w:rPr>
          <w:rFonts w:ascii="仿宋" w:hAnsi="仿宋" w:eastAsia="仿宋"/>
          <w:color w:val="000000"/>
          <w:sz w:val="32"/>
          <w:szCs w:val="32"/>
        </w:rPr>
        <w:t xml:space="preserve"> </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hint="eastAsia" w:ascii="仿宋" w:hAnsi="仿宋" w:eastAsia="仿宋"/>
          <w:color w:val="000000"/>
          <w:sz w:val="32"/>
          <w:szCs w:val="32"/>
        </w:rPr>
        <w:t>（八）与中标或者成交供应商有利害关系的，应主动提出回避。</w:t>
      </w:r>
    </w:p>
    <w:p>
      <w:pPr>
        <w:pageBreakBefore w:val="0"/>
        <w:kinsoku/>
        <w:wordWrap/>
        <w:overflowPunct/>
        <w:topLinePunct w:val="0"/>
        <w:autoSpaceDE/>
        <w:autoSpaceDN/>
        <w:bidi w:val="0"/>
        <w:spacing w:line="596" w:lineRule="exact"/>
        <w:jc w:val="center"/>
        <w:outlineLvl w:val="9"/>
        <w:rPr>
          <w:rFonts w:ascii="黑体" w:hAnsi="黑体" w:eastAsia="黑体"/>
          <w:b/>
          <w:color w:val="000000"/>
          <w:sz w:val="32"/>
          <w:szCs w:val="32"/>
        </w:rPr>
      </w:pPr>
      <w:bookmarkStart w:id="1529" w:name="_Toc5037_WPSOffice_Level1"/>
      <w:r>
        <w:rPr>
          <w:rFonts w:hint="eastAsia" w:ascii="黑体" w:hAnsi="黑体" w:eastAsia="黑体"/>
          <w:b/>
          <w:color w:val="000000"/>
          <w:sz w:val="32"/>
          <w:szCs w:val="32"/>
        </w:rPr>
        <w:t>第六章</w:t>
      </w:r>
      <w:r>
        <w:rPr>
          <w:rFonts w:ascii="黑体" w:hAnsi="黑体" w:eastAsia="黑体"/>
          <w:b/>
          <w:color w:val="000000"/>
          <w:sz w:val="32"/>
          <w:szCs w:val="32"/>
        </w:rPr>
        <w:t xml:space="preserve"> 验收纪律与监督检查</w:t>
      </w:r>
      <w:bookmarkEnd w:id="1529"/>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第十四条</w:t>
      </w:r>
      <w:r>
        <w:rPr>
          <w:rFonts w:ascii="仿宋" w:hAnsi="仿宋" w:eastAsia="仿宋"/>
          <w:color w:val="000000"/>
          <w:sz w:val="32"/>
          <w:szCs w:val="32"/>
        </w:rPr>
        <w:t xml:space="preserve"> 学校</w:t>
      </w:r>
      <w:r>
        <w:rPr>
          <w:rFonts w:hint="eastAsia" w:ascii="仿宋" w:hAnsi="仿宋" w:eastAsia="仿宋"/>
          <w:color w:val="000000"/>
          <w:sz w:val="32"/>
          <w:szCs w:val="32"/>
        </w:rPr>
        <w:t>审计</w:t>
      </w:r>
      <w:r>
        <w:rPr>
          <w:rFonts w:ascii="仿宋" w:hAnsi="仿宋" w:eastAsia="仿宋"/>
          <w:color w:val="000000"/>
          <w:sz w:val="32"/>
          <w:szCs w:val="32"/>
        </w:rPr>
        <w:t>处对资产验收进行监督，会同</w:t>
      </w:r>
      <w:r>
        <w:rPr>
          <w:rFonts w:hint="eastAsia" w:ascii="仿宋" w:hAnsi="仿宋" w:eastAsia="仿宋"/>
          <w:color w:val="000000"/>
          <w:sz w:val="32"/>
          <w:szCs w:val="32"/>
        </w:rPr>
        <w:t>资产管理处</w:t>
      </w:r>
      <w:r>
        <w:rPr>
          <w:rFonts w:ascii="仿宋" w:hAnsi="仿宋" w:eastAsia="仿宋"/>
          <w:color w:val="000000"/>
          <w:sz w:val="32"/>
          <w:szCs w:val="32"/>
        </w:rPr>
        <w:t>、财务</w:t>
      </w:r>
      <w:r>
        <w:rPr>
          <w:rFonts w:hint="eastAsia" w:ascii="仿宋" w:hAnsi="仿宋" w:eastAsia="仿宋"/>
          <w:color w:val="000000"/>
          <w:sz w:val="32"/>
          <w:szCs w:val="32"/>
        </w:rPr>
        <w:t>处</w:t>
      </w:r>
      <w:r>
        <w:rPr>
          <w:rFonts w:ascii="仿宋" w:hAnsi="仿宋" w:eastAsia="仿宋"/>
          <w:color w:val="000000"/>
          <w:sz w:val="32"/>
          <w:szCs w:val="32"/>
        </w:rPr>
        <w:t>、</w:t>
      </w:r>
      <w:r>
        <w:rPr>
          <w:rFonts w:hint="eastAsia" w:ascii="仿宋" w:hAnsi="仿宋" w:eastAsia="仿宋"/>
          <w:color w:val="000000"/>
          <w:sz w:val="32"/>
          <w:szCs w:val="32"/>
        </w:rPr>
        <w:t>归口管理部门</w:t>
      </w:r>
      <w:r>
        <w:rPr>
          <w:rFonts w:ascii="仿宋" w:hAnsi="仿宋" w:eastAsia="仿宋"/>
          <w:color w:val="000000"/>
          <w:sz w:val="32"/>
          <w:szCs w:val="32"/>
        </w:rPr>
        <w:t>等部门不定期组织抽查，根据工作需要开展专项检查。</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第十五条</w:t>
      </w:r>
      <w:r>
        <w:rPr>
          <w:rFonts w:ascii="仿宋" w:hAnsi="仿宋" w:eastAsia="仿宋"/>
          <w:color w:val="000000"/>
          <w:sz w:val="32"/>
          <w:szCs w:val="32"/>
        </w:rPr>
        <w:t xml:space="preserve"> 资产使用部门负责人对资产初步验收（含自行组织的验收）负主要责任，</w:t>
      </w:r>
      <w:r>
        <w:rPr>
          <w:rFonts w:hint="eastAsia" w:ascii="仿宋" w:hAnsi="仿宋" w:eastAsia="仿宋"/>
          <w:color w:val="000000"/>
          <w:sz w:val="32"/>
          <w:szCs w:val="32"/>
        </w:rPr>
        <w:t>资产管理处</w:t>
      </w:r>
      <w:r>
        <w:rPr>
          <w:rFonts w:ascii="仿宋" w:hAnsi="仿宋" w:eastAsia="仿宋"/>
          <w:color w:val="000000"/>
          <w:sz w:val="32"/>
          <w:szCs w:val="32"/>
        </w:rPr>
        <w:t>牵头组织的验收工作组对资产正式验收负主要责任。各部门有关人员在资产验收过程中应严格执行本办法，如有以下行为之一的人员，将按有关规定处理，对渎职者要根据情节轻重，依法依规追究当事人及负责人的相应责任。</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1.违反本办法规定，未按相关程序组织验收的；</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2.货物到校后，未按规定进行开箱验货并作好登记的；</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3.提供的验收资料不完整或有重大错误的；</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4.验收工作组成员未到现场验收直接签字确认的；</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5.与供应商串通，弄虚作假，干扰验收工作，损害学校利益的；</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6.项目建设完成后，未按规定及时组织验收的；</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7.项目履约与合同约定有明显出入未履行变更手续，在初步验收过程和正式验收过程中均未发现并及时改正的；</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8.对验收中存在的问题未及时整改的；</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r>
        <w:rPr>
          <w:rFonts w:ascii="仿宋" w:hAnsi="仿宋" w:eastAsia="仿宋"/>
          <w:color w:val="000000"/>
          <w:sz w:val="32"/>
          <w:szCs w:val="32"/>
        </w:rPr>
        <w:t>9.其它违反本办法及国家有关规定的行为。</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第十六条</w:t>
      </w:r>
      <w:r>
        <w:rPr>
          <w:rFonts w:hint="eastAsia" w:ascii="仿宋" w:hAnsi="仿宋" w:eastAsia="仿宋"/>
          <w:color w:val="000000"/>
          <w:sz w:val="32"/>
          <w:szCs w:val="32"/>
        </w:rPr>
        <w:t xml:space="preserve"> 学校购买的资产未经正式验收合格任何部门一律不得使用，货物类资产安装调试、试用时必须有供货商在场。使用部门违反规定私自使用未经验收合格的资产造成的一切后果由使用部门承担。</w:t>
      </w:r>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第十七条</w:t>
      </w:r>
      <w:r>
        <w:rPr>
          <w:rFonts w:hint="eastAsia" w:ascii="仿宋" w:hAnsi="仿宋" w:eastAsia="仿宋"/>
          <w:color w:val="000000"/>
          <w:sz w:val="32"/>
          <w:szCs w:val="32"/>
        </w:rPr>
        <w:t xml:space="preserve"> 项目质保金应于质保期到期1</w:t>
      </w:r>
      <w:r>
        <w:rPr>
          <w:rFonts w:ascii="仿宋" w:hAnsi="仿宋" w:eastAsia="仿宋"/>
          <w:color w:val="000000"/>
          <w:sz w:val="32"/>
          <w:szCs w:val="32"/>
        </w:rPr>
        <w:t>0</w:t>
      </w:r>
      <w:r>
        <w:rPr>
          <w:rFonts w:hint="eastAsia" w:ascii="仿宋" w:hAnsi="仿宋" w:eastAsia="仿宋"/>
          <w:color w:val="000000"/>
          <w:sz w:val="32"/>
          <w:szCs w:val="32"/>
        </w:rPr>
        <w:t>个工作日内，资产申请采购部门根据合同履行情况及设备运行情况，提交《政府采购合同款、履约保证金支付意见表》于财务处，根据合同条款办理中标商的履约保证金的返还支付手续，并报资产管理处备案。</w:t>
      </w:r>
    </w:p>
    <w:p>
      <w:pPr>
        <w:pageBreakBefore w:val="0"/>
        <w:kinsoku/>
        <w:wordWrap/>
        <w:overflowPunct/>
        <w:topLinePunct w:val="0"/>
        <w:autoSpaceDE/>
        <w:autoSpaceDN/>
        <w:bidi w:val="0"/>
        <w:spacing w:line="596" w:lineRule="exact"/>
        <w:jc w:val="center"/>
        <w:outlineLvl w:val="9"/>
        <w:rPr>
          <w:rFonts w:ascii="黑体" w:hAnsi="黑体" w:eastAsia="黑体"/>
          <w:b/>
          <w:color w:val="000000"/>
          <w:sz w:val="32"/>
          <w:szCs w:val="32"/>
        </w:rPr>
      </w:pPr>
      <w:bookmarkStart w:id="1530" w:name="_Toc24933_WPSOffice_Level1"/>
      <w:r>
        <w:rPr>
          <w:rFonts w:hint="eastAsia" w:ascii="黑体" w:hAnsi="黑体" w:eastAsia="黑体"/>
          <w:b/>
          <w:color w:val="000000"/>
          <w:sz w:val="32"/>
          <w:szCs w:val="32"/>
        </w:rPr>
        <w:t>第七章 附则</w:t>
      </w:r>
      <w:bookmarkEnd w:id="1530"/>
    </w:p>
    <w:p>
      <w:pPr>
        <w:pageBreakBefore w:val="0"/>
        <w:kinsoku/>
        <w:wordWrap/>
        <w:overflowPunct/>
        <w:topLinePunct w:val="0"/>
        <w:autoSpaceDE/>
        <w:autoSpaceDN/>
        <w:bidi w:val="0"/>
        <w:spacing w:line="596" w:lineRule="exact"/>
        <w:ind w:firstLine="643" w:firstLineChars="200"/>
        <w:outlineLvl w:val="9"/>
        <w:rPr>
          <w:rFonts w:ascii="仿宋" w:hAnsi="仿宋" w:eastAsia="仿宋"/>
          <w:color w:val="000000"/>
          <w:sz w:val="32"/>
          <w:szCs w:val="32"/>
        </w:rPr>
      </w:pPr>
      <w:r>
        <w:rPr>
          <w:rFonts w:hint="eastAsia" w:ascii="仿宋" w:hAnsi="仿宋" w:eastAsia="仿宋"/>
          <w:b/>
          <w:color w:val="000000"/>
          <w:sz w:val="32"/>
          <w:szCs w:val="32"/>
        </w:rPr>
        <w:t>第十八条</w:t>
      </w:r>
      <w:r>
        <w:rPr>
          <w:rFonts w:ascii="仿宋" w:hAnsi="仿宋" w:eastAsia="仿宋"/>
          <w:color w:val="000000"/>
          <w:sz w:val="32"/>
          <w:szCs w:val="32"/>
        </w:rPr>
        <w:t xml:space="preserve"> 本办法解释权为</w:t>
      </w:r>
      <w:r>
        <w:rPr>
          <w:rFonts w:hint="eastAsia" w:ascii="仿宋" w:hAnsi="仿宋" w:eastAsia="仿宋"/>
          <w:color w:val="000000"/>
          <w:sz w:val="32"/>
          <w:szCs w:val="32"/>
        </w:rPr>
        <w:t>学校</w:t>
      </w:r>
      <w:r>
        <w:rPr>
          <w:rFonts w:ascii="仿宋" w:hAnsi="仿宋" w:eastAsia="仿宋"/>
          <w:color w:val="000000"/>
          <w:sz w:val="32"/>
          <w:szCs w:val="32"/>
        </w:rPr>
        <w:t>资产管理</w:t>
      </w:r>
      <w:r>
        <w:rPr>
          <w:rFonts w:hint="eastAsia" w:ascii="仿宋" w:hAnsi="仿宋" w:eastAsia="仿宋"/>
          <w:color w:val="000000"/>
          <w:sz w:val="32"/>
          <w:szCs w:val="32"/>
        </w:rPr>
        <w:t>处</w:t>
      </w:r>
      <w:r>
        <w:rPr>
          <w:rFonts w:ascii="仿宋" w:hAnsi="仿宋" w:eastAsia="仿宋"/>
          <w:color w:val="000000"/>
          <w:sz w:val="32"/>
          <w:szCs w:val="32"/>
        </w:rPr>
        <w:t>。</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olor w:val="000000"/>
          <w:sz w:val="32"/>
          <w:szCs w:val="32"/>
        </w:rPr>
      </w:pPr>
      <w:r>
        <w:rPr>
          <w:rFonts w:hint="eastAsia" w:ascii="仿宋" w:hAnsi="仿宋" w:eastAsia="仿宋"/>
          <w:b/>
          <w:bCs/>
          <w:color w:val="000000"/>
          <w:sz w:val="32"/>
          <w:szCs w:val="32"/>
        </w:rPr>
        <w:t>第十九条</w:t>
      </w:r>
      <w:r>
        <w:rPr>
          <w:rFonts w:hint="eastAsia" w:ascii="仿宋" w:hAnsi="仿宋" w:eastAsia="仿宋"/>
          <w:color w:val="000000"/>
          <w:sz w:val="32"/>
          <w:szCs w:val="32"/>
        </w:rPr>
        <w:t xml:space="preserve"> </w:t>
      </w:r>
      <w:r>
        <w:rPr>
          <w:rFonts w:ascii="仿宋" w:hAnsi="仿宋" w:eastAsia="仿宋"/>
          <w:color w:val="000000"/>
          <w:sz w:val="32"/>
          <w:szCs w:val="32"/>
        </w:rPr>
        <w:t>本规定自发布之日起执行</w:t>
      </w:r>
      <w:r>
        <w:rPr>
          <w:rFonts w:hint="eastAsia" w:ascii="仿宋" w:hAnsi="仿宋" w:eastAsia="仿宋"/>
          <w:color w:val="000000"/>
          <w:sz w:val="32"/>
          <w:szCs w:val="32"/>
        </w:rPr>
        <w:t>。</w:t>
      </w: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rPr>
      </w:pPr>
    </w:p>
    <w:p>
      <w:pPr>
        <w:pageBreakBefore w:val="0"/>
        <w:kinsoku/>
        <w:wordWrap/>
        <w:overflowPunct/>
        <w:topLinePunct w:val="0"/>
        <w:autoSpaceDE/>
        <w:autoSpaceDN/>
        <w:bidi w:val="0"/>
        <w:spacing w:line="596" w:lineRule="exact"/>
        <w:ind w:firstLine="640" w:firstLineChars="200"/>
        <w:outlineLvl w:val="9"/>
        <w:rPr>
          <w:rFonts w:ascii="仿宋" w:hAnsi="仿宋" w:eastAsia="仿宋"/>
          <w:color w:val="000000"/>
          <w:sz w:val="32"/>
          <w:szCs w:val="32"/>
          <w:lang w:val="ru-RU"/>
        </w:rPr>
      </w:pPr>
      <w:r>
        <w:rPr>
          <w:rFonts w:hint="eastAsia" w:ascii="仿宋" w:hAnsi="仿宋" w:eastAsia="仿宋"/>
          <w:color w:val="000000"/>
          <w:sz w:val="32"/>
          <w:szCs w:val="32"/>
        </w:rPr>
        <w:t>附件：1.柳州职业技术学院采购项目初步验收报告</w:t>
      </w:r>
    </w:p>
    <w:p>
      <w:pPr>
        <w:pageBreakBefore w:val="0"/>
        <w:kinsoku/>
        <w:wordWrap/>
        <w:overflowPunct/>
        <w:topLinePunct w:val="0"/>
        <w:autoSpaceDE/>
        <w:autoSpaceDN/>
        <w:bidi w:val="0"/>
        <w:spacing w:line="596" w:lineRule="exact"/>
        <w:outlineLvl w:val="9"/>
        <w:rPr>
          <w:rFonts w:ascii="仿宋" w:hAnsi="仿宋" w:eastAsia="仿宋"/>
          <w:color w:val="000000"/>
          <w:sz w:val="32"/>
          <w:szCs w:val="32"/>
        </w:rPr>
      </w:pPr>
      <w:r>
        <w:rPr>
          <w:rFonts w:hint="eastAsia" w:ascii="仿宋" w:hAnsi="仿宋" w:eastAsia="仿宋"/>
          <w:color w:val="000000"/>
          <w:sz w:val="32"/>
          <w:szCs w:val="32"/>
        </w:rPr>
        <w:t xml:space="preserve"> </w:t>
      </w:r>
      <w:r>
        <w:rPr>
          <w:rFonts w:ascii="仿宋" w:hAnsi="仿宋" w:eastAsia="仿宋"/>
          <w:color w:val="000000"/>
          <w:sz w:val="32"/>
          <w:szCs w:val="32"/>
        </w:rPr>
        <w:t xml:space="preserve">     </w:t>
      </w:r>
      <w:r>
        <w:rPr>
          <w:rFonts w:hint="eastAsia" w:ascii="仿宋" w:hAnsi="仿宋" w:eastAsia="仿宋"/>
          <w:color w:val="000000"/>
          <w:sz w:val="32"/>
          <w:szCs w:val="32"/>
        </w:rPr>
        <w:t xml:space="preserve">    2.柳州职业技术学院采购项目验收报告</w:t>
      </w:r>
    </w:p>
    <w:p>
      <w:pPr>
        <w:pageBreakBefore w:val="0"/>
        <w:kinsoku/>
        <w:wordWrap/>
        <w:overflowPunct/>
        <w:topLinePunct w:val="0"/>
        <w:autoSpaceDE/>
        <w:autoSpaceDN/>
        <w:bidi w:val="0"/>
        <w:outlineLvl w:val="9"/>
        <w:rPr>
          <w:rFonts w:hint="eastAsia" w:ascii="黑体" w:eastAsia="黑体"/>
          <w:sz w:val="32"/>
          <w:szCs w:val="32"/>
        </w:rPr>
      </w:pPr>
      <w:r>
        <w:rPr>
          <w:rFonts w:hint="eastAsia" w:ascii="黑体" w:eastAsia="黑体"/>
          <w:sz w:val="32"/>
          <w:szCs w:val="32"/>
        </w:rPr>
        <w:br w:type="page"/>
      </w:r>
    </w:p>
    <w:p>
      <w:pPr>
        <w:pageBreakBefore w:val="0"/>
        <w:kinsoku/>
        <w:wordWrap/>
        <w:overflowPunct/>
        <w:topLinePunct w:val="0"/>
        <w:autoSpaceDE/>
        <w:autoSpaceDN/>
        <w:bidi w:val="0"/>
        <w:spacing w:line="596" w:lineRule="exact"/>
        <w:ind w:right="300"/>
        <w:jc w:val="left"/>
        <w:outlineLvl w:val="9"/>
        <w:rPr>
          <w:rFonts w:ascii="仿宋" w:hAnsi="仿宋" w:eastAsia="仿宋"/>
          <w:color w:val="000000"/>
          <w:sz w:val="32"/>
          <w:szCs w:val="32"/>
        </w:rPr>
      </w:pPr>
      <w:r>
        <w:rPr>
          <w:rFonts w:hint="eastAsia" w:ascii="黑体" w:eastAsia="黑体"/>
          <w:sz w:val="32"/>
          <w:szCs w:val="32"/>
        </w:rPr>
        <w:t>附件1：</w:t>
      </w:r>
    </w:p>
    <w:p>
      <w:pPr>
        <w:pageBreakBefore w:val="0"/>
        <w:kinsoku/>
        <w:wordWrap/>
        <w:overflowPunct/>
        <w:topLinePunct w:val="0"/>
        <w:autoSpaceDE/>
        <w:autoSpaceDN/>
        <w:bidi w:val="0"/>
        <w:spacing w:line="596" w:lineRule="exact"/>
        <w:jc w:val="center"/>
        <w:outlineLvl w:val="9"/>
        <w:rPr>
          <w:rFonts w:hint="eastAsia"/>
          <w:b/>
          <w:color w:val="000000"/>
          <w:sz w:val="36"/>
          <w:szCs w:val="36"/>
          <w:lang w:val="ru-RU"/>
        </w:rPr>
      </w:pPr>
      <w:bookmarkStart w:id="1531" w:name="_Toc21811_WPSOffice_Level1"/>
      <w:r>
        <w:rPr>
          <w:rFonts w:hint="eastAsia"/>
          <w:b/>
          <w:color w:val="000000"/>
          <w:sz w:val="36"/>
          <w:szCs w:val="36"/>
          <w:lang w:val="ru-RU"/>
        </w:rPr>
        <w:t>柳州职业技术学院采购项目初步验收报告</w:t>
      </w:r>
      <w:bookmarkEnd w:id="1531"/>
    </w:p>
    <w:p>
      <w:pPr>
        <w:pageBreakBefore w:val="0"/>
        <w:kinsoku/>
        <w:wordWrap/>
        <w:overflowPunct/>
        <w:topLinePunct w:val="0"/>
        <w:autoSpaceDE/>
        <w:autoSpaceDN/>
        <w:bidi w:val="0"/>
        <w:spacing w:line="596" w:lineRule="exact"/>
        <w:jc w:val="center"/>
        <w:outlineLvl w:val="9"/>
        <w:rPr>
          <w:rFonts w:hint="eastAsia"/>
          <w:b/>
          <w:color w:val="000000"/>
          <w:sz w:val="36"/>
          <w:szCs w:val="36"/>
          <w:lang w:val="ru-RU"/>
        </w:rPr>
      </w:pPr>
    </w:p>
    <w:p>
      <w:pPr>
        <w:pageBreakBefore w:val="0"/>
        <w:kinsoku/>
        <w:wordWrap/>
        <w:overflowPunct/>
        <w:topLinePunct w:val="0"/>
        <w:autoSpaceDE/>
        <w:autoSpaceDN/>
        <w:bidi w:val="0"/>
        <w:spacing w:line="440" w:lineRule="exact"/>
        <w:outlineLvl w:val="9"/>
        <w:rPr>
          <w:rFonts w:ascii="仿宋" w:hAnsi="仿宋" w:eastAsia="仿宋"/>
          <w:sz w:val="24"/>
          <w:lang w:val="ru-RU"/>
        </w:rPr>
      </w:pPr>
      <w:r>
        <w:rPr>
          <w:rFonts w:hint="eastAsia" w:ascii="仿宋" w:hAnsi="仿宋" w:eastAsia="仿宋"/>
          <w:sz w:val="24"/>
          <w:lang w:val="ru-RU"/>
        </w:rPr>
        <w:t>项目名称：</w:t>
      </w:r>
      <w:r>
        <w:rPr>
          <w:rFonts w:hint="eastAsia" w:ascii="仿宋" w:hAnsi="仿宋" w:eastAsia="仿宋"/>
          <w:sz w:val="24"/>
        </w:rPr>
        <w:t>XXXXXX          项目（合同编号：LZXXX-XXX</w:t>
      </w:r>
      <w:r>
        <w:rPr>
          <w:rFonts w:ascii="仿宋" w:hAnsi="仿宋" w:eastAsia="仿宋"/>
          <w:sz w:val="24"/>
        </w:rPr>
        <w:t xml:space="preserve"> </w:t>
      </w:r>
      <w:r>
        <w:rPr>
          <w:rFonts w:hint="eastAsia" w:ascii="仿宋" w:hAnsi="仿宋" w:eastAsia="仿宋"/>
          <w:sz w:val="24"/>
        </w:rPr>
        <w:t>）</w:t>
      </w:r>
    </w:p>
    <w:tbl>
      <w:tblPr>
        <w:tblStyle w:val="14"/>
        <w:tblW w:w="9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7" w:type="dxa"/>
          </w:tcPr>
          <w:p>
            <w:pPr>
              <w:pageBreakBefore w:val="0"/>
              <w:kinsoku/>
              <w:wordWrap/>
              <w:overflowPunct/>
              <w:topLinePunct w:val="0"/>
              <w:autoSpaceDE/>
              <w:autoSpaceDN/>
              <w:bidi w:val="0"/>
              <w:spacing w:line="440" w:lineRule="exact"/>
              <w:outlineLvl w:val="9"/>
              <w:rPr>
                <w:rFonts w:ascii="仿宋" w:hAnsi="仿宋" w:eastAsia="仿宋"/>
                <w:sz w:val="24"/>
                <w:lang w:val="ru-RU"/>
              </w:rPr>
            </w:pPr>
            <w:r>
              <w:rPr>
                <w:rFonts w:hint="eastAsia" w:ascii="仿宋" w:hAnsi="仿宋" w:eastAsia="仿宋"/>
                <w:sz w:val="24"/>
                <w:lang w:val="ru-RU"/>
              </w:rPr>
              <w:t>验收地点：</w:t>
            </w:r>
            <w:r>
              <w:rPr>
                <w:rFonts w:hint="eastAsia" w:ascii="仿宋" w:hAnsi="仿宋" w:eastAsia="仿宋"/>
                <w:sz w:val="24"/>
              </w:rPr>
              <w:t>XXXXX</w:t>
            </w:r>
          </w:p>
        </w:tc>
        <w:tc>
          <w:tcPr>
            <w:tcW w:w="4424" w:type="dxa"/>
          </w:tcPr>
          <w:p>
            <w:pPr>
              <w:pageBreakBefore w:val="0"/>
              <w:kinsoku/>
              <w:wordWrap/>
              <w:overflowPunct/>
              <w:topLinePunct w:val="0"/>
              <w:autoSpaceDE/>
              <w:autoSpaceDN/>
              <w:bidi w:val="0"/>
              <w:spacing w:line="440" w:lineRule="exact"/>
              <w:outlineLvl w:val="9"/>
              <w:rPr>
                <w:rFonts w:ascii="仿宋" w:hAnsi="仿宋" w:eastAsia="仿宋"/>
                <w:sz w:val="24"/>
                <w:lang w:val="ru-RU"/>
              </w:rPr>
            </w:pPr>
            <w:r>
              <w:rPr>
                <w:rFonts w:hint="eastAsia" w:ascii="仿宋" w:hAnsi="仿宋" w:eastAsia="仿宋"/>
                <w:sz w:val="24"/>
                <w:lang w:val="ru-RU"/>
              </w:rPr>
              <w:t>初验时间：</w:t>
            </w:r>
            <w:r>
              <w:rPr>
                <w:rFonts w:hint="eastAsia" w:ascii="仿宋" w:hAnsi="仿宋" w:eastAsia="仿宋"/>
                <w:sz w:val="24"/>
              </w:rPr>
              <w:t>201X年XX月XX日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1" w:type="dxa"/>
            <w:gridSpan w:val="2"/>
          </w:tcPr>
          <w:p>
            <w:pPr>
              <w:pageBreakBefore w:val="0"/>
              <w:kinsoku/>
              <w:wordWrap/>
              <w:overflowPunct/>
              <w:topLinePunct w:val="0"/>
              <w:autoSpaceDE/>
              <w:autoSpaceDN/>
              <w:bidi w:val="0"/>
              <w:spacing w:line="440" w:lineRule="exact"/>
              <w:outlineLvl w:val="9"/>
              <w:rPr>
                <w:rFonts w:ascii="仿宋" w:hAnsi="仿宋" w:eastAsia="仿宋"/>
                <w:sz w:val="24"/>
                <w:lang w:val="ru-RU"/>
              </w:rPr>
            </w:pPr>
            <w:r>
              <w:rPr>
                <w:rFonts w:hint="eastAsia" w:ascii="仿宋" w:hAnsi="仿宋" w:eastAsia="仿宋" w:cs="宋体"/>
                <w:sz w:val="24"/>
              </w:rPr>
              <w:t>供应商</w:t>
            </w:r>
            <w:r>
              <w:rPr>
                <w:rFonts w:hint="eastAsia" w:ascii="仿宋" w:hAnsi="仿宋" w:eastAsia="仿宋"/>
                <w:sz w:val="24"/>
                <w:lang w:val="ru-RU"/>
              </w:rPr>
              <w:t>：</w:t>
            </w:r>
            <w:r>
              <w:rPr>
                <w:rFonts w:hint="eastAsia" w:ascii="仿宋" w:hAnsi="仿宋" w:eastAsia="仿宋"/>
                <w:sz w:val="24"/>
              </w:rPr>
              <w:t>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9" w:hRule="atLeast"/>
          <w:jc w:val="center"/>
        </w:trPr>
        <w:tc>
          <w:tcPr>
            <w:tcW w:w="9351" w:type="dxa"/>
            <w:gridSpan w:val="2"/>
          </w:tcPr>
          <w:p>
            <w:pPr>
              <w:pageBreakBefore w:val="0"/>
              <w:kinsoku/>
              <w:wordWrap/>
              <w:overflowPunct/>
              <w:topLinePunct w:val="0"/>
              <w:autoSpaceDE/>
              <w:autoSpaceDN/>
              <w:bidi w:val="0"/>
              <w:spacing w:line="380" w:lineRule="exact"/>
              <w:outlineLvl w:val="9"/>
              <w:rPr>
                <w:rFonts w:ascii="仿宋" w:hAnsi="仿宋" w:eastAsia="仿宋"/>
                <w:sz w:val="24"/>
                <w:lang w:val="ru-RU"/>
              </w:rPr>
            </w:pPr>
            <w:r>
              <w:rPr>
                <w:rFonts w:hint="eastAsia" w:ascii="仿宋" w:hAnsi="仿宋" w:eastAsia="仿宋"/>
                <w:sz w:val="24"/>
                <w:lang w:val="ru-RU"/>
              </w:rPr>
              <w:t>验收过程：</w:t>
            </w:r>
          </w:p>
          <w:p>
            <w:pPr>
              <w:pageBreakBefore w:val="0"/>
              <w:kinsoku/>
              <w:wordWrap/>
              <w:overflowPunct/>
              <w:topLinePunct w:val="0"/>
              <w:autoSpaceDE/>
              <w:autoSpaceDN/>
              <w:bidi w:val="0"/>
              <w:spacing w:line="380" w:lineRule="exact"/>
              <w:ind w:firstLine="480" w:firstLineChars="200"/>
              <w:outlineLvl w:val="9"/>
              <w:rPr>
                <w:rFonts w:ascii="仿宋" w:hAnsi="仿宋" w:eastAsia="仿宋"/>
                <w:sz w:val="24"/>
              </w:rPr>
            </w:pPr>
            <w:r>
              <w:rPr>
                <w:rFonts w:hint="eastAsia" w:ascii="仿宋" w:hAnsi="仿宋" w:eastAsia="仿宋"/>
                <w:sz w:val="24"/>
              </w:rPr>
              <w:t>依照柳职院字〔2017〕28号 关于印发《柳州职业技术学院采购管理办法》的通知 第四十一条规定，作为本项目最终使用部门，在</w:t>
            </w:r>
            <w:r>
              <w:rPr>
                <w:rFonts w:hint="eastAsia" w:ascii="仿宋" w:hAnsi="仿宋" w:eastAsia="仿宋" w:cs="宋体"/>
                <w:sz w:val="24"/>
              </w:rPr>
              <w:t>供应商</w:t>
            </w:r>
            <w:r>
              <w:rPr>
                <w:rFonts w:hint="eastAsia" w:ascii="仿宋" w:hAnsi="仿宋" w:eastAsia="仿宋"/>
                <w:sz w:val="24"/>
              </w:rPr>
              <w:t>供货及安装调试期间组织专业老师，以合同为依据，逐一核对合同中全部货物的品牌、型号、数量，对产品技术指标、使用性能做了检查及测试。</w:t>
            </w:r>
          </w:p>
          <w:tbl>
            <w:tblPr>
              <w:tblStyle w:val="14"/>
              <w:tblpPr w:leftFromText="180" w:rightFromText="180" w:vertAnchor="text" w:horzAnchor="page" w:tblpX="505" w:tblpY="356"/>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3119"/>
              <w:gridCol w:w="708"/>
              <w:gridCol w:w="851"/>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hint="eastAsia" w:ascii="仿宋" w:hAnsi="仿宋" w:eastAsia="仿宋" w:cs="宋体"/>
                      <w:sz w:val="24"/>
                    </w:rPr>
                    <w:t>序号</w:t>
                  </w:r>
                </w:p>
              </w:tc>
              <w:tc>
                <w:tcPr>
                  <w:tcW w:w="2268"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hint="eastAsia" w:ascii="仿宋" w:hAnsi="仿宋" w:eastAsia="仿宋" w:cs="宋体"/>
                      <w:sz w:val="24"/>
                    </w:rPr>
                    <w:t>名称</w:t>
                  </w:r>
                </w:p>
              </w:tc>
              <w:tc>
                <w:tcPr>
                  <w:tcW w:w="3119"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hint="eastAsia" w:ascii="仿宋" w:hAnsi="仿宋" w:eastAsia="仿宋" w:cs="宋体"/>
                      <w:sz w:val="24"/>
                    </w:rPr>
                    <w:t>货物型号规格、标准及配置等（或服务内容、标准）</w:t>
                  </w:r>
                </w:p>
              </w:tc>
              <w:tc>
                <w:tcPr>
                  <w:tcW w:w="708"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hint="eastAsia" w:ascii="仿宋" w:hAnsi="仿宋" w:eastAsia="仿宋" w:cs="宋体"/>
                      <w:sz w:val="24"/>
                    </w:rPr>
                    <w:t>数量</w:t>
                  </w:r>
                </w:p>
              </w:tc>
              <w:tc>
                <w:tcPr>
                  <w:tcW w:w="851"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hint="eastAsia" w:ascii="仿宋" w:hAnsi="仿宋" w:eastAsia="仿宋" w:cs="宋体"/>
                      <w:sz w:val="24"/>
                    </w:rPr>
                    <w:t>金额</w:t>
                  </w:r>
                  <w:r>
                    <w:rPr>
                      <w:rFonts w:ascii="仿宋" w:hAnsi="仿宋" w:eastAsia="仿宋" w:cs="??_GB2312"/>
                      <w:sz w:val="24"/>
                    </w:rPr>
                    <w:t>(</w:t>
                  </w:r>
                  <w:r>
                    <w:rPr>
                      <w:rFonts w:hint="eastAsia" w:ascii="仿宋" w:hAnsi="仿宋" w:eastAsia="仿宋" w:cs="宋体"/>
                      <w:sz w:val="24"/>
                    </w:rPr>
                    <w:t>元</w:t>
                  </w:r>
                  <w:r>
                    <w:rPr>
                      <w:rFonts w:ascii="仿宋" w:hAnsi="仿宋" w:eastAsia="仿宋" w:cs="??_GB2312"/>
                      <w:sz w:val="24"/>
                    </w:rPr>
                    <w:t>)</w:t>
                  </w:r>
                </w:p>
              </w:tc>
              <w:tc>
                <w:tcPr>
                  <w:tcW w:w="850" w:type="dxa"/>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hint="eastAsia" w:ascii="仿宋" w:hAnsi="仿宋" w:eastAsia="仿宋" w:cs="宋体"/>
                      <w:sz w:val="24"/>
                    </w:rPr>
                    <w:t>存放场地</w:t>
                  </w:r>
                </w:p>
              </w:tc>
              <w:tc>
                <w:tcPr>
                  <w:tcW w:w="851" w:type="dxa"/>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hint="eastAsia" w:ascii="仿宋" w:hAnsi="仿宋" w:eastAsia="仿宋" w:cs="宋体"/>
                      <w:sz w:val="24"/>
                    </w:rPr>
                    <w:t>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17"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ascii="仿宋" w:hAnsi="仿宋" w:eastAsia="仿宋" w:cs="??_GB2312"/>
                      <w:sz w:val="24"/>
                    </w:rPr>
                    <w:t>1</w:t>
                  </w:r>
                </w:p>
              </w:tc>
              <w:tc>
                <w:tcPr>
                  <w:tcW w:w="2268"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color w:val="FF0000"/>
                      <w:sz w:val="24"/>
                    </w:rPr>
                  </w:pPr>
                  <w:r>
                    <w:rPr>
                      <w:rFonts w:hint="eastAsia" w:ascii="仿宋" w:hAnsi="仿宋" w:eastAsia="仿宋" w:cs="??_GB2312"/>
                      <w:color w:val="FF0000"/>
                      <w:sz w:val="24"/>
                    </w:rPr>
                    <w:t>...</w:t>
                  </w:r>
                </w:p>
              </w:tc>
              <w:tc>
                <w:tcPr>
                  <w:tcW w:w="3119"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color w:val="FF0000"/>
                      <w:sz w:val="24"/>
                    </w:rPr>
                  </w:pPr>
                  <w:r>
                    <w:rPr>
                      <w:rFonts w:hint="eastAsia" w:ascii="仿宋" w:hAnsi="仿宋" w:eastAsia="仿宋" w:cs="??_GB2312"/>
                      <w:color w:val="FF0000"/>
                      <w:sz w:val="24"/>
                    </w:rPr>
                    <w:t>...</w:t>
                  </w:r>
                </w:p>
              </w:tc>
              <w:tc>
                <w:tcPr>
                  <w:tcW w:w="708"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color w:val="FF0000"/>
                      <w:sz w:val="24"/>
                    </w:rPr>
                  </w:pPr>
                  <w:r>
                    <w:rPr>
                      <w:rFonts w:hint="eastAsia" w:ascii="仿宋" w:hAnsi="仿宋" w:eastAsia="仿宋" w:cs="??_GB2312"/>
                      <w:color w:val="FF0000"/>
                      <w:sz w:val="24"/>
                    </w:rPr>
                    <w:t>...</w:t>
                  </w:r>
                </w:p>
              </w:tc>
              <w:tc>
                <w:tcPr>
                  <w:tcW w:w="851"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color w:val="FF0000"/>
                      <w:sz w:val="24"/>
                    </w:rPr>
                  </w:pPr>
                  <w:r>
                    <w:rPr>
                      <w:rFonts w:hint="eastAsia" w:ascii="仿宋" w:hAnsi="仿宋" w:eastAsia="仿宋" w:cs="??_GB2312"/>
                      <w:color w:val="FF0000"/>
                      <w:sz w:val="24"/>
                    </w:rPr>
                    <w:t>...</w:t>
                  </w:r>
                </w:p>
              </w:tc>
              <w:tc>
                <w:tcPr>
                  <w:tcW w:w="850" w:type="dxa"/>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hint="eastAsia" w:ascii="仿宋" w:hAnsi="仿宋" w:eastAsia="仿宋" w:cs="??_GB2312"/>
                      <w:sz w:val="24"/>
                    </w:rPr>
                    <w:t>...</w:t>
                  </w:r>
                </w:p>
              </w:tc>
              <w:tc>
                <w:tcPr>
                  <w:tcW w:w="851" w:type="dxa"/>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hint="eastAsia" w:ascii="仿宋" w:hAnsi="仿宋" w:eastAsia="仿宋" w:cs="??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17"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ascii="仿宋" w:hAnsi="仿宋" w:eastAsia="仿宋" w:cs="??_GB2312"/>
                      <w:sz w:val="24"/>
                    </w:rPr>
                    <w:t>2</w:t>
                  </w:r>
                </w:p>
              </w:tc>
              <w:tc>
                <w:tcPr>
                  <w:tcW w:w="2268"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3119"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708"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851"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850" w:type="dxa"/>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851" w:type="dxa"/>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17"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r>
                    <w:rPr>
                      <w:rFonts w:ascii="仿宋" w:hAnsi="仿宋" w:eastAsia="仿宋" w:cs="??_GB2312"/>
                      <w:sz w:val="24"/>
                    </w:rPr>
                    <w:t>3</w:t>
                  </w:r>
                </w:p>
              </w:tc>
              <w:tc>
                <w:tcPr>
                  <w:tcW w:w="2268"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3119"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708"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851" w:type="dxa"/>
                  <w:vAlign w:val="center"/>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850" w:type="dxa"/>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c>
                <w:tcPr>
                  <w:tcW w:w="851" w:type="dxa"/>
                </w:tcPr>
                <w:p>
                  <w:pPr>
                    <w:pageBreakBefore w:val="0"/>
                    <w:kinsoku/>
                    <w:wordWrap/>
                    <w:overflowPunct/>
                    <w:topLinePunct w:val="0"/>
                    <w:autoSpaceDE/>
                    <w:autoSpaceDN/>
                    <w:bidi w:val="0"/>
                    <w:spacing w:line="440" w:lineRule="exact"/>
                    <w:jc w:val="center"/>
                    <w:outlineLvl w:val="9"/>
                    <w:rPr>
                      <w:rFonts w:ascii="仿宋" w:hAnsi="仿宋" w:eastAsia="仿宋" w:cs="??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464" w:type="dxa"/>
                  <w:gridSpan w:val="7"/>
                  <w:vAlign w:val="center"/>
                </w:tcPr>
                <w:p>
                  <w:pPr>
                    <w:pageBreakBefore w:val="0"/>
                    <w:kinsoku/>
                    <w:wordWrap/>
                    <w:overflowPunct/>
                    <w:topLinePunct w:val="0"/>
                    <w:autoSpaceDE/>
                    <w:autoSpaceDN/>
                    <w:bidi w:val="0"/>
                    <w:spacing w:line="440" w:lineRule="exact"/>
                    <w:jc w:val="left"/>
                    <w:outlineLvl w:val="9"/>
                    <w:rPr>
                      <w:rFonts w:ascii="仿宋" w:hAnsi="仿宋" w:eastAsia="仿宋" w:cs="??_GB2312"/>
                      <w:sz w:val="24"/>
                    </w:rPr>
                  </w:pPr>
                  <w:r>
                    <w:rPr>
                      <w:rFonts w:hint="eastAsia" w:ascii="仿宋" w:hAnsi="仿宋" w:eastAsia="仿宋" w:cs="宋体"/>
                      <w:sz w:val="24"/>
                    </w:rPr>
                    <w:t>合</w:t>
                  </w:r>
                  <w:r>
                    <w:rPr>
                      <w:rFonts w:ascii="仿宋" w:hAnsi="仿宋" w:eastAsia="仿宋" w:cs="??_GB2312"/>
                      <w:sz w:val="24"/>
                    </w:rPr>
                    <w:t xml:space="preserve">        </w:t>
                  </w:r>
                  <w:r>
                    <w:rPr>
                      <w:rFonts w:hint="eastAsia" w:ascii="仿宋" w:hAnsi="仿宋" w:eastAsia="仿宋" w:cs="宋体"/>
                      <w:sz w:val="24"/>
                    </w:rPr>
                    <w:t>计：</w:t>
                  </w:r>
                  <w:r>
                    <w:rPr>
                      <w:rFonts w:hint="eastAsia" w:ascii="仿宋" w:hAnsi="仿宋" w:eastAsia="仿宋"/>
                      <w:sz w:val="24"/>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464" w:type="dxa"/>
                  <w:gridSpan w:val="7"/>
                  <w:vAlign w:val="center"/>
                </w:tcPr>
                <w:p>
                  <w:pPr>
                    <w:pageBreakBefore w:val="0"/>
                    <w:kinsoku/>
                    <w:wordWrap/>
                    <w:overflowPunct/>
                    <w:topLinePunct w:val="0"/>
                    <w:autoSpaceDE/>
                    <w:autoSpaceDN/>
                    <w:bidi w:val="0"/>
                    <w:spacing w:line="440" w:lineRule="exact"/>
                    <w:jc w:val="left"/>
                    <w:outlineLvl w:val="9"/>
                    <w:rPr>
                      <w:rFonts w:ascii="仿宋" w:hAnsi="仿宋" w:eastAsia="仿宋" w:cs="??_GB2312"/>
                      <w:sz w:val="24"/>
                    </w:rPr>
                  </w:pPr>
                  <w:r>
                    <w:rPr>
                      <w:rFonts w:hint="eastAsia" w:ascii="仿宋" w:hAnsi="仿宋" w:eastAsia="仿宋" w:cs="宋体"/>
                      <w:sz w:val="24"/>
                    </w:rPr>
                    <w:t>合计大写金额：</w:t>
                  </w:r>
                  <w:r>
                    <w:rPr>
                      <w:rFonts w:hint="eastAsia" w:ascii="仿宋" w:hAnsi="仿宋" w:eastAsia="仿宋" w:cs="??_GB2312"/>
                      <w:sz w:val="24"/>
                    </w:rPr>
                    <w:t xml:space="preserve">                </w:t>
                  </w:r>
                  <w:r>
                    <w:rPr>
                      <w:rFonts w:hint="eastAsia" w:ascii="仿宋" w:hAnsi="仿宋" w:eastAsia="仿宋" w:cs="宋体"/>
                      <w:sz w:val="24"/>
                    </w:rPr>
                    <w:t>元整</w:t>
                  </w:r>
                </w:p>
              </w:tc>
            </w:tr>
          </w:tbl>
          <w:p>
            <w:pPr>
              <w:pageBreakBefore w:val="0"/>
              <w:kinsoku/>
              <w:wordWrap/>
              <w:overflowPunct/>
              <w:topLinePunct w:val="0"/>
              <w:autoSpaceDE/>
              <w:autoSpaceDN/>
              <w:bidi w:val="0"/>
              <w:spacing w:line="440" w:lineRule="exact"/>
              <w:outlineLvl w:val="9"/>
              <w:rPr>
                <w:rFonts w:ascii="仿宋" w:hAnsi="仿宋" w:eastAsia="仿宋"/>
                <w:sz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3" w:hRule="atLeast"/>
          <w:jc w:val="center"/>
        </w:trPr>
        <w:tc>
          <w:tcPr>
            <w:tcW w:w="9351" w:type="dxa"/>
            <w:gridSpan w:val="2"/>
          </w:tcPr>
          <w:p>
            <w:pPr>
              <w:pageBreakBefore w:val="0"/>
              <w:kinsoku/>
              <w:wordWrap/>
              <w:overflowPunct/>
              <w:topLinePunct w:val="0"/>
              <w:autoSpaceDE/>
              <w:autoSpaceDN/>
              <w:bidi w:val="0"/>
              <w:spacing w:line="440" w:lineRule="exact"/>
              <w:outlineLvl w:val="9"/>
              <w:rPr>
                <w:rFonts w:ascii="仿宋" w:hAnsi="仿宋" w:eastAsia="仿宋"/>
                <w:sz w:val="24"/>
              </w:rPr>
            </w:pPr>
            <w:r>
              <w:rPr>
                <w:rFonts w:hint="eastAsia" w:ascii="仿宋" w:hAnsi="仿宋" w:eastAsia="仿宋"/>
                <w:sz w:val="24"/>
                <w:lang w:val="ru-RU"/>
              </w:rPr>
              <w:t>初验结论：□通过</w:t>
            </w:r>
            <w:r>
              <w:rPr>
                <w:rFonts w:ascii="仿宋" w:hAnsi="仿宋" w:eastAsia="仿宋"/>
                <w:sz w:val="24"/>
              </w:rPr>
              <w:t xml:space="preserve"> </w:t>
            </w:r>
            <w:r>
              <w:rPr>
                <w:rFonts w:hint="eastAsia" w:ascii="仿宋" w:hAnsi="仿宋" w:eastAsia="仿宋"/>
                <w:sz w:val="24"/>
              </w:rPr>
              <w:t>，申请资产管理处组织最终验收</w:t>
            </w:r>
          </w:p>
          <w:p>
            <w:pPr>
              <w:pageBreakBefore w:val="0"/>
              <w:kinsoku/>
              <w:wordWrap/>
              <w:overflowPunct/>
              <w:topLinePunct w:val="0"/>
              <w:autoSpaceDE/>
              <w:autoSpaceDN/>
              <w:bidi w:val="0"/>
              <w:spacing w:line="440" w:lineRule="exact"/>
              <w:ind w:firstLine="720" w:firstLineChars="300"/>
              <w:outlineLvl w:val="9"/>
              <w:rPr>
                <w:rFonts w:ascii="仿宋" w:hAnsi="仿宋" w:eastAsia="仿宋"/>
                <w:sz w:val="24"/>
                <w:lang w:val="ru-RU"/>
              </w:rPr>
            </w:pPr>
            <w:r>
              <w:rPr>
                <w:rFonts w:ascii="仿宋" w:hAnsi="仿宋" w:eastAsia="仿宋"/>
                <w:sz w:val="24"/>
              </w:rPr>
              <w:t xml:space="preserve">    </w:t>
            </w:r>
            <w:r>
              <w:rPr>
                <w:rFonts w:hint="eastAsia" w:ascii="仿宋" w:hAnsi="仿宋" w:eastAsia="仿宋"/>
                <w:sz w:val="24"/>
                <w:lang w:val="ru-RU"/>
              </w:rPr>
              <w:t>□不通过，待供应商在</w:t>
            </w:r>
            <w:r>
              <w:rPr>
                <w:rFonts w:hint="eastAsia" w:ascii="仿宋" w:hAnsi="仿宋" w:eastAsia="仿宋"/>
                <w:sz w:val="24"/>
              </w:rPr>
              <w:t>______天内</w:t>
            </w:r>
            <w:r>
              <w:rPr>
                <w:rFonts w:hint="eastAsia" w:ascii="仿宋" w:hAnsi="仿宋" w:eastAsia="仿宋"/>
                <w:sz w:val="24"/>
                <w:lang w:val="ru-RU"/>
              </w:rPr>
              <w:t>整改完毕后重新进行初验</w:t>
            </w:r>
          </w:p>
          <w:p>
            <w:pPr>
              <w:pageBreakBefore w:val="0"/>
              <w:kinsoku/>
              <w:wordWrap/>
              <w:overflowPunct/>
              <w:topLinePunct w:val="0"/>
              <w:autoSpaceDE/>
              <w:autoSpaceDN/>
              <w:bidi w:val="0"/>
              <w:spacing w:line="440" w:lineRule="exact"/>
              <w:ind w:firstLine="1440" w:firstLineChars="600"/>
              <w:outlineLvl w:val="9"/>
              <w:rPr>
                <w:rFonts w:ascii="仿宋" w:hAnsi="仿宋" w:eastAsia="仿宋"/>
                <w:sz w:val="24"/>
              </w:rPr>
            </w:pPr>
            <w:r>
              <w:rPr>
                <w:rFonts w:hint="eastAsia" w:ascii="仿宋" w:hAnsi="仿宋" w:eastAsia="仿宋"/>
                <w:sz w:val="24"/>
                <w:lang w:val="ru-RU"/>
              </w:rPr>
              <w:t>需整改内容为：</w:t>
            </w:r>
            <w:r>
              <w:rPr>
                <w:rFonts w:hint="eastAsia" w:ascii="仿宋" w:hAnsi="仿宋" w:eastAsia="仿宋"/>
                <w:sz w:val="24"/>
              </w:rPr>
              <w:t>1、xxxxxxxxxxxxxxxx</w:t>
            </w:r>
          </w:p>
          <w:p>
            <w:pPr>
              <w:pageBreakBefore w:val="0"/>
              <w:kinsoku/>
              <w:wordWrap/>
              <w:overflowPunct/>
              <w:topLinePunct w:val="0"/>
              <w:autoSpaceDE/>
              <w:autoSpaceDN/>
              <w:bidi w:val="0"/>
              <w:spacing w:line="440" w:lineRule="exact"/>
              <w:ind w:firstLine="1440" w:firstLineChars="600"/>
              <w:outlineLvl w:val="9"/>
              <w:rPr>
                <w:rFonts w:ascii="仿宋" w:hAnsi="仿宋" w:eastAsia="仿宋"/>
                <w:sz w:val="24"/>
                <w:lang w:val="ru-RU"/>
              </w:rPr>
            </w:pPr>
            <w:r>
              <w:rPr>
                <w:rFonts w:hint="eastAsia" w:ascii="仿宋" w:hAnsi="仿宋" w:eastAsia="仿宋"/>
                <w:sz w:val="24"/>
              </w:rPr>
              <w:t xml:space="preserve">              2、xxxxxxxxxxxxxxxx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jc w:val="center"/>
        </w:trPr>
        <w:tc>
          <w:tcPr>
            <w:tcW w:w="9351" w:type="dxa"/>
            <w:gridSpan w:val="2"/>
          </w:tcPr>
          <w:p>
            <w:pPr>
              <w:pageBreakBefore w:val="0"/>
              <w:kinsoku/>
              <w:wordWrap/>
              <w:overflowPunct/>
              <w:topLinePunct w:val="0"/>
              <w:autoSpaceDE/>
              <w:autoSpaceDN/>
              <w:bidi w:val="0"/>
              <w:spacing w:line="440" w:lineRule="exact"/>
              <w:outlineLvl w:val="9"/>
              <w:rPr>
                <w:rFonts w:ascii="仿宋" w:hAnsi="仿宋" w:eastAsia="仿宋"/>
                <w:sz w:val="24"/>
                <w:lang w:val="ru-RU"/>
              </w:rPr>
            </w:pPr>
            <w:r>
              <w:rPr>
                <w:rFonts w:hint="eastAsia" w:ascii="仿宋" w:hAnsi="仿宋" w:eastAsia="仿宋"/>
                <w:sz w:val="24"/>
                <w:lang w:val="ru-RU"/>
              </w:rPr>
              <w:t>验收小组成员（签字并盖章）：</w:t>
            </w:r>
          </w:p>
          <w:p>
            <w:pPr>
              <w:pageBreakBefore w:val="0"/>
              <w:kinsoku/>
              <w:wordWrap/>
              <w:overflowPunct/>
              <w:topLinePunct w:val="0"/>
              <w:autoSpaceDE/>
              <w:autoSpaceDN/>
              <w:bidi w:val="0"/>
              <w:spacing w:line="440" w:lineRule="exact"/>
              <w:outlineLvl w:val="9"/>
              <w:rPr>
                <w:rFonts w:ascii="仿宋" w:hAnsi="仿宋" w:eastAsia="仿宋"/>
                <w:sz w:val="24"/>
                <w:lang w:val="ru-RU"/>
              </w:rPr>
            </w:pPr>
            <w:r>
              <w:rPr>
                <w:rFonts w:ascii="仿宋" w:hAnsi="仿宋" w:eastAsia="仿宋" w:cs="??_GB2312"/>
                <w:sz w:val="24"/>
              </w:rPr>
              <w:t xml:space="preserve"> </w:t>
            </w:r>
            <w:r>
              <w:rPr>
                <w:rFonts w:hint="eastAsia" w:ascii="仿宋" w:hAnsi="仿宋" w:eastAsia="仿宋" w:cs="??_GB2312"/>
                <w:sz w:val="24"/>
              </w:rPr>
              <w:t xml:space="preserve">                                                       </w:t>
            </w:r>
            <w:r>
              <w:rPr>
                <w:rFonts w:ascii="仿宋" w:hAnsi="仿宋" w:eastAsia="仿宋" w:cs="??_GB2312"/>
                <w:sz w:val="24"/>
              </w:rPr>
              <w:t xml:space="preserve"> </w:t>
            </w:r>
            <w:r>
              <w:rPr>
                <w:rFonts w:hint="eastAsia" w:ascii="仿宋" w:hAnsi="仿宋" w:eastAsia="仿宋" w:cs="宋体"/>
                <w:sz w:val="24"/>
              </w:rPr>
              <w:t>年</w:t>
            </w:r>
            <w:r>
              <w:rPr>
                <w:rFonts w:ascii="仿宋" w:hAnsi="仿宋" w:eastAsia="仿宋" w:cs="??_GB2312"/>
                <w:sz w:val="24"/>
              </w:rPr>
              <w:t xml:space="preserve">   </w:t>
            </w:r>
            <w:r>
              <w:rPr>
                <w:rFonts w:hint="eastAsia" w:ascii="仿宋" w:hAnsi="仿宋" w:eastAsia="仿宋" w:cs="宋体"/>
                <w:sz w:val="24"/>
              </w:rPr>
              <w:t>月</w:t>
            </w:r>
            <w:r>
              <w:rPr>
                <w:rFonts w:ascii="仿宋" w:hAnsi="仿宋" w:eastAsia="仿宋" w:cs="??_GB2312"/>
                <w:sz w:val="24"/>
              </w:rPr>
              <w:t xml:space="preserve">   </w:t>
            </w:r>
            <w:r>
              <w:rPr>
                <w:rFonts w:hint="eastAsia" w:ascii="仿宋" w:hAnsi="仿宋" w:eastAsia="仿宋" w:cs="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7" w:hRule="atLeast"/>
          <w:jc w:val="center"/>
        </w:trPr>
        <w:tc>
          <w:tcPr>
            <w:tcW w:w="9351" w:type="dxa"/>
            <w:gridSpan w:val="2"/>
          </w:tcPr>
          <w:p>
            <w:pPr>
              <w:pageBreakBefore w:val="0"/>
              <w:kinsoku/>
              <w:wordWrap/>
              <w:overflowPunct/>
              <w:topLinePunct w:val="0"/>
              <w:autoSpaceDE/>
              <w:autoSpaceDN/>
              <w:bidi w:val="0"/>
              <w:spacing w:line="440" w:lineRule="exact"/>
              <w:outlineLvl w:val="9"/>
              <w:rPr>
                <w:rFonts w:ascii="仿宋" w:hAnsi="仿宋" w:eastAsia="仿宋" w:cs="??_GB2312"/>
                <w:sz w:val="24"/>
              </w:rPr>
            </w:pPr>
            <w:r>
              <w:rPr>
                <w:rFonts w:hint="eastAsia" w:ascii="仿宋" w:hAnsi="仿宋" w:eastAsia="仿宋" w:cs="宋体"/>
                <w:sz w:val="24"/>
              </w:rPr>
              <w:t>供应商负责人签字或盖章：</w:t>
            </w:r>
            <w:r>
              <w:rPr>
                <w:rFonts w:ascii="仿宋" w:hAnsi="仿宋" w:eastAsia="仿宋" w:cs="??_GB2312"/>
                <w:sz w:val="24"/>
              </w:rPr>
              <w:t xml:space="preserve">        </w:t>
            </w:r>
          </w:p>
          <w:p>
            <w:pPr>
              <w:pageBreakBefore w:val="0"/>
              <w:kinsoku/>
              <w:wordWrap/>
              <w:overflowPunct/>
              <w:topLinePunct w:val="0"/>
              <w:autoSpaceDE/>
              <w:autoSpaceDN/>
              <w:bidi w:val="0"/>
              <w:spacing w:line="440" w:lineRule="exact"/>
              <w:outlineLvl w:val="9"/>
              <w:rPr>
                <w:rFonts w:ascii="仿宋" w:hAnsi="仿宋" w:eastAsia="仿宋" w:cs="??_GB2312"/>
                <w:sz w:val="24"/>
              </w:rPr>
            </w:pPr>
            <w:r>
              <w:rPr>
                <w:rFonts w:hint="eastAsia" w:ascii="仿宋" w:hAnsi="仿宋" w:eastAsia="仿宋" w:cs="宋体"/>
                <w:sz w:val="24"/>
              </w:rPr>
              <w:t>联系</w:t>
            </w:r>
            <w:bookmarkStart w:id="1532" w:name="_Toc10945_WPSOffice_Level1"/>
            <w:r>
              <w:rPr>
                <w:rFonts w:hint="eastAsia" w:ascii="仿宋" w:hAnsi="仿宋" w:eastAsia="仿宋" w:cs="宋体"/>
                <w:sz w:val="24"/>
              </w:rPr>
              <w:t>电话：</w:t>
            </w:r>
            <w:r>
              <w:rPr>
                <w:rFonts w:ascii="仿宋" w:hAnsi="仿宋" w:eastAsia="仿宋" w:cs="??_GB2312"/>
                <w:sz w:val="24"/>
              </w:rPr>
              <w:t xml:space="preserve">         </w:t>
            </w:r>
            <w:r>
              <w:rPr>
                <w:rFonts w:hint="eastAsia" w:ascii="仿宋" w:hAnsi="仿宋" w:eastAsia="仿宋" w:cs="??_GB2312"/>
                <w:sz w:val="24"/>
              </w:rPr>
              <w:t xml:space="preserve">        </w:t>
            </w:r>
            <w:bookmarkEnd w:id="1532"/>
            <w:r>
              <w:rPr>
                <w:rFonts w:hint="eastAsia" w:ascii="仿宋" w:hAnsi="仿宋" w:eastAsia="仿宋" w:cs="??_GB2312"/>
                <w:sz w:val="24"/>
              </w:rPr>
              <w:t xml:space="preserve">                              </w:t>
            </w:r>
            <w:r>
              <w:rPr>
                <w:rFonts w:hint="eastAsia" w:ascii="仿宋" w:hAnsi="仿宋" w:eastAsia="仿宋" w:cs="宋体"/>
                <w:sz w:val="24"/>
              </w:rPr>
              <w:t>年</w:t>
            </w:r>
            <w:r>
              <w:rPr>
                <w:rFonts w:ascii="仿宋" w:hAnsi="仿宋" w:eastAsia="仿宋" w:cs="??_GB2312"/>
                <w:sz w:val="24"/>
              </w:rPr>
              <w:t xml:space="preserve">   </w:t>
            </w:r>
            <w:r>
              <w:rPr>
                <w:rFonts w:hint="eastAsia" w:ascii="仿宋" w:hAnsi="仿宋" w:eastAsia="仿宋" w:cs="宋体"/>
                <w:sz w:val="24"/>
              </w:rPr>
              <w:t>月</w:t>
            </w:r>
            <w:r>
              <w:rPr>
                <w:rFonts w:ascii="仿宋" w:hAnsi="仿宋" w:eastAsia="仿宋" w:cs="??_GB2312"/>
                <w:sz w:val="24"/>
              </w:rPr>
              <w:t xml:space="preserve">   </w:t>
            </w:r>
            <w:r>
              <w:rPr>
                <w:rFonts w:hint="eastAsia" w:ascii="仿宋" w:hAnsi="仿宋" w:eastAsia="仿宋" w:cs="宋体"/>
                <w:sz w:val="24"/>
              </w:rPr>
              <w:t>日</w:t>
            </w:r>
            <w:r>
              <w:rPr>
                <w:rFonts w:ascii="仿宋" w:hAnsi="仿宋" w:eastAsia="仿宋" w:cs="??_GB2312"/>
                <w:sz w:val="24"/>
              </w:rPr>
              <w:t xml:space="preserve">       </w:t>
            </w:r>
          </w:p>
        </w:tc>
      </w:tr>
    </w:tbl>
    <w:p>
      <w:pPr>
        <w:pageBreakBefore w:val="0"/>
        <w:kinsoku/>
        <w:wordWrap/>
        <w:overflowPunct/>
        <w:topLinePunct w:val="0"/>
        <w:autoSpaceDE/>
        <w:autoSpaceDN/>
        <w:bidi w:val="0"/>
        <w:spacing w:line="360" w:lineRule="exact"/>
        <w:outlineLvl w:val="9"/>
        <w:rPr>
          <w:rFonts w:hint="eastAsia" w:ascii="仿宋" w:hAnsi="仿宋" w:eastAsia="仿宋" w:cs="??_GB2312"/>
          <w:sz w:val="24"/>
        </w:rPr>
      </w:pPr>
      <w:r>
        <w:rPr>
          <w:rFonts w:hint="eastAsia" w:ascii="仿宋" w:hAnsi="仿宋" w:eastAsia="仿宋" w:cs="宋体"/>
          <w:b/>
          <w:bCs/>
          <w:sz w:val="24"/>
        </w:rPr>
        <w:t>注：</w:t>
      </w:r>
      <w:r>
        <w:rPr>
          <w:rFonts w:ascii="仿宋" w:hAnsi="仿宋" w:eastAsia="仿宋" w:cs="??_GB2312"/>
          <w:sz w:val="24"/>
        </w:rPr>
        <w:t>1</w:t>
      </w:r>
      <w:r>
        <w:rPr>
          <w:rFonts w:hint="eastAsia" w:ascii="仿宋" w:hAnsi="仿宋" w:eastAsia="仿宋" w:cs="宋体"/>
          <w:sz w:val="24"/>
        </w:rPr>
        <w:t>.本报告由使用部门依照合同填写（如有变更补充手续的将相关资料附后），</w:t>
      </w:r>
      <w:r>
        <w:rPr>
          <w:rFonts w:hint="eastAsia" w:ascii="仿宋" w:hAnsi="仿宋" w:eastAsia="仿宋" w:cs="??_GB2312"/>
          <w:sz w:val="24"/>
        </w:rPr>
        <w:t>初</w:t>
      </w:r>
    </w:p>
    <w:p>
      <w:pPr>
        <w:pageBreakBefore w:val="0"/>
        <w:kinsoku/>
        <w:wordWrap/>
        <w:overflowPunct/>
        <w:topLinePunct w:val="0"/>
        <w:autoSpaceDE/>
        <w:autoSpaceDN/>
        <w:bidi w:val="0"/>
        <w:spacing w:line="360" w:lineRule="exact"/>
        <w:outlineLvl w:val="9"/>
        <w:rPr>
          <w:rFonts w:hint="eastAsia" w:ascii="仿宋" w:hAnsi="仿宋" w:eastAsia="仿宋" w:cs="宋体"/>
          <w:sz w:val="24"/>
        </w:rPr>
      </w:pPr>
      <w:r>
        <w:rPr>
          <w:rFonts w:hint="eastAsia" w:ascii="仿宋" w:hAnsi="仿宋" w:eastAsia="仿宋" w:cs="??_GB2312"/>
          <w:sz w:val="24"/>
        </w:rPr>
        <w:t>步验收时必须保证参加初验人员（至少三人：专业老师、部门资产管理员、部门领导）均按合同逐一核对</w:t>
      </w:r>
      <w:r>
        <w:rPr>
          <w:rFonts w:hint="eastAsia" w:ascii="仿宋" w:hAnsi="仿宋" w:eastAsia="仿宋" w:cs="宋体"/>
          <w:sz w:val="24"/>
        </w:rPr>
        <w:t>。</w:t>
      </w:r>
    </w:p>
    <w:p>
      <w:pPr>
        <w:pageBreakBefore w:val="0"/>
        <w:kinsoku/>
        <w:wordWrap/>
        <w:overflowPunct/>
        <w:topLinePunct w:val="0"/>
        <w:autoSpaceDE/>
        <w:autoSpaceDN/>
        <w:bidi w:val="0"/>
        <w:spacing w:line="360" w:lineRule="exact"/>
        <w:ind w:firstLine="480" w:firstLineChars="200"/>
        <w:outlineLvl w:val="9"/>
        <w:rPr>
          <w:rFonts w:hint="eastAsia" w:ascii="仿宋" w:hAnsi="仿宋" w:eastAsia="仿宋" w:cs="宋体"/>
          <w:b/>
          <w:bCs/>
          <w:sz w:val="24"/>
        </w:rPr>
      </w:pPr>
      <w:r>
        <w:rPr>
          <w:rFonts w:hint="eastAsia" w:ascii="仿宋" w:hAnsi="仿宋" w:eastAsia="仿宋" w:cs="宋体"/>
          <w:sz w:val="24"/>
        </w:rPr>
        <w:t>2.如合同内容较多，可将清单附后作为验收报告不可分割的一部分。</w:t>
      </w:r>
    </w:p>
    <w:p>
      <w:pPr>
        <w:pageBreakBefore w:val="0"/>
        <w:kinsoku/>
        <w:wordWrap/>
        <w:overflowPunct/>
        <w:topLinePunct w:val="0"/>
        <w:autoSpaceDE/>
        <w:autoSpaceDN/>
        <w:bidi w:val="0"/>
        <w:spacing w:line="596" w:lineRule="exact"/>
        <w:ind w:right="300"/>
        <w:jc w:val="left"/>
        <w:outlineLvl w:val="9"/>
        <w:rPr>
          <w:rFonts w:hint="eastAsia" w:ascii="黑体" w:eastAsia="黑体"/>
          <w:sz w:val="32"/>
          <w:szCs w:val="32"/>
        </w:rPr>
      </w:pPr>
      <w:r>
        <w:rPr>
          <w:rFonts w:hint="eastAsia" w:ascii="黑体" w:eastAsia="黑体"/>
          <w:sz w:val="32"/>
          <w:szCs w:val="32"/>
        </w:rPr>
        <w:t>附件2：</w:t>
      </w:r>
    </w:p>
    <w:p>
      <w:pPr>
        <w:pageBreakBefore w:val="0"/>
        <w:kinsoku/>
        <w:wordWrap/>
        <w:overflowPunct/>
        <w:topLinePunct w:val="0"/>
        <w:autoSpaceDE/>
        <w:autoSpaceDN/>
        <w:bidi w:val="0"/>
        <w:spacing w:line="596" w:lineRule="exact"/>
        <w:ind w:right="300"/>
        <w:jc w:val="center"/>
        <w:outlineLvl w:val="9"/>
        <w:rPr>
          <w:rFonts w:hint="eastAsia"/>
          <w:b/>
          <w:color w:val="000000"/>
          <w:sz w:val="36"/>
          <w:szCs w:val="36"/>
          <w:lang w:val="ru-RU"/>
        </w:rPr>
      </w:pPr>
      <w:bookmarkStart w:id="1533" w:name="_Toc3733_WPSOffice_Level1"/>
      <w:r>
        <w:rPr>
          <w:rFonts w:hint="eastAsia"/>
          <w:b/>
          <w:color w:val="000000"/>
          <w:sz w:val="36"/>
          <w:szCs w:val="36"/>
          <w:lang w:val="ru-RU"/>
        </w:rPr>
        <w:t>柳州职业技术学院采购项目验收报告</w:t>
      </w:r>
      <w:bookmarkEnd w:id="1533"/>
    </w:p>
    <w:p>
      <w:pPr>
        <w:pageBreakBefore w:val="0"/>
        <w:kinsoku/>
        <w:wordWrap/>
        <w:overflowPunct/>
        <w:topLinePunct w:val="0"/>
        <w:autoSpaceDE/>
        <w:autoSpaceDN/>
        <w:bidi w:val="0"/>
        <w:spacing w:line="380" w:lineRule="exact"/>
        <w:ind w:firstLine="480" w:firstLineChars="200"/>
        <w:outlineLvl w:val="9"/>
        <w:rPr>
          <w:rFonts w:hint="eastAsia" w:ascii="仿宋" w:hAnsi="仿宋" w:eastAsia="仿宋"/>
          <w:sz w:val="24"/>
          <w:lang w:val="ru-RU"/>
        </w:rPr>
      </w:pPr>
      <w:r>
        <w:rPr>
          <w:rFonts w:hint="eastAsia" w:ascii="仿宋" w:hAnsi="仿宋" w:eastAsia="仿宋"/>
          <w:sz w:val="24"/>
          <w:lang w:val="ru-RU"/>
        </w:rPr>
        <w:t>根据采购项目XXXXXXXXXXX采购 （合同编号XX-XXXX）的合同约定，我单位对采购项目中标（或成交）供应商（XXXXXXXXXXXXXXXX）提供的货物（或工程、服务）进行了验收，验收情况如下：</w:t>
      </w:r>
    </w:p>
    <w:tbl>
      <w:tblPr>
        <w:tblStyle w:val="14"/>
        <w:tblpPr w:leftFromText="180" w:rightFromText="180" w:vertAnchor="text" w:horzAnchor="page" w:tblpXSpec="center" w:tblpY="310"/>
        <w:tblOverlap w:val="never"/>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13"/>
        <w:gridCol w:w="1155"/>
        <w:gridCol w:w="3119"/>
        <w:gridCol w:w="708"/>
        <w:gridCol w:w="851"/>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817"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宋体"/>
                <w:sz w:val="24"/>
              </w:rPr>
              <w:t>序号</w:t>
            </w:r>
          </w:p>
        </w:tc>
        <w:tc>
          <w:tcPr>
            <w:tcW w:w="2268" w:type="dxa"/>
            <w:gridSpan w:val="2"/>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宋体"/>
                <w:sz w:val="24"/>
              </w:rPr>
              <w:t>名称</w:t>
            </w:r>
          </w:p>
        </w:tc>
        <w:tc>
          <w:tcPr>
            <w:tcW w:w="3119"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宋体"/>
                <w:sz w:val="24"/>
              </w:rPr>
              <w:t>货物品牌、型号规格、配置等（或服务内容、标准）</w:t>
            </w:r>
          </w:p>
        </w:tc>
        <w:tc>
          <w:tcPr>
            <w:tcW w:w="708"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宋体"/>
                <w:sz w:val="24"/>
              </w:rPr>
              <w:t>数量</w:t>
            </w:r>
          </w:p>
        </w:tc>
        <w:tc>
          <w:tcPr>
            <w:tcW w:w="851"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宋体"/>
                <w:sz w:val="24"/>
              </w:rPr>
              <w:t>金额</w:t>
            </w:r>
            <w:r>
              <w:rPr>
                <w:rFonts w:ascii="仿宋" w:hAnsi="仿宋" w:eastAsia="仿宋" w:cs="??_GB2312"/>
                <w:sz w:val="24"/>
              </w:rPr>
              <w:t>(</w:t>
            </w:r>
            <w:r>
              <w:rPr>
                <w:rFonts w:hint="eastAsia" w:ascii="仿宋" w:hAnsi="仿宋" w:eastAsia="仿宋" w:cs="宋体"/>
                <w:sz w:val="24"/>
              </w:rPr>
              <w:t>元</w:t>
            </w:r>
            <w:r>
              <w:rPr>
                <w:rFonts w:ascii="仿宋" w:hAnsi="仿宋" w:eastAsia="仿宋" w:cs="??_GB2312"/>
                <w:sz w:val="24"/>
              </w:rPr>
              <w:t>)</w:t>
            </w:r>
          </w:p>
        </w:tc>
        <w:tc>
          <w:tcPr>
            <w:tcW w:w="850" w:type="dxa"/>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宋体"/>
                <w:sz w:val="24"/>
              </w:rPr>
              <w:t>存放场地</w:t>
            </w:r>
          </w:p>
        </w:tc>
        <w:tc>
          <w:tcPr>
            <w:tcW w:w="851" w:type="dxa"/>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宋体"/>
                <w:sz w:val="24"/>
              </w:rPr>
              <w:t>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17"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ascii="仿宋" w:hAnsi="仿宋" w:eastAsia="仿宋" w:cs="??_GB2312"/>
                <w:sz w:val="24"/>
              </w:rPr>
              <w:t>1</w:t>
            </w:r>
          </w:p>
        </w:tc>
        <w:tc>
          <w:tcPr>
            <w:tcW w:w="2268" w:type="dxa"/>
            <w:gridSpan w:val="2"/>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_GB2312"/>
                <w:sz w:val="24"/>
              </w:rPr>
              <w:t>...</w:t>
            </w:r>
          </w:p>
        </w:tc>
        <w:tc>
          <w:tcPr>
            <w:tcW w:w="3119"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_GB2312"/>
                <w:sz w:val="24"/>
              </w:rPr>
              <w:t>...</w:t>
            </w:r>
          </w:p>
        </w:tc>
        <w:tc>
          <w:tcPr>
            <w:tcW w:w="708"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_GB2312"/>
                <w:sz w:val="24"/>
              </w:rPr>
              <w:t>...</w:t>
            </w:r>
          </w:p>
        </w:tc>
        <w:tc>
          <w:tcPr>
            <w:tcW w:w="851"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_GB2312"/>
                <w:sz w:val="24"/>
              </w:rPr>
              <w:t>...</w:t>
            </w:r>
          </w:p>
        </w:tc>
        <w:tc>
          <w:tcPr>
            <w:tcW w:w="850" w:type="dxa"/>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_GB2312"/>
                <w:sz w:val="24"/>
              </w:rPr>
              <w:t>...</w:t>
            </w:r>
          </w:p>
        </w:tc>
        <w:tc>
          <w:tcPr>
            <w:tcW w:w="851" w:type="dxa"/>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17"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ascii="仿宋" w:hAnsi="仿宋" w:eastAsia="仿宋" w:cs="??_GB2312"/>
                <w:sz w:val="24"/>
              </w:rPr>
              <w:t>2</w:t>
            </w:r>
          </w:p>
        </w:tc>
        <w:tc>
          <w:tcPr>
            <w:tcW w:w="2268" w:type="dxa"/>
            <w:gridSpan w:val="2"/>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3119"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708"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851"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850" w:type="dxa"/>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851" w:type="dxa"/>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17"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ascii="仿宋" w:hAnsi="仿宋" w:eastAsia="仿宋" w:cs="??_GB2312"/>
                <w:sz w:val="24"/>
              </w:rPr>
              <w:t>3</w:t>
            </w:r>
          </w:p>
        </w:tc>
        <w:tc>
          <w:tcPr>
            <w:tcW w:w="2268" w:type="dxa"/>
            <w:gridSpan w:val="2"/>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3119"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708"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851" w:type="dxa"/>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850" w:type="dxa"/>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c>
          <w:tcPr>
            <w:tcW w:w="851" w:type="dxa"/>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464" w:type="dxa"/>
            <w:gridSpan w:val="8"/>
            <w:vAlign w:val="center"/>
          </w:tcPr>
          <w:p>
            <w:pPr>
              <w:pageBreakBefore w:val="0"/>
              <w:kinsoku/>
              <w:wordWrap/>
              <w:overflowPunct/>
              <w:topLinePunct w:val="0"/>
              <w:autoSpaceDE/>
              <w:autoSpaceDN/>
              <w:bidi w:val="0"/>
              <w:spacing w:line="400" w:lineRule="exact"/>
              <w:jc w:val="left"/>
              <w:outlineLvl w:val="9"/>
              <w:rPr>
                <w:rFonts w:ascii="仿宋" w:hAnsi="仿宋" w:eastAsia="仿宋" w:cs="??_GB2312"/>
                <w:sz w:val="24"/>
              </w:rPr>
            </w:pPr>
            <w:r>
              <w:rPr>
                <w:rFonts w:hint="eastAsia" w:ascii="仿宋" w:hAnsi="仿宋" w:eastAsia="仿宋" w:cs="宋体"/>
                <w:sz w:val="24"/>
              </w:rPr>
              <w:t>合</w:t>
            </w:r>
            <w:r>
              <w:rPr>
                <w:rFonts w:ascii="仿宋" w:hAnsi="仿宋" w:eastAsia="仿宋" w:cs="??_GB2312"/>
                <w:sz w:val="24"/>
              </w:rPr>
              <w:t xml:space="preserve">        </w:t>
            </w:r>
            <w:r>
              <w:rPr>
                <w:rFonts w:hint="eastAsia" w:ascii="仿宋" w:hAnsi="仿宋" w:eastAsia="仿宋" w:cs="宋体"/>
                <w:sz w:val="24"/>
              </w:rPr>
              <w:t>计：</w:t>
            </w:r>
            <w:r>
              <w:rPr>
                <w:rFonts w:hint="eastAsia" w:ascii="仿宋" w:hAnsi="仿宋" w:eastAsia="仿宋"/>
                <w:sz w:val="24"/>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464" w:type="dxa"/>
            <w:gridSpan w:val="8"/>
            <w:vAlign w:val="center"/>
          </w:tcPr>
          <w:p>
            <w:pPr>
              <w:pageBreakBefore w:val="0"/>
              <w:kinsoku/>
              <w:wordWrap/>
              <w:overflowPunct/>
              <w:topLinePunct w:val="0"/>
              <w:autoSpaceDE/>
              <w:autoSpaceDN/>
              <w:bidi w:val="0"/>
              <w:spacing w:line="400" w:lineRule="exact"/>
              <w:jc w:val="left"/>
              <w:outlineLvl w:val="9"/>
              <w:rPr>
                <w:rFonts w:ascii="仿宋" w:hAnsi="仿宋" w:eastAsia="仿宋" w:cs="??_GB2312"/>
                <w:sz w:val="24"/>
              </w:rPr>
            </w:pPr>
            <w:r>
              <w:rPr>
                <w:rFonts w:hint="eastAsia" w:ascii="仿宋" w:hAnsi="仿宋" w:eastAsia="仿宋" w:cs="宋体"/>
                <w:sz w:val="24"/>
              </w:rPr>
              <w:t>合计大写金额：</w:t>
            </w:r>
            <w:r>
              <w:rPr>
                <w:rFonts w:hint="eastAsia" w:ascii="仿宋" w:hAnsi="仿宋" w:eastAsia="仿宋" w:cs="??_GB2312"/>
                <w:sz w:val="24"/>
              </w:rPr>
              <w:t xml:space="preserve">                </w:t>
            </w:r>
            <w:r>
              <w:rPr>
                <w:rFonts w:hint="eastAsia" w:ascii="仿宋" w:hAnsi="仿宋" w:eastAsia="仿宋" w:cs="宋体"/>
                <w:sz w:val="24"/>
              </w:rPr>
              <w:t>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8" w:hRule="atLeast"/>
          <w:jc w:val="center"/>
        </w:trPr>
        <w:tc>
          <w:tcPr>
            <w:tcW w:w="1930" w:type="dxa"/>
            <w:gridSpan w:val="2"/>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宋体"/>
                <w:sz w:val="24"/>
              </w:rPr>
              <w:t>验收具体内容</w:t>
            </w:r>
          </w:p>
        </w:tc>
        <w:tc>
          <w:tcPr>
            <w:tcW w:w="7534" w:type="dxa"/>
            <w:gridSpan w:val="6"/>
          </w:tcPr>
          <w:p>
            <w:pPr>
              <w:pageBreakBefore w:val="0"/>
              <w:kinsoku/>
              <w:wordWrap/>
              <w:overflowPunct/>
              <w:topLinePunct w:val="0"/>
              <w:autoSpaceDE/>
              <w:autoSpaceDN/>
              <w:bidi w:val="0"/>
              <w:spacing w:line="400" w:lineRule="exact"/>
              <w:outlineLvl w:val="9"/>
              <w:rPr>
                <w:rFonts w:ascii="仿宋" w:hAnsi="仿宋" w:eastAsia="仿宋" w:cs="??_GB2312"/>
                <w:color w:val="000000"/>
                <w:sz w:val="24"/>
              </w:rPr>
            </w:pPr>
            <w:r>
              <w:rPr>
                <w:rFonts w:hint="eastAsia" w:ascii="仿宋" w:hAnsi="仿宋" w:eastAsia="仿宋" w:cs="宋体"/>
                <w:color w:val="000000"/>
                <w:sz w:val="24"/>
              </w:rPr>
              <w:t>（应按采购合同、采购文件、投标响应文件及验收方案等进行验收；并核对中标或者成交供应商在安装、调试、培训等方面是否违反合同约定或服务规范要求、提供的质量保证证明材料是否齐全、应有的配件及附加是否达到合同约定等，可附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930" w:type="dxa"/>
            <w:gridSpan w:val="2"/>
            <w:vAlign w:val="center"/>
          </w:tcPr>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宋体"/>
                <w:sz w:val="24"/>
              </w:rPr>
              <w:t>验收小组意见</w:t>
            </w:r>
          </w:p>
        </w:tc>
        <w:tc>
          <w:tcPr>
            <w:tcW w:w="7534" w:type="dxa"/>
            <w:gridSpan w:val="6"/>
            <w:vAlign w:val="center"/>
          </w:tcPr>
          <w:p>
            <w:pPr>
              <w:pageBreakBefore w:val="0"/>
              <w:kinsoku/>
              <w:wordWrap/>
              <w:overflowPunct/>
              <w:topLinePunct w:val="0"/>
              <w:autoSpaceDE/>
              <w:autoSpaceDN/>
              <w:bidi w:val="0"/>
              <w:spacing w:line="400" w:lineRule="exact"/>
              <w:outlineLvl w:val="9"/>
              <w:rPr>
                <w:rFonts w:ascii="仿宋" w:hAnsi="仿宋" w:eastAsia="仿宋" w:cs="??_GB2312"/>
                <w:sz w:val="24"/>
              </w:rPr>
            </w:pPr>
            <w:r>
              <w:rPr>
                <w:rFonts w:hint="eastAsia" w:ascii="仿宋" w:hAnsi="仿宋" w:eastAsia="仿宋" w:cs="宋体"/>
                <w:sz w:val="24"/>
              </w:rPr>
              <w:t>验收结论性意见：</w:t>
            </w:r>
            <w:r>
              <w:rPr>
                <w:rFonts w:ascii="仿宋" w:hAnsi="仿宋" w:eastAsia="仿宋" w:cs="??_GB2312"/>
                <w:sz w:val="24"/>
              </w:rPr>
              <w:t>□</w:t>
            </w:r>
            <w:r>
              <w:rPr>
                <w:rFonts w:hint="eastAsia" w:ascii="仿宋" w:hAnsi="仿宋" w:eastAsia="仿宋" w:cs="宋体"/>
                <w:sz w:val="24"/>
              </w:rPr>
              <w:t>验收合格，同意办理结算手续</w:t>
            </w:r>
          </w:p>
          <w:p>
            <w:pPr>
              <w:pageBreakBefore w:val="0"/>
              <w:kinsoku/>
              <w:wordWrap/>
              <w:overflowPunct/>
              <w:topLinePunct w:val="0"/>
              <w:autoSpaceDE/>
              <w:autoSpaceDN/>
              <w:bidi w:val="0"/>
              <w:spacing w:line="400" w:lineRule="exact"/>
              <w:jc w:val="center"/>
              <w:outlineLvl w:val="9"/>
              <w:rPr>
                <w:rFonts w:ascii="仿宋" w:hAnsi="仿宋" w:eastAsia="仿宋" w:cs="??_GB2312"/>
                <w:sz w:val="24"/>
              </w:rPr>
            </w:pPr>
            <w:r>
              <w:rPr>
                <w:rFonts w:hint="eastAsia" w:ascii="仿宋" w:hAnsi="仿宋" w:eastAsia="仿宋" w:cs="??_GB2312"/>
                <w:sz w:val="24"/>
              </w:rPr>
              <w:t xml:space="preserve">          </w:t>
            </w:r>
            <w:r>
              <w:rPr>
                <w:rFonts w:ascii="仿宋" w:hAnsi="仿宋" w:eastAsia="仿宋" w:cs="??_GB2312"/>
                <w:sz w:val="24"/>
              </w:rPr>
              <w:t>□</w:t>
            </w:r>
            <w:r>
              <w:rPr>
                <w:rFonts w:hint="eastAsia" w:ascii="仿宋" w:hAnsi="仿宋" w:eastAsia="仿宋" w:cs="宋体"/>
                <w:sz w:val="24"/>
              </w:rPr>
              <w:t>验收不合格，待成交供应商整改后再次验收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0" w:hRule="atLeast"/>
          <w:jc w:val="center"/>
        </w:trPr>
        <w:tc>
          <w:tcPr>
            <w:tcW w:w="9464" w:type="dxa"/>
            <w:gridSpan w:val="8"/>
          </w:tcPr>
          <w:p>
            <w:pPr>
              <w:pageBreakBefore w:val="0"/>
              <w:kinsoku/>
              <w:wordWrap/>
              <w:overflowPunct/>
              <w:topLinePunct w:val="0"/>
              <w:autoSpaceDE/>
              <w:autoSpaceDN/>
              <w:bidi w:val="0"/>
              <w:spacing w:line="400" w:lineRule="exact"/>
              <w:outlineLvl w:val="9"/>
              <w:rPr>
                <w:rFonts w:ascii="仿宋" w:hAnsi="仿宋" w:eastAsia="仿宋" w:cs="??_GB2312"/>
                <w:sz w:val="24"/>
              </w:rPr>
            </w:pPr>
            <w:r>
              <w:rPr>
                <w:rFonts w:hint="eastAsia" w:ascii="仿宋" w:hAnsi="仿宋" w:eastAsia="仿宋" w:cs="宋体"/>
                <w:sz w:val="24"/>
              </w:rPr>
              <w:t>验收小组成员签字：</w:t>
            </w:r>
          </w:p>
          <w:p>
            <w:pPr>
              <w:pageBreakBefore w:val="0"/>
              <w:kinsoku/>
              <w:wordWrap/>
              <w:overflowPunct/>
              <w:topLinePunct w:val="0"/>
              <w:autoSpaceDE/>
              <w:autoSpaceDN/>
              <w:bidi w:val="0"/>
              <w:spacing w:line="400" w:lineRule="exact"/>
              <w:outlineLvl w:val="9"/>
              <w:rPr>
                <w:rFonts w:ascii="仿宋" w:hAnsi="仿宋" w:eastAsia="仿宋" w:cs="??_GB2312"/>
                <w:sz w:val="24"/>
              </w:rPr>
            </w:pPr>
            <w:r>
              <w:rPr>
                <w:rFonts w:hint="eastAsia" w:ascii="仿宋" w:hAnsi="仿宋" w:eastAsia="仿宋" w:cs="??_GB2312"/>
                <w:sz w:val="24"/>
              </w:rPr>
              <w:t>部门（学院）正职领导：</w:t>
            </w:r>
          </w:p>
          <w:p>
            <w:pPr>
              <w:pageBreakBefore w:val="0"/>
              <w:kinsoku/>
              <w:wordWrap/>
              <w:overflowPunct/>
              <w:topLinePunct w:val="0"/>
              <w:autoSpaceDE/>
              <w:autoSpaceDN/>
              <w:bidi w:val="0"/>
              <w:spacing w:line="400" w:lineRule="exact"/>
              <w:outlineLvl w:val="9"/>
              <w:rPr>
                <w:rFonts w:ascii="仿宋" w:hAnsi="仿宋" w:eastAsia="仿宋" w:cs="??_GB2312"/>
                <w:sz w:val="24"/>
              </w:rPr>
            </w:pPr>
            <w:r>
              <w:rPr>
                <w:rFonts w:hint="eastAsia" w:ascii="仿宋" w:hAnsi="仿宋" w:eastAsia="仿宋" w:cs="宋体"/>
                <w:sz w:val="24"/>
              </w:rPr>
              <w:t>资产管理处验收人签字：</w:t>
            </w:r>
            <w:r>
              <w:rPr>
                <w:rFonts w:ascii="仿宋" w:hAnsi="仿宋" w:eastAsia="仿宋" w:cs="??_GB2312"/>
                <w:sz w:val="24"/>
              </w:rPr>
              <w:t xml:space="preserve"> </w:t>
            </w:r>
          </w:p>
          <w:p>
            <w:pPr>
              <w:pageBreakBefore w:val="0"/>
              <w:kinsoku/>
              <w:wordWrap/>
              <w:overflowPunct/>
              <w:topLinePunct w:val="0"/>
              <w:autoSpaceDE/>
              <w:autoSpaceDN/>
              <w:bidi w:val="0"/>
              <w:spacing w:line="400" w:lineRule="exact"/>
              <w:ind w:right="480"/>
              <w:jc w:val="right"/>
              <w:outlineLvl w:val="9"/>
              <w:rPr>
                <w:rFonts w:ascii="仿宋" w:hAnsi="仿宋" w:eastAsia="仿宋" w:cs="??_GB2312"/>
                <w:sz w:val="24"/>
              </w:rPr>
            </w:pPr>
            <w:r>
              <w:rPr>
                <w:rFonts w:ascii="仿宋" w:hAnsi="仿宋" w:eastAsia="仿宋" w:cs="??_GB2312"/>
                <w:sz w:val="24"/>
              </w:rPr>
              <w:t xml:space="preserve">  </w:t>
            </w:r>
            <w:r>
              <w:rPr>
                <w:rFonts w:hint="eastAsia" w:ascii="仿宋" w:hAnsi="仿宋" w:eastAsia="仿宋" w:cs="宋体"/>
                <w:sz w:val="24"/>
              </w:rPr>
              <w:t>年</w:t>
            </w:r>
            <w:r>
              <w:rPr>
                <w:rFonts w:ascii="仿宋" w:hAnsi="仿宋" w:eastAsia="仿宋" w:cs="??_GB2312"/>
                <w:sz w:val="24"/>
              </w:rPr>
              <w:t xml:space="preserve">    </w:t>
            </w:r>
            <w:r>
              <w:rPr>
                <w:rFonts w:hint="eastAsia" w:ascii="仿宋" w:hAnsi="仿宋" w:eastAsia="仿宋" w:cs="宋体"/>
                <w:sz w:val="24"/>
              </w:rPr>
              <w:t>月</w:t>
            </w:r>
            <w:r>
              <w:rPr>
                <w:rFonts w:ascii="仿宋" w:hAnsi="仿宋" w:eastAsia="仿宋" w:cs="??_GB2312"/>
                <w:sz w:val="24"/>
              </w:rPr>
              <w:t xml:space="preserve">   </w:t>
            </w:r>
            <w:r>
              <w:rPr>
                <w:rFonts w:hint="eastAsia" w:ascii="仿宋" w:hAnsi="仿宋" w:eastAsia="仿宋" w:cs="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9464" w:type="dxa"/>
            <w:gridSpan w:val="8"/>
          </w:tcPr>
          <w:p>
            <w:pPr>
              <w:pageBreakBefore w:val="0"/>
              <w:kinsoku/>
              <w:wordWrap/>
              <w:overflowPunct/>
              <w:topLinePunct w:val="0"/>
              <w:autoSpaceDE/>
              <w:autoSpaceDN/>
              <w:bidi w:val="0"/>
              <w:spacing w:line="400" w:lineRule="exact"/>
              <w:jc w:val="left"/>
              <w:outlineLvl w:val="9"/>
              <w:rPr>
                <w:rFonts w:ascii="仿宋" w:hAnsi="仿宋" w:eastAsia="仿宋" w:cs="??_GB2312"/>
                <w:sz w:val="24"/>
              </w:rPr>
            </w:pPr>
            <w:r>
              <w:rPr>
                <w:rFonts w:hint="eastAsia" w:ascii="仿宋" w:hAnsi="仿宋" w:eastAsia="仿宋" w:cs="宋体"/>
                <w:sz w:val="24"/>
              </w:rPr>
              <w:t>审计处人员签字：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9464" w:type="dxa"/>
            <w:gridSpan w:val="8"/>
          </w:tcPr>
          <w:p>
            <w:pPr>
              <w:pageBreakBefore w:val="0"/>
              <w:kinsoku/>
              <w:wordWrap/>
              <w:overflowPunct/>
              <w:topLinePunct w:val="0"/>
              <w:autoSpaceDE/>
              <w:autoSpaceDN/>
              <w:bidi w:val="0"/>
              <w:spacing w:line="400" w:lineRule="exact"/>
              <w:outlineLvl w:val="9"/>
              <w:rPr>
                <w:rFonts w:ascii="仿宋" w:hAnsi="仿宋" w:eastAsia="仿宋" w:cs="??_GB2312"/>
                <w:sz w:val="24"/>
              </w:rPr>
            </w:pPr>
            <w:r>
              <w:rPr>
                <w:rFonts w:hint="eastAsia" w:ascii="仿宋" w:hAnsi="仿宋" w:eastAsia="仿宋" w:cs="宋体"/>
                <w:sz w:val="24"/>
              </w:rPr>
              <w:t>中标或者成交供应商负责人签字或盖章：</w:t>
            </w:r>
            <w:r>
              <w:rPr>
                <w:rFonts w:ascii="仿宋" w:hAnsi="仿宋" w:eastAsia="仿宋" w:cs="??_GB2312"/>
                <w:sz w:val="24"/>
              </w:rPr>
              <w:t xml:space="preserve">        </w:t>
            </w:r>
          </w:p>
          <w:p>
            <w:pPr>
              <w:pageBreakBefore w:val="0"/>
              <w:kinsoku/>
              <w:wordWrap/>
              <w:overflowPunct/>
              <w:topLinePunct w:val="0"/>
              <w:autoSpaceDE/>
              <w:autoSpaceDN/>
              <w:bidi w:val="0"/>
              <w:spacing w:line="400" w:lineRule="exact"/>
              <w:outlineLvl w:val="9"/>
              <w:rPr>
                <w:rFonts w:ascii="仿宋" w:hAnsi="仿宋" w:eastAsia="仿宋" w:cs="??_GB2312"/>
                <w:sz w:val="24"/>
              </w:rPr>
            </w:pPr>
            <w:r>
              <w:rPr>
                <w:rFonts w:hint="eastAsia" w:ascii="仿宋" w:hAnsi="仿宋" w:eastAsia="仿宋" w:cs="宋体"/>
                <w:sz w:val="24"/>
              </w:rPr>
              <w:t>联系电话：</w:t>
            </w:r>
            <w:r>
              <w:rPr>
                <w:rFonts w:ascii="仿宋" w:hAnsi="仿宋" w:eastAsia="仿宋" w:cs="??_GB2312"/>
                <w:sz w:val="24"/>
              </w:rPr>
              <w:t xml:space="preserve">           </w:t>
            </w:r>
            <w:r>
              <w:rPr>
                <w:rFonts w:hint="eastAsia" w:ascii="仿宋" w:hAnsi="仿宋" w:eastAsia="仿宋" w:cs="??_GB2312"/>
                <w:sz w:val="24"/>
              </w:rPr>
              <w:t xml:space="preserve">                                          </w:t>
            </w:r>
          </w:p>
          <w:p>
            <w:pPr>
              <w:pageBreakBefore w:val="0"/>
              <w:kinsoku/>
              <w:wordWrap/>
              <w:overflowPunct/>
              <w:topLinePunct w:val="0"/>
              <w:autoSpaceDE/>
              <w:autoSpaceDN/>
              <w:bidi w:val="0"/>
              <w:spacing w:line="400" w:lineRule="exact"/>
              <w:ind w:firstLine="7200" w:firstLineChars="3000"/>
              <w:outlineLvl w:val="9"/>
              <w:rPr>
                <w:rFonts w:ascii="仿宋" w:hAnsi="仿宋" w:eastAsia="仿宋" w:cs="??_GB2312"/>
                <w:sz w:val="24"/>
              </w:rPr>
            </w:pPr>
            <w:r>
              <w:rPr>
                <w:rFonts w:hint="eastAsia" w:ascii="仿宋" w:hAnsi="仿宋" w:eastAsia="仿宋" w:cs="宋体"/>
                <w:sz w:val="24"/>
              </w:rPr>
              <w:t>年</w:t>
            </w:r>
            <w:r>
              <w:rPr>
                <w:rFonts w:ascii="仿宋" w:hAnsi="仿宋" w:eastAsia="仿宋" w:cs="??_GB2312"/>
                <w:sz w:val="24"/>
              </w:rPr>
              <w:t xml:space="preserve">   </w:t>
            </w:r>
            <w:r>
              <w:rPr>
                <w:rFonts w:hint="eastAsia" w:ascii="仿宋" w:hAnsi="仿宋" w:eastAsia="仿宋" w:cs="宋体"/>
                <w:sz w:val="24"/>
              </w:rPr>
              <w:t>月</w:t>
            </w:r>
            <w:r>
              <w:rPr>
                <w:rFonts w:ascii="仿宋" w:hAnsi="仿宋" w:eastAsia="仿宋" w:cs="??_GB2312"/>
                <w:sz w:val="24"/>
              </w:rPr>
              <w:t xml:space="preserve">   </w:t>
            </w:r>
            <w:r>
              <w:rPr>
                <w:rFonts w:hint="eastAsia" w:ascii="仿宋" w:hAnsi="仿宋" w:eastAsia="仿宋" w:cs="宋体"/>
                <w:sz w:val="24"/>
              </w:rPr>
              <w:t>日</w:t>
            </w:r>
            <w:r>
              <w:rPr>
                <w:rFonts w:ascii="仿宋" w:hAnsi="仿宋" w:eastAsia="仿宋" w:cs="??_GB2312"/>
                <w:sz w:val="24"/>
              </w:rPr>
              <w:t xml:space="preserve">    </w:t>
            </w:r>
          </w:p>
        </w:tc>
      </w:tr>
    </w:tbl>
    <w:p>
      <w:pPr>
        <w:pageBreakBefore w:val="0"/>
        <w:kinsoku/>
        <w:wordWrap/>
        <w:overflowPunct/>
        <w:topLinePunct w:val="0"/>
        <w:autoSpaceDE/>
        <w:autoSpaceDN/>
        <w:bidi w:val="0"/>
        <w:spacing w:line="360" w:lineRule="exact"/>
        <w:outlineLvl w:val="9"/>
        <w:rPr>
          <w:rFonts w:ascii="仿宋" w:hAnsi="仿宋" w:eastAsia="仿宋" w:cs="??_GB2312"/>
          <w:sz w:val="24"/>
        </w:rPr>
      </w:pPr>
      <w:r>
        <w:rPr>
          <w:rFonts w:hint="eastAsia" w:ascii="仿宋" w:hAnsi="仿宋" w:eastAsia="仿宋" w:cs="宋体"/>
          <w:b/>
          <w:bCs/>
          <w:sz w:val="24"/>
        </w:rPr>
        <w:t>注：</w:t>
      </w:r>
      <w:r>
        <w:rPr>
          <w:rFonts w:ascii="仿宋" w:hAnsi="仿宋" w:eastAsia="仿宋" w:cs="??_GB2312"/>
          <w:sz w:val="24"/>
        </w:rPr>
        <w:t>1</w:t>
      </w:r>
      <w:r>
        <w:rPr>
          <w:rFonts w:hint="eastAsia" w:ascii="仿宋" w:hAnsi="仿宋" w:eastAsia="仿宋" w:cs="宋体"/>
          <w:sz w:val="24"/>
        </w:rPr>
        <w:t>.本报告由使用部门依照合同填写（如有变更补充手续的将相关资料附后），核对无误后打印一式两份带到验收现场。</w:t>
      </w:r>
    </w:p>
    <w:p>
      <w:pPr>
        <w:pageBreakBefore w:val="0"/>
        <w:kinsoku/>
        <w:wordWrap/>
        <w:overflowPunct/>
        <w:topLinePunct w:val="0"/>
        <w:autoSpaceDE/>
        <w:autoSpaceDN/>
        <w:bidi w:val="0"/>
        <w:spacing w:line="360" w:lineRule="exact"/>
        <w:outlineLvl w:val="9"/>
        <w:rPr>
          <w:rFonts w:hint="default"/>
          <w:lang w:val="en-US" w:eastAsia="zh-CN"/>
        </w:rPr>
        <w:sectPr>
          <w:pgSz w:w="11906" w:h="16838"/>
          <w:pgMar w:top="1440" w:right="1800" w:bottom="1440" w:left="1800" w:header="851" w:footer="992" w:gutter="0"/>
          <w:pgNumType w:fmt="decimal"/>
          <w:cols w:space="425" w:num="1"/>
          <w:docGrid w:type="lines" w:linePitch="312" w:charSpace="0"/>
        </w:sectPr>
      </w:pPr>
      <w:r>
        <w:rPr>
          <w:rFonts w:ascii="仿宋" w:hAnsi="仿宋" w:eastAsia="仿宋" w:cs="??_GB2312"/>
          <w:sz w:val="24"/>
        </w:rPr>
        <w:t xml:space="preserve">   </w:t>
      </w:r>
      <w:r>
        <w:rPr>
          <w:rFonts w:hint="eastAsia" w:ascii="仿宋" w:hAnsi="仿宋" w:eastAsia="仿宋" w:cs="??_GB2312"/>
          <w:sz w:val="24"/>
        </w:rPr>
        <w:t xml:space="preserve"> </w:t>
      </w:r>
      <w:r>
        <w:rPr>
          <w:rFonts w:ascii="仿宋" w:hAnsi="仿宋" w:eastAsia="仿宋" w:cs="??_GB2312"/>
          <w:sz w:val="24"/>
        </w:rPr>
        <w:t>2</w:t>
      </w:r>
      <w:r>
        <w:rPr>
          <w:rFonts w:hint="eastAsia" w:ascii="仿宋" w:hAnsi="仿宋" w:eastAsia="仿宋" w:cs="宋体"/>
          <w:sz w:val="24"/>
        </w:rPr>
        <w:t>.如合同内容较多，可将清单附后作为验收报告不可分割的一部分。</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534" w:name="_Toc15086"/>
      <w:bookmarkStart w:id="1535" w:name="_Toc26257"/>
      <w:bookmarkStart w:id="1536" w:name="_Toc24830_WPSOffice_Level1"/>
      <w:bookmarkStart w:id="1537" w:name="_Toc23580"/>
      <w:bookmarkStart w:id="1538" w:name="_Toc6888"/>
      <w:bookmarkStart w:id="1539" w:name="_Toc15403"/>
      <w:r>
        <w:rPr>
          <w:rFonts w:hint="eastAsia"/>
          <w:b/>
          <w:color w:val="000000"/>
          <w:sz w:val="36"/>
          <w:szCs w:val="36"/>
        </w:rPr>
        <w:t>柳州职业技术学院通用资产配置标准（试行）</w:t>
      </w:r>
      <w:bookmarkEnd w:id="1534"/>
      <w:bookmarkEnd w:id="1535"/>
      <w:bookmarkEnd w:id="1536"/>
      <w:bookmarkEnd w:id="1537"/>
      <w:bookmarkEnd w:id="1538"/>
      <w:bookmarkEnd w:id="1539"/>
    </w:p>
    <w:p>
      <w:pPr>
        <w:pageBreakBefore w:val="0"/>
        <w:kinsoku/>
        <w:wordWrap/>
        <w:overflowPunct/>
        <w:topLinePunct w:val="0"/>
        <w:autoSpaceDE/>
        <w:autoSpaceDN/>
        <w:bidi w:val="0"/>
        <w:spacing w:line="596" w:lineRule="exact"/>
        <w:jc w:val="center"/>
        <w:outlineLvl w:val="9"/>
        <w:rPr>
          <w:rFonts w:hint="eastAsia"/>
          <w:b w:val="0"/>
          <w:bCs/>
          <w:color w:val="000000"/>
          <w:sz w:val="36"/>
          <w:szCs w:val="36"/>
          <w:lang w:eastAsia="zh-CN"/>
        </w:rPr>
      </w:pPr>
      <w:r>
        <w:rPr>
          <w:rFonts w:hint="eastAsia"/>
          <w:b w:val="0"/>
          <w:bCs/>
          <w:color w:val="000000"/>
          <w:sz w:val="36"/>
          <w:szCs w:val="36"/>
          <w:lang w:eastAsia="zh-CN"/>
        </w:rPr>
        <w:t>（</w:t>
      </w:r>
      <w:r>
        <w:rPr>
          <w:rFonts w:hint="eastAsia" w:ascii="仿宋_GB2312" w:eastAsia="仿宋_GB2312"/>
          <w:b w:val="0"/>
          <w:bCs/>
          <w:sz w:val="32"/>
          <w:szCs w:val="32"/>
        </w:rPr>
        <w:t>柳职院字〔2019〕14 号</w:t>
      </w:r>
      <w:r>
        <w:rPr>
          <w:rFonts w:hint="eastAsia"/>
          <w:b w:val="0"/>
          <w:bCs/>
          <w:color w:val="000000"/>
          <w:sz w:val="36"/>
          <w:szCs w:val="36"/>
          <w:lang w:eastAsia="zh-CN"/>
        </w:rPr>
        <w:t>）</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为进一步学校加强资产管理，完善学校资产配置标准，根据相关法律法规规定及《关于印发广西高等学校通用资产配置标准（试行）的通知》（桂财资</w:t>
      </w:r>
      <w:r>
        <w:rPr>
          <w:rFonts w:hint="eastAsia" w:ascii="仿宋_GB2312" w:eastAsia="仿宋_GB2312"/>
          <w:sz w:val="32"/>
          <w:szCs w:val="32"/>
        </w:rPr>
        <w:t>〔2015〕</w:t>
      </w:r>
      <w:r>
        <w:rPr>
          <w:rFonts w:hint="eastAsia" w:ascii="仿宋_GB2312" w:hAnsi="Times New Roman" w:eastAsia="仿宋_GB2312" w:cs="仿宋_GB2312"/>
          <w:sz w:val="32"/>
          <w:szCs w:val="32"/>
          <w:lang w:bidi="ar"/>
        </w:rPr>
        <w:t>6号）、《柳州市本级行政单位日常办公设施设备配置标准》（柳办发</w:t>
      </w:r>
      <w:r>
        <w:rPr>
          <w:rFonts w:hint="eastAsia" w:ascii="仿宋_GB2312" w:eastAsia="仿宋_GB2312"/>
          <w:sz w:val="32"/>
          <w:szCs w:val="32"/>
        </w:rPr>
        <w:t>〔2018〕</w:t>
      </w:r>
      <w:r>
        <w:rPr>
          <w:rFonts w:hint="eastAsia" w:ascii="仿宋_GB2312" w:hAnsi="Times New Roman" w:eastAsia="仿宋_GB2312" w:cs="仿宋_GB2312"/>
          <w:sz w:val="32"/>
          <w:szCs w:val="32"/>
          <w:lang w:bidi="ar"/>
        </w:rPr>
        <w:t>25号）等有关文件精神，结合我校实际，制定本配置标准。</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黑体" w:hAnsi="黑体" w:eastAsia="黑体" w:cs="仿宋_GB2312"/>
          <w:b/>
          <w:sz w:val="32"/>
          <w:szCs w:val="32"/>
          <w:lang w:bidi="ar"/>
        </w:rPr>
      </w:pPr>
      <w:bookmarkStart w:id="1540" w:name="_Toc30529_WPSOffice_Level1"/>
      <w:r>
        <w:rPr>
          <w:rFonts w:hint="eastAsia" w:ascii="黑体" w:hAnsi="黑体" w:eastAsia="黑体" w:cs="仿宋_GB2312"/>
          <w:b/>
          <w:sz w:val="32"/>
          <w:szCs w:val="32"/>
          <w:lang w:bidi="ar"/>
        </w:rPr>
        <w:t>一、适用对象</w:t>
      </w:r>
      <w:bookmarkEnd w:id="1540"/>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本标准适用于我校各部门</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黑体" w:hAnsi="黑体" w:eastAsia="黑体" w:cs="仿宋_GB2312"/>
          <w:b/>
          <w:sz w:val="32"/>
          <w:szCs w:val="32"/>
          <w:lang w:bidi="ar"/>
        </w:rPr>
      </w:pPr>
      <w:bookmarkStart w:id="1541" w:name="_Toc12398_WPSOffice_Level1"/>
      <w:r>
        <w:rPr>
          <w:rFonts w:hint="eastAsia" w:ascii="黑体" w:hAnsi="黑体" w:eastAsia="黑体" w:cs="仿宋_GB2312"/>
          <w:b/>
          <w:sz w:val="32"/>
          <w:szCs w:val="32"/>
          <w:lang w:bidi="ar"/>
        </w:rPr>
        <w:t>二、配置范围</w:t>
      </w:r>
      <w:bookmarkEnd w:id="1541"/>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本标准所称的通用资产是指我校为了履行教育职能需要而配备的教学设施、设备，不包括特殊需要的专业类教学设施、设备。</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本标准将资产划分为装修标准、教学家具、教学电子电器设备、行政办公设施设备、专用设备五大类。</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未列入本标准的其他通用教学资产，应当按照与我校履行职能需要相结合的原则，从严控制购置。</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黑体" w:hAnsi="黑体" w:eastAsia="黑体" w:cs="仿宋_GB2312"/>
          <w:b/>
          <w:sz w:val="32"/>
          <w:szCs w:val="32"/>
          <w:lang w:bidi="ar"/>
        </w:rPr>
      </w:pPr>
      <w:bookmarkStart w:id="1542" w:name="_Toc25529_WPSOffice_Level1"/>
      <w:r>
        <w:rPr>
          <w:rFonts w:hint="eastAsia" w:ascii="黑体" w:hAnsi="黑体" w:eastAsia="黑体" w:cs="仿宋_GB2312"/>
          <w:b/>
          <w:sz w:val="32"/>
          <w:szCs w:val="32"/>
          <w:lang w:bidi="ar"/>
        </w:rPr>
        <w:t>三、配置原则</w:t>
      </w:r>
      <w:bookmarkEnd w:id="1542"/>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本校通用教学资产配置应遵循以下基本原则：</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（一）与法律、法规和有关规章制度相一致；</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（二）与履行职能需求相适应；</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（三）科学合理，标准统一；</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（四）环保、安全、适用、不铺张浪费；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（五）资产管理与预算管理相结合。</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黑体" w:hAnsi="黑体" w:eastAsia="黑体" w:cs="仿宋_GB2312"/>
          <w:b/>
          <w:sz w:val="32"/>
          <w:szCs w:val="32"/>
          <w:lang w:bidi="ar"/>
        </w:rPr>
      </w:pPr>
      <w:bookmarkStart w:id="1543" w:name="_Toc30036_WPSOffice_Level1"/>
      <w:r>
        <w:rPr>
          <w:rFonts w:hint="eastAsia" w:ascii="黑体" w:hAnsi="黑体" w:eastAsia="黑体" w:cs="仿宋_GB2312"/>
          <w:b/>
          <w:sz w:val="32"/>
          <w:szCs w:val="32"/>
          <w:lang w:bidi="ar"/>
        </w:rPr>
        <w:t>四、配置要求</w:t>
      </w:r>
      <w:bookmarkEnd w:id="1543"/>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（一）本标准规定的实物量标准是最高数量限制标准，不是必须达到的标准；</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（二）本标准确定的价格标准是最高的价格限制标准，单位应当在基本满足教学需要的前提下努力节约经费开支；</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（三）本标准确定的使用年限标准是最低使用的年限标准，已达到规定使用年限，但尚可继续使用的资产，应继续使用，充分发挥国有资产的使用效益。</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（四）本标准实施之前已经超标购置且可继续使用的资产，应继续使用，待现有资产达到规定报废条件并按程序办理报废手续后，按照本标准进行更新购置。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（五）本校通用资产配置，必须按照《中华人民共和国政府采购法》等有关规定进行政府采购。</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黑体" w:hAnsi="黑体" w:eastAsia="黑体" w:cs="仿宋_GB2312"/>
          <w:b/>
          <w:sz w:val="32"/>
          <w:szCs w:val="32"/>
          <w:lang w:bidi="ar"/>
        </w:rPr>
      </w:pPr>
      <w:bookmarkStart w:id="1544" w:name="_Toc9791_WPSOffice_Level1"/>
      <w:r>
        <w:rPr>
          <w:rFonts w:hint="eastAsia" w:ascii="黑体" w:hAnsi="黑体" w:eastAsia="黑体" w:cs="仿宋_GB2312"/>
          <w:b/>
          <w:sz w:val="32"/>
          <w:szCs w:val="32"/>
          <w:lang w:bidi="ar"/>
        </w:rPr>
        <w:t>五、附则</w:t>
      </w:r>
      <w:bookmarkEnd w:id="1544"/>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（一）本标准是本校编制资产购置计划、申报资产购置预算、主管部门、财政部门审核批复资产配置预算的重要依据。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（二）各部门违反本标准，擅自超标准购置资产的，依据《财政违法行为处罚处分条例》（国务院令第427号）等国家有关规定追究责任。</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（三）若因为市场等原因导致原材料涨价，影响通用设备设施价格上涨且突破文件中规定价格的，需经内部审计与督导室进行价格核准，并按核准后的价格执行采购。</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（四）本标准自印发之日起执行。</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附件：柳州职业技术学院通用资产设施、设备配置标准</w:t>
      </w:r>
    </w:p>
    <w:p>
      <w:pPr>
        <w:pageBreakBefore w:val="0"/>
        <w:kinsoku/>
        <w:wordWrap/>
        <w:overflowPunct/>
        <w:topLinePunct w:val="0"/>
        <w:autoSpaceDE/>
        <w:autoSpaceDN/>
        <w:bidi w:val="0"/>
        <w:spacing w:line="460" w:lineRule="exact"/>
        <w:outlineLvl w:val="9"/>
        <w:rPr>
          <w:rFonts w:hint="eastAsia" w:ascii="仿宋_GB2312" w:eastAsia="仿宋_GB2312"/>
          <w:spacing w:val="-6"/>
          <w:sz w:val="32"/>
        </w:rPr>
      </w:pPr>
    </w:p>
    <w:p>
      <w:pPr>
        <w:pageBreakBefore w:val="0"/>
        <w:kinsoku/>
        <w:wordWrap/>
        <w:overflowPunct/>
        <w:topLinePunct w:val="0"/>
        <w:autoSpaceDE/>
        <w:autoSpaceDN/>
        <w:bidi w:val="0"/>
        <w:spacing w:line="596" w:lineRule="exact"/>
        <w:jc w:val="left"/>
        <w:outlineLvl w:val="9"/>
        <w:rPr>
          <w:rFonts w:hint="eastAsia" w:ascii="黑体" w:eastAsia="黑体"/>
          <w:sz w:val="32"/>
          <w:szCs w:val="32"/>
        </w:rPr>
      </w:pPr>
      <w:r>
        <w:br w:type="page"/>
      </w:r>
      <w:r>
        <w:rPr>
          <w:rFonts w:hint="eastAsia" w:ascii="黑体" w:eastAsia="黑体"/>
          <w:sz w:val="32"/>
          <w:szCs w:val="32"/>
        </w:rPr>
        <w:t>附件：</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545" w:name="_Toc27068_WPSOffice_Level1"/>
      <w:r>
        <w:rPr>
          <w:rFonts w:hint="eastAsia"/>
          <w:b/>
          <w:color w:val="000000"/>
          <w:sz w:val="36"/>
          <w:szCs w:val="36"/>
        </w:rPr>
        <w:t>柳州职业技术学院通用资产设施、设备配置标准</w:t>
      </w:r>
      <w:bookmarkEnd w:id="1545"/>
    </w:p>
    <w:p>
      <w:pPr>
        <w:pStyle w:val="10"/>
        <w:pageBreakBefore w:val="0"/>
        <w:widowControl w:val="0"/>
        <w:kinsoku/>
        <w:wordWrap/>
        <w:overflowPunct/>
        <w:topLinePunct w:val="0"/>
        <w:autoSpaceDE/>
        <w:autoSpaceDN/>
        <w:bidi w:val="0"/>
        <w:spacing w:before="0" w:beforeAutospacing="0" w:after="0" w:afterAutospacing="0" w:line="500" w:lineRule="exact"/>
        <w:ind w:firstLine="640" w:firstLineChars="200"/>
        <w:outlineLvl w:val="9"/>
        <w:rPr>
          <w:rFonts w:hint="eastAsia" w:ascii="仿宋_GB2312" w:hAnsi="Times New Roman" w:eastAsia="仿宋_GB2312" w:cs="仿宋_GB2312"/>
          <w:sz w:val="32"/>
          <w:szCs w:val="32"/>
          <w:lang w:bidi="ar"/>
        </w:rPr>
      </w:pPr>
    </w:p>
    <w:p>
      <w:pPr>
        <w:pStyle w:val="10"/>
        <w:pageBreakBefore w:val="0"/>
        <w:widowControl w:val="0"/>
        <w:kinsoku/>
        <w:wordWrap/>
        <w:overflowPunct/>
        <w:topLinePunct w:val="0"/>
        <w:autoSpaceDE/>
        <w:autoSpaceDN/>
        <w:bidi w:val="0"/>
        <w:spacing w:before="0" w:beforeAutospacing="0" w:after="0" w:afterAutospacing="0" w:line="500" w:lineRule="exact"/>
        <w:ind w:firstLine="640" w:firstLineChars="200"/>
        <w:outlineLvl w:val="9"/>
        <w:rPr>
          <w:rFonts w:hint="eastAsia" w:ascii="仿宋_GB2312" w:hAnsi="Times New Roman" w:eastAsia="仿宋_GB2312" w:cs="仿宋_GB2312"/>
          <w:sz w:val="32"/>
          <w:szCs w:val="32"/>
          <w:lang w:bidi="ar"/>
        </w:rPr>
      </w:pPr>
      <w:bookmarkStart w:id="1546" w:name="_Toc17977_WPSOffice_Level1"/>
      <w:r>
        <w:rPr>
          <w:rFonts w:hint="eastAsia" w:ascii="仿宋_GB2312" w:hAnsi="Times New Roman" w:eastAsia="仿宋_GB2312" w:cs="仿宋_GB2312"/>
          <w:sz w:val="32"/>
          <w:szCs w:val="32"/>
          <w:lang w:bidi="ar"/>
        </w:rPr>
        <w:t>一、装修标准</w:t>
      </w:r>
      <w:bookmarkEnd w:id="1546"/>
    </w:p>
    <w:tbl>
      <w:tblPr>
        <w:tblStyle w:val="14"/>
        <w:tblW w:w="9147" w:type="dxa"/>
        <w:jc w:val="center"/>
        <w:tblInd w:w="0" w:type="dxa"/>
        <w:tblLayout w:type="fixed"/>
        <w:tblCellMar>
          <w:top w:w="28" w:type="dxa"/>
          <w:left w:w="0" w:type="dxa"/>
          <w:bottom w:w="28" w:type="dxa"/>
          <w:right w:w="0" w:type="dxa"/>
        </w:tblCellMar>
      </w:tblPr>
      <w:tblGrid>
        <w:gridCol w:w="2502"/>
        <w:gridCol w:w="615"/>
        <w:gridCol w:w="1470"/>
        <w:gridCol w:w="1110"/>
        <w:gridCol w:w="3450"/>
      </w:tblGrid>
      <w:tr>
        <w:tblPrEx>
          <w:tblLayout w:type="fixed"/>
          <w:tblCellMar>
            <w:top w:w="28" w:type="dxa"/>
            <w:left w:w="0" w:type="dxa"/>
            <w:bottom w:w="28" w:type="dxa"/>
            <w:right w:w="0" w:type="dxa"/>
          </w:tblCellMar>
        </w:tblPrEx>
        <w:trPr>
          <w:trHeight w:val="567" w:hRule="atLeast"/>
          <w:jc w:val="center"/>
        </w:trPr>
        <w:tc>
          <w:tcPr>
            <w:tcW w:w="250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类 别</w:t>
            </w:r>
          </w:p>
        </w:tc>
        <w:tc>
          <w:tcPr>
            <w:tcW w:w="61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计量单位</w:t>
            </w:r>
          </w:p>
        </w:tc>
        <w:tc>
          <w:tcPr>
            <w:tcW w:w="147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价格上限标准（元/</w:t>
            </w:r>
            <w:r>
              <w:rPr>
                <w:rFonts w:hint="eastAsia" w:ascii="宋体" w:hAnsi="宋体" w:cs="宋体"/>
                <w:b/>
                <w:color w:val="000000"/>
                <w:kern w:val="0"/>
                <w:sz w:val="21"/>
                <w:szCs w:val="21"/>
                <w:lang w:bidi="ar"/>
              </w:rPr>
              <w:t>㎡</w:t>
            </w:r>
            <w:r>
              <w:rPr>
                <w:rFonts w:hint="eastAsia" w:ascii="仿宋_GB2312" w:hAnsi="仿宋_GB2312" w:eastAsia="仿宋_GB2312" w:cs="仿宋_GB2312"/>
                <w:b/>
                <w:color w:val="000000"/>
                <w:kern w:val="0"/>
                <w:sz w:val="21"/>
                <w:szCs w:val="21"/>
                <w:lang w:bidi="ar"/>
              </w:rPr>
              <w:t>）</w:t>
            </w:r>
          </w:p>
        </w:tc>
        <w:tc>
          <w:tcPr>
            <w:tcW w:w="111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使用年限下限标准</w:t>
            </w:r>
          </w:p>
        </w:tc>
        <w:tc>
          <w:tcPr>
            <w:tcW w:w="34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备 注</w:t>
            </w:r>
          </w:p>
        </w:tc>
      </w:tr>
      <w:tr>
        <w:tblPrEx>
          <w:tblLayout w:type="fixed"/>
          <w:tblCellMar>
            <w:top w:w="28" w:type="dxa"/>
            <w:left w:w="0" w:type="dxa"/>
            <w:bottom w:w="28" w:type="dxa"/>
            <w:right w:w="0" w:type="dxa"/>
          </w:tblCellMar>
        </w:tblPrEx>
        <w:trPr>
          <w:trHeight w:val="567" w:hRule="atLeast"/>
          <w:jc w:val="center"/>
        </w:trPr>
        <w:tc>
          <w:tcPr>
            <w:tcW w:w="9147" w:type="dxa"/>
            <w:gridSpan w:val="5"/>
            <w:tcBorders>
              <w:top w:val="single" w:color="auto" w:sz="4"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（一）教室</w:t>
            </w: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1.普通教室</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450</w:t>
            </w:r>
          </w:p>
        </w:tc>
        <w:tc>
          <w:tcPr>
            <w:tcW w:w="111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45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二次装修，包括地面、墙面、天花板装饰、门窗工程、水电安装（含给排水、强弱电）工程</w:t>
            </w: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2.阶梯教室</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550</w:t>
            </w:r>
          </w:p>
        </w:tc>
        <w:tc>
          <w:tcPr>
            <w:tcW w:w="111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center"/>
              <w:outlineLvl w:val="9"/>
              <w:rPr>
                <w:rFonts w:hint="eastAsia" w:ascii="仿宋_GB2312" w:hAnsi="宋体" w:eastAsia="仿宋_GB2312" w:cs="宋体"/>
                <w:color w:val="000000"/>
                <w:sz w:val="21"/>
                <w:szCs w:val="21"/>
              </w:rPr>
            </w:pP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3.计算机教室（监控室）</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650</w:t>
            </w:r>
          </w:p>
        </w:tc>
        <w:tc>
          <w:tcPr>
            <w:tcW w:w="111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center"/>
              <w:outlineLvl w:val="9"/>
              <w:rPr>
                <w:rFonts w:hint="eastAsia" w:ascii="仿宋_GB2312" w:hAnsi="宋体" w:eastAsia="仿宋_GB2312" w:cs="宋体"/>
                <w:color w:val="000000"/>
                <w:sz w:val="21"/>
                <w:szCs w:val="21"/>
              </w:rPr>
            </w:pP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（二）普通实验室</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650</w:t>
            </w:r>
          </w:p>
        </w:tc>
        <w:tc>
          <w:tcPr>
            <w:tcW w:w="111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（三）广播电视台（演播室）、艺术教室、医务室</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450</w:t>
            </w:r>
          </w:p>
        </w:tc>
        <w:tc>
          <w:tcPr>
            <w:tcW w:w="111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center"/>
              <w:outlineLvl w:val="9"/>
              <w:rPr>
                <w:rFonts w:hint="eastAsia" w:ascii="仿宋_GB2312" w:hAnsi="宋体" w:eastAsia="仿宋_GB2312" w:cs="宋体"/>
                <w:color w:val="000000"/>
                <w:sz w:val="21"/>
                <w:szCs w:val="21"/>
              </w:rPr>
            </w:pP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（四）图书馆</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450</w:t>
            </w:r>
          </w:p>
        </w:tc>
        <w:tc>
          <w:tcPr>
            <w:tcW w:w="1110"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9147" w:type="dxa"/>
            <w:gridSpan w:val="5"/>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（五）运动场馆</w:t>
            </w: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1.室外运动场</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350</w:t>
            </w:r>
          </w:p>
        </w:tc>
        <w:tc>
          <w:tcPr>
            <w:tcW w:w="111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5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二次装修，包括草地、跑道、排水系统、结构层及灯光、标准400米x10毫米厚塑胶面层跑道（含足球场、跳高、跳远、沙地、铁饼、铅球、标枪等运动场地）.</w:t>
            </w: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2.室外篮球、排球、网球塑胶球场</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400</w:t>
            </w:r>
          </w:p>
        </w:tc>
        <w:tc>
          <w:tcPr>
            <w:tcW w:w="111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center"/>
              <w:outlineLvl w:val="9"/>
              <w:rPr>
                <w:rFonts w:hint="eastAsia" w:ascii="仿宋_GB2312" w:hAnsi="宋体" w:eastAsia="仿宋_GB2312" w:cs="宋体"/>
                <w:color w:val="000000"/>
                <w:sz w:val="21"/>
                <w:szCs w:val="21"/>
              </w:rPr>
            </w:pP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3.体育馆：（1）木板地面</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850</w:t>
            </w:r>
          </w:p>
        </w:tc>
        <w:tc>
          <w:tcPr>
            <w:tcW w:w="111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45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二次装修，包括地面、墙面、天花板装饰、水电安装工程。</w:t>
            </w: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（2）丙烯酸涂料地面</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450</w:t>
            </w:r>
          </w:p>
        </w:tc>
        <w:tc>
          <w:tcPr>
            <w:tcW w:w="111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center"/>
              <w:outlineLvl w:val="9"/>
              <w:rPr>
                <w:rFonts w:hint="eastAsia" w:ascii="仿宋_GB2312" w:hAnsi="宋体" w:eastAsia="仿宋_GB2312" w:cs="宋体"/>
                <w:color w:val="000000"/>
                <w:sz w:val="21"/>
                <w:szCs w:val="21"/>
              </w:rPr>
            </w:pP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4.健身房、乒乓球（羽毛球）馆</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530</w:t>
            </w:r>
          </w:p>
        </w:tc>
        <w:tc>
          <w:tcPr>
            <w:tcW w:w="111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center"/>
              <w:outlineLvl w:val="9"/>
              <w:rPr>
                <w:rFonts w:hint="eastAsia" w:ascii="仿宋_GB2312" w:hAnsi="宋体" w:eastAsia="仿宋_GB2312" w:cs="宋体"/>
                <w:color w:val="000000"/>
                <w:sz w:val="21"/>
                <w:szCs w:val="21"/>
              </w:rPr>
            </w:pP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5.练舞房（木地板）</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640</w:t>
            </w:r>
          </w:p>
        </w:tc>
        <w:tc>
          <w:tcPr>
            <w:tcW w:w="111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center"/>
              <w:outlineLvl w:val="9"/>
              <w:rPr>
                <w:rFonts w:hint="eastAsia" w:ascii="仿宋_GB2312" w:hAnsi="宋体" w:eastAsia="仿宋_GB2312" w:cs="宋体"/>
                <w:color w:val="000000"/>
                <w:sz w:val="21"/>
                <w:szCs w:val="21"/>
              </w:rPr>
            </w:pP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（六）学生宿舍</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500</w:t>
            </w:r>
          </w:p>
        </w:tc>
        <w:tc>
          <w:tcPr>
            <w:tcW w:w="1110"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450"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二次装修，包括地面、墙面、天花板装饰、门窗工程、水电安装（含给排水、强弱电）工程</w:t>
            </w:r>
          </w:p>
        </w:tc>
      </w:tr>
      <w:tr>
        <w:tblPrEx>
          <w:tblLayout w:type="fixed"/>
          <w:tblCellMar>
            <w:top w:w="28" w:type="dxa"/>
            <w:left w:w="0" w:type="dxa"/>
            <w:bottom w:w="28" w:type="dxa"/>
            <w:right w:w="0" w:type="dxa"/>
          </w:tblCellMar>
        </w:tblPrEx>
        <w:trPr>
          <w:trHeight w:val="567" w:hRule="atLeast"/>
          <w:jc w:val="center"/>
        </w:trPr>
        <w:tc>
          <w:tcPr>
            <w:tcW w:w="9147" w:type="dxa"/>
            <w:gridSpan w:val="5"/>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（七）职工宿舍</w:t>
            </w: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1.教工单身宿舍（公寓）</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450</w:t>
            </w:r>
          </w:p>
        </w:tc>
        <w:tc>
          <w:tcPr>
            <w:tcW w:w="111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45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二次装修，包括地面、墙面、天花板装饰、门窗工程、水电安装（含给排水、强弱电）工程</w:t>
            </w: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2.外籍教师及专家宿舍（公寓）</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520</w:t>
            </w:r>
          </w:p>
        </w:tc>
        <w:tc>
          <w:tcPr>
            <w:tcW w:w="111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center"/>
              <w:outlineLvl w:val="9"/>
              <w:rPr>
                <w:rFonts w:hint="eastAsia" w:ascii="仿宋_GB2312" w:hAnsi="宋体" w:eastAsia="仿宋_GB2312" w:cs="宋体"/>
                <w:color w:val="000000"/>
                <w:sz w:val="21"/>
                <w:szCs w:val="21"/>
              </w:rPr>
            </w:pPr>
          </w:p>
        </w:tc>
        <w:tc>
          <w:tcPr>
            <w:tcW w:w="345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left"/>
              <w:outlineLvl w:val="9"/>
              <w:rPr>
                <w:rFonts w:hint="eastAsia" w:ascii="仿宋_GB2312" w:hAnsi="宋体" w:eastAsia="仿宋_GB2312" w:cs="宋体"/>
                <w:color w:val="000000"/>
                <w:sz w:val="21"/>
                <w:szCs w:val="21"/>
              </w:rPr>
            </w:pPr>
          </w:p>
        </w:tc>
      </w:tr>
      <w:tr>
        <w:tblPrEx>
          <w:tblLayout w:type="fixed"/>
          <w:tblCellMar>
            <w:top w:w="28" w:type="dxa"/>
            <w:left w:w="0" w:type="dxa"/>
            <w:bottom w:w="28" w:type="dxa"/>
            <w:right w:w="0" w:type="dxa"/>
          </w:tblCellMar>
        </w:tblPrEx>
        <w:trPr>
          <w:trHeight w:val="567" w:hRule="atLeast"/>
          <w:jc w:val="center"/>
        </w:trPr>
        <w:tc>
          <w:tcPr>
            <w:tcW w:w="9147" w:type="dxa"/>
            <w:gridSpan w:val="5"/>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（八）食堂</w:t>
            </w: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1.伙房</w:t>
            </w:r>
          </w:p>
        </w:tc>
        <w:tc>
          <w:tcPr>
            <w:tcW w:w="61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900</w:t>
            </w:r>
          </w:p>
        </w:tc>
        <w:tc>
          <w:tcPr>
            <w:tcW w:w="1110" w:type="dxa"/>
            <w:vMerge w:val="restar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450"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二次装修，包括地面、墙面、天花板装饰、水池、冲洗池、灶台等零星工程、门窗工程、水电安装（含给排水、强弱电）工程</w:t>
            </w:r>
          </w:p>
        </w:tc>
      </w:tr>
      <w:tr>
        <w:tblPrEx>
          <w:tblLayout w:type="fixed"/>
          <w:tblCellMar>
            <w:top w:w="28" w:type="dxa"/>
            <w:left w:w="0" w:type="dxa"/>
            <w:bottom w:w="28" w:type="dxa"/>
            <w:right w:w="0" w:type="dxa"/>
          </w:tblCellMar>
        </w:tblPrEx>
        <w:trPr>
          <w:trHeight w:val="567" w:hRule="atLeast"/>
          <w:jc w:val="center"/>
        </w:trPr>
        <w:tc>
          <w:tcPr>
            <w:tcW w:w="2502" w:type="dxa"/>
            <w:tcBorders>
              <w:top w:val="single" w:color="000000" w:sz="8" w:space="0"/>
              <w:left w:val="single" w:color="000000" w:sz="8" w:space="0"/>
              <w:bottom w:val="single" w:color="auto"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2.餐厅</w:t>
            </w:r>
          </w:p>
        </w:tc>
        <w:tc>
          <w:tcPr>
            <w:tcW w:w="615" w:type="dxa"/>
            <w:tcBorders>
              <w:top w:val="nil"/>
              <w:left w:val="nil"/>
              <w:bottom w:val="single" w:color="auto"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宋体" w:hAnsi="宋体" w:cs="宋体"/>
                <w:color w:val="000000"/>
                <w:kern w:val="0"/>
                <w:sz w:val="21"/>
                <w:szCs w:val="21"/>
                <w:lang w:bidi="ar"/>
              </w:rPr>
              <w:t>㎡</w:t>
            </w:r>
          </w:p>
        </w:tc>
        <w:tc>
          <w:tcPr>
            <w:tcW w:w="1470" w:type="dxa"/>
            <w:tcBorders>
              <w:top w:val="single" w:color="000000" w:sz="8" w:space="0"/>
              <w:left w:val="nil"/>
              <w:bottom w:val="single" w:color="auto"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1,000</w:t>
            </w:r>
          </w:p>
        </w:tc>
        <w:tc>
          <w:tcPr>
            <w:tcW w:w="1110" w:type="dxa"/>
            <w:vMerge w:val="continue"/>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spacing w:line="280" w:lineRule="exact"/>
              <w:jc w:val="center"/>
              <w:outlineLvl w:val="9"/>
              <w:rPr>
                <w:rFonts w:hint="eastAsia" w:ascii="仿宋_GB2312" w:hAnsi="宋体" w:eastAsia="仿宋_GB2312" w:cs="宋体"/>
                <w:color w:val="000000"/>
                <w:sz w:val="21"/>
                <w:szCs w:val="21"/>
              </w:rPr>
            </w:pPr>
          </w:p>
        </w:tc>
        <w:tc>
          <w:tcPr>
            <w:tcW w:w="3450" w:type="dxa"/>
            <w:tcBorders>
              <w:top w:val="nil"/>
              <w:left w:val="nil"/>
              <w:bottom w:val="single" w:color="auto" w:sz="8" w:space="0"/>
              <w:right w:val="single" w:color="auto" w:sz="8"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28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二次装修，包括地面、墙面、天花板装饰、洗碗池等零星工程、门窗工程、水电安装（含给排水、强弱电）工程</w:t>
            </w:r>
          </w:p>
        </w:tc>
      </w:tr>
    </w:tbl>
    <w:p>
      <w:pPr>
        <w:pageBreakBefore w:val="0"/>
        <w:kinsoku/>
        <w:wordWrap/>
        <w:overflowPunct/>
        <w:topLinePunct w:val="0"/>
        <w:autoSpaceDE/>
        <w:autoSpaceDN/>
        <w:bidi w:val="0"/>
        <w:spacing w:line="460" w:lineRule="exact"/>
        <w:outlineLvl w:val="9"/>
        <w:rPr>
          <w:rFonts w:hint="eastAsia" w:ascii="仿宋_GB2312" w:eastAsia="仿宋_GB2312"/>
          <w:spacing w:val="-6"/>
          <w:sz w:val="24"/>
        </w:rPr>
      </w:pPr>
      <w:r>
        <w:rPr>
          <w:rFonts w:hint="eastAsia" w:ascii="仿宋_GB2312" w:hAnsi="宋体" w:eastAsia="仿宋_GB2312" w:cs="宋体"/>
          <w:color w:val="000000"/>
          <w:kern w:val="0"/>
          <w:sz w:val="24"/>
          <w:lang w:bidi="ar"/>
        </w:rPr>
        <w:t>以上均按装修面积计算。</w:t>
      </w:r>
    </w:p>
    <w:p>
      <w:pPr>
        <w:pageBreakBefore w:val="0"/>
        <w:kinsoku/>
        <w:wordWrap/>
        <w:overflowPunct/>
        <w:topLinePunct w:val="0"/>
        <w:autoSpaceDE/>
        <w:autoSpaceDN/>
        <w:bidi w:val="0"/>
        <w:spacing w:line="460" w:lineRule="exact"/>
        <w:outlineLvl w:val="9"/>
        <w:rPr>
          <w:rFonts w:hint="eastAsia" w:ascii="仿宋_GB2312" w:eastAsia="仿宋_GB2312"/>
          <w:spacing w:val="-6"/>
          <w:sz w:val="32"/>
        </w:rPr>
      </w:pPr>
    </w:p>
    <w:p>
      <w:pPr>
        <w:pageBreakBefore w:val="0"/>
        <w:kinsoku/>
        <w:wordWrap/>
        <w:overflowPunct/>
        <w:topLinePunct w:val="0"/>
        <w:autoSpaceDE/>
        <w:autoSpaceDN/>
        <w:bidi w:val="0"/>
        <w:spacing w:line="460" w:lineRule="exact"/>
        <w:outlineLvl w:val="9"/>
        <w:rPr>
          <w:rFonts w:hint="eastAsia" w:ascii="仿宋_GB2312" w:eastAsia="仿宋_GB2312"/>
          <w:spacing w:val="-6"/>
          <w:sz w:val="32"/>
        </w:rPr>
      </w:pPr>
      <w:bookmarkStart w:id="1547" w:name="_Toc32469_WPSOffice_Level1"/>
      <w:r>
        <w:rPr>
          <w:rFonts w:hint="eastAsia" w:ascii="仿宋_GB2312" w:eastAsia="仿宋_GB2312" w:cs="仿宋_GB2312"/>
          <w:kern w:val="0"/>
          <w:sz w:val="32"/>
          <w:szCs w:val="32"/>
          <w:lang w:bidi="ar"/>
        </w:rPr>
        <w:t>二、教学家具配备标准</w:t>
      </w:r>
      <w:bookmarkEnd w:id="1547"/>
    </w:p>
    <w:tbl>
      <w:tblPr>
        <w:tblStyle w:val="14"/>
        <w:tblW w:w="91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
      <w:tblGrid>
        <w:gridCol w:w="1737"/>
        <w:gridCol w:w="645"/>
        <w:gridCol w:w="1125"/>
        <w:gridCol w:w="1155"/>
        <w:gridCol w:w="1110"/>
        <w:gridCol w:w="3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类 别</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计量单位</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价格上限标准（元）</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数量标准</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使用年限下限标准</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b/>
                <w:bCs/>
                <w:color w:val="000000"/>
                <w:kern w:val="0"/>
                <w:sz w:val="21"/>
                <w:szCs w:val="21"/>
                <w:lang w:bidi="ar"/>
              </w:rPr>
              <w:t>（一）教室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1.普通教室、阶梯教室、多媒体教室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righ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（1）学生课桌椅：排桌椅</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位</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350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righ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单人桌椅</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套</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（2）固定黑板</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块</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240元/</w:t>
            </w:r>
            <w:r>
              <w:rPr>
                <w:rFonts w:hint="eastAsia" w:ascii="宋体" w:hAnsi="宋体" w:cs="宋体"/>
                <w:color w:val="000000"/>
                <w:kern w:val="0"/>
                <w:sz w:val="21"/>
                <w:szCs w:val="21"/>
                <w:lang w:bidi="ar"/>
              </w:rPr>
              <w:t>㎡</w:t>
            </w:r>
            <w:r>
              <w:rPr>
                <w:rFonts w:hint="eastAsia" w:ascii="仿宋_GB2312" w:hAnsi="宋体" w:eastAsia="仿宋_GB2312" w:cs="宋体"/>
                <w:color w:val="000000"/>
                <w:kern w:val="0"/>
                <w:sz w:val="21"/>
                <w:szCs w:val="21"/>
                <w:lang w:bidi="ar"/>
              </w:rPr>
              <w:t>420元/</w:t>
            </w:r>
            <w:r>
              <w:rPr>
                <w:rFonts w:hint="eastAsia" w:ascii="宋体" w:hAnsi="宋体" w:cs="宋体"/>
                <w:color w:val="000000"/>
                <w:kern w:val="0"/>
                <w:sz w:val="21"/>
                <w:szCs w:val="21"/>
                <w:lang w:bidi="ar"/>
              </w:rPr>
              <w:t>㎡</w:t>
            </w:r>
            <w:r>
              <w:rPr>
                <w:rFonts w:hint="eastAsia" w:ascii="仿宋_GB2312" w:hAnsi="宋体" w:eastAsia="仿宋_GB2312" w:cs="宋体"/>
                <w:color w:val="000000"/>
                <w:kern w:val="0"/>
                <w:sz w:val="21"/>
                <w:szCs w:val="21"/>
                <w:lang w:bidi="ar"/>
              </w:rPr>
              <w:t>450元/</w:t>
            </w:r>
            <w:r>
              <w:rPr>
                <w:rFonts w:hint="eastAsia" w:ascii="宋体" w:hAnsi="宋体" w:cs="宋体"/>
                <w:color w:val="000000"/>
                <w:kern w:val="0"/>
                <w:sz w:val="21"/>
                <w:szCs w:val="21"/>
                <w:lang w:bidi="ar"/>
              </w:rPr>
              <w:t>㎡</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1.普通黑板（金属材质）价格不超过240元/</w:t>
            </w:r>
            <w:r>
              <w:rPr>
                <w:rFonts w:hint="eastAsia" w:ascii="宋体" w:hAnsi="宋体" w:cs="宋体"/>
                <w:color w:val="000000"/>
                <w:kern w:val="0"/>
                <w:sz w:val="21"/>
                <w:szCs w:val="21"/>
                <w:lang w:bidi="ar"/>
              </w:rPr>
              <w:t>㎡</w:t>
            </w:r>
            <w:r>
              <w:rPr>
                <w:rFonts w:hint="eastAsia" w:ascii="仿宋_GB2312" w:hAnsi="仿宋_GB2312" w:eastAsia="仿宋_GB2312" w:cs="仿宋_GB2312"/>
                <w:color w:val="000000"/>
                <w:kern w:val="0"/>
                <w:sz w:val="21"/>
                <w:szCs w:val="21"/>
                <w:lang w:bidi="ar"/>
              </w:rPr>
              <w:t>；</w:t>
            </w:r>
            <w:r>
              <w:rPr>
                <w:rFonts w:hint="eastAsia" w:ascii="仿宋_GB2312" w:hAnsi="宋体" w:eastAsia="仿宋_GB2312" w:cs="宋体"/>
                <w:color w:val="000000"/>
                <w:kern w:val="0"/>
                <w:sz w:val="21"/>
                <w:szCs w:val="21"/>
                <w:lang w:bidi="ar"/>
              </w:rPr>
              <w:t>2.上下升降式黑板价格不超过420元/</w:t>
            </w:r>
            <w:r>
              <w:rPr>
                <w:rFonts w:hint="eastAsia" w:ascii="宋体" w:hAnsi="宋体" w:cs="宋体"/>
                <w:color w:val="000000"/>
                <w:kern w:val="0"/>
                <w:sz w:val="21"/>
                <w:szCs w:val="21"/>
                <w:lang w:bidi="ar"/>
              </w:rPr>
              <w:t>㎡</w:t>
            </w:r>
            <w:r>
              <w:rPr>
                <w:rFonts w:hint="eastAsia" w:ascii="仿宋_GB2312" w:hAnsi="仿宋_GB2312" w:eastAsia="仿宋_GB2312" w:cs="仿宋_GB2312"/>
                <w:color w:val="000000"/>
                <w:kern w:val="0"/>
                <w:sz w:val="21"/>
                <w:szCs w:val="21"/>
                <w:lang w:bidi="ar"/>
              </w:rPr>
              <w:t>；</w:t>
            </w:r>
            <w:r>
              <w:rPr>
                <w:rFonts w:hint="eastAsia" w:ascii="仿宋_GB2312" w:hAnsi="宋体" w:eastAsia="仿宋_GB2312" w:cs="宋体"/>
                <w:color w:val="000000"/>
                <w:kern w:val="0"/>
                <w:sz w:val="21"/>
                <w:szCs w:val="21"/>
                <w:lang w:bidi="ar"/>
              </w:rPr>
              <w:t>3.组合式双层结构左右推拉式（内层可配套电子白板）黑板价格不超过450元/</w:t>
            </w:r>
            <w:r>
              <w:rPr>
                <w:rFonts w:hint="eastAsia" w:ascii="宋体" w:hAnsi="宋体" w:cs="宋体"/>
                <w:color w:val="000000"/>
                <w:kern w:val="0"/>
                <w:sz w:val="21"/>
                <w:szCs w:val="21"/>
                <w:lang w:bidi="ar"/>
              </w:rPr>
              <w:t>㎡</w:t>
            </w:r>
            <w:r>
              <w:rPr>
                <w:rFonts w:hint="eastAsia" w:ascii="仿宋_GB2312" w:hAnsi="仿宋_GB2312" w:eastAsia="仿宋_GB2312" w:cs="仿宋_GB2312"/>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（3）普通讲台</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1张/每室</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10年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（4）电视柜</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1个/每室</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2.计算机教室（公共教学用）</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（1）课桌椅</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套</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（2）书写板</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块</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240元/</w:t>
            </w:r>
            <w:r>
              <w:rPr>
                <w:rFonts w:hint="eastAsia" w:ascii="宋体" w:hAnsi="宋体" w:cs="宋体"/>
                <w:color w:val="000000"/>
                <w:kern w:val="0"/>
                <w:sz w:val="21"/>
                <w:szCs w:val="21"/>
                <w:lang w:bidi="ar"/>
              </w:rPr>
              <w:t>㎡</w:t>
            </w:r>
            <w:r>
              <w:rPr>
                <w:rFonts w:hint="eastAsia" w:ascii="仿宋_GB2312" w:hAnsi="宋体" w:eastAsia="仿宋_GB2312" w:cs="宋体"/>
                <w:color w:val="000000"/>
                <w:kern w:val="0"/>
                <w:sz w:val="21"/>
                <w:szCs w:val="21"/>
                <w:lang w:bidi="ar"/>
              </w:rPr>
              <w:t>420元/</w:t>
            </w:r>
            <w:r>
              <w:rPr>
                <w:rFonts w:hint="eastAsia" w:ascii="宋体" w:hAnsi="宋体" w:cs="宋体"/>
                <w:color w:val="000000"/>
                <w:kern w:val="0"/>
                <w:sz w:val="21"/>
                <w:szCs w:val="21"/>
                <w:lang w:bidi="ar"/>
              </w:rPr>
              <w:t>㎡</w:t>
            </w:r>
            <w:r>
              <w:rPr>
                <w:rFonts w:hint="eastAsia" w:ascii="仿宋_GB2312" w:hAnsi="宋体" w:eastAsia="仿宋_GB2312" w:cs="宋体"/>
                <w:color w:val="000000"/>
                <w:kern w:val="0"/>
                <w:sz w:val="21"/>
                <w:szCs w:val="21"/>
                <w:lang w:bidi="ar"/>
              </w:rPr>
              <w:t>450元/</w:t>
            </w:r>
            <w:r>
              <w:rPr>
                <w:rFonts w:hint="eastAsia" w:ascii="宋体" w:hAnsi="宋体" w:cs="宋体"/>
                <w:color w:val="000000"/>
                <w:kern w:val="0"/>
                <w:sz w:val="21"/>
                <w:szCs w:val="21"/>
                <w:lang w:bidi="ar"/>
              </w:rPr>
              <w:t>㎡</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1.普通黑板（金属材质）价格不超过240元/</w:t>
            </w:r>
            <w:r>
              <w:rPr>
                <w:rFonts w:hint="eastAsia" w:ascii="宋体" w:hAnsi="宋体" w:cs="宋体"/>
                <w:color w:val="000000"/>
                <w:kern w:val="0"/>
                <w:sz w:val="21"/>
                <w:szCs w:val="21"/>
                <w:lang w:bidi="ar"/>
              </w:rPr>
              <w:t>㎡</w:t>
            </w:r>
            <w:r>
              <w:rPr>
                <w:rFonts w:hint="eastAsia" w:ascii="仿宋_GB2312" w:hAnsi="仿宋_GB2312" w:eastAsia="仿宋_GB2312" w:cs="仿宋_GB2312"/>
                <w:color w:val="000000"/>
                <w:kern w:val="0"/>
                <w:sz w:val="21"/>
                <w:szCs w:val="21"/>
                <w:lang w:bidi="ar"/>
              </w:rPr>
              <w:t>；</w:t>
            </w:r>
            <w:r>
              <w:rPr>
                <w:rFonts w:hint="eastAsia" w:ascii="仿宋_GB2312" w:hAnsi="宋体" w:eastAsia="仿宋_GB2312" w:cs="宋体"/>
                <w:color w:val="000000"/>
                <w:kern w:val="0"/>
                <w:sz w:val="21"/>
                <w:szCs w:val="21"/>
                <w:lang w:bidi="ar"/>
              </w:rPr>
              <w:t>2.上下升降式黑板价格不超过420元/</w:t>
            </w:r>
            <w:r>
              <w:rPr>
                <w:rFonts w:hint="eastAsia" w:ascii="宋体" w:hAnsi="宋体" w:cs="宋体"/>
                <w:color w:val="000000"/>
                <w:kern w:val="0"/>
                <w:sz w:val="21"/>
                <w:szCs w:val="21"/>
                <w:lang w:bidi="ar"/>
              </w:rPr>
              <w:t>㎡</w:t>
            </w:r>
            <w:r>
              <w:rPr>
                <w:rFonts w:hint="eastAsia" w:ascii="仿宋_GB2312" w:hAnsi="仿宋_GB2312" w:eastAsia="仿宋_GB2312" w:cs="仿宋_GB2312"/>
                <w:color w:val="000000"/>
                <w:kern w:val="0"/>
                <w:sz w:val="21"/>
                <w:szCs w:val="21"/>
                <w:lang w:bidi="ar"/>
              </w:rPr>
              <w:t>；</w:t>
            </w:r>
            <w:r>
              <w:rPr>
                <w:rFonts w:hint="eastAsia" w:ascii="仿宋_GB2312" w:hAnsi="宋体" w:eastAsia="仿宋_GB2312" w:cs="宋体"/>
                <w:color w:val="000000"/>
                <w:kern w:val="0"/>
                <w:sz w:val="21"/>
                <w:szCs w:val="21"/>
                <w:lang w:bidi="ar"/>
              </w:rPr>
              <w:t>3.组合式双层结构左右推拉式（内层可配套电子白板）黑板价格不超过450元/</w:t>
            </w:r>
            <w:r>
              <w:rPr>
                <w:rFonts w:hint="eastAsia" w:ascii="宋体" w:hAnsi="宋体" w:cs="宋体"/>
                <w:color w:val="000000"/>
                <w:kern w:val="0"/>
                <w:sz w:val="21"/>
                <w:szCs w:val="21"/>
                <w:lang w:bidi="ar"/>
              </w:rPr>
              <w:t>㎡</w:t>
            </w:r>
            <w:r>
              <w:rPr>
                <w:rFonts w:hint="eastAsia" w:ascii="仿宋_GB2312" w:hAnsi="仿宋_GB2312" w:eastAsia="仿宋_GB2312" w:cs="仿宋_GB2312"/>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b/>
                <w:bCs/>
                <w:color w:val="000000"/>
                <w:kern w:val="0"/>
                <w:sz w:val="21"/>
                <w:szCs w:val="21"/>
                <w:lang w:bidi="ar"/>
              </w:rPr>
            </w:pPr>
            <w:r>
              <w:rPr>
                <w:rFonts w:hint="eastAsia" w:ascii="仿宋_GB2312" w:hAnsi="宋体" w:eastAsia="仿宋_GB2312" w:cs="宋体"/>
                <w:b/>
                <w:bCs/>
                <w:color w:val="000000"/>
                <w:kern w:val="0"/>
                <w:sz w:val="21"/>
                <w:szCs w:val="21"/>
                <w:lang w:bidi="ar"/>
              </w:rPr>
              <w:t>（二）图书馆家具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1.阅览桌椅</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2.书架（钢制）：主架</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1,200元/米</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副架</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900元/米</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b/>
                <w:bCs/>
                <w:color w:val="000000"/>
                <w:kern w:val="0"/>
                <w:sz w:val="21"/>
                <w:szCs w:val="21"/>
                <w:lang w:bidi="ar"/>
              </w:rPr>
              <w:t>（三）学生食堂</w:t>
            </w: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1.餐桌：快餐桌椅</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位</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圆桌（10人）</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2.椅子</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150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b/>
                <w:bCs/>
                <w:color w:val="000000"/>
                <w:kern w:val="0"/>
                <w:sz w:val="21"/>
                <w:szCs w:val="21"/>
                <w:lang w:bidi="ar"/>
              </w:rPr>
              <w:t>（四）学生、教工宿舍（公寓）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1.学生宿舍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（1）组合家具</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套</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1套/每生</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（2）双层钢架床</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1张/每2生</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10年</w:t>
            </w:r>
          </w:p>
        </w:tc>
        <w:tc>
          <w:tcPr>
            <w:tcW w:w="3331"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已配置组合家具的，不再配置床、书桌、方凳、椅、储物柜。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双层铁架床</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1张/每2生</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单层铁架床</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1张/每生</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（3）书桌  单斗</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331"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xml:space="preserve">  双斗</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（4）方凳</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1张/每生</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4年</w:t>
            </w:r>
          </w:p>
        </w:tc>
        <w:tc>
          <w:tcPr>
            <w:tcW w:w="3331"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椅子</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把</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150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1把/每生</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331"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（5）储物柜</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个</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1个/每生</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2.留学生宿舍（公寓）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（1）书桌</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1张/每生</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（2）椅子</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把</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1把/每生</w:t>
            </w:r>
          </w:p>
        </w:tc>
        <w:tc>
          <w:tcPr>
            <w:tcW w:w="111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（3）储物柜</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个</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1,000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1个/每生</w:t>
            </w:r>
          </w:p>
        </w:tc>
        <w:tc>
          <w:tcPr>
            <w:tcW w:w="1110"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（4）床（含床垫）</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套</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1套/每生</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（5）衣柜</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个</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1,200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1个/每生</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3.博士生公寓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（1）书桌</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1张/每生</w:t>
            </w:r>
          </w:p>
        </w:tc>
        <w:tc>
          <w:tcPr>
            <w:tcW w:w="1110"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（2）椅子</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把</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1把/每生</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（3）储物柜</w:t>
            </w:r>
            <w:bookmarkStart w:id="1548" w:name="_Toc27837_WPSOffice_Level1"/>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个</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1,000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1个/每生</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（4）床</w:t>
            </w:r>
          </w:p>
          <w:bookmarkEnd w:id="1548"/>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bookmarkStart w:id="1549" w:name="_Toc7821_WPSOffice_Level1"/>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1,200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1张/每生</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（5）衣柜</w:t>
            </w:r>
          </w:p>
          <w:bookmarkEnd w:id="1549"/>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个</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1,200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1个/每生</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bookmarkStart w:id="1550" w:name="_Toc22786_WPSOffice_Level1"/>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4.专家公寓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（1）书桌</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bookmarkEnd w:id="1550"/>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w:t>
            </w:r>
            <w:bookmarkStart w:id="1551" w:name="_Toc21147_WPSOffice_Level1"/>
            <w:r>
              <w:rPr>
                <w:rFonts w:hint="eastAsia" w:ascii="仿宋_GB2312" w:hAnsi="宋体" w:eastAsia="仿宋_GB2312" w:cs="宋体"/>
                <w:color w:val="000000"/>
                <w:kern w:val="0"/>
                <w:sz w:val="21"/>
                <w:szCs w:val="21"/>
                <w:lang w:bidi="ar"/>
              </w:rPr>
              <w:t>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1张/每人</w:t>
            </w:r>
          </w:p>
        </w:tc>
        <w:tc>
          <w:tcPr>
            <w:tcW w:w="1110"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10年</w:t>
            </w:r>
            <w:bookmarkEnd w:id="1551"/>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bookmarkStart w:id="1552" w:name="_Toc29895_WPSOffice_Level1"/>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（2）椅子</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把</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bookmarkEnd w:id="15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（3）储物柜</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个</w:t>
            </w:r>
            <w:bookmarkStart w:id="1553" w:name="_Toc11805_WPSOffice_Level1"/>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1,2</w:t>
            </w:r>
            <w:bookmarkEnd w:id="1553"/>
            <w:r>
              <w:rPr>
                <w:rFonts w:hint="eastAsia" w:ascii="仿宋_GB2312" w:hAnsi="宋体" w:eastAsia="仿宋_GB2312" w:cs="宋体"/>
                <w:color w:val="000000"/>
                <w:kern w:val="0"/>
                <w:sz w:val="21"/>
                <w:szCs w:val="21"/>
                <w:lang w:bidi="ar"/>
              </w:rPr>
              <w:t>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（4）床（含床垫）</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套</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2,500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1套/每人</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（5）衣柜</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个</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3,000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1个/每人</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（6）沙发</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套</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5,000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1套/每套公寓</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73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（7）书柜</w:t>
            </w:r>
          </w:p>
        </w:tc>
        <w:tc>
          <w:tcPr>
            <w:tcW w:w="64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个</w:t>
            </w:r>
          </w:p>
        </w:tc>
        <w:tc>
          <w:tcPr>
            <w:tcW w:w="112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1,500</w:t>
            </w:r>
          </w:p>
        </w:tc>
        <w:tc>
          <w:tcPr>
            <w:tcW w:w="115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1个/每人</w:t>
            </w:r>
          </w:p>
        </w:tc>
        <w:tc>
          <w:tcPr>
            <w:tcW w:w="111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33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bl>
    <w:p>
      <w:pPr>
        <w:pageBreakBefore w:val="0"/>
        <w:kinsoku/>
        <w:wordWrap/>
        <w:overflowPunct/>
        <w:topLinePunct w:val="0"/>
        <w:autoSpaceDE/>
        <w:autoSpaceDN/>
        <w:bidi w:val="0"/>
        <w:spacing w:line="460" w:lineRule="exact"/>
        <w:outlineLvl w:val="9"/>
      </w:pPr>
      <w:bookmarkStart w:id="1554" w:name="_Toc25078_WPSOffice_Level1"/>
      <w:r>
        <w:rPr>
          <w:rFonts w:hint="eastAsia" w:ascii="仿宋_GB2312" w:eastAsia="仿宋_GB2312" w:cs="仿宋_GB2312"/>
          <w:kern w:val="0"/>
          <w:sz w:val="32"/>
          <w:szCs w:val="32"/>
          <w:lang w:bidi="ar"/>
        </w:rPr>
        <w:t>三、教学电子、电器设备配备标准</w:t>
      </w:r>
      <w:bookmarkEnd w:id="1554"/>
    </w:p>
    <w:tbl>
      <w:tblPr>
        <w:tblStyle w:val="14"/>
        <w:tblW w:w="91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
      <w:tblGrid>
        <w:gridCol w:w="1663"/>
        <w:gridCol w:w="497"/>
        <w:gridCol w:w="1153"/>
        <w:gridCol w:w="1230"/>
        <w:gridCol w:w="1080"/>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bookmarkStart w:id="1555" w:name="_Toc1_WPSOffice_Level1"/>
            <w:r>
              <w:rPr>
                <w:rFonts w:hint="eastAsia" w:ascii="仿宋_GB2312" w:hAnsi="宋体" w:eastAsia="仿宋_GB2312" w:cs="宋体"/>
                <w:color w:val="000000"/>
                <w:kern w:val="0"/>
                <w:sz w:val="21"/>
                <w:szCs w:val="21"/>
                <w:lang w:bidi="ar"/>
              </w:rPr>
              <w:t>类 别</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计量单位</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价格上限标准</w:t>
            </w:r>
            <w:bookmarkEnd w:id="1555"/>
            <w:r>
              <w:rPr>
                <w:rFonts w:hint="eastAsia" w:ascii="仿宋_GB2312" w:hAnsi="宋体" w:eastAsia="仿宋_GB2312" w:cs="宋体"/>
                <w:color w:val="000000"/>
                <w:kern w:val="0"/>
                <w:sz w:val="21"/>
                <w:szCs w:val="21"/>
                <w:lang w:bidi="ar"/>
              </w:rPr>
              <w:t>（元）</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数量标准</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使用年限下限标准</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5623" w:type="dxa"/>
            <w:gridSpan w:val="5"/>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（一）教室、实验室</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1.普通教室</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电视机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w:t>
            </w:r>
            <w:bookmarkStart w:id="1556" w:name="_Toc14418_WPSOffice_Level1"/>
            <w:r>
              <w:rPr>
                <w:rFonts w:hint="eastAsia" w:ascii="仿宋_GB2312" w:hAnsi="宋体" w:eastAsia="仿宋_GB2312" w:cs="宋体"/>
                <w:color w:val="000000"/>
                <w:kern w:val="0"/>
                <w:sz w:val="21"/>
                <w:szCs w:val="21"/>
                <w:lang w:bidi="ar"/>
              </w:rPr>
              <w:t>0座位及以下教</w:t>
            </w:r>
            <w:bookmarkEnd w:id="1556"/>
            <w:r>
              <w:rPr>
                <w:rFonts w:hint="eastAsia" w:ascii="仿宋_GB2312" w:hAnsi="宋体" w:eastAsia="仿宋_GB2312" w:cs="宋体"/>
                <w:color w:val="000000"/>
                <w:kern w:val="0"/>
                <w:sz w:val="21"/>
                <w:szCs w:val="21"/>
                <w:lang w:bidi="ar"/>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1台/每50座</w:t>
            </w:r>
          </w:p>
        </w:tc>
        <w:tc>
          <w:tcPr>
            <w:tcW w:w="108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50座位以上教室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2.多媒体教室</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（1）多媒体讲台</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张</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2,500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1张/每室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10年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（2）中控机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2,500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（3）投影机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kern w:val="0"/>
                <w:sz w:val="21"/>
                <w:szCs w:val="21"/>
                <w:lang w:bidi="ar"/>
              </w:rPr>
            </w:pPr>
            <w:r>
              <w:rPr>
                <w:rFonts w:hint="eastAsia" w:ascii="仿宋_GB2312" w:hAnsi="宋体" w:eastAsia="仿宋_GB2312" w:cs="宋体"/>
                <w:color w:val="000000"/>
                <w:kern w:val="0"/>
                <w:sz w:val="21"/>
                <w:szCs w:val="21"/>
                <w:lang w:bidi="ar"/>
              </w:rPr>
              <w:t>8,000/</w:t>
            </w:r>
          </w:p>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12,000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1.长焦，3000流明以上，价格不超过8,000元；2.短焦，3000流明以上，价格不超过12,000元.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仿宋_GB2312" w:hAnsi="宋体" w:eastAsia="仿宋_GB2312" w:cs="宋体"/>
                <w:color w:val="000000"/>
                <w:sz w:val="21"/>
                <w:szCs w:val="21"/>
              </w:rPr>
            </w:pP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50,000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教室面积超过100</w:t>
            </w:r>
            <w:r>
              <w:rPr>
                <w:rFonts w:hint="eastAsia" w:ascii="宋体" w:hAnsi="宋体" w:cs="宋体"/>
                <w:color w:val="000000"/>
                <w:kern w:val="0"/>
                <w:sz w:val="21"/>
                <w:szCs w:val="21"/>
                <w:lang w:bidi="ar"/>
              </w:rPr>
              <w:t>㎡</w:t>
            </w:r>
            <w:r>
              <w:rPr>
                <w:rFonts w:hint="eastAsia" w:ascii="仿宋_GB2312" w:hAnsi="仿宋_GB2312" w:eastAsia="仿宋_GB2312" w:cs="仿宋_GB2312"/>
                <w:color w:val="000000"/>
                <w:kern w:val="0"/>
                <w:sz w:val="21"/>
                <w:szCs w:val="21"/>
                <w:lang w:bidi="ar"/>
              </w:rPr>
              <w:t>的，</w:t>
            </w:r>
            <w:r>
              <w:rPr>
                <w:rFonts w:hint="eastAsia" w:ascii="仿宋_GB2312" w:hAnsi="宋体" w:eastAsia="仿宋_GB2312" w:cs="宋体"/>
                <w:color w:val="000000"/>
                <w:kern w:val="0"/>
                <w:sz w:val="21"/>
                <w:szCs w:val="21"/>
                <w:lang w:bidi="ar"/>
              </w:rPr>
              <w:t>5000流明以上，价格不超过50,000元。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（4）多媒体专业功放机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（5）多媒体实物展示台</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1个/每室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（6）投影屏幕或电子板</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1,500/8,</w:t>
            </w:r>
            <w:bookmarkStart w:id="1557" w:name="_Toc20053_WPSOffice_Level1"/>
            <w:r>
              <w:rPr>
                <w:rFonts w:hint="eastAsia" w:ascii="仿宋_GB2312" w:hAnsi="宋体" w:eastAsia="仿宋_GB2312" w:cs="宋体"/>
                <w:color w:val="000000"/>
                <w:kern w:val="0"/>
                <w:sz w:val="21"/>
                <w:szCs w:val="21"/>
                <w:lang w:bidi="ar"/>
              </w:rPr>
              <w:t>000</w:t>
            </w:r>
          </w:p>
          <w:bookmarkEnd w:id="1557"/>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投影屏幕（120寸电动幕布）价格不超过1,500元或电子板价格不超过8,000元。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（7）台式计算机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（8）音箱或音柱</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1套/每室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5623" w:type="dxa"/>
            <w:gridSpan w:val="5"/>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b/>
                <w:color w:val="000000"/>
                <w:sz w:val="21"/>
                <w:szCs w:val="21"/>
              </w:rPr>
            </w:pPr>
            <w:r>
              <w:rPr>
                <w:rFonts w:hint="eastAsia" w:ascii="仿宋_GB2312" w:hAnsi="宋体" w:eastAsia="仿宋_GB2312" w:cs="宋体"/>
                <w:bCs/>
                <w:color w:val="000000"/>
                <w:kern w:val="0"/>
                <w:sz w:val="21"/>
                <w:szCs w:val="21"/>
                <w:lang w:bidi="ar"/>
              </w:rPr>
              <w:t>3.计算机教室配置（公共教学用）</w:t>
            </w:r>
          </w:p>
        </w:tc>
        <w:tc>
          <w:tcPr>
            <w:tcW w:w="3480" w:type="dxa"/>
            <w:noWrap/>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（1）台式计算机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（2）服务器</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15,000/20,000/30,000/50,000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1.可多室共用一台，带50台计算机的服务器价格不超过15,000元；2.带100台计算机的不超过20,000元；3.带200台计算机的不超过30,000元；4.提供云计算应用的服务器不超过50,000元.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（3）交换机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2,500/6,000/19,000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1.24口价格不超过2,500元；2.48口价格不超过6,000元；3.可网管交换机不超过19,000元。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4.实验室</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（1）普通语言实验室（60座位）</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间</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300,000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座位数有变化的，按此标准座位数平均调整.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（2）交互式语言实验室（60座位）</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间</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500,000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left"/>
              <w:outlineLvl w:val="9"/>
              <w:rPr>
                <w:rFonts w:hint="eastAsia" w:ascii="仿宋_GB2312" w:hAnsi="宋体" w:eastAsia="仿宋_GB2312"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b/>
                <w:color w:val="000000"/>
                <w:kern w:val="0"/>
                <w:sz w:val="21"/>
                <w:szCs w:val="21"/>
                <w:lang w:bidi="ar"/>
              </w:rPr>
              <w:t>（二）学生宿舍（公寓）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1.学生宿舍（公寓）</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热水器</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1,000元/生</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考虑环保节能因素，建议使用太阳能或空气能电热水器。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2.留学生宿舍（公寓）</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（1）洗衣机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（2）电视机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2,500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（3）热水器</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1,000元/生</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考虑环保节能因素，建议使用太阳能或空气能电热水器。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9103" w:type="dxa"/>
            <w:gridSpan w:val="6"/>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b/>
                <w:color w:val="000000"/>
                <w:kern w:val="0"/>
                <w:sz w:val="21"/>
                <w:szCs w:val="21"/>
                <w:lang w:bidi="ar"/>
              </w:rPr>
              <w:t>（三）专家宿舍（公寓）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（1）洗衣机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（2）电视机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8年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（3）电热水器或太阳能热水器</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2,000元/台（30升）或3,500元/台</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1台/每室</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1.电热水器价格不超过2,000元；2.太阳能价格不超过3,500元/台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（4）台式计算机</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6,000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1台/每人</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（四）各类教室、宿舍（公寓）、餐厅风扇、空调配置</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1.风扇</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（1）吊扇、吸顶扇、壁扇</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220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（2）落地扇</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台</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300</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按需配置</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5年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67" w:hRule="atLeast"/>
          <w:jc w:val="center"/>
        </w:trPr>
        <w:tc>
          <w:tcPr>
            <w:tcW w:w="166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2.空调</w:t>
            </w:r>
          </w:p>
        </w:tc>
        <w:tc>
          <w:tcPr>
            <w:tcW w:w="497"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153"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200元/</w:t>
            </w:r>
            <w:r>
              <w:rPr>
                <w:rFonts w:hint="eastAsia" w:ascii="宋体" w:hAnsi="宋体" w:cs="宋体"/>
                <w:color w:val="000000"/>
                <w:kern w:val="0"/>
                <w:sz w:val="21"/>
                <w:szCs w:val="21"/>
                <w:lang w:bidi="ar"/>
              </w:rPr>
              <w:t>㎡</w:t>
            </w:r>
          </w:p>
        </w:tc>
        <w:tc>
          <w:tcPr>
            <w:tcW w:w="123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　</w:t>
            </w:r>
          </w:p>
        </w:tc>
        <w:tc>
          <w:tcPr>
            <w:tcW w:w="10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6年</w:t>
            </w:r>
          </w:p>
        </w:tc>
        <w:tc>
          <w:tcPr>
            <w:tcW w:w="348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仿宋_GB2312" w:hAnsi="宋体" w:eastAsia="仿宋_GB2312" w:cs="宋体"/>
                <w:color w:val="000000"/>
                <w:sz w:val="21"/>
                <w:szCs w:val="21"/>
              </w:rPr>
            </w:pPr>
            <w:r>
              <w:rPr>
                <w:rFonts w:hint="eastAsia" w:ascii="仿宋_GB2312" w:hAnsi="宋体" w:eastAsia="仿宋_GB2312" w:cs="宋体"/>
                <w:color w:val="000000"/>
                <w:kern w:val="0"/>
                <w:sz w:val="21"/>
                <w:szCs w:val="21"/>
                <w:lang w:bidi="ar"/>
              </w:rPr>
              <w:t>1.已配置中央空调的，不再配置单机空调；2对空调有特殊要求的用房如计算机教室、实验室等，可另行报批.</w:t>
            </w:r>
          </w:p>
        </w:tc>
      </w:tr>
    </w:tbl>
    <w:p>
      <w:pPr>
        <w:pageBreakBefore w:val="0"/>
        <w:kinsoku/>
        <w:wordWrap/>
        <w:overflowPunct/>
        <w:topLinePunct w:val="0"/>
        <w:autoSpaceDE/>
        <w:autoSpaceDN/>
        <w:bidi w:val="0"/>
        <w:spacing w:line="460" w:lineRule="exact"/>
        <w:outlineLvl w:val="9"/>
        <w:rPr>
          <w:rFonts w:hint="eastAsia" w:ascii="仿宋_GB2312" w:eastAsia="仿宋_GB2312" w:cs="仿宋_GB2312"/>
          <w:kern w:val="0"/>
          <w:sz w:val="32"/>
          <w:szCs w:val="32"/>
          <w:lang w:bidi="ar"/>
        </w:rPr>
      </w:pPr>
      <w:bookmarkStart w:id="1558" w:name="_Toc27687_WPSOffice_Level1"/>
      <w:r>
        <w:rPr>
          <w:rFonts w:hint="eastAsia" w:ascii="仿宋_GB2312" w:eastAsia="仿宋_GB2312" w:cs="仿宋_GB2312"/>
          <w:kern w:val="0"/>
          <w:sz w:val="32"/>
          <w:szCs w:val="32"/>
          <w:lang w:bidi="ar"/>
        </w:rPr>
        <w:t>四、行政办公设施、设备配备标准</w:t>
      </w:r>
      <w:bookmarkEnd w:id="1558"/>
    </w:p>
    <w:p>
      <w:pPr>
        <w:pageBreakBefore w:val="0"/>
        <w:kinsoku/>
        <w:wordWrap/>
        <w:overflowPunct/>
        <w:topLinePunct w:val="0"/>
        <w:autoSpaceDE/>
        <w:autoSpaceDN/>
        <w:bidi w:val="0"/>
        <w:spacing w:line="460" w:lineRule="exac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（一）办公家具配置标准</w:t>
      </w:r>
    </w:p>
    <w:tbl>
      <w:tblPr>
        <w:tblStyle w:val="14"/>
        <w:tblW w:w="90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
      <w:tblGrid>
        <w:gridCol w:w="2151"/>
        <w:gridCol w:w="1395"/>
        <w:gridCol w:w="2820"/>
        <w:gridCol w:w="87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bookmarkStart w:id="1559" w:name="RANGE!A1:E18"/>
            <w:r>
              <w:rPr>
                <w:rFonts w:hint="eastAsia" w:ascii="宋体" w:hAnsi="宋体" w:cs="宋体"/>
                <w:color w:val="000000"/>
                <w:kern w:val="0"/>
                <w:sz w:val="22"/>
                <w:szCs w:val="22"/>
                <w:lang w:bidi="ar"/>
              </w:rPr>
              <w:t>类    别</w:t>
            </w:r>
            <w:bookmarkEnd w:id="1559"/>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价格上限标准（元）</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实物量标准</w:t>
            </w:r>
          </w:p>
        </w:tc>
        <w:tc>
          <w:tcPr>
            <w:tcW w:w="87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使用年限标准</w:t>
            </w: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6366" w:type="dxa"/>
            <w:gridSpan w:val="3"/>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（一）办公家具配备标准</w:t>
            </w:r>
          </w:p>
        </w:tc>
        <w:tc>
          <w:tcPr>
            <w:tcW w:w="870"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长</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期</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使</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用</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（使用年限达10年以上）</w:t>
            </w: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1．办公桌椅（配套）</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厅级   </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5,000</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1套/人</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处级</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3,000</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1套/人</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科级以下</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2,500</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1套/人</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2．沙发（含茶几）</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厅级办公室</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5,000</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1套/人</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vMerge w:val="restart"/>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包括一张三人沙发，两张单人沙发，一个大茶几，一个小茶几。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处级办公室</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2,500</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1套/人</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3．桌前椅</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500元/张</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不分级别，按需配置，总数不能超过单位编制内实有人数的50%</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4．折叠椅</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100元/张</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不分级别，按需配置，总数不能超过单位编制内实有人数的100%</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5．书柜</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1,500元/组</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2组/办公室</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6．文件柜</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1,000元/个</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不分级别按需要配置</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7．保密（险）柜</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3,000元/个</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不分级别按需要配置</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8．茶水柜</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1,000元/个</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1个/办公室</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（二）会议室家具</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1．会议桌</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1,000元/延米（超过80㎡的会议室800元/延米）</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根据会议室大小配备</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延米是指按照桌面周长计算的长度，按每延米设定单价（已含桌面以下配套部分价格）。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2．会议椅</w:t>
            </w: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500元/张</w:t>
            </w: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按需要配备</w:t>
            </w:r>
          </w:p>
        </w:tc>
        <w:tc>
          <w:tcPr>
            <w:tcW w:w="870" w:type="dxa"/>
            <w:vMerge w:val="continue"/>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Ex>
        <w:trPr>
          <w:trHeight w:val="510" w:hRule="atLeast"/>
          <w:jc w:val="center"/>
        </w:trPr>
        <w:tc>
          <w:tcPr>
            <w:tcW w:w="2151"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kern w:val="0"/>
                <w:sz w:val="22"/>
                <w:szCs w:val="22"/>
                <w:lang w:bidi="ar"/>
              </w:rPr>
            </w:pPr>
          </w:p>
        </w:tc>
        <w:tc>
          <w:tcPr>
            <w:tcW w:w="1395"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p>
        </w:tc>
        <w:tc>
          <w:tcPr>
            <w:tcW w:w="282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kern w:val="0"/>
                <w:sz w:val="22"/>
                <w:szCs w:val="22"/>
                <w:lang w:bidi="ar"/>
              </w:rPr>
            </w:pPr>
          </w:p>
        </w:tc>
        <w:tc>
          <w:tcPr>
            <w:tcW w:w="870" w:type="dxa"/>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c>
          <w:tcPr>
            <w:tcW w:w="1800" w:type="dxa"/>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kern w:val="0"/>
                <w:sz w:val="22"/>
                <w:szCs w:val="22"/>
                <w:lang w:bidi="ar"/>
              </w:rPr>
            </w:pPr>
          </w:p>
        </w:tc>
      </w:tr>
    </w:tbl>
    <w:p>
      <w:pPr>
        <w:pageBreakBefore w:val="0"/>
        <w:kinsoku/>
        <w:wordWrap/>
        <w:overflowPunct/>
        <w:topLinePunct w:val="0"/>
        <w:autoSpaceDE/>
        <w:autoSpaceDN/>
        <w:bidi w:val="0"/>
        <w:spacing w:line="460" w:lineRule="exac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（二）空调设备配置标准</w:t>
      </w:r>
    </w:p>
    <w:tbl>
      <w:tblPr>
        <w:tblStyle w:val="14"/>
        <w:tblpPr w:leftFromText="180" w:rightFromText="180" w:vertAnchor="text" w:horzAnchor="page" w:tblpXSpec="center" w:tblpY="182"/>
        <w:tblOverlap w:val="never"/>
        <w:tblW w:w="9104" w:type="dxa"/>
        <w:tblInd w:w="0" w:type="dxa"/>
        <w:tblLayout w:type="fixed"/>
        <w:tblCellMar>
          <w:top w:w="0" w:type="dxa"/>
          <w:left w:w="0" w:type="dxa"/>
          <w:bottom w:w="0" w:type="dxa"/>
          <w:right w:w="0" w:type="dxa"/>
        </w:tblCellMar>
      </w:tblPr>
      <w:tblGrid>
        <w:gridCol w:w="3559"/>
        <w:gridCol w:w="1840"/>
        <w:gridCol w:w="2250"/>
        <w:gridCol w:w="1455"/>
      </w:tblGrid>
      <w:tr>
        <w:tblPrEx>
          <w:tblLayout w:type="fixed"/>
          <w:tblCellMar>
            <w:top w:w="0" w:type="dxa"/>
            <w:left w:w="0" w:type="dxa"/>
            <w:bottom w:w="0" w:type="dxa"/>
            <w:right w:w="0" w:type="dxa"/>
          </w:tblCellMar>
        </w:tblPrEx>
        <w:trPr>
          <w:trHeight w:val="567" w:hRule="atLeast"/>
        </w:trPr>
        <w:tc>
          <w:tcPr>
            <w:tcW w:w="355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类别</w:t>
            </w:r>
          </w:p>
        </w:tc>
        <w:tc>
          <w:tcPr>
            <w:tcW w:w="1840"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价格上限标准（元）</w:t>
            </w:r>
          </w:p>
        </w:tc>
        <w:tc>
          <w:tcPr>
            <w:tcW w:w="2250"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实物量标准</w:t>
            </w:r>
          </w:p>
        </w:tc>
        <w:tc>
          <w:tcPr>
            <w:tcW w:w="145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使用年限标准</w:t>
            </w:r>
          </w:p>
        </w:tc>
      </w:tr>
      <w:tr>
        <w:tblPrEx>
          <w:tblLayout w:type="fixed"/>
          <w:tblCellMar>
            <w:top w:w="0" w:type="dxa"/>
            <w:left w:w="0" w:type="dxa"/>
            <w:bottom w:w="0" w:type="dxa"/>
            <w:right w:w="0" w:type="dxa"/>
          </w:tblCellMar>
        </w:tblPrEx>
        <w:trPr>
          <w:trHeight w:val="567" w:hRule="atLeast"/>
        </w:trPr>
        <w:tc>
          <w:tcPr>
            <w:tcW w:w="3559"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（一）安装中央空调</w:t>
            </w:r>
          </w:p>
        </w:tc>
        <w:tc>
          <w:tcPr>
            <w:tcW w:w="184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12,000 元/冷吨</w:t>
            </w:r>
          </w:p>
        </w:tc>
        <w:tc>
          <w:tcPr>
            <w:tcW w:w="225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按照需要配置</w:t>
            </w:r>
          </w:p>
        </w:tc>
        <w:tc>
          <w:tcPr>
            <w:tcW w:w="145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15年</w:t>
            </w:r>
          </w:p>
        </w:tc>
      </w:tr>
      <w:tr>
        <w:tblPrEx>
          <w:tblLayout w:type="fixed"/>
          <w:tblCellMar>
            <w:top w:w="0" w:type="dxa"/>
            <w:left w:w="0" w:type="dxa"/>
            <w:bottom w:w="0" w:type="dxa"/>
            <w:right w:w="0" w:type="dxa"/>
          </w:tblCellMar>
        </w:tblPrEx>
        <w:trPr>
          <w:trHeight w:val="567" w:hRule="atLeast"/>
        </w:trPr>
        <w:tc>
          <w:tcPr>
            <w:tcW w:w="3559"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（二）安装分体空调</w:t>
            </w:r>
          </w:p>
        </w:tc>
        <w:tc>
          <w:tcPr>
            <w:tcW w:w="184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w:t>
            </w:r>
          </w:p>
        </w:tc>
        <w:tc>
          <w:tcPr>
            <w:tcW w:w="225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45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0" w:type="dxa"/>
            <w:left w:w="0" w:type="dxa"/>
            <w:bottom w:w="0" w:type="dxa"/>
            <w:right w:w="0" w:type="dxa"/>
          </w:tblCellMar>
        </w:tblPrEx>
        <w:trPr>
          <w:trHeight w:val="567" w:hRule="atLeast"/>
        </w:trPr>
        <w:tc>
          <w:tcPr>
            <w:tcW w:w="3559"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pacing w:val="-4"/>
                <w:sz w:val="22"/>
                <w:szCs w:val="22"/>
              </w:rPr>
            </w:pPr>
            <w:r>
              <w:rPr>
                <w:rFonts w:hint="eastAsia" w:ascii="宋体" w:hAnsi="宋体" w:cs="宋体"/>
                <w:color w:val="000000"/>
                <w:spacing w:val="-4"/>
                <w:kern w:val="0"/>
                <w:sz w:val="22"/>
                <w:szCs w:val="22"/>
                <w:lang w:bidi="ar"/>
              </w:rPr>
              <w:t>1．办公室面积15㎡以内（不含15㎡）</w:t>
            </w:r>
          </w:p>
        </w:tc>
        <w:tc>
          <w:tcPr>
            <w:tcW w:w="184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3,000</w:t>
            </w:r>
          </w:p>
        </w:tc>
        <w:tc>
          <w:tcPr>
            <w:tcW w:w="225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1匹1台/间</w:t>
            </w:r>
          </w:p>
        </w:tc>
        <w:tc>
          <w:tcPr>
            <w:tcW w:w="1455" w:type="dxa"/>
            <w:vMerge w:val="restar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10年</w:t>
            </w:r>
          </w:p>
        </w:tc>
      </w:tr>
      <w:tr>
        <w:tblPrEx>
          <w:tblLayout w:type="fixed"/>
          <w:tblCellMar>
            <w:top w:w="0" w:type="dxa"/>
            <w:left w:w="0" w:type="dxa"/>
            <w:bottom w:w="0" w:type="dxa"/>
            <w:right w:w="0" w:type="dxa"/>
          </w:tblCellMar>
        </w:tblPrEx>
        <w:trPr>
          <w:trHeight w:val="567" w:hRule="atLeast"/>
        </w:trPr>
        <w:tc>
          <w:tcPr>
            <w:tcW w:w="3559"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2．办公室面积15—25㎡(不含25㎡)</w:t>
            </w:r>
          </w:p>
        </w:tc>
        <w:tc>
          <w:tcPr>
            <w:tcW w:w="184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3,500</w:t>
            </w:r>
          </w:p>
        </w:tc>
        <w:tc>
          <w:tcPr>
            <w:tcW w:w="225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1.5匹1台/间</w:t>
            </w:r>
          </w:p>
        </w:tc>
        <w:tc>
          <w:tcPr>
            <w:tcW w:w="1455" w:type="dxa"/>
            <w:vMerge w:val="continue"/>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r>
      <w:tr>
        <w:tblPrEx>
          <w:tblLayout w:type="fixed"/>
          <w:tblCellMar>
            <w:top w:w="0" w:type="dxa"/>
            <w:left w:w="0" w:type="dxa"/>
            <w:bottom w:w="0" w:type="dxa"/>
            <w:right w:w="0" w:type="dxa"/>
          </w:tblCellMar>
        </w:tblPrEx>
        <w:trPr>
          <w:trHeight w:val="567" w:hRule="atLeast"/>
        </w:trPr>
        <w:tc>
          <w:tcPr>
            <w:tcW w:w="3559"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3．办公室面积25—30㎡(不含30㎡)</w:t>
            </w:r>
          </w:p>
        </w:tc>
        <w:tc>
          <w:tcPr>
            <w:tcW w:w="184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5,500</w:t>
            </w:r>
          </w:p>
        </w:tc>
        <w:tc>
          <w:tcPr>
            <w:tcW w:w="225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2匹1台/间</w:t>
            </w:r>
          </w:p>
        </w:tc>
        <w:tc>
          <w:tcPr>
            <w:tcW w:w="1455" w:type="dxa"/>
            <w:vMerge w:val="continue"/>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r>
      <w:tr>
        <w:tblPrEx>
          <w:tblLayout w:type="fixed"/>
          <w:tblCellMar>
            <w:top w:w="0" w:type="dxa"/>
            <w:left w:w="0" w:type="dxa"/>
            <w:bottom w:w="0" w:type="dxa"/>
            <w:right w:w="0" w:type="dxa"/>
          </w:tblCellMar>
        </w:tblPrEx>
        <w:trPr>
          <w:trHeight w:val="567" w:hRule="atLeast"/>
        </w:trPr>
        <w:tc>
          <w:tcPr>
            <w:tcW w:w="3559"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4．办公室面积30—40㎡(不含40㎡)</w:t>
            </w:r>
          </w:p>
        </w:tc>
        <w:tc>
          <w:tcPr>
            <w:tcW w:w="184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7,500</w:t>
            </w:r>
          </w:p>
        </w:tc>
        <w:tc>
          <w:tcPr>
            <w:tcW w:w="225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3匹1台/间</w:t>
            </w:r>
          </w:p>
        </w:tc>
        <w:tc>
          <w:tcPr>
            <w:tcW w:w="1455" w:type="dxa"/>
            <w:vMerge w:val="continue"/>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r>
      <w:tr>
        <w:tblPrEx>
          <w:tblLayout w:type="fixed"/>
          <w:tblCellMar>
            <w:top w:w="0" w:type="dxa"/>
            <w:left w:w="0" w:type="dxa"/>
            <w:bottom w:w="0" w:type="dxa"/>
            <w:right w:w="0" w:type="dxa"/>
          </w:tblCellMar>
        </w:tblPrEx>
        <w:trPr>
          <w:trHeight w:val="567" w:hRule="atLeast"/>
        </w:trPr>
        <w:tc>
          <w:tcPr>
            <w:tcW w:w="3559"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5．办公会议室面积40—60㎡(不含60㎡)</w:t>
            </w:r>
          </w:p>
        </w:tc>
        <w:tc>
          <w:tcPr>
            <w:tcW w:w="184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13,000</w:t>
            </w:r>
          </w:p>
        </w:tc>
        <w:tc>
          <w:tcPr>
            <w:tcW w:w="225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4匹1台/间</w:t>
            </w:r>
          </w:p>
        </w:tc>
        <w:tc>
          <w:tcPr>
            <w:tcW w:w="1455" w:type="dxa"/>
            <w:vMerge w:val="continue"/>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r>
      <w:tr>
        <w:tblPrEx>
          <w:tblLayout w:type="fixed"/>
          <w:tblCellMar>
            <w:top w:w="0" w:type="dxa"/>
            <w:left w:w="0" w:type="dxa"/>
            <w:bottom w:w="0" w:type="dxa"/>
            <w:right w:w="0" w:type="dxa"/>
          </w:tblCellMar>
        </w:tblPrEx>
        <w:trPr>
          <w:trHeight w:val="567" w:hRule="atLeast"/>
        </w:trPr>
        <w:tc>
          <w:tcPr>
            <w:tcW w:w="3559"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pacing w:val="-8"/>
                <w:kern w:val="0"/>
                <w:sz w:val="22"/>
                <w:szCs w:val="22"/>
                <w:lang w:bidi="ar"/>
              </w:rPr>
            </w:pPr>
            <w:r>
              <w:rPr>
                <w:rFonts w:hint="eastAsia" w:ascii="宋体" w:hAnsi="宋体" w:cs="宋体"/>
                <w:color w:val="000000"/>
                <w:spacing w:val="-8"/>
                <w:kern w:val="0"/>
                <w:sz w:val="22"/>
                <w:szCs w:val="22"/>
                <w:lang w:bidi="ar"/>
              </w:rPr>
              <w:t>6．办公会议室面积60-80㎡(不</w:t>
            </w:r>
            <w:bookmarkStart w:id="1560" w:name="_Toc13461_WPSOffice_Level1"/>
            <w:r>
              <w:rPr>
                <w:rFonts w:hint="eastAsia" w:ascii="宋体" w:hAnsi="宋体" w:cs="宋体"/>
                <w:color w:val="000000"/>
                <w:spacing w:val="-8"/>
                <w:kern w:val="0"/>
                <w:sz w:val="22"/>
                <w:szCs w:val="22"/>
                <w:lang w:bidi="ar"/>
              </w:rPr>
              <w:t>含80㎡</w:t>
            </w:r>
            <w:bookmarkEnd w:id="1560"/>
            <w:r>
              <w:rPr>
                <w:rFonts w:hint="eastAsia" w:ascii="宋体" w:hAnsi="宋体" w:cs="宋体"/>
                <w:color w:val="000000"/>
                <w:spacing w:val="-8"/>
                <w:kern w:val="0"/>
                <w:sz w:val="22"/>
                <w:szCs w:val="22"/>
                <w:lang w:bidi="ar"/>
              </w:rPr>
              <w:t>)</w:t>
            </w:r>
          </w:p>
        </w:tc>
        <w:tc>
          <w:tcPr>
            <w:tcW w:w="184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15,000</w:t>
            </w:r>
          </w:p>
        </w:tc>
        <w:tc>
          <w:tcPr>
            <w:tcW w:w="225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5匹1台/间</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或2匹2台/间</w:t>
            </w:r>
          </w:p>
        </w:tc>
        <w:tc>
          <w:tcPr>
            <w:tcW w:w="1455" w:type="dxa"/>
            <w:vMerge w:val="continue"/>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kinsoku/>
              <w:wordWrap/>
              <w:overflowPunct/>
              <w:topLinePunct w:val="0"/>
              <w:autoSpaceDE/>
              <w:autoSpaceDN/>
              <w:bidi w:val="0"/>
              <w:spacing w:line="300" w:lineRule="exact"/>
              <w:jc w:val="center"/>
              <w:outlineLvl w:val="9"/>
              <w:rPr>
                <w:rFonts w:hint="eastAsia" w:ascii="宋体" w:hAnsi="宋体" w:cs="宋体"/>
                <w:color w:val="000000"/>
                <w:sz w:val="22"/>
                <w:szCs w:val="22"/>
              </w:rPr>
            </w:pPr>
          </w:p>
        </w:tc>
      </w:tr>
      <w:tr>
        <w:tblPrEx>
          <w:tblLayout w:type="fixed"/>
          <w:tblCellMar>
            <w:top w:w="0" w:type="dxa"/>
            <w:left w:w="0" w:type="dxa"/>
            <w:bottom w:w="0" w:type="dxa"/>
            <w:right w:w="0" w:type="dxa"/>
          </w:tblCellMar>
        </w:tblPrEx>
        <w:trPr>
          <w:trHeight w:val="567" w:hRule="atLeast"/>
        </w:trPr>
        <w:tc>
          <w:tcPr>
            <w:tcW w:w="3559"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7．办公会议室面积在80㎡以上</w:t>
            </w:r>
          </w:p>
        </w:tc>
        <w:tc>
          <w:tcPr>
            <w:tcW w:w="184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按实际采购价格确定</w:t>
            </w:r>
          </w:p>
        </w:tc>
        <w:tc>
          <w:tcPr>
            <w:tcW w:w="2250"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根据实际需要严格按照上述标准综合配置</w:t>
            </w:r>
          </w:p>
        </w:tc>
        <w:tc>
          <w:tcPr>
            <w:tcW w:w="145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10年</w:t>
            </w:r>
          </w:p>
        </w:tc>
      </w:tr>
    </w:tbl>
    <w:p>
      <w:pPr>
        <w:pageBreakBefore w:val="0"/>
        <w:kinsoku/>
        <w:wordWrap/>
        <w:overflowPunct/>
        <w:topLinePunct w:val="0"/>
        <w:autoSpaceDE/>
        <w:autoSpaceDN/>
        <w:bidi w:val="0"/>
        <w:spacing w:line="460" w:lineRule="exact"/>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说明：办公室不能同时安装中央空调和分体空调。</w:t>
      </w:r>
    </w:p>
    <w:p>
      <w:pPr>
        <w:pageBreakBefore w:val="0"/>
        <w:widowControl/>
        <w:kinsoku/>
        <w:wordWrap/>
        <w:overflowPunct/>
        <w:topLinePunct w:val="0"/>
        <w:autoSpaceDE/>
        <w:autoSpaceDN/>
        <w:bidi w:val="0"/>
        <w:textAlignment w:val="center"/>
        <w:outlineLvl w:val="9"/>
        <w:rPr>
          <w:rFonts w:hint="eastAsia" w:ascii="宋体" w:hAnsi="宋体" w:cs="宋体"/>
          <w:color w:val="000000"/>
          <w:kern w:val="0"/>
          <w:sz w:val="36"/>
          <w:szCs w:val="36"/>
          <w:lang w:bidi="ar"/>
        </w:rPr>
      </w:pPr>
      <w:r>
        <w:rPr>
          <w:rFonts w:hint="eastAsia" w:ascii="宋体" w:hAnsi="宋体" w:cs="宋体"/>
          <w:color w:val="000000"/>
          <w:kern w:val="0"/>
          <w:sz w:val="36"/>
          <w:szCs w:val="36"/>
          <w:lang w:bidi="ar"/>
        </w:rPr>
        <w:t>（三）办公自动化设备配置标准</w:t>
      </w:r>
    </w:p>
    <w:tbl>
      <w:tblPr>
        <w:tblStyle w:val="14"/>
        <w:tblW w:w="9189" w:type="dxa"/>
        <w:jc w:val="center"/>
        <w:tblInd w:w="0" w:type="dxa"/>
        <w:tblLayout w:type="fixed"/>
        <w:tblCellMar>
          <w:top w:w="28" w:type="dxa"/>
          <w:left w:w="0" w:type="dxa"/>
          <w:bottom w:w="28" w:type="dxa"/>
          <w:right w:w="0" w:type="dxa"/>
        </w:tblCellMar>
      </w:tblPr>
      <w:tblGrid>
        <w:gridCol w:w="2380"/>
        <w:gridCol w:w="956"/>
        <w:gridCol w:w="3123"/>
        <w:gridCol w:w="765"/>
        <w:gridCol w:w="1965"/>
      </w:tblGrid>
      <w:tr>
        <w:tblPrEx>
          <w:tblLayout w:type="fixed"/>
          <w:tblCellMar>
            <w:top w:w="28" w:type="dxa"/>
            <w:left w:w="0" w:type="dxa"/>
            <w:bottom w:w="28" w:type="dxa"/>
            <w:right w:w="0" w:type="dxa"/>
          </w:tblCellMar>
        </w:tblPrEx>
        <w:trPr>
          <w:trHeight w:val="567" w:hRule="atLeast"/>
          <w:jc w:val="center"/>
        </w:trPr>
        <w:tc>
          <w:tcPr>
            <w:tcW w:w="23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类  别</w:t>
            </w:r>
          </w:p>
        </w:tc>
        <w:tc>
          <w:tcPr>
            <w:tcW w:w="95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价格标准（元）</w:t>
            </w:r>
          </w:p>
        </w:tc>
        <w:tc>
          <w:tcPr>
            <w:tcW w:w="312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实物量标准</w:t>
            </w:r>
          </w:p>
        </w:tc>
        <w:tc>
          <w:tcPr>
            <w:tcW w:w="7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使用年限标准</w:t>
            </w:r>
          </w:p>
        </w:tc>
        <w:tc>
          <w:tcPr>
            <w:tcW w:w="19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备注</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（一）台式电脑</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1．办公人员使用电脑</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6,000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按单位编制内实有人数配置，每人1台。</w:t>
            </w:r>
          </w:p>
        </w:tc>
        <w:tc>
          <w:tcPr>
            <w:tcW w:w="765" w:type="dxa"/>
            <w:vMerge w:val="restart"/>
            <w:tcBorders>
              <w:top w:val="nil"/>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6年</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vMerge w:val="restart"/>
            <w:tcBorders>
              <w:top w:val="nil"/>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价格包含正版软件</w:t>
            </w:r>
          </w:p>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xml:space="preserve"> 2．单位公用办公电脑</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6,000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按单位编制内实有人数的30%比例增加配置。</w:t>
            </w:r>
          </w:p>
        </w:tc>
        <w:tc>
          <w:tcPr>
            <w:tcW w:w="765" w:type="dxa"/>
            <w:vMerge w:val="continue"/>
            <w:tcBorders>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vMerge w:val="continue"/>
            <w:tcBorders>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3．单位涉密事项专用台式电脑</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9,000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根据保密工作需要，每个涉密机构可配置1台涉密电脑，与便携式涉密电脑不重复配置。按照《广西壮族自治区财政厅 广西壮族自治区国家保密局关于贯彻落实涉密专用信息设备采购管理规定的通知》（桂财采〔2017〕43号）规定进行采购。</w:t>
            </w:r>
          </w:p>
        </w:tc>
        <w:tc>
          <w:tcPr>
            <w:tcW w:w="765" w:type="dxa"/>
            <w:vMerge w:val="continue"/>
            <w:tcBorders>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vMerge w:val="continue"/>
            <w:tcBorders>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（二）笔记本电脑</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1．副处级以上（含副处）干部</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8,000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1台/人</w:t>
            </w:r>
          </w:p>
        </w:tc>
        <w:tc>
          <w:tcPr>
            <w:tcW w:w="765" w:type="dxa"/>
            <w:vMerge w:val="restart"/>
            <w:tcBorders>
              <w:top w:val="nil"/>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6年</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价格包含正版软</w:t>
            </w:r>
            <w:bookmarkStart w:id="1561" w:name="_Toc6507_WPSOffice_Level1"/>
            <w:r>
              <w:rPr>
                <w:rFonts w:hint="eastAsia" w:ascii="宋体" w:hAnsi="宋体" w:cs="宋体"/>
                <w:color w:val="000000"/>
                <w:kern w:val="0"/>
                <w:sz w:val="22"/>
                <w:szCs w:val="22"/>
                <w:lang w:bidi="ar"/>
              </w:rPr>
              <w:t>件。</w:t>
            </w:r>
          </w:p>
        </w:tc>
      </w:tr>
      <w:bookmarkEnd w:id="1561"/>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2．单位内设机构5人以下的</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7,000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每个内设机构配置1台。</w:t>
            </w:r>
          </w:p>
        </w:tc>
        <w:tc>
          <w:tcPr>
            <w:tcW w:w="765" w:type="dxa"/>
            <w:vMerge w:val="continue"/>
            <w:tcBorders>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3．单位内设机构编制6—10人的</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7,000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每个内设机构配置2台。</w:t>
            </w:r>
          </w:p>
        </w:tc>
        <w:tc>
          <w:tcPr>
            <w:tcW w:w="765" w:type="dxa"/>
            <w:vMerge w:val="continue"/>
            <w:tcBorders>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4．单位内设机构编制11人以上的</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7,000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每个内设机构配置3台（或每5个人配置1台）。</w:t>
            </w:r>
          </w:p>
        </w:tc>
        <w:tc>
          <w:tcPr>
            <w:tcW w:w="765" w:type="dxa"/>
            <w:vMerge w:val="continue"/>
            <w:tcBorders>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5．单位涉密事项专用便携式电脑</w:t>
            </w:r>
          </w:p>
        </w:tc>
        <w:tc>
          <w:tcPr>
            <w:tcW w:w="95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13,000</w:t>
            </w:r>
          </w:p>
        </w:tc>
        <w:tc>
          <w:tcPr>
            <w:tcW w:w="312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根据保密工作需要，每个涉密机构可配置1台涉密电脑，与台式涉密电脑不重复配置。按照《广西壮族自治区财政厅 广西壮族自治区国家保密局关于贯彻落实涉密专用信息设备采购管理规定的通知》（桂财采〔2017〕43号）规定进行采购。</w:t>
            </w:r>
          </w:p>
        </w:tc>
        <w:tc>
          <w:tcPr>
            <w:tcW w:w="7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6年</w:t>
            </w:r>
          </w:p>
        </w:tc>
        <w:tc>
          <w:tcPr>
            <w:tcW w:w="19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价格包含正版软件</w:t>
            </w:r>
          </w:p>
        </w:tc>
      </w:tr>
      <w:tr>
        <w:tblPrEx>
          <w:tblLayout w:type="fixed"/>
          <w:tblCellMar>
            <w:top w:w="28" w:type="dxa"/>
            <w:left w:w="0" w:type="dxa"/>
            <w:bottom w:w="28" w:type="dxa"/>
            <w:right w:w="0" w:type="dxa"/>
          </w:tblCellMar>
        </w:tblPrEx>
        <w:trPr>
          <w:trHeight w:val="567" w:hRule="atLeast"/>
          <w:jc w:val="center"/>
        </w:trPr>
        <w:tc>
          <w:tcPr>
            <w:tcW w:w="23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（三）打印机</w:t>
            </w:r>
          </w:p>
        </w:tc>
        <w:tc>
          <w:tcPr>
            <w:tcW w:w="95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312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1．普通打印机（A4幅面）</w:t>
            </w:r>
          </w:p>
        </w:tc>
        <w:tc>
          <w:tcPr>
            <w:tcW w:w="95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2,500</w:t>
            </w:r>
          </w:p>
        </w:tc>
        <w:tc>
          <w:tcPr>
            <w:tcW w:w="312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副处级以上（含副处）领导每人1台。</w:t>
            </w:r>
          </w:p>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每个内设机构每3人配1台（内设机构不足3人按3人计）。</w:t>
            </w:r>
          </w:p>
        </w:tc>
        <w:tc>
          <w:tcPr>
            <w:tcW w:w="765" w:type="dxa"/>
            <w:vMerge w:val="restart"/>
            <w:tcBorders>
              <w:top w:val="single" w:color="auto" w:sz="4" w:space="0"/>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6年</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2．普通打印机（A3幅面）</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8,000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按编制内实有人数（不含工勤人员）每10人配1台，实有人数不足10人按10人计。</w:t>
            </w:r>
          </w:p>
        </w:tc>
        <w:tc>
          <w:tcPr>
            <w:tcW w:w="765" w:type="dxa"/>
            <w:vMerge w:val="continue"/>
            <w:tcBorders>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3．票证打印机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需要使用票证打印机的单位，根据实际需要配置。</w:t>
            </w:r>
          </w:p>
        </w:tc>
        <w:tc>
          <w:tcPr>
            <w:tcW w:w="765" w:type="dxa"/>
            <w:vMerge w:val="continue"/>
            <w:tcBorders>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（四）复印机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1．普通复印机</w:t>
            </w:r>
            <w:bookmarkStart w:id="1562" w:name="_Toc13020_WPSOffice_Level1"/>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25,000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根据工作需要配置，行</w:t>
            </w:r>
            <w:bookmarkEnd w:id="1562"/>
            <w:r>
              <w:rPr>
                <w:rFonts w:hint="eastAsia" w:ascii="宋体" w:hAnsi="宋体" w:cs="宋体"/>
                <w:color w:val="000000"/>
                <w:kern w:val="0"/>
                <w:sz w:val="22"/>
                <w:szCs w:val="22"/>
                <w:lang w:bidi="ar"/>
              </w:rPr>
              <w:t>政单位每个内设机构可配置1台；二层以下独立机构按照编制人数每30人可配置1台，不足30人的按30人计算。</w:t>
            </w:r>
          </w:p>
        </w:tc>
        <w:tc>
          <w:tcPr>
            <w:tcW w:w="765" w:type="dxa"/>
            <w:vMerge w:val="restart"/>
            <w:tcBorders>
              <w:top w:val="nil"/>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6年</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　</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2．中高速复印机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40,000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根据工作需要配置，行政单位按人员编制，每50人可配置1台，最多不超过8台；二层以下独立机构如工作需要每个机构可配置1台。</w:t>
            </w:r>
          </w:p>
        </w:tc>
        <w:tc>
          <w:tcPr>
            <w:tcW w:w="765" w:type="dxa"/>
            <w:vMerge w:val="continue"/>
            <w:tcBorders>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b/>
                <w:bCs/>
                <w:color w:val="000000"/>
                <w:sz w:val="22"/>
                <w:szCs w:val="22"/>
              </w:rPr>
            </w:pPr>
            <w:r>
              <w:rPr>
                <w:rFonts w:hint="eastAsia" w:ascii="宋体" w:hAnsi="宋体" w:cs="宋体"/>
                <w:b/>
                <w:bCs/>
                <w:color w:val="000000"/>
                <w:kern w:val="0"/>
                <w:sz w:val="22"/>
                <w:szCs w:val="22"/>
                <w:lang w:bidi="ar"/>
              </w:rPr>
              <w:t>（五）传真机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根据工作需要配置，每个内设机构可配置1台。</w:t>
            </w:r>
          </w:p>
        </w:tc>
        <w:tc>
          <w:tcPr>
            <w:tcW w:w="765" w:type="dxa"/>
            <w:vMerge w:val="continue"/>
            <w:tcBorders>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b/>
                <w:bCs/>
                <w:color w:val="000000"/>
                <w:sz w:val="22"/>
                <w:szCs w:val="22"/>
              </w:rPr>
            </w:pPr>
            <w:r>
              <w:rPr>
                <w:rFonts w:hint="eastAsia" w:ascii="宋体" w:hAnsi="宋体" w:cs="宋体"/>
                <w:b/>
                <w:bCs/>
                <w:color w:val="000000"/>
                <w:kern w:val="0"/>
                <w:sz w:val="22"/>
                <w:szCs w:val="22"/>
                <w:lang w:bidi="ar"/>
              </w:rPr>
              <w:t>（六）速印机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30,000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根据工作需要配置，每个行政单位可配置1台。</w:t>
            </w:r>
          </w:p>
        </w:tc>
        <w:tc>
          <w:tcPr>
            <w:tcW w:w="765" w:type="dxa"/>
            <w:vMerge w:val="continue"/>
            <w:tcBorders>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（七）一体机（A4幅面）</w:t>
            </w:r>
          </w:p>
        </w:tc>
        <w:tc>
          <w:tcPr>
            <w:tcW w:w="95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4,000</w:t>
            </w:r>
          </w:p>
        </w:tc>
        <w:tc>
          <w:tcPr>
            <w:tcW w:w="312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每个内设机构可配置1台一体机（A4幅面），视同同时配备相应数量的普通打印机（A4幅面）和传真机。</w:t>
            </w:r>
          </w:p>
        </w:tc>
        <w:tc>
          <w:tcPr>
            <w:tcW w:w="7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6年　</w:t>
            </w:r>
          </w:p>
        </w:tc>
        <w:tc>
          <w:tcPr>
            <w:tcW w:w="19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（八）扫描仪</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6年</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1．普通扫描仪</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根据工作需要配置，每个内设机构可配置1台。</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2．高速双面扫描仪</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25,000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根据工作需要配置，每个行政单位可配置1台。</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b/>
                <w:bCs/>
                <w:color w:val="000000"/>
                <w:sz w:val="22"/>
                <w:szCs w:val="22"/>
              </w:rPr>
            </w:pPr>
            <w:r>
              <w:rPr>
                <w:rFonts w:hint="eastAsia" w:ascii="宋体" w:hAnsi="宋体" w:cs="宋体"/>
                <w:b/>
                <w:bCs/>
                <w:color w:val="000000"/>
                <w:kern w:val="0"/>
                <w:sz w:val="22"/>
                <w:szCs w:val="22"/>
                <w:lang w:bidi="ar"/>
              </w:rPr>
              <w:t>（九）碎纸机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6年</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b/>
                <w:bCs/>
                <w:color w:val="000000"/>
                <w:sz w:val="22"/>
                <w:szCs w:val="22"/>
              </w:rPr>
            </w:pPr>
            <w:r>
              <w:rPr>
                <w:rFonts w:hint="eastAsia" w:ascii="宋体" w:hAnsi="宋体" w:cs="宋体"/>
                <w:b/>
                <w:bCs/>
                <w:color w:val="000000"/>
                <w:kern w:val="0"/>
                <w:sz w:val="22"/>
                <w:szCs w:val="22"/>
                <w:lang w:bidi="ar"/>
              </w:rPr>
              <w:t>（十）照相机</w:t>
            </w:r>
          </w:p>
        </w:tc>
        <w:tc>
          <w:tcPr>
            <w:tcW w:w="95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312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1．普通数码照相机（卡片机）</w:t>
            </w:r>
          </w:p>
        </w:tc>
        <w:tc>
          <w:tcPr>
            <w:tcW w:w="95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2,500</w:t>
            </w:r>
          </w:p>
        </w:tc>
        <w:tc>
          <w:tcPr>
            <w:tcW w:w="312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根据工作需要配置，每个内设机构可配置1台，不可与其他数码相机重复配置。</w:t>
            </w:r>
          </w:p>
        </w:tc>
        <w:tc>
          <w:tcPr>
            <w:tcW w:w="7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6年</w:t>
            </w:r>
          </w:p>
        </w:tc>
        <w:tc>
          <w:tcPr>
            <w:tcW w:w="19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2．单反镜头数码照相机（机身与镜头配套，含微单相机）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50人以下行政单位配置1台；50人以上行政单位配1—2台。</w:t>
            </w:r>
          </w:p>
        </w:tc>
        <w:tc>
          <w:tcPr>
            <w:tcW w:w="765" w:type="dxa"/>
            <w:vMerge w:val="restart"/>
            <w:tcBorders>
              <w:top w:val="nil"/>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8年</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3．中高级数码照相机（机身与镜头配套）</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20,000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根据工作需要配置，每个行政单位可配置1台。</w:t>
            </w:r>
          </w:p>
        </w:tc>
        <w:tc>
          <w:tcPr>
            <w:tcW w:w="765" w:type="dxa"/>
            <w:vMerge w:val="continue"/>
            <w:tcBorders>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（十一）摄像机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1．普通摄像机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10,000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根据工作需要配置，每个行政单位可配置1台；二层以下独立机构经主管部门审批后，每个机构可配置1台。</w:t>
            </w:r>
          </w:p>
        </w:tc>
        <w:tc>
          <w:tcPr>
            <w:tcW w:w="765" w:type="dxa"/>
            <w:vMerge w:val="restart"/>
            <w:tcBorders>
              <w:top w:val="nil"/>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8年</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2．高级摄像机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40,000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根据工作需要配置，每个行政单位可配置1台。</w:t>
            </w:r>
          </w:p>
        </w:tc>
        <w:tc>
          <w:tcPr>
            <w:tcW w:w="765" w:type="dxa"/>
            <w:vMerge w:val="continue"/>
            <w:tcBorders>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b/>
                <w:bCs/>
                <w:color w:val="000000"/>
                <w:sz w:val="22"/>
                <w:szCs w:val="22"/>
              </w:rPr>
            </w:pPr>
            <w:r>
              <w:rPr>
                <w:rFonts w:hint="eastAsia" w:ascii="宋体" w:hAnsi="宋体" w:cs="宋体"/>
                <w:b/>
                <w:bCs/>
                <w:color w:val="000000"/>
                <w:kern w:val="0"/>
                <w:sz w:val="22"/>
                <w:szCs w:val="22"/>
                <w:lang w:bidi="ar"/>
              </w:rPr>
              <w:t>（十二）电视机</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5,000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单位编制内人数达50人配2台；                 51—00人可配4台；                           101—150人可配6台；                        151人以上可配8台。</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8年</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b/>
                <w:bCs/>
                <w:color w:val="000000"/>
                <w:sz w:val="22"/>
                <w:szCs w:val="22"/>
              </w:rPr>
            </w:pPr>
            <w:r>
              <w:rPr>
                <w:rFonts w:hint="eastAsia" w:ascii="宋体" w:hAnsi="宋体" w:cs="宋体"/>
                <w:b/>
                <w:bCs/>
                <w:color w:val="000000"/>
                <w:kern w:val="0"/>
                <w:sz w:val="22"/>
                <w:szCs w:val="22"/>
                <w:lang w:bidi="ar"/>
              </w:rPr>
              <w:t>（十三）投影仪</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7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1．可移动投影仪</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25,000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每个行政单位配1台。</w:t>
            </w:r>
          </w:p>
        </w:tc>
        <w:tc>
          <w:tcPr>
            <w:tcW w:w="765" w:type="dxa"/>
            <w:vMerge w:val="restart"/>
            <w:tcBorders>
              <w:top w:val="nil"/>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8年</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2．固定投影仪</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35,000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每个使用面积100㎡以上的会议室配1台。</w:t>
            </w:r>
          </w:p>
        </w:tc>
        <w:tc>
          <w:tcPr>
            <w:tcW w:w="765" w:type="dxa"/>
            <w:vMerge w:val="continue"/>
            <w:tcBorders>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b/>
                <w:bCs/>
                <w:color w:val="000000"/>
                <w:kern w:val="0"/>
                <w:sz w:val="22"/>
                <w:szCs w:val="22"/>
                <w:lang w:bidi="ar"/>
              </w:rPr>
              <w:t>（十四）会议室音响设备</w:t>
            </w:r>
          </w:p>
        </w:tc>
        <w:tc>
          <w:tcPr>
            <w:tcW w:w="95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312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7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1．使用面积50—100㎡的会议室</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80,000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根据工作需要配置1套。</w:t>
            </w:r>
          </w:p>
        </w:tc>
        <w:tc>
          <w:tcPr>
            <w:tcW w:w="765" w:type="dxa"/>
            <w:vMerge w:val="restart"/>
            <w:tcBorders>
              <w:top w:val="nil"/>
              <w:left w:val="nil"/>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13年</w:t>
            </w:r>
          </w:p>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r>
        <w:tblPrEx>
          <w:tblLayout w:type="fixed"/>
          <w:tblCellMar>
            <w:top w:w="28" w:type="dxa"/>
            <w:left w:w="0" w:type="dxa"/>
            <w:bottom w:w="28" w:type="dxa"/>
            <w:right w:w="0" w:type="dxa"/>
          </w:tblCellMar>
        </w:tblPrEx>
        <w:trPr>
          <w:trHeight w:val="567" w:hRule="atLeast"/>
          <w:jc w:val="center"/>
        </w:trPr>
        <w:tc>
          <w:tcPr>
            <w:tcW w:w="238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2．使用面积100㎡以上的会议室（含100㎡）</w:t>
            </w:r>
          </w:p>
        </w:tc>
        <w:tc>
          <w:tcPr>
            <w:tcW w:w="956"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130,000</w:t>
            </w:r>
          </w:p>
        </w:tc>
        <w:tc>
          <w:tcPr>
            <w:tcW w:w="3123"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根据工作需要配置1套。</w:t>
            </w:r>
          </w:p>
        </w:tc>
        <w:tc>
          <w:tcPr>
            <w:tcW w:w="765" w:type="dxa"/>
            <w:vMerge w:val="continue"/>
            <w:tcBorders>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center"/>
              <w:textAlignment w:val="center"/>
              <w:outlineLvl w:val="9"/>
              <w:rPr>
                <w:rFonts w:hint="eastAsia" w:ascii="宋体" w:hAnsi="宋体" w:cs="宋体"/>
                <w:color w:val="000000"/>
                <w:sz w:val="22"/>
                <w:szCs w:val="22"/>
              </w:rPr>
            </w:pPr>
          </w:p>
        </w:tc>
        <w:tc>
          <w:tcPr>
            <w:tcW w:w="1965"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spacing w:line="300" w:lineRule="exact"/>
              <w:jc w:val="left"/>
              <w:textAlignment w:val="center"/>
              <w:outlineLvl w:val="9"/>
              <w:rPr>
                <w:rFonts w:hint="eastAsia" w:ascii="宋体" w:hAnsi="宋体" w:cs="宋体"/>
                <w:color w:val="000000"/>
                <w:sz w:val="22"/>
                <w:szCs w:val="22"/>
              </w:rPr>
            </w:pPr>
            <w:r>
              <w:rPr>
                <w:rFonts w:hint="eastAsia" w:ascii="宋体" w:hAnsi="宋体" w:cs="宋体"/>
                <w:color w:val="000000"/>
                <w:kern w:val="0"/>
                <w:sz w:val="22"/>
                <w:szCs w:val="22"/>
                <w:lang w:bidi="ar"/>
              </w:rPr>
              <w:t>　</w:t>
            </w:r>
          </w:p>
        </w:tc>
      </w:tr>
    </w:tbl>
    <w:p>
      <w:pPr>
        <w:pageBreakBefore w:val="0"/>
        <w:kinsoku/>
        <w:wordWrap/>
        <w:overflowPunct/>
        <w:topLinePunct w:val="0"/>
        <w:autoSpaceDE/>
        <w:autoSpaceDN/>
        <w:bidi w:val="0"/>
        <w:spacing w:line="460" w:lineRule="exact"/>
        <w:outlineLvl w:val="9"/>
        <w:rPr>
          <w:rFonts w:hint="eastAsia" w:ascii="仿宋_GB2312" w:eastAsia="仿宋_GB2312" w:cs="仿宋_GB2312"/>
          <w:kern w:val="0"/>
          <w:sz w:val="32"/>
          <w:szCs w:val="32"/>
          <w:lang w:bidi="ar"/>
        </w:rPr>
      </w:pPr>
      <w:bookmarkStart w:id="1563" w:name="_Toc25479_WPSOffice_Level1"/>
      <w:r>
        <w:rPr>
          <w:rFonts w:hint="eastAsia" w:ascii="仿宋_GB2312" w:eastAsia="仿宋_GB2312" w:cs="仿宋_GB2312"/>
          <w:kern w:val="0"/>
          <w:sz w:val="32"/>
          <w:szCs w:val="32"/>
          <w:lang w:bidi="ar"/>
        </w:rPr>
        <w:t>五、专用设备</w:t>
      </w:r>
      <w:bookmarkEnd w:id="1563"/>
    </w:p>
    <w:tbl>
      <w:tblPr>
        <w:tblStyle w:val="14"/>
        <w:tblW w:w="9087" w:type="dxa"/>
        <w:tblInd w:w="0" w:type="dxa"/>
        <w:tblLayout w:type="fixed"/>
        <w:tblCellMar>
          <w:top w:w="28" w:type="dxa"/>
          <w:left w:w="108" w:type="dxa"/>
          <w:bottom w:w="28" w:type="dxa"/>
          <w:right w:w="108" w:type="dxa"/>
        </w:tblCellMar>
      </w:tblPr>
      <w:tblGrid>
        <w:gridCol w:w="866"/>
        <w:gridCol w:w="5670"/>
        <w:gridCol w:w="2551"/>
      </w:tblGrid>
      <w:tr>
        <w:tblPrEx>
          <w:tblLayout w:type="fixed"/>
          <w:tblCellMar>
            <w:top w:w="28" w:type="dxa"/>
            <w:left w:w="108" w:type="dxa"/>
            <w:bottom w:w="28" w:type="dxa"/>
            <w:right w:w="108" w:type="dxa"/>
          </w:tblCellMar>
        </w:tblPrEx>
        <w:trPr>
          <w:trHeight w:val="567"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序号</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类别</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hAnsi="宋体" w:eastAsia="仿宋_GB2312" w:cs="宋体"/>
                <w:color w:val="000000"/>
                <w:kern w:val="0"/>
                <w:sz w:val="22"/>
                <w:szCs w:val="22"/>
                <w:lang w:bidi="ar"/>
              </w:rPr>
              <w:t>使用年限下限标准</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消防设备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12</w:t>
            </w:r>
          </w:p>
        </w:tc>
      </w:tr>
      <w:tr>
        <w:tblPrEx>
          <w:tblLayout w:type="fixed"/>
          <w:tblCellMar>
            <w:top w:w="28" w:type="dxa"/>
            <w:left w:w="108" w:type="dxa"/>
            <w:bottom w:w="28" w:type="dxa"/>
            <w:right w:w="108" w:type="dxa"/>
          </w:tblCellMar>
        </w:tblPrEx>
        <w:trPr>
          <w:trHeight w:val="567"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厨房设备</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28" w:type="dxa"/>
            <w:left w:w="108" w:type="dxa"/>
            <w:bottom w:w="28" w:type="dxa"/>
            <w:right w:w="108" w:type="dxa"/>
          </w:tblCellMar>
        </w:tblPrEx>
        <w:trPr>
          <w:trHeight w:val="567"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监控系统（监控设备设施、安全防范系统）</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4</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道路清扫设备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10</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5</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电子设备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广播电视、影像摄录、传送设备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7</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音响设备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13</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健身房设备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9</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通讯设备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9</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10</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自动化控制类仪器仪表</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10</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11</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通用测试仪器设备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10</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12</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机械设备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12</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13</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动力设备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15</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14</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传导设备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22</w:t>
            </w:r>
          </w:p>
        </w:tc>
      </w:tr>
      <w:tr>
        <w:tblPrEx>
          <w:tblLayout w:type="fixed"/>
          <w:tblCellMar>
            <w:top w:w="28" w:type="dxa"/>
            <w:left w:w="108" w:type="dxa"/>
            <w:bottom w:w="28"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15</w:t>
            </w:r>
          </w:p>
        </w:tc>
        <w:tc>
          <w:tcPr>
            <w:tcW w:w="5670" w:type="dxa"/>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闭路电视播放设备</w:t>
            </w:r>
          </w:p>
        </w:tc>
        <w:tc>
          <w:tcPr>
            <w:tcW w:w="255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10</w:t>
            </w:r>
          </w:p>
        </w:tc>
      </w:tr>
    </w:tbl>
    <w:p>
      <w:pPr>
        <w:pageBreakBefore w:val="0"/>
        <w:kinsoku/>
        <w:wordWrap/>
        <w:overflowPunct/>
        <w:topLinePunct w:val="0"/>
        <w:autoSpaceDE/>
        <w:autoSpaceDN/>
        <w:bidi w:val="0"/>
        <w:outlineLvl w:val="9"/>
        <w:rPr>
          <w:rFonts w:hint="eastAsia"/>
          <w:b w:val="0"/>
          <w:bCs/>
          <w:color w:val="000000"/>
          <w:sz w:val="36"/>
          <w:szCs w:val="36"/>
          <w:lang w:eastAsia="zh-CN"/>
        </w:rPr>
      </w:pPr>
      <w:r>
        <w:rPr>
          <w:rFonts w:hint="eastAsia"/>
          <w:b w:val="0"/>
          <w:bCs/>
          <w:color w:val="000000"/>
          <w:sz w:val="36"/>
          <w:szCs w:val="36"/>
          <w:lang w:eastAsia="zh-CN"/>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564" w:name="_Toc6256"/>
      <w:bookmarkStart w:id="1565" w:name="_Toc30966"/>
      <w:bookmarkStart w:id="1566" w:name="_Toc21649"/>
      <w:bookmarkStart w:id="1567" w:name="_Toc28885"/>
      <w:bookmarkStart w:id="1568" w:name="_Toc22926"/>
      <w:bookmarkStart w:id="1569" w:name="_Toc27008_WPSOffice_Level1"/>
      <w:r>
        <w:rPr>
          <w:rFonts w:hint="eastAsia"/>
          <w:b/>
          <w:color w:val="000000"/>
          <w:sz w:val="36"/>
          <w:szCs w:val="36"/>
        </w:rPr>
        <w:t>柳州职业技术学院国有资产管理暂行办法</w:t>
      </w:r>
      <w:bookmarkEnd w:id="1564"/>
      <w:bookmarkEnd w:id="1565"/>
      <w:bookmarkEnd w:id="1566"/>
      <w:bookmarkEnd w:id="1567"/>
      <w:bookmarkEnd w:id="1568"/>
      <w:bookmarkEnd w:id="1569"/>
    </w:p>
    <w:p>
      <w:pPr>
        <w:pageBreakBefore w:val="0"/>
        <w:kinsoku/>
        <w:wordWrap/>
        <w:overflowPunct/>
        <w:topLinePunct w:val="0"/>
        <w:autoSpaceDE/>
        <w:autoSpaceDN/>
        <w:bidi w:val="0"/>
        <w:spacing w:line="596" w:lineRule="exact"/>
        <w:jc w:val="center"/>
        <w:outlineLvl w:val="9"/>
        <w:rPr>
          <w:rFonts w:hint="eastAsia"/>
          <w:b w:val="0"/>
          <w:bCs/>
          <w:color w:val="000000"/>
          <w:sz w:val="36"/>
          <w:szCs w:val="36"/>
          <w:lang w:eastAsia="zh-CN"/>
        </w:rPr>
      </w:pPr>
      <w:r>
        <w:rPr>
          <w:rFonts w:hint="eastAsia"/>
          <w:b w:val="0"/>
          <w:bCs/>
          <w:color w:val="000000"/>
          <w:sz w:val="36"/>
          <w:szCs w:val="36"/>
          <w:lang w:eastAsia="zh-CN"/>
        </w:rPr>
        <w:t>（</w:t>
      </w:r>
      <w:r>
        <w:rPr>
          <w:rFonts w:hint="eastAsia" w:ascii="仿宋_GB2312" w:eastAsia="仿宋_GB2312"/>
          <w:sz w:val="32"/>
          <w:szCs w:val="32"/>
        </w:rPr>
        <w:t>柳职院字〔2019〕15 号</w:t>
      </w:r>
      <w:r>
        <w:rPr>
          <w:rFonts w:hint="eastAsia"/>
          <w:b w:val="0"/>
          <w:bCs/>
          <w:color w:val="000000"/>
          <w:sz w:val="36"/>
          <w:szCs w:val="36"/>
          <w:lang w:eastAsia="zh-CN"/>
        </w:rPr>
        <w:t>）</w:t>
      </w:r>
    </w:p>
    <w:p>
      <w:pPr>
        <w:pageBreakBefore w:val="0"/>
        <w:kinsoku/>
        <w:wordWrap/>
        <w:overflowPunct/>
        <w:topLinePunct w:val="0"/>
        <w:autoSpaceDE/>
        <w:autoSpaceDN/>
        <w:bidi w:val="0"/>
        <w:spacing w:line="596" w:lineRule="exact"/>
        <w:jc w:val="center"/>
        <w:outlineLvl w:val="9"/>
        <w:rPr>
          <w:rFonts w:hint="eastAsia"/>
          <w:b w:val="0"/>
          <w:bCs/>
          <w:color w:val="000000"/>
          <w:sz w:val="36"/>
          <w:szCs w:val="36"/>
          <w:lang w:eastAsia="zh-CN"/>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70" w:name="_Toc18814_WPSOffice_Level1"/>
      <w:r>
        <w:rPr>
          <w:rFonts w:hint="eastAsia" w:ascii="黑体" w:hAnsi="黑体" w:eastAsia="黑体"/>
          <w:b/>
          <w:sz w:val="32"/>
          <w:szCs w:val="32"/>
        </w:rPr>
        <w:t>第一章  总  则</w:t>
      </w:r>
      <w:bookmarkEnd w:id="1570"/>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Style w:val="12"/>
          <w:rFonts w:ascii="仿宋_GB2312" w:hAnsi="仿宋_GB2312" w:eastAsia="仿宋_GB2312" w:cs="仿宋_GB2312"/>
          <w:sz w:val="32"/>
          <w:szCs w:val="32"/>
        </w:rPr>
        <w:t>第一条</w:t>
      </w:r>
      <w:r>
        <w:rPr>
          <w:rStyle w:val="12"/>
          <w:rFonts w:hint="eastAsia" w:hAnsi="仿宋_GB2312"/>
        </w:rPr>
        <w:t xml:space="preserve">  </w:t>
      </w:r>
      <w:r>
        <w:rPr>
          <w:rFonts w:hint="eastAsia" w:ascii="仿宋_GB2312" w:hAnsi="Times New Roman" w:eastAsia="仿宋_GB2312" w:cs="仿宋_GB2312"/>
          <w:sz w:val="32"/>
          <w:szCs w:val="32"/>
          <w:lang w:bidi="ar"/>
        </w:rPr>
        <w:t>为加强本校国有资产管理，规范国有资产管理行为，合理配置和有效使用学校国有资产，维护学校国有资产的安全和完整，防止国有资产流失，保障和促进学校各项事业发展，根据财政部、教育部国有资产管理相关规定，结合学校的具体情况，制定本办法。</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ascii="仿宋_GB2312" w:hAnsi="仿宋_GB2312" w:eastAsia="仿宋_GB2312" w:cs="仿宋_GB2312"/>
          <w:kern w:val="0"/>
          <w:sz w:val="32"/>
          <w:szCs w:val="32"/>
        </w:rPr>
        <w:t>第二条</w:t>
      </w:r>
      <w:r>
        <w:rPr>
          <w:rStyle w:val="12"/>
          <w:rFonts w:hint="eastAsia" w:ascii="仿宋_GB2312" w:hAnsi="仿宋_GB2312" w:eastAsia="仿宋_GB2312" w:cs="仿宋_GB2312"/>
          <w:kern w:val="0"/>
          <w:sz w:val="32"/>
          <w:szCs w:val="32"/>
        </w:rPr>
        <w:t xml:space="preserve">  </w:t>
      </w:r>
      <w:r>
        <w:rPr>
          <w:rFonts w:hint="eastAsia" w:ascii="仿宋_GB2312" w:eastAsia="仿宋_GB2312" w:cs="仿宋_GB2312"/>
          <w:kern w:val="0"/>
          <w:sz w:val="32"/>
          <w:szCs w:val="32"/>
          <w:lang w:bidi="ar"/>
        </w:rPr>
        <w:t>本办法适用于学校各二级学院、部、处、室等各级管理单位的国有资产管理活动。</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ascii="仿宋_GB2312" w:hAnsi="仿宋_GB2312" w:eastAsia="仿宋_GB2312" w:cs="仿宋_GB2312"/>
          <w:kern w:val="0"/>
          <w:sz w:val="32"/>
          <w:szCs w:val="32"/>
        </w:rPr>
        <w:t>第三条</w:t>
      </w:r>
      <w:r>
        <w:rPr>
          <w:rStyle w:val="12"/>
          <w:rFonts w:hint="eastAsia" w:ascii="仿宋_GB2312" w:hAnsi="仿宋_GB2312" w:eastAsia="仿宋_GB2312" w:cs="仿宋_GB2312"/>
          <w:kern w:val="0"/>
          <w:sz w:val="32"/>
          <w:szCs w:val="32"/>
        </w:rPr>
        <w:t xml:space="preserve">  </w:t>
      </w:r>
      <w:r>
        <w:rPr>
          <w:rFonts w:hint="eastAsia" w:ascii="仿宋_GB2312" w:eastAsia="仿宋_GB2312" w:cs="仿宋_GB2312"/>
          <w:kern w:val="0"/>
          <w:sz w:val="32"/>
          <w:szCs w:val="32"/>
          <w:lang w:bidi="ar"/>
        </w:rPr>
        <w:t>本办法所称国有资产，是指学校占有、使用的，依法确认为国家所有，能以货币计量的各种经济资源的总称。</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学校国有资产包括用国家财政资金形成的资产、国家和地方政府无偿调拨给学校的资产、学校按国家政策规定运用已有国有资产组织收入所形成的资产，以及接受捐赠和其他经法律确认为国家所有的资产等。其表现形式为流动资产、固定资产、在建工程、无形资产等。</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（一）流动资产是指可以在一年以内变现或耗用的资产，包括现金、各种存款、应收及暂付款项、借出款、存货等。 </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二）固定资产是指通用设备单台件价值在1000元以上、专用设备单台件价值在1500元以上，使用期限在一年以上，并在使用过程中基本保持原有物态不变的资产。单台件价值虽未达到规定标准，但耐用时间在一年以上的大批同类物资，视同固定资产管理。 </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（三）无形资产是指不具有实物形态而能为使用者提供某种权益的资产，包括专利权、商标权、著作权、土地使用权、非专利技术、商誉以及其他财产权利。 </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ascii="仿宋_GB2312" w:hAnsi="仿宋_GB2312" w:eastAsia="仿宋_GB2312" w:cs="仿宋_GB2312"/>
          <w:kern w:val="0"/>
          <w:sz w:val="32"/>
          <w:szCs w:val="32"/>
        </w:rPr>
        <w:t>第四条</w:t>
      </w:r>
      <w:r>
        <w:rPr>
          <w:rStyle w:val="12"/>
          <w:rFonts w:hint="eastAsia" w:hAnsi="仿宋_GB2312"/>
        </w:rPr>
        <w:t xml:space="preserve">   </w:t>
      </w:r>
      <w:r>
        <w:rPr>
          <w:rFonts w:hint="eastAsia" w:ascii="仿宋_GB2312" w:eastAsia="仿宋_GB2312" w:cs="仿宋_GB2312"/>
          <w:kern w:val="0"/>
          <w:sz w:val="32"/>
          <w:szCs w:val="32"/>
          <w:lang w:bidi="ar"/>
        </w:rPr>
        <w:t>学校国有资产管理的基本原则：</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（一）坚持资产管理与预算管理相结合；</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（二）坚持资产管理与财务管理、实物管理与价值管理相结合；</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（三）坚持安全完整与注重绩效相结合。</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hAnsi="仿宋_GB2312"/>
        </w:rPr>
        <w:t xml:space="preserve"> </w:t>
      </w:r>
      <w:r>
        <w:rPr>
          <w:rStyle w:val="12"/>
          <w:rFonts w:ascii="仿宋_GB2312" w:hAnsi="仿宋_GB2312" w:eastAsia="仿宋_GB2312" w:cs="仿宋_GB2312"/>
          <w:kern w:val="0"/>
          <w:sz w:val="32"/>
          <w:szCs w:val="32"/>
        </w:rPr>
        <w:t>第五条</w:t>
      </w:r>
      <w:r>
        <w:rPr>
          <w:rFonts w:hint="eastAsia" w:ascii="仿宋_GB2312" w:eastAsia="仿宋_GB2312" w:cs="仿宋_GB2312"/>
          <w:kern w:val="0"/>
          <w:sz w:val="32"/>
          <w:szCs w:val="32"/>
          <w:lang w:bidi="ar"/>
        </w:rPr>
        <w:t xml:space="preserve">  学校对国有资产管理实行“统一所有、归口管理、分级负责、责任到人”的管理体制。学校对本校所有国有资产实行统一监督管理，学校各部门对本部门占用的国有资产享受合理使用的权力，并承担对它们的保管、维修、管理及提高有效利用率等责任。</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71" w:name="_Toc28985_WPSOffice_Level1"/>
      <w:r>
        <w:rPr>
          <w:rFonts w:hint="eastAsia" w:ascii="黑体" w:hAnsi="黑体" w:eastAsia="黑体"/>
          <w:b/>
          <w:sz w:val="32"/>
          <w:szCs w:val="32"/>
        </w:rPr>
        <w:t>第二章  管理机构与管理职责</w:t>
      </w:r>
      <w:bookmarkEnd w:id="1571"/>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ascii="仿宋_GB2312" w:hAnsi="仿宋_GB2312" w:eastAsia="仿宋_GB2312" w:cs="仿宋_GB2312"/>
          <w:kern w:val="0"/>
          <w:sz w:val="32"/>
          <w:szCs w:val="32"/>
        </w:rPr>
        <w:t>第</w:t>
      </w:r>
      <w:r>
        <w:rPr>
          <w:rStyle w:val="12"/>
          <w:rFonts w:hint="eastAsia" w:ascii="仿宋_GB2312" w:hAnsi="仿宋_GB2312" w:eastAsia="仿宋_GB2312" w:cs="仿宋_GB2312"/>
          <w:kern w:val="0"/>
          <w:sz w:val="32"/>
          <w:szCs w:val="32"/>
        </w:rPr>
        <w:t>六</w:t>
      </w:r>
      <w:r>
        <w:rPr>
          <w:rStyle w:val="12"/>
          <w:rFonts w:ascii="仿宋_GB2312" w:hAnsi="仿宋_GB2312" w:eastAsia="仿宋_GB2312" w:cs="仿宋_GB2312"/>
          <w:kern w:val="0"/>
          <w:sz w:val="32"/>
          <w:szCs w:val="32"/>
        </w:rPr>
        <w:t>条</w:t>
      </w:r>
      <w:r>
        <w:rPr>
          <w:rStyle w:val="12"/>
          <w:rFonts w:hint="eastAsia" w:hAnsi="仿宋_GB2312"/>
        </w:rPr>
        <w:t xml:space="preserve">  </w:t>
      </w:r>
      <w:r>
        <w:rPr>
          <w:rFonts w:hint="eastAsia" w:ascii="仿宋_GB2312" w:eastAsia="仿宋_GB2312" w:cs="仿宋_GB2312"/>
          <w:kern w:val="0"/>
          <w:sz w:val="32"/>
          <w:szCs w:val="32"/>
          <w:lang w:bidi="ar"/>
        </w:rPr>
        <w:t>后勤与资产管理处是学校国有资产管理的主管部门，主要职责是：</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（一）贯彻执行国家有关国有资产管理的法律、法规和政策；</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（二）根据国家国有资产管理的法律法规和财政部、教育部国有资产管理有关规定，组织制定学校国有资产管理具体办法并组织实施；</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三）完善资产购置、验收、登记入账、使用维护、绩效考核等日常管理工作，做好资产的账务管理、清查登记、统计报告及日常监督检查工作；负责组织实施国有资产信息管理及信息化建设等工作，对国有资产实施动态管理；</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（四）按照规定权限，负责办理学校国有资产的配置、处置和出租、出借等事项的审核、审批以及报备手续；组织长期闲置、低效运转或者超标准配置的资产的调剂工作， 优化学校国有资产配置，推动学校国有资产共享、共用。 </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（五）负责对学校国有资产的产权、配置、使用、管理、处置等工作实施统筹管理；组织学校国有资产的资产清查、清产核资、资产评估、绩效评价等工作；对学校国有资产管理的具体事宜进行组织协调处理。 </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（六）负责办理学校国有资产的产权占有、变更及注销登记等相关工作；负责国有资产清查、清产核资、资产评估及资产划转工作；</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（七）根据归口管理原则，负责组织督促学校各类存量资产的有效利用，推动大型仪器、设备等资产的共享、共用和公共平台建设工作，逐步建立国有资产共享共用机制；</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（八）负责学校国有资产的账务管理及日常监督检查工作； 组织学校国有资产信息、数据的统计，并对有关资产的变动、处置等情况进行上报。</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（九）负责学校党委会、办公会决定事项的督查督办。 </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（十）学校国有资产管理的其他工作。</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ascii="仿宋_GB2312" w:hAnsi="仿宋_GB2312" w:eastAsia="仿宋_GB2312" w:cs="仿宋_GB2312"/>
          <w:kern w:val="0"/>
          <w:sz w:val="32"/>
          <w:szCs w:val="32"/>
        </w:rPr>
        <w:t>第</w:t>
      </w:r>
      <w:r>
        <w:rPr>
          <w:rStyle w:val="12"/>
          <w:rFonts w:hint="eastAsia" w:ascii="仿宋_GB2312" w:hAnsi="仿宋_GB2312" w:eastAsia="仿宋_GB2312" w:cs="仿宋_GB2312"/>
          <w:kern w:val="0"/>
          <w:sz w:val="32"/>
          <w:szCs w:val="32"/>
        </w:rPr>
        <w:t>七</w:t>
      </w:r>
      <w:r>
        <w:rPr>
          <w:rStyle w:val="12"/>
          <w:rFonts w:ascii="仿宋_GB2312" w:hAnsi="仿宋_GB2312" w:eastAsia="仿宋_GB2312" w:cs="仿宋_GB2312"/>
          <w:kern w:val="0"/>
          <w:sz w:val="32"/>
          <w:szCs w:val="32"/>
        </w:rPr>
        <w:t>条</w:t>
      </w:r>
      <w:r>
        <w:rPr>
          <w:rStyle w:val="12"/>
          <w:rFonts w:hint="eastAsia" w:ascii="仿宋_GB2312" w:hAnsi="仿宋_GB2312" w:eastAsia="仿宋_GB2312" w:cs="仿宋_GB2312"/>
          <w:kern w:val="0"/>
          <w:sz w:val="32"/>
          <w:szCs w:val="32"/>
        </w:rPr>
        <w:t xml:space="preserve">  </w:t>
      </w:r>
      <w:r>
        <w:rPr>
          <w:rFonts w:hint="eastAsia" w:ascii="仿宋_GB2312" w:eastAsia="仿宋_GB2312" w:cs="仿宋_GB2312"/>
          <w:kern w:val="0"/>
          <w:sz w:val="32"/>
          <w:szCs w:val="32"/>
          <w:lang w:bidi="ar"/>
        </w:rPr>
        <w:t>根据学校国有资产性质和用途的不同，分别确定归口管理单位，归口管理单位的主要职责是：</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（一）根据学校有关国有资产管理办法以及分管资产的特点、具体情况，完善分管资产的管理制度建设（如购置验收、实物登记、账卡核算等基础管理制度；资产使用、维护制度；管理责任制度等）；</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（二）通过分管资产配置及其使用的预算、计划管理，提高资产的使用效率；</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（三）对二级学院国有资产的使用情况进行检查监督；</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（四）做好分管资产的定期统计汇报，做好分管国有资产总值的管理工作；</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（五）其他归口管理工作。</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ascii="仿宋_GB2312" w:hAnsi="仿宋_GB2312" w:eastAsia="仿宋_GB2312" w:cs="仿宋_GB2312"/>
          <w:kern w:val="0"/>
          <w:sz w:val="32"/>
          <w:szCs w:val="32"/>
        </w:rPr>
        <w:t>第</w:t>
      </w:r>
      <w:r>
        <w:rPr>
          <w:rStyle w:val="12"/>
          <w:rFonts w:hint="eastAsia" w:ascii="仿宋_GB2312" w:hAnsi="仿宋_GB2312" w:eastAsia="仿宋_GB2312" w:cs="仿宋_GB2312"/>
          <w:kern w:val="0"/>
          <w:sz w:val="32"/>
          <w:szCs w:val="32"/>
        </w:rPr>
        <w:t>八</w:t>
      </w:r>
      <w:r>
        <w:rPr>
          <w:rStyle w:val="12"/>
          <w:rFonts w:ascii="仿宋_GB2312" w:hAnsi="仿宋_GB2312" w:eastAsia="仿宋_GB2312" w:cs="仿宋_GB2312"/>
          <w:kern w:val="0"/>
          <w:sz w:val="32"/>
          <w:szCs w:val="32"/>
        </w:rPr>
        <w:t>条</w:t>
      </w:r>
      <w:r>
        <w:rPr>
          <w:rStyle w:val="12"/>
          <w:rFonts w:hint="eastAsia" w:ascii="仿宋_GB2312" w:hAnsi="仿宋_GB2312" w:eastAsia="仿宋_GB2312" w:cs="仿宋_GB2312"/>
          <w:kern w:val="0"/>
          <w:sz w:val="32"/>
          <w:szCs w:val="32"/>
        </w:rPr>
        <w:t xml:space="preserve">  </w:t>
      </w:r>
      <w:r>
        <w:rPr>
          <w:rFonts w:hint="eastAsia" w:ascii="仿宋_GB2312" w:eastAsia="仿宋_GB2312" w:cs="仿宋_GB2312"/>
          <w:kern w:val="0"/>
          <w:sz w:val="32"/>
          <w:szCs w:val="32"/>
          <w:lang w:bidi="ar"/>
        </w:rPr>
        <w:t>后勤与资产管理处、财务处、教务与实训管理处、科技开发处、图书馆、信息技术中心、保卫处等为学校国有资产归口管理部门，其主要分工是：</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（一）学校资产总值以及设备、交通运输工具和家具、房屋和构筑物（含在建工程）的归口管理单位为后勤与资产管理处；</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（二）流动资产归口管理单位为财务处；</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（三）教学与实训设施设备的归口管理单位为教务与实训管理处；</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kern w:val="0"/>
          <w:sz w:val="32"/>
          <w:szCs w:val="32"/>
          <w:lang w:bidi="ar"/>
        </w:rPr>
        <w:t>（四）档案、文物及陈列品的归口管理单位为图书馆；</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eastAsia="仿宋_GB2312"/>
          <w:kern w:val="0"/>
          <w:sz w:val="32"/>
          <w:szCs w:val="32"/>
          <w:lang w:bidi="ar"/>
        </w:rPr>
      </w:pPr>
      <w:r>
        <w:rPr>
          <w:rFonts w:hint="eastAsia" w:ascii="仿宋_GB2312" w:eastAsia="仿宋_GB2312"/>
          <w:kern w:val="0"/>
          <w:sz w:val="32"/>
          <w:szCs w:val="32"/>
          <w:lang w:bidi="ar"/>
        </w:rPr>
        <w:t>（五）图书（包括二级管理单位的图书）的归口管理单位为图书馆；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color w:val="000000"/>
          <w:kern w:val="0"/>
          <w:sz w:val="32"/>
          <w:szCs w:val="32"/>
        </w:rPr>
      </w:pPr>
      <w:r>
        <w:rPr>
          <w:rFonts w:hint="eastAsia" w:ascii="仿宋_GB2312" w:eastAsia="仿宋_GB2312"/>
          <w:kern w:val="0"/>
          <w:sz w:val="32"/>
          <w:szCs w:val="32"/>
          <w:lang w:bidi="ar"/>
        </w:rPr>
        <w:t>（六）保卫处负责全校</w:t>
      </w:r>
      <w:r>
        <w:rPr>
          <w:rFonts w:hint="eastAsia" w:ascii="仿宋_GB2312" w:eastAsia="仿宋_GB2312"/>
          <w:color w:val="000000"/>
          <w:kern w:val="0"/>
          <w:sz w:val="32"/>
          <w:szCs w:val="32"/>
        </w:rPr>
        <w:t>消防及安全监控设施设备的管理；</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kern w:val="0"/>
          <w:sz w:val="32"/>
          <w:szCs w:val="32"/>
          <w:lang w:bidi="ar"/>
        </w:rPr>
        <w:t>（七）学校</w:t>
      </w:r>
      <w:r>
        <w:rPr>
          <w:rFonts w:hint="eastAsia" w:ascii="仿宋_GB2312" w:eastAsia="仿宋_GB2312" w:cs="仿宋_GB2312"/>
          <w:kern w:val="0"/>
          <w:sz w:val="32"/>
          <w:szCs w:val="32"/>
          <w:lang w:bidi="ar"/>
        </w:rPr>
        <w:t>办公室负责与学校校名、校徽和名誉有关权利的无形资产管理；科技处负责专利权、非专利技术以及与科技成果有关的著作权、社会科学类著作权的无形资产管理。</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ascii="仿宋_GB2312" w:hAnsi="仿宋_GB2312" w:eastAsia="仿宋_GB2312" w:cs="仿宋_GB2312"/>
          <w:kern w:val="0"/>
          <w:sz w:val="32"/>
          <w:szCs w:val="32"/>
        </w:rPr>
        <w:t>第</w:t>
      </w:r>
      <w:r>
        <w:rPr>
          <w:rStyle w:val="12"/>
          <w:rFonts w:hint="eastAsia" w:ascii="仿宋_GB2312" w:hAnsi="仿宋_GB2312" w:eastAsia="仿宋_GB2312" w:cs="仿宋_GB2312"/>
          <w:kern w:val="0"/>
          <w:sz w:val="32"/>
          <w:szCs w:val="32"/>
        </w:rPr>
        <w:t>九</w:t>
      </w:r>
      <w:r>
        <w:rPr>
          <w:rStyle w:val="12"/>
          <w:rFonts w:ascii="仿宋_GB2312" w:hAnsi="仿宋_GB2312" w:eastAsia="仿宋_GB2312" w:cs="仿宋_GB2312"/>
          <w:kern w:val="0"/>
          <w:sz w:val="32"/>
          <w:szCs w:val="32"/>
        </w:rPr>
        <w:t>条</w:t>
      </w:r>
      <w:r>
        <w:rPr>
          <w:rStyle w:val="12"/>
          <w:rFonts w:hint="eastAsia" w:ascii="仿宋_GB2312" w:hAnsi="仿宋_GB2312" w:eastAsia="仿宋_GB2312" w:cs="仿宋_GB2312"/>
          <w:kern w:val="0"/>
          <w:sz w:val="32"/>
          <w:szCs w:val="32"/>
        </w:rPr>
        <w:t xml:space="preserve">  </w:t>
      </w:r>
      <w:r>
        <w:rPr>
          <w:rFonts w:hint="eastAsia" w:ascii="仿宋_GB2312" w:eastAsia="仿宋_GB2312" w:cs="仿宋_GB2312"/>
          <w:kern w:val="0"/>
          <w:sz w:val="32"/>
          <w:szCs w:val="32"/>
          <w:lang w:bidi="ar"/>
        </w:rPr>
        <w:t>各二级学院、部、处、室为学校国有资产管理的二级管理单位。二级管理单位的主要职责是：</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（一）加强国有资产管理的宣传教育工作，树立国有资产“谁使用，谁负责管理”的全员管理思想；执行本校国有资产管理责任制，把国有资产的管理责任落实到人；</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（二）负责本部门资产的日常使用、维修、维护和管理。 </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kern w:val="0"/>
          <w:sz w:val="32"/>
          <w:szCs w:val="32"/>
          <w:lang w:bidi="ar"/>
        </w:rPr>
      </w:pPr>
      <w:r>
        <w:rPr>
          <w:rFonts w:hint="eastAsia" w:ascii="仿宋_GB2312" w:eastAsia="仿宋_GB2312" w:cs="仿宋_GB2312"/>
          <w:kern w:val="0"/>
          <w:sz w:val="32"/>
          <w:szCs w:val="32"/>
          <w:lang w:bidi="ar"/>
        </w:rPr>
        <w:t>（三）负责本部门资产的清理清查；向学校资产归口管</w:t>
      </w:r>
      <w:r>
        <w:rPr>
          <w:rFonts w:hint="eastAsia" w:ascii="仿宋_GB2312" w:eastAsia="仿宋_GB2312"/>
          <w:kern w:val="0"/>
          <w:sz w:val="32"/>
          <w:szCs w:val="32"/>
          <w:lang w:bidi="ar"/>
        </w:rPr>
        <w:t xml:space="preserve">理部门报送本单位国有资产的统计报表。 </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eastAsia="仿宋_GB2312"/>
          <w:kern w:val="0"/>
          <w:sz w:val="32"/>
          <w:szCs w:val="32"/>
          <w:lang w:bidi="ar"/>
        </w:rPr>
      </w:pPr>
      <w:r>
        <w:rPr>
          <w:rFonts w:hint="eastAsia" w:ascii="仿宋_GB2312" w:eastAsia="仿宋_GB2312"/>
          <w:kern w:val="0"/>
          <w:sz w:val="32"/>
          <w:szCs w:val="32"/>
          <w:lang w:bidi="ar"/>
        </w:rPr>
        <w:t xml:space="preserve">（四）做到资产优化配置、物尽其用。对于闲置或使用效率不高的资产，应遵从相关部门的调剂处理。 </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eastAsia="仿宋_GB2312"/>
          <w:kern w:val="0"/>
          <w:sz w:val="32"/>
          <w:szCs w:val="32"/>
          <w:lang w:bidi="ar"/>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72" w:name="_Toc2708_WPSOffice_Level1"/>
      <w:r>
        <w:rPr>
          <w:rFonts w:hint="eastAsia" w:ascii="黑体" w:hAnsi="黑体" w:eastAsia="黑体"/>
          <w:b/>
          <w:sz w:val="32"/>
          <w:szCs w:val="32"/>
        </w:rPr>
        <w:t>第三章  资产配置及使用</w:t>
      </w:r>
      <w:bookmarkEnd w:id="1572"/>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kern w:val="0"/>
          <w:sz w:val="32"/>
          <w:szCs w:val="32"/>
          <w:lang w:bidi="ar"/>
        </w:rPr>
      </w:pPr>
      <w:r>
        <w:rPr>
          <w:rStyle w:val="12"/>
          <w:rFonts w:ascii="仿宋_GB2312" w:hAnsi="仿宋_GB2312" w:eastAsia="仿宋_GB2312" w:cs="仿宋_GB2312"/>
          <w:kern w:val="0"/>
          <w:sz w:val="32"/>
          <w:szCs w:val="32"/>
        </w:rPr>
        <w:t>第十条</w:t>
      </w:r>
      <w:r>
        <w:rPr>
          <w:rStyle w:val="12"/>
          <w:rFonts w:hint="eastAsia" w:ascii="仿宋_GB2312" w:hAnsi="仿宋_GB2312" w:eastAsia="仿宋_GB2312" w:cs="仿宋_GB2312"/>
          <w:kern w:val="0"/>
          <w:sz w:val="32"/>
          <w:szCs w:val="32"/>
        </w:rPr>
        <w:t xml:space="preserve">  </w:t>
      </w:r>
      <w:r>
        <w:rPr>
          <w:rFonts w:hint="eastAsia" w:ascii="仿宋_GB2312" w:eastAsia="仿宋_GB2312"/>
          <w:kern w:val="0"/>
          <w:sz w:val="32"/>
          <w:szCs w:val="32"/>
          <w:lang w:bidi="ar"/>
        </w:rPr>
        <w:t>学校国有资产配置是指为完成教学、科研、行政管理及后勤服务等任务和促进学校发展的需要，按照国家有关法律、行政法规和规章制度规定的程序，通过购置、调剂、置换及接受捐赠等方式配置资产的行为。</w:t>
      </w:r>
    </w:p>
    <w:p>
      <w:pPr>
        <w:pageBreakBefore w:val="0"/>
        <w:kinsoku/>
        <w:wordWrap/>
        <w:overflowPunct/>
        <w:topLinePunct w:val="0"/>
        <w:autoSpaceDE/>
        <w:autoSpaceDN/>
        <w:bidi w:val="0"/>
        <w:spacing w:line="596" w:lineRule="exact"/>
        <w:ind w:firstLine="643" w:firstLineChars="200"/>
        <w:jc w:val="left"/>
        <w:outlineLvl w:val="9"/>
        <w:rPr>
          <w:rFonts w:hint="eastAsia" w:ascii="仿宋_GB2312" w:eastAsia="仿宋_GB2312"/>
          <w:kern w:val="0"/>
          <w:sz w:val="32"/>
          <w:szCs w:val="32"/>
          <w:lang w:bidi="ar"/>
        </w:rPr>
      </w:pPr>
      <w:r>
        <w:rPr>
          <w:rStyle w:val="12"/>
          <w:rFonts w:ascii="仿宋_GB2312" w:hAnsi="仿宋_GB2312" w:eastAsia="仿宋_GB2312" w:cs="仿宋_GB2312"/>
          <w:kern w:val="0"/>
          <w:sz w:val="32"/>
          <w:szCs w:val="32"/>
        </w:rPr>
        <w:t>第十</w:t>
      </w:r>
      <w:r>
        <w:rPr>
          <w:rStyle w:val="12"/>
          <w:rFonts w:hint="eastAsia" w:ascii="仿宋_GB2312" w:hAnsi="仿宋_GB2312" w:eastAsia="仿宋_GB2312" w:cs="仿宋_GB2312"/>
          <w:kern w:val="0"/>
          <w:sz w:val="32"/>
          <w:szCs w:val="32"/>
        </w:rPr>
        <w:t>一</w:t>
      </w:r>
      <w:r>
        <w:rPr>
          <w:rStyle w:val="12"/>
          <w:rFonts w:ascii="仿宋_GB2312" w:hAnsi="仿宋_GB2312" w:eastAsia="仿宋_GB2312" w:cs="仿宋_GB2312"/>
          <w:kern w:val="0"/>
          <w:sz w:val="32"/>
          <w:szCs w:val="32"/>
        </w:rPr>
        <w:t>条</w:t>
      </w:r>
      <w:r>
        <w:rPr>
          <w:rStyle w:val="12"/>
          <w:rFonts w:hint="eastAsia" w:ascii="仿宋_GB2312" w:hAnsi="仿宋_GB2312" w:eastAsia="仿宋_GB2312" w:cs="仿宋_GB2312"/>
          <w:kern w:val="0"/>
          <w:sz w:val="32"/>
          <w:szCs w:val="32"/>
        </w:rPr>
        <w:t xml:space="preserve">  </w:t>
      </w:r>
      <w:r>
        <w:rPr>
          <w:rFonts w:hint="eastAsia" w:ascii="仿宋_GB2312" w:eastAsia="仿宋_GB2312"/>
          <w:kern w:val="0"/>
          <w:sz w:val="32"/>
          <w:szCs w:val="32"/>
          <w:lang w:bidi="ar"/>
        </w:rPr>
        <w:t>学校各单位配置资产，要严格按照国家法律、法规和学校规章制度规定的程序进行报批。</w:t>
      </w:r>
    </w:p>
    <w:p>
      <w:pPr>
        <w:pageBreakBefore w:val="0"/>
        <w:kinsoku/>
        <w:wordWrap/>
        <w:overflowPunct/>
        <w:topLinePunct w:val="0"/>
        <w:autoSpaceDE/>
        <w:autoSpaceDN/>
        <w:bidi w:val="0"/>
        <w:spacing w:line="596" w:lineRule="exact"/>
        <w:ind w:firstLine="643" w:firstLineChars="200"/>
        <w:jc w:val="left"/>
        <w:outlineLvl w:val="9"/>
        <w:rPr>
          <w:rFonts w:hint="eastAsia" w:ascii="仿宋_GB2312" w:eastAsia="仿宋_GB2312"/>
          <w:kern w:val="0"/>
          <w:sz w:val="32"/>
          <w:szCs w:val="32"/>
          <w:lang w:bidi="ar"/>
        </w:rPr>
      </w:pPr>
      <w:r>
        <w:rPr>
          <w:rStyle w:val="12"/>
          <w:rFonts w:ascii="仿宋_GB2312" w:hAnsi="仿宋_GB2312" w:eastAsia="仿宋_GB2312" w:cs="仿宋_GB2312"/>
          <w:kern w:val="0"/>
          <w:sz w:val="32"/>
          <w:szCs w:val="32"/>
        </w:rPr>
        <w:t>第十</w:t>
      </w:r>
      <w:r>
        <w:rPr>
          <w:rStyle w:val="12"/>
          <w:rFonts w:hint="eastAsia" w:ascii="仿宋_GB2312" w:hAnsi="仿宋_GB2312" w:eastAsia="仿宋_GB2312" w:cs="仿宋_GB2312"/>
          <w:kern w:val="0"/>
          <w:sz w:val="32"/>
          <w:szCs w:val="32"/>
        </w:rPr>
        <w:t>二</w:t>
      </w:r>
      <w:r>
        <w:rPr>
          <w:rStyle w:val="12"/>
          <w:rFonts w:ascii="仿宋_GB2312" w:hAnsi="仿宋_GB2312" w:eastAsia="仿宋_GB2312" w:cs="仿宋_GB2312"/>
          <w:kern w:val="0"/>
          <w:sz w:val="32"/>
          <w:szCs w:val="32"/>
        </w:rPr>
        <w:t>条</w:t>
      </w:r>
      <w:r>
        <w:rPr>
          <w:rStyle w:val="12"/>
          <w:rFonts w:hint="eastAsia" w:ascii="仿宋_GB2312" w:hAnsi="仿宋_GB2312" w:eastAsia="仿宋_GB2312" w:cs="仿宋_GB2312"/>
          <w:kern w:val="0"/>
          <w:sz w:val="32"/>
          <w:szCs w:val="32"/>
        </w:rPr>
        <w:t xml:space="preserve">  </w:t>
      </w:r>
      <w:r>
        <w:rPr>
          <w:rFonts w:hint="eastAsia" w:ascii="仿宋_GB2312" w:eastAsia="仿宋_GB2312"/>
          <w:kern w:val="0"/>
          <w:sz w:val="32"/>
          <w:szCs w:val="32"/>
          <w:lang w:bidi="ar"/>
        </w:rPr>
        <w:t>学校国有资产配置应当符合规定的配置标准；国家没有规定配置标准的，应当加强论证、从严控制，合理配置。</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eastAsia="仿宋_GB2312"/>
          <w:kern w:val="0"/>
          <w:sz w:val="32"/>
          <w:szCs w:val="32"/>
          <w:lang w:bidi="ar"/>
        </w:rPr>
      </w:pPr>
      <w:r>
        <w:rPr>
          <w:rFonts w:hint="eastAsia" w:ascii="仿宋_GB2312" w:eastAsia="仿宋_GB2312"/>
          <w:kern w:val="0"/>
          <w:sz w:val="32"/>
          <w:szCs w:val="32"/>
          <w:lang w:bidi="ar"/>
        </w:rPr>
        <w:t>学校国有资产配置应当符合以下条件：</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eastAsia="仿宋_GB2312"/>
          <w:kern w:val="0"/>
          <w:sz w:val="32"/>
          <w:szCs w:val="32"/>
          <w:lang w:bidi="ar"/>
        </w:rPr>
      </w:pPr>
      <w:r>
        <w:rPr>
          <w:rFonts w:hint="eastAsia" w:ascii="仿宋_GB2312" w:eastAsia="仿宋_GB2312"/>
          <w:kern w:val="0"/>
          <w:sz w:val="32"/>
          <w:szCs w:val="32"/>
          <w:lang w:bidi="ar"/>
        </w:rPr>
        <w:t>（一）现有资产无法满足学校事业发展的需要；</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kern w:val="0"/>
          <w:sz w:val="32"/>
          <w:szCs w:val="32"/>
          <w:lang w:bidi="ar"/>
        </w:rPr>
        <w:t>（二）难</w:t>
      </w:r>
      <w:r>
        <w:rPr>
          <w:rFonts w:hint="eastAsia" w:ascii="仿宋_GB2312" w:eastAsia="仿宋_GB2312" w:cs="仿宋_GB2312"/>
          <w:kern w:val="0"/>
          <w:sz w:val="32"/>
          <w:szCs w:val="32"/>
          <w:lang w:bidi="ar"/>
        </w:rPr>
        <w:t>以与其他单位共享、共用相关资产；</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（三）其他需要配置相关国有资产的情况。</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hint="eastAsia" w:ascii="仿宋_GB2312" w:hAnsi="仿宋_GB2312" w:eastAsia="仿宋_GB2312"/>
          <w:sz w:val="32"/>
          <w:szCs w:val="32"/>
        </w:rPr>
        <w:t xml:space="preserve">第十三条  </w:t>
      </w:r>
      <w:r>
        <w:rPr>
          <w:rFonts w:hint="eastAsia" w:ascii="仿宋_GB2312" w:eastAsia="仿宋_GB2312" w:cs="仿宋_GB2312"/>
          <w:kern w:val="0"/>
          <w:sz w:val="32"/>
          <w:szCs w:val="32"/>
          <w:lang w:bidi="ar"/>
        </w:rPr>
        <w:t>学校应根据事业发展需求，以资产存量为依据，按照学校资产配置标准，分别编制基本支出年度资产购置计划和项目支出年度资产购置计划，并按照批复的年度部门预算组织实施。</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学校购置纳入政府采购范围的资产，必须按照政府采购管理的有关规定执行。</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学校在资产配置过程中，要建立必要的合同管理制度、法律咨询制度，严格依法签订并履行合同。</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资产配置完成后，有关责任人应及时按国家专业标准及合同条款等进行现场勘验、测试和清点，并填写统一验收单。验收不合格，不得办理结算手续，不得交付使用，并根据合同条款及时向有关责任人提出退货或进行索赔。</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hint="eastAsia" w:ascii="仿宋_GB2312" w:hAnsi="仿宋_GB2312" w:eastAsia="仿宋_GB2312"/>
          <w:sz w:val="32"/>
          <w:szCs w:val="32"/>
        </w:rPr>
        <w:t xml:space="preserve">第十四条  </w:t>
      </w:r>
      <w:r>
        <w:rPr>
          <w:rFonts w:hint="eastAsia" w:ascii="仿宋_GB2312" w:eastAsia="仿宋_GB2312" w:cs="仿宋_GB2312"/>
          <w:kern w:val="0"/>
          <w:sz w:val="32"/>
          <w:szCs w:val="32"/>
          <w:lang w:bidi="ar"/>
        </w:rPr>
        <w:t>学校各单位接受捐赠等方式形成的各类资产属国有资产，由学校依法占有、使用，相关单位应及时办理入账手续，加强管理。</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hint="eastAsia" w:ascii="仿宋_GB2312" w:hAnsi="仿宋_GB2312" w:eastAsia="仿宋_GB2312"/>
          <w:sz w:val="32"/>
          <w:szCs w:val="32"/>
        </w:rPr>
        <w:t>第十五条</w:t>
      </w:r>
      <w:r>
        <w:rPr>
          <w:rFonts w:hint="eastAsia" w:ascii="仿宋_GB2312" w:eastAsia="仿宋_GB2312" w:cs="仿宋_GB2312"/>
          <w:kern w:val="0"/>
          <w:sz w:val="32"/>
          <w:szCs w:val="32"/>
          <w:lang w:bidi="ar"/>
        </w:rPr>
        <w:t xml:space="preserve">  学校各单位国有资产的使用首先保证自身事业发展的需要。对于长期闲置、低效运转或者超标准配置的资产，原则上由学校进行内部调剂。</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hint="eastAsia" w:ascii="仿宋_GB2312" w:hAnsi="仿宋_GB2312" w:eastAsia="仿宋_GB2312"/>
          <w:sz w:val="32"/>
          <w:szCs w:val="32"/>
        </w:rPr>
        <w:t xml:space="preserve">第十六条  </w:t>
      </w:r>
      <w:r>
        <w:rPr>
          <w:rFonts w:hint="eastAsia" w:ascii="仿宋_GB2312" w:eastAsia="仿宋_GB2312" w:cs="仿宋_GB2312"/>
          <w:kern w:val="0"/>
          <w:sz w:val="32"/>
          <w:szCs w:val="32"/>
          <w:lang w:bidi="ar"/>
        </w:rPr>
        <w:t>学校各单位应当建立健全资产购置、验收、入账、保管、领用、使用、维护等内部管理制度。对实物资产进行定期清查，做到账账、账卡、账实相符。</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hint="eastAsia" w:ascii="仿宋_GB2312" w:hAnsi="仿宋_GB2312" w:eastAsia="仿宋_GB2312"/>
          <w:sz w:val="32"/>
          <w:szCs w:val="32"/>
        </w:rPr>
        <w:t xml:space="preserve">第十七条  </w:t>
      </w:r>
      <w:r>
        <w:rPr>
          <w:rFonts w:hint="eastAsia" w:ascii="仿宋_GB2312" w:eastAsia="仿宋_GB2312" w:cs="仿宋_GB2312"/>
          <w:kern w:val="0"/>
          <w:sz w:val="32"/>
          <w:szCs w:val="32"/>
          <w:lang w:bidi="ar"/>
        </w:rPr>
        <w:t>学校各国有资产归口管理部门应当坚持安全完整与注重绩效相结合的原则，建立国有资产有偿使用制度，积极推进国有资产整合与共享共用，提高国有资产使用效益。</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hint="eastAsia" w:ascii="仿宋_GB2312" w:hAnsi="仿宋_GB2312" w:eastAsia="仿宋_GB2312"/>
          <w:sz w:val="32"/>
          <w:szCs w:val="32"/>
        </w:rPr>
        <w:t>第十八条</w:t>
      </w:r>
      <w:r>
        <w:rPr>
          <w:rStyle w:val="12"/>
          <w:rFonts w:hint="eastAsia" w:hAnsi="仿宋_GB2312"/>
        </w:rPr>
        <w:t xml:space="preserve">  </w:t>
      </w:r>
      <w:r>
        <w:rPr>
          <w:rFonts w:hint="eastAsia" w:ascii="仿宋_GB2312" w:eastAsia="仿宋_GB2312" w:cs="仿宋_GB2312"/>
          <w:kern w:val="0"/>
          <w:sz w:val="32"/>
          <w:szCs w:val="32"/>
          <w:lang w:bidi="ar"/>
        </w:rPr>
        <w:t>学校各归口管理部门和二级管理单位申报国有资产使用事项时，应对提交材料的真实性、有效性、准确性负责。</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bookmarkStart w:id="1573" w:name="23"/>
      <w:bookmarkEnd w:id="1573"/>
      <w:r>
        <w:rPr>
          <w:rStyle w:val="12"/>
          <w:rFonts w:hint="eastAsia" w:ascii="仿宋_GB2312" w:hAnsi="仿宋_GB2312" w:eastAsia="仿宋_GB2312"/>
          <w:sz w:val="32"/>
          <w:szCs w:val="32"/>
        </w:rPr>
        <w:t>第十九条</w:t>
      </w:r>
      <w:r>
        <w:rPr>
          <w:rStyle w:val="12"/>
          <w:rFonts w:hint="eastAsia" w:ascii="宋体" w:hAnsi="宋体" w:cs="宋体"/>
          <w:sz w:val="32"/>
          <w:szCs w:val="32"/>
        </w:rPr>
        <w:t xml:space="preserve">  </w:t>
      </w:r>
      <w:r>
        <w:rPr>
          <w:rFonts w:hint="eastAsia" w:ascii="仿宋_GB2312" w:eastAsia="仿宋_GB2312" w:cs="仿宋_GB2312"/>
          <w:kern w:val="0"/>
          <w:sz w:val="32"/>
          <w:szCs w:val="32"/>
          <w:lang w:bidi="ar"/>
        </w:rPr>
        <w:t>学校各级单位及个人不得将其占有、使用的国有资产作为抵押物对外抵押或担保，不得为任何单位或个人的经济活动提供担保。国家另有规定的，从其规定。</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学校各级资产管理单位未经批准，不得擅自利用学校国有资产从事对外投资、出租、出借等经济活动。</w:t>
      </w:r>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Style w:val="12"/>
          <w:rFonts w:hint="eastAsia" w:ascii="仿宋_GB2312" w:hAnsi="仿宋_GB2312" w:eastAsia="仿宋_GB2312"/>
          <w:sz w:val="32"/>
          <w:szCs w:val="32"/>
        </w:rPr>
        <w:t>第二十条</w:t>
      </w:r>
      <w:r>
        <w:rPr>
          <w:rStyle w:val="12"/>
          <w:rFonts w:hint="eastAsia" w:ascii="宋体" w:hAnsi="宋体" w:cs="宋体"/>
          <w:sz w:val="32"/>
          <w:szCs w:val="32"/>
        </w:rPr>
        <w:t xml:space="preserve">  </w:t>
      </w:r>
      <w:r>
        <w:rPr>
          <w:rFonts w:hint="eastAsia" w:ascii="仿宋_GB2312" w:eastAsia="仿宋_GB2312" w:cs="仿宋_GB2312"/>
          <w:kern w:val="0"/>
          <w:sz w:val="32"/>
          <w:szCs w:val="32"/>
          <w:lang w:bidi="ar"/>
        </w:rPr>
        <w:t>按照国家法律法规和有关规定，学校鼓励利用科研成果等无形资产实施科技成果转化。</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仿宋_GB2312"/>
          <w:color w:val="FF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74" w:name="_Toc5578_WPSOffice_Level1"/>
      <w:r>
        <w:rPr>
          <w:rFonts w:hint="eastAsia" w:ascii="黑体" w:hAnsi="黑体" w:eastAsia="黑体"/>
          <w:b/>
          <w:sz w:val="32"/>
          <w:szCs w:val="32"/>
        </w:rPr>
        <w:t>第四章  资产处置</w:t>
      </w:r>
      <w:bookmarkEnd w:id="1574"/>
    </w:p>
    <w:p>
      <w:pPr>
        <w:pageBreakBefore w:val="0"/>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 xml:space="preserve">第二十一条  </w:t>
      </w:r>
      <w:r>
        <w:rPr>
          <w:rFonts w:hint="eastAsia" w:ascii="仿宋_GB2312" w:eastAsia="仿宋_GB2312" w:cs="仿宋_GB2312"/>
          <w:kern w:val="0"/>
          <w:sz w:val="32"/>
          <w:szCs w:val="32"/>
          <w:lang w:bidi="ar"/>
        </w:rPr>
        <w:t>学校国有资产处置，是指学校对其占有、使用的国有资产进行产权转让或者注销产权的行为。处置范围包括：报废、淘汰的资产，产权或使用权转移的资产，盘亏、呆账及非正常损失的资产，闲置、拟置换的资产，以及依照国家有关规定需要处置的其他资产。</w:t>
      </w:r>
    </w:p>
    <w:p>
      <w:pPr>
        <w:pageBreakBefore w:val="0"/>
        <w:tabs>
          <w:tab w:val="left" w:pos="2270"/>
        </w:tabs>
        <w:kinsoku/>
        <w:wordWrap/>
        <w:overflowPunct/>
        <w:topLinePunct w:val="0"/>
        <w:autoSpaceDE/>
        <w:autoSpaceDN/>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kern w:val="0"/>
          <w:sz w:val="32"/>
          <w:szCs w:val="32"/>
          <w:lang w:bidi="ar"/>
        </w:rPr>
        <w:t>处置方式包括：报废、报损、出售、出让、转让（含股权减持）、无偿调拨（划转）、对外捐赠、置换、货币性资产损失核销等。</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b/>
          <w:kern w:val="0"/>
          <w:sz w:val="32"/>
          <w:szCs w:val="32"/>
          <w:lang w:bidi="ar"/>
        </w:rPr>
        <w:t>第二十二条</w:t>
      </w:r>
      <w:r>
        <w:rPr>
          <w:rFonts w:hint="eastAsia" w:ascii="仿宋_GB2312" w:eastAsia="仿宋_GB2312"/>
          <w:kern w:val="0"/>
          <w:sz w:val="32"/>
          <w:szCs w:val="32"/>
          <w:lang w:bidi="ar"/>
        </w:rPr>
        <w:t xml:space="preserve">  </w:t>
      </w:r>
      <w:r>
        <w:rPr>
          <w:rFonts w:hint="eastAsia" w:ascii="仿宋_GB2312" w:eastAsia="仿宋_GB2312" w:cs="仿宋_GB2312"/>
          <w:kern w:val="0"/>
          <w:sz w:val="32"/>
          <w:szCs w:val="32"/>
          <w:lang w:bidi="ar"/>
        </w:rPr>
        <w:t>学校各单位处置的资产应当权属清晰。严格遵循公开、公正、公平的原则，严格履行审批手续，未经批准，不得擅自处置。</w:t>
      </w:r>
    </w:p>
    <w:p>
      <w:pPr>
        <w:pageBreakBefore w:val="0"/>
        <w:tabs>
          <w:tab w:val="left" w:pos="2270"/>
        </w:tabs>
        <w:kinsoku/>
        <w:wordWrap/>
        <w:overflowPunct/>
        <w:topLinePunct w:val="0"/>
        <w:autoSpaceDE/>
        <w:autoSpaceDN/>
        <w:bidi w:val="0"/>
        <w:spacing w:line="596" w:lineRule="exact"/>
        <w:ind w:firstLine="643" w:firstLineChars="200"/>
        <w:jc w:val="left"/>
        <w:outlineLvl w:val="9"/>
        <w:rPr>
          <w:rFonts w:hint="eastAsia" w:ascii="仿宋_GB2312" w:eastAsia="仿宋_GB2312"/>
          <w:kern w:val="0"/>
          <w:sz w:val="32"/>
          <w:szCs w:val="32"/>
          <w:lang w:bidi="ar"/>
        </w:rPr>
      </w:pPr>
      <w:r>
        <w:rPr>
          <w:rFonts w:hint="eastAsia" w:ascii="仿宋_GB2312" w:eastAsia="仿宋_GB2312"/>
          <w:b/>
          <w:kern w:val="0"/>
          <w:sz w:val="32"/>
          <w:szCs w:val="32"/>
          <w:lang w:bidi="ar"/>
        </w:rPr>
        <w:t>第二十三条</w:t>
      </w:r>
      <w:r>
        <w:rPr>
          <w:rFonts w:hint="eastAsia" w:ascii="仿宋_GB2312" w:eastAsia="仿宋_GB2312"/>
          <w:kern w:val="0"/>
          <w:sz w:val="32"/>
          <w:szCs w:val="32"/>
          <w:lang w:bidi="ar"/>
        </w:rPr>
        <w:t xml:space="preserve">  学校各部门处置国有资产时，应向资产归口管理部门提出申请，按照审批权限，进行逐级审批，并向上级主管部门报批报备后方可执行。未经批准，任何部门和个人不得自行处置。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第二十四条</w:t>
      </w:r>
      <w:r>
        <w:rPr>
          <w:rFonts w:hint="eastAsia" w:ascii="仿宋_GB2312" w:eastAsia="仿宋_GB2312" w:cs="仿宋_GB2312"/>
          <w:sz w:val="32"/>
          <w:szCs w:val="32"/>
        </w:rPr>
        <w:t xml:space="preserve">  学校各部门和归口管理部门申报国有资产处置事项时，应对提交材料的真实性、有效性、准确性负责。</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第二十五条  </w:t>
      </w:r>
      <w:r>
        <w:rPr>
          <w:rFonts w:hint="eastAsia" w:ascii="仿宋_GB2312" w:eastAsia="仿宋_GB2312" w:cs="仿宋_GB2312"/>
          <w:sz w:val="32"/>
          <w:szCs w:val="32"/>
        </w:rPr>
        <w:t>学校资产处置遵循公开、公平、公正的原则。学校出售、出让、转让资产数量较多或者价值较高的，应当通过招标、拍卖等市场竞价方式公开处置。</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第二十六条</w:t>
      </w:r>
      <w:r>
        <w:rPr>
          <w:rFonts w:hint="eastAsia" w:ascii="仿宋_GB2312" w:eastAsia="仿宋_GB2312" w:cs="仿宋_GB2312"/>
          <w:sz w:val="32"/>
          <w:szCs w:val="32"/>
        </w:rPr>
        <w:t xml:space="preserve">  学校各部门应根据上级主管部门国有资产处置的批复办理产权变动及账务处理有关工作。</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第二十七条  </w:t>
      </w:r>
      <w:r>
        <w:rPr>
          <w:rFonts w:hint="eastAsia" w:ascii="仿宋_GB2312" w:eastAsia="仿宋_GB2312" w:cs="仿宋_GB2312"/>
          <w:sz w:val="32"/>
          <w:szCs w:val="32"/>
        </w:rPr>
        <w:t>学校国有资产处置收入统一按照财政部门的规定上缴国库，实行“收支两条线”管理。</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75" w:name="_Toc4994_WPSOffice_Level1"/>
      <w:r>
        <w:rPr>
          <w:rFonts w:hint="eastAsia" w:ascii="黑体" w:hAnsi="黑体" w:eastAsia="黑体"/>
          <w:b/>
          <w:sz w:val="32"/>
          <w:szCs w:val="32"/>
        </w:rPr>
        <w:t>第五章  资产评估与资产清查</w:t>
      </w:r>
      <w:bookmarkEnd w:id="1575"/>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第二十八条  </w:t>
      </w:r>
      <w:r>
        <w:rPr>
          <w:rFonts w:hint="eastAsia" w:ascii="仿宋_GB2312" w:eastAsia="仿宋_GB2312" w:cs="仿宋_GB2312"/>
          <w:sz w:val="32"/>
          <w:szCs w:val="32"/>
        </w:rPr>
        <w:t>有下列情形之一的，学校应当对相关国有资产进行评估：</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 xml:space="preserve">（一）以非货币性资产对外投资；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 xml:space="preserve">（二）资产拍卖、转让、置换；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 xml:space="preserve">（三）确定涉讼资产价值；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 xml:space="preserve">（四）整体或部分资产租赁给非国有单位；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（五）依照国家规定必须进行资产评估的其他情形。</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第二十九条</w:t>
      </w:r>
      <w:r>
        <w:rPr>
          <w:rFonts w:hint="eastAsia" w:ascii="仿宋_GB2312" w:eastAsia="仿宋_GB2312" w:cs="仿宋_GB2312"/>
          <w:sz w:val="32"/>
          <w:szCs w:val="32"/>
        </w:rPr>
        <w:t xml:space="preserve">  有下列情形之一的，学校可以不进行资产评估：</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（一）学校整体或者部分资产无偿划转；</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（二）学校与其他行政、事业单位下属的事业单位之间的合并、资产划转、置换和转让；</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（三）其他不影响国有资产权益的特殊产权变动行为，报经教育部确认可以不进行资产评估的。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第三十条  </w:t>
      </w:r>
      <w:r>
        <w:rPr>
          <w:rFonts w:hint="eastAsia" w:ascii="仿宋_GB2312" w:eastAsia="仿宋_GB2312" w:cs="仿宋_GB2312"/>
          <w:sz w:val="32"/>
          <w:szCs w:val="32"/>
        </w:rPr>
        <w:t xml:space="preserve">资产归口管理部门组织学校资产评估的工作，由后勤与资产管理处监督审核。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第三十一条</w:t>
      </w:r>
      <w:r>
        <w:rPr>
          <w:rFonts w:hint="eastAsia" w:ascii="仿宋_GB2312" w:eastAsia="仿宋_GB2312" w:cs="仿宋_GB2312"/>
          <w:sz w:val="32"/>
          <w:szCs w:val="32"/>
        </w:rPr>
        <w:t xml:space="preserve">  对拟进行评估的学校国有资产，有关部门和人员必须提供真实、准确、完整和充分的材料，保证评估价值的客观、公平。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第三十二条  </w:t>
      </w:r>
      <w:r>
        <w:rPr>
          <w:rFonts w:hint="eastAsia" w:ascii="仿宋_GB2312" w:eastAsia="仿宋_GB2312" w:cs="仿宋_GB2312"/>
          <w:sz w:val="32"/>
          <w:szCs w:val="32"/>
        </w:rPr>
        <w:t>资产清查工作按照财政部《行政事业单位资产清查暂行办法》（财办〔2006〕52号）、《行政事业单位资产核实暂行办法》（财办〔2007〕19号）有关规定执行，国家另有规定的，从其规定。</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第三十三条  </w:t>
      </w:r>
      <w:r>
        <w:rPr>
          <w:rFonts w:hint="eastAsia" w:ascii="仿宋_GB2312" w:eastAsia="仿宋_GB2312" w:cs="仿宋_GB2312"/>
          <w:sz w:val="32"/>
          <w:szCs w:val="32"/>
        </w:rPr>
        <w:t>学校资产清查内容包括：基本情况清理、账务清理、财产清查、损溢认定、资产核实和完善制度等。学校有下列情形之一，应当进行资产清查：</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（一）根据各级政府及其财政部门专项工作要求，纳入统一组织的资产清查范围的；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（二）进行重大改革或者改制的；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（三）遭受重大自然灾害等不可抗力造成资产严重损失的；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 xml:space="preserve">（四）会计信息严重失真或者国有资产出现重大流失的；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 xml:space="preserve">（五）会计政策发生重大变更，涉及资产核算方法发生重要变化的；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sz w:val="32"/>
          <w:szCs w:val="32"/>
        </w:rPr>
        <w:t>（六）财政部门认为应当进行资产清查的其他情形。</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第三十四条</w:t>
      </w:r>
      <w:r>
        <w:rPr>
          <w:rFonts w:hint="eastAsia" w:ascii="仿宋_GB2312" w:eastAsia="仿宋_GB2312" w:cs="仿宋_GB2312"/>
          <w:sz w:val="32"/>
          <w:szCs w:val="32"/>
        </w:rPr>
        <w:t xml:space="preserve">  学校按照国家有关规定开展清产核资工作。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第三十五条</w:t>
      </w:r>
      <w:r>
        <w:rPr>
          <w:rFonts w:hint="eastAsia" w:ascii="仿宋_GB2312" w:eastAsia="仿宋_GB2312" w:cs="仿宋_GB2312"/>
          <w:sz w:val="32"/>
          <w:szCs w:val="32"/>
        </w:rPr>
        <w:t xml:space="preserve">  学校及所属单位开展清产核资时，应积极组织力量或成立专门机构清理和追索不良资产和债权，避免国有资产流失。对经上级主管部门批复同意核销的各项不良债权和投资以及实物资产损失，实行账销案存管理。 </w:t>
      </w:r>
    </w:p>
    <w:p>
      <w:pPr>
        <w:pageBreakBefore w:val="0"/>
        <w:tabs>
          <w:tab w:val="left" w:pos="2270"/>
        </w:tabs>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仿宋_GB2312"/>
          <w:color w:val="FF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76" w:name="_Toc3263_WPSOffice_Level1"/>
      <w:r>
        <w:rPr>
          <w:rFonts w:hint="eastAsia" w:ascii="黑体" w:hAnsi="黑体" w:eastAsia="黑体"/>
          <w:b/>
          <w:sz w:val="32"/>
          <w:szCs w:val="32"/>
        </w:rPr>
        <w:t>第六章  资产报告</w:t>
      </w:r>
      <w:bookmarkEnd w:id="1576"/>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第三十六条  </w:t>
      </w:r>
      <w:r>
        <w:rPr>
          <w:rFonts w:hint="eastAsia" w:ascii="仿宋_GB2312" w:eastAsia="仿宋_GB2312" w:cs="仿宋_GB2312"/>
          <w:sz w:val="32"/>
          <w:szCs w:val="32"/>
        </w:rPr>
        <w:t>根据学校国有资产管</w:t>
      </w:r>
      <w:bookmarkStart w:id="1577" w:name="_Toc8862_WPSOffice_Level1"/>
      <w:r>
        <w:rPr>
          <w:rFonts w:hint="eastAsia" w:ascii="仿宋_GB2312" w:eastAsia="仿宋_GB2312" w:cs="仿宋_GB2312"/>
          <w:sz w:val="32"/>
          <w:szCs w:val="32"/>
        </w:rPr>
        <w:t>理信息化的要求，各部门应通过学校国有资产综合管理信息系统</w:t>
      </w:r>
      <w:bookmarkEnd w:id="1577"/>
      <w:r>
        <w:rPr>
          <w:rFonts w:hint="eastAsia" w:ascii="仿宋_GB2312" w:eastAsia="仿宋_GB2312" w:cs="仿宋_GB2312"/>
          <w:sz w:val="32"/>
          <w:szCs w:val="32"/>
        </w:rPr>
        <w:t>，及时录入相关数据信息，加强国有资产的动态监管，并在此基础上组织国有资产的统计和信息报告工作。</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第三十七条  </w:t>
      </w:r>
      <w:r>
        <w:rPr>
          <w:rFonts w:hint="eastAsia" w:ascii="仿宋_GB2312" w:eastAsia="仿宋_GB2312" w:cs="仿宋_GB2312"/>
          <w:sz w:val="32"/>
          <w:szCs w:val="32"/>
        </w:rPr>
        <w:t xml:space="preserve">学校对占有、使用的国有资产要严格按照上级有关部门有关要求和规定的报表格式,实行定期统计、报告制度。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第三十八条  </w:t>
      </w:r>
      <w:r>
        <w:rPr>
          <w:rFonts w:hint="eastAsia" w:ascii="仿宋_GB2312" w:eastAsia="仿宋_GB2312" w:cs="仿宋_GB2312"/>
          <w:sz w:val="32"/>
          <w:szCs w:val="32"/>
        </w:rPr>
        <w:t xml:space="preserve">在报送报表时应做到内容完整、数字准确、报告及时。对学校资产变动、使用和结存等情况，管理部门和使用单位必须按要求提供文字分析说明。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b/>
          <w:sz w:val="32"/>
          <w:szCs w:val="32"/>
        </w:rPr>
        <w:t xml:space="preserve">第三十九条  </w:t>
      </w:r>
      <w:r>
        <w:rPr>
          <w:rFonts w:hint="eastAsia" w:ascii="仿宋_GB2312" w:eastAsia="仿宋_GB2312" w:cs="仿宋_GB2312"/>
          <w:sz w:val="32"/>
          <w:szCs w:val="32"/>
        </w:rPr>
        <w:t>学校国有资产各归口管理单位应定期编制报告归口资产存量的构成、增减变化等情况。</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78" w:name="_Toc6284_WPSOffice_Level1"/>
      <w:r>
        <w:rPr>
          <w:rFonts w:hint="eastAsia" w:ascii="黑体" w:hAnsi="黑体" w:eastAsia="黑体"/>
          <w:b/>
          <w:sz w:val="32"/>
          <w:szCs w:val="32"/>
        </w:rPr>
        <w:t>第七章  校企合作资产管理</w:t>
      </w:r>
      <w:bookmarkEnd w:id="1578"/>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kern w:val="0"/>
          <w:sz w:val="32"/>
          <w:szCs w:val="32"/>
          <w:lang w:bidi="ar"/>
        </w:rPr>
      </w:pPr>
      <w:r>
        <w:rPr>
          <w:rFonts w:hint="eastAsia" w:ascii="仿宋_GB2312" w:eastAsia="仿宋_GB2312"/>
          <w:b/>
          <w:kern w:val="0"/>
          <w:sz w:val="32"/>
          <w:szCs w:val="32"/>
          <w:lang w:bidi="ar"/>
        </w:rPr>
        <w:t xml:space="preserve">第四十条  </w:t>
      </w:r>
      <w:r>
        <w:rPr>
          <w:rFonts w:hint="eastAsia" w:ascii="仿宋_GB2312" w:eastAsia="仿宋_GB2312" w:cs="仿宋_GB2312"/>
          <w:kern w:val="0"/>
          <w:sz w:val="32"/>
          <w:szCs w:val="32"/>
          <w:lang w:bidi="ar"/>
        </w:rPr>
        <w:t>学校与企业合作采购的资产，所有权属于学校资产放在企业方的资产，执行本办法。该类校企合作资产管理的责任部门为校企合作协议中明确的负责校企合作项目实施的二级学院或相关处室，相关部门要把国有资产的管理责任落实到人，管理办法与校内资产一致。同时，</w:t>
      </w:r>
      <w:r>
        <w:rPr>
          <w:rFonts w:hint="eastAsia" w:ascii="仿宋_GB2312" w:eastAsia="仿宋_GB2312"/>
          <w:kern w:val="0"/>
          <w:sz w:val="32"/>
          <w:szCs w:val="32"/>
          <w:lang w:bidi="ar"/>
        </w:rPr>
        <w:t>资产的清理清查、报送本单位国有资产的统计报表时都应将其包含在内，且执行校内的处置办法，企业不得擅自处置学校资产。</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b/>
          <w:kern w:val="0"/>
          <w:sz w:val="32"/>
          <w:szCs w:val="32"/>
          <w:lang w:bidi="ar"/>
        </w:rPr>
        <w:t>第四十一条</w:t>
      </w:r>
      <w:r>
        <w:rPr>
          <w:rFonts w:hint="eastAsia" w:ascii="仿宋_GB2312" w:eastAsia="仿宋_GB2312"/>
          <w:kern w:val="0"/>
          <w:sz w:val="32"/>
          <w:szCs w:val="32"/>
          <w:lang w:bidi="ar"/>
        </w:rPr>
        <w:t xml:space="preserve">  学校与企业合作的资产，所有权不属于学校的，由该项资产合作管理的部门（学校二级学院、业务归口部门科技处、社区学院、教务处等）具体负责资产的日常使用、维护管理。该类资产的处置权利按校企合作协议执行或由产权人决定。</w:t>
      </w:r>
    </w:p>
    <w:p>
      <w:pPr>
        <w:pageBreakBefore w:val="0"/>
        <w:tabs>
          <w:tab w:val="left" w:pos="2270"/>
        </w:tabs>
        <w:kinsoku/>
        <w:wordWrap/>
        <w:overflowPunct/>
        <w:topLinePunct w:val="0"/>
        <w:autoSpaceDE/>
        <w:autoSpaceDN/>
        <w:bidi w:val="0"/>
        <w:spacing w:line="596" w:lineRule="exact"/>
        <w:jc w:val="center"/>
        <w:outlineLvl w:val="9"/>
        <w:rPr>
          <w:rFonts w:hint="eastAsia" w:ascii="仿宋_GB2312" w:hAnsi="宋体" w:eastAsia="仿宋_GB2312" w:cs="Arial"/>
          <w:b/>
          <w:kern w:val="0"/>
          <w:sz w:val="32"/>
          <w:szCs w:val="32"/>
          <w:lang w:bidi="ar"/>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79" w:name="_Toc25225_WPSOffice_Level1"/>
      <w:r>
        <w:rPr>
          <w:rFonts w:hint="eastAsia" w:ascii="黑体" w:hAnsi="黑体" w:eastAsia="黑体"/>
          <w:b/>
          <w:sz w:val="32"/>
          <w:szCs w:val="32"/>
        </w:rPr>
        <w:t>第八章  绩效考核</w:t>
      </w:r>
      <w:bookmarkEnd w:id="1579"/>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kern w:val="0"/>
          <w:sz w:val="32"/>
          <w:szCs w:val="32"/>
          <w:lang w:bidi="ar"/>
        </w:rPr>
      </w:pPr>
      <w:r>
        <w:rPr>
          <w:rFonts w:hint="eastAsia" w:ascii="仿宋_GB2312" w:eastAsia="仿宋_GB2312"/>
          <w:b/>
          <w:kern w:val="0"/>
          <w:sz w:val="32"/>
          <w:szCs w:val="32"/>
          <w:lang w:bidi="ar"/>
        </w:rPr>
        <w:t xml:space="preserve">第四十二条  </w:t>
      </w:r>
      <w:r>
        <w:rPr>
          <w:rFonts w:hint="eastAsia" w:ascii="仿宋_GB2312" w:eastAsia="仿宋_GB2312"/>
          <w:kern w:val="0"/>
          <w:sz w:val="32"/>
          <w:szCs w:val="32"/>
          <w:lang w:bidi="ar"/>
        </w:rPr>
        <w:t>学校国有资产管理绩效考核是指利用国有资产统计信息、资产管理信息化数据库等资料，运用一定的方法、指标及标准，科学考核和评价学校各级管理单位国有资产管理效益的行为。</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b/>
          <w:kern w:val="0"/>
          <w:sz w:val="32"/>
          <w:szCs w:val="32"/>
          <w:lang w:bidi="ar"/>
        </w:rPr>
        <w:t xml:space="preserve">第四十三条   </w:t>
      </w:r>
      <w:r>
        <w:rPr>
          <w:rFonts w:hint="eastAsia" w:ascii="仿宋_GB2312" w:eastAsia="仿宋_GB2312"/>
          <w:kern w:val="0"/>
          <w:sz w:val="32"/>
          <w:szCs w:val="32"/>
          <w:lang w:bidi="ar"/>
        </w:rPr>
        <w:t>学校逐步建立和</w:t>
      </w:r>
      <w:r>
        <w:rPr>
          <w:rFonts w:hint="eastAsia" w:ascii="仿宋_GB2312" w:eastAsia="仿宋_GB2312" w:cs="仿宋_GB2312"/>
          <w:kern w:val="0"/>
          <w:sz w:val="32"/>
          <w:szCs w:val="32"/>
          <w:lang w:bidi="ar"/>
        </w:rPr>
        <w:t>完善对学校各部门国有资产管理绩效考核制度和考核体系，按照社会效益和经济效益相结合的原则，通过科学合理、客观公正、规范可行的方法、标准和程序，真实地反映和评价各单位国有资产管理绩效。</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b/>
          <w:kern w:val="0"/>
          <w:sz w:val="32"/>
          <w:szCs w:val="32"/>
          <w:lang w:bidi="ar"/>
        </w:rPr>
        <w:t>第四十四条</w:t>
      </w:r>
      <w:r>
        <w:rPr>
          <w:rFonts w:hint="eastAsia" w:ascii="仿宋_GB2312" w:eastAsia="仿宋_GB2312"/>
          <w:kern w:val="0"/>
          <w:sz w:val="32"/>
          <w:szCs w:val="32"/>
          <w:lang w:bidi="ar"/>
        </w:rPr>
        <w:t xml:space="preserve">  </w:t>
      </w:r>
      <w:r>
        <w:rPr>
          <w:rFonts w:hint="eastAsia" w:ascii="仿宋_GB2312" w:eastAsia="仿宋_GB2312" w:cs="仿宋_GB2312"/>
          <w:kern w:val="0"/>
          <w:sz w:val="32"/>
          <w:szCs w:val="32"/>
          <w:lang w:bidi="ar"/>
        </w:rPr>
        <w:t>学校国有资产管理绩效考核包括各单位国有资产管理的基础工作，国有资产管理制度建设，国有资产配置、使用和处置等主要内容。</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b/>
          <w:kern w:val="0"/>
          <w:sz w:val="32"/>
          <w:szCs w:val="32"/>
          <w:lang w:bidi="ar"/>
        </w:rPr>
        <w:t>第四十五条</w:t>
      </w:r>
      <w:r>
        <w:rPr>
          <w:rFonts w:hint="eastAsia" w:ascii="仿宋_GB2312" w:eastAsia="仿宋_GB2312"/>
          <w:kern w:val="0"/>
          <w:sz w:val="32"/>
          <w:szCs w:val="32"/>
          <w:lang w:bidi="ar"/>
        </w:rPr>
        <w:t xml:space="preserve">  </w:t>
      </w:r>
      <w:r>
        <w:rPr>
          <w:rFonts w:hint="eastAsia" w:ascii="仿宋_GB2312" w:eastAsia="仿宋_GB2312" w:cs="仿宋_GB2312"/>
          <w:kern w:val="0"/>
          <w:sz w:val="32"/>
          <w:szCs w:val="32"/>
          <w:lang w:bidi="ar"/>
        </w:rPr>
        <w:t>学校国有资产管理绩效考核坚持分类考核与综合考核相结合，日常考核与年终考核相结合，绩效考核与预算考评相结合，采用多元化的指标体系和科学的方式方法，不断提高学校国有资产的安全性、完整性和有效性。</w:t>
      </w:r>
    </w:p>
    <w:p>
      <w:pPr>
        <w:pageBreakBefore w:val="0"/>
        <w:tabs>
          <w:tab w:val="left" w:pos="2270"/>
        </w:tabs>
        <w:kinsoku/>
        <w:wordWrap/>
        <w:overflowPunct/>
        <w:topLinePunct w:val="0"/>
        <w:autoSpaceDE/>
        <w:autoSpaceDN/>
        <w:bidi w:val="0"/>
        <w:spacing w:line="596" w:lineRule="exact"/>
        <w:ind w:firstLine="570"/>
        <w:jc w:val="left"/>
        <w:outlineLvl w:val="9"/>
        <w:rPr>
          <w:rFonts w:hint="eastAsia" w:ascii="仿宋_GB2312" w:hAnsi="宋体" w:eastAsia="仿宋_GB2312" w:cs="仿宋_GB2312"/>
          <w:color w:val="FF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80" w:name="_Toc9677_WPSOffice_Level1"/>
      <w:r>
        <w:rPr>
          <w:rFonts w:hint="eastAsia" w:ascii="黑体" w:hAnsi="黑体" w:eastAsia="黑体"/>
          <w:b/>
          <w:sz w:val="32"/>
          <w:szCs w:val="32"/>
        </w:rPr>
        <w:t>第九章  监督检查</w:t>
      </w:r>
      <w:bookmarkEnd w:id="1580"/>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kern w:val="0"/>
          <w:sz w:val="32"/>
          <w:szCs w:val="32"/>
          <w:lang w:bidi="ar"/>
        </w:rPr>
      </w:pPr>
      <w:r>
        <w:rPr>
          <w:rFonts w:hint="eastAsia" w:ascii="仿宋_GB2312" w:eastAsia="仿宋_GB2312"/>
          <w:b/>
          <w:kern w:val="0"/>
          <w:sz w:val="32"/>
          <w:szCs w:val="32"/>
          <w:lang w:bidi="ar"/>
        </w:rPr>
        <w:t xml:space="preserve">第四十六条  </w:t>
      </w:r>
      <w:r>
        <w:rPr>
          <w:rFonts w:hint="eastAsia" w:ascii="仿宋_GB2312" w:eastAsia="仿宋_GB2312"/>
          <w:kern w:val="0"/>
          <w:sz w:val="32"/>
          <w:szCs w:val="32"/>
          <w:lang w:bidi="ar"/>
        </w:rPr>
        <w:t xml:space="preserve">内部审计与督导室对学校资产进行统一监督管理，对学校各归口管理部门执行国家及学校资产管理有关法规制度的情况进行监督。 </w:t>
      </w:r>
    </w:p>
    <w:p>
      <w:pPr>
        <w:pageBreakBefore w:val="0"/>
        <w:tabs>
          <w:tab w:val="left" w:pos="1985"/>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纪检监察室、内部审计与督导室、财务处等部门应发挥各自的监督职能，并强化协作联动监督，维护国有资产的安全完整和合法权益。 </w:t>
      </w:r>
    </w:p>
    <w:p>
      <w:pPr>
        <w:pageBreakBefore w:val="0"/>
        <w:tabs>
          <w:tab w:val="left" w:pos="1985"/>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各资产归口管理部门对所管理范围内的国有资产实施监督。 </w:t>
      </w:r>
    </w:p>
    <w:p>
      <w:pPr>
        <w:pageBreakBefore w:val="0"/>
        <w:tabs>
          <w:tab w:val="left" w:pos="1985"/>
        </w:tabs>
        <w:kinsoku/>
        <w:wordWrap/>
        <w:overflowPunct/>
        <w:topLinePunct w:val="0"/>
        <w:autoSpaceDE/>
        <w:autoSpaceDN/>
        <w:bidi w:val="0"/>
        <w:spacing w:line="596" w:lineRule="exact"/>
        <w:ind w:firstLine="640"/>
        <w:jc w:val="left"/>
        <w:outlineLvl w:val="9"/>
        <w:rPr>
          <w:rFonts w:hint="eastAsia" w:ascii="仿宋_GB2312" w:eastAsia="仿宋_GB2312" w:cs="仿宋_GB2312"/>
          <w:sz w:val="32"/>
          <w:szCs w:val="32"/>
        </w:rPr>
      </w:pPr>
      <w:r>
        <w:rPr>
          <w:rFonts w:hint="eastAsia" w:ascii="仿宋_GB2312" w:eastAsia="仿宋_GB2312" w:cs="仿宋_GB2312"/>
          <w:kern w:val="0"/>
          <w:sz w:val="32"/>
          <w:szCs w:val="32"/>
          <w:lang w:bidi="ar"/>
        </w:rPr>
        <w:t xml:space="preserve">各资产占有、使用单位要建立健全内部监督管理制度。  </w:t>
      </w:r>
    </w:p>
    <w:p>
      <w:pPr>
        <w:pageBreakBefore w:val="0"/>
        <w:tabs>
          <w:tab w:val="left" w:pos="1985"/>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b/>
          <w:kern w:val="0"/>
          <w:sz w:val="32"/>
          <w:szCs w:val="32"/>
          <w:lang w:bidi="ar"/>
        </w:rPr>
        <w:t xml:space="preserve">第四十七条  </w:t>
      </w:r>
      <w:r>
        <w:rPr>
          <w:rFonts w:hint="eastAsia" w:ascii="仿宋_GB2312" w:eastAsia="仿宋_GB2312" w:cs="仿宋_GB2312"/>
          <w:kern w:val="0"/>
          <w:sz w:val="32"/>
          <w:szCs w:val="32"/>
          <w:lang w:bidi="ar"/>
        </w:rPr>
        <w:t>后勤与资产管理处每年定期或不定期组织各归口管理单位对学校二级管理单位国有资产管理、使用情况进行检查，具体可采用账表检查、实物检查、抽查、联合检查等方式。</w:t>
      </w:r>
    </w:p>
    <w:p>
      <w:pPr>
        <w:pageBreakBefore w:val="0"/>
        <w:tabs>
          <w:tab w:val="left" w:pos="1985"/>
        </w:tabs>
        <w:kinsoku/>
        <w:wordWrap/>
        <w:overflowPunct/>
        <w:topLinePunct w:val="0"/>
        <w:autoSpaceDE/>
        <w:autoSpaceDN/>
        <w:bidi w:val="0"/>
        <w:spacing w:line="596" w:lineRule="exact"/>
        <w:ind w:firstLine="640"/>
        <w:jc w:val="left"/>
        <w:outlineLvl w:val="9"/>
        <w:rPr>
          <w:rFonts w:hint="eastAsia" w:ascii="仿宋_GB2312" w:hAnsi="宋体" w:eastAsia="仿宋_GB2312" w:cs="仿宋_GB2312"/>
          <w:color w:val="FF0000"/>
          <w:sz w:val="32"/>
          <w:szCs w:val="32"/>
        </w:rPr>
      </w:pPr>
      <w:r>
        <w:rPr>
          <w:rFonts w:hint="eastAsia" w:ascii="仿宋_GB2312" w:eastAsia="仿宋_GB2312" w:cs="仿宋_GB2312"/>
          <w:b/>
          <w:kern w:val="0"/>
          <w:sz w:val="32"/>
          <w:szCs w:val="32"/>
          <w:lang w:bidi="ar"/>
        </w:rPr>
        <w:t xml:space="preserve">第四十八条  </w:t>
      </w:r>
      <w:r>
        <w:rPr>
          <w:rFonts w:hint="eastAsia" w:ascii="仿宋_GB2312" w:eastAsia="仿宋_GB2312" w:cs="仿宋_GB2312"/>
          <w:kern w:val="0"/>
          <w:sz w:val="32"/>
          <w:szCs w:val="32"/>
          <w:lang w:bidi="ar"/>
        </w:rPr>
        <w:t xml:space="preserve">任何单位和个人可对学校资产管理中的违纪违法行为进行举报。各资产归口管理部门和使用单位应自觉接受有关部门的监督和检查。 </w:t>
      </w:r>
    </w:p>
    <w:p>
      <w:pPr>
        <w:pageBreakBefore w:val="0"/>
        <w:tabs>
          <w:tab w:val="left" w:pos="2270"/>
        </w:tabs>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仿宋_GB2312"/>
          <w:color w:val="FF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81" w:name="_Toc7616_WPSOffice_Level1"/>
      <w:r>
        <w:rPr>
          <w:rFonts w:hint="eastAsia" w:ascii="黑体" w:hAnsi="黑体" w:eastAsia="黑体"/>
          <w:b/>
          <w:sz w:val="32"/>
          <w:szCs w:val="32"/>
        </w:rPr>
        <w:t>第十章  责  任</w:t>
      </w:r>
      <w:bookmarkEnd w:id="1581"/>
    </w:p>
    <w:p>
      <w:pPr>
        <w:pageBreakBefore w:val="0"/>
        <w:tabs>
          <w:tab w:val="left" w:pos="1985"/>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 xml:space="preserve">第四十九条  </w:t>
      </w:r>
      <w:r>
        <w:rPr>
          <w:rFonts w:hint="eastAsia" w:ascii="仿宋_GB2312" w:eastAsia="仿宋_GB2312" w:cs="仿宋_GB2312"/>
          <w:kern w:val="0"/>
          <w:sz w:val="32"/>
          <w:szCs w:val="32"/>
          <w:lang w:bidi="ar"/>
        </w:rPr>
        <w:t xml:space="preserve">学校资产是学校完成事业计划、促进各项事业发展的主要物质保障。各资产归口管理部门、资产使用单位及其工作人员，都有管好用好国有资产的责任和义务，应依法维护学校资产的安全完整，促进其保值增值，并努力提高其使用效益。 </w:t>
      </w:r>
    </w:p>
    <w:p>
      <w:pPr>
        <w:pageBreakBefore w:val="0"/>
        <w:tabs>
          <w:tab w:val="left" w:pos="1985"/>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 xml:space="preserve">第五十条  </w:t>
      </w:r>
      <w:r>
        <w:rPr>
          <w:rFonts w:hint="eastAsia" w:ascii="仿宋_GB2312" w:eastAsia="仿宋_GB2312" w:cs="仿宋_GB2312"/>
          <w:kern w:val="0"/>
          <w:sz w:val="32"/>
          <w:szCs w:val="32"/>
          <w:lang w:bidi="ar"/>
        </w:rPr>
        <w:t xml:space="preserve">资产归口管理部门在资产管理工作中，有下列行为之一的，学校有权责令其改正，并追究其主管领导和直接责任人员的责任：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（一）未按规定履行其职责，放松对资产的监督管理，造成资产严重流失或损失浪费而不反映、不采取相应管理措施、造成严重后果的；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（二）不按规定程序与权限，擅自办理资产管理审批事项的；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（三）对管理范围内长期闲置、超标准配置或低效运营的资产，不按规定进行调节的。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第五十一条</w:t>
      </w:r>
      <w:r>
        <w:rPr>
          <w:rFonts w:hint="eastAsia" w:ascii="仿宋_GB2312" w:eastAsia="仿宋_GB2312" w:cs="仿宋_GB2312"/>
          <w:kern w:val="0"/>
          <w:sz w:val="32"/>
          <w:szCs w:val="32"/>
          <w:lang w:bidi="ar"/>
        </w:rPr>
        <w:t xml:space="preserve">  资产的占有、使用单位，有下列行为之一的，各资产监督管理部门和归口管理部门有权责令其改正，并按管理权限，建议学校按违反财经法规处罚办法的有关规定，追究其主管领导和直接责任人的责任：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（一）未按其职责要求，放松对资产具体管理，造成资产流失的；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（二）不进行或不如实进行产权登记、填报资产报表、隐瞒真实情况的；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（三）未按规定程序报批，擅自处置资产或将学校资产用于经营的；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（四）弄虚作假，以各种名目侵占资产和利用职权谋取私利的；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 xml:space="preserve">（五）未按规定缴纳资产收益的。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 xml:space="preserve">第五十二条  </w:t>
      </w:r>
      <w:r>
        <w:rPr>
          <w:rFonts w:hint="eastAsia" w:ascii="仿宋_GB2312" w:eastAsia="仿宋_GB2312" w:cs="仿宋_GB2312"/>
          <w:kern w:val="0"/>
          <w:sz w:val="32"/>
          <w:szCs w:val="32"/>
          <w:lang w:bidi="ar"/>
        </w:rPr>
        <w:t xml:space="preserve">学校国有资产管理部门和使用单位造成学校资产损失的，有关责任人必须予以赔偿、追究其部门主管领导的责任，对造成重大损失而触犯法律的，学校将移交司法机关处理。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（一）在资产的提运、保管或使用过程中，由于下列主观原因，发生责任事故，造成损坏、丢失，责任人全额赔偿。</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1.在提运、保管、使用过程中玩忽职守，不负责任，致使仪器设备损坏功能丧失、丢失、被盗而造成损失的。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2.不听从指挥，不遵守操作规程，粗心大意，操作不慎而造成损失的。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3.未经批准擅自拆卸、改装造成损失的。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4.尚未掌握操作技术、了解性能及使用方法，轻率动用仪器设备造成损失的。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5.工作失职，不负责任，指导错误或纠正不及时造成损失的。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6.由于其他不遵守规章制度等主观原因造成损失的。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（二）由于下列客观原因造成资产损失，经过有关专家鉴定或有关人员证实，可免于赔偿。</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1.因实验操作本身的特殊性确属难以避免引起的损坏。</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2.因仪器设备本身的缺陷或使用年久，在正常使用时发生的损坏和合理的自然损耗。</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3.经过批准，试行新的实验操作或检修，虽经采取预防措施，仍未能避免的损失。</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4.自然灾害或其它客观原因造成的意外损失。</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（三）属于下列情况，造成资产损失者，在确定赔偿金额时，可按损失价值酌情减轻赔偿。</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1.在提运、保管、使用中遵守各项制度，爱护仪器设备，偶尔疏忽造成损失的。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2.按照指导或操作规程进行操作，确因缺乏经验或技术上的不熟练造成损失的。</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3.发生事故后能积极设法挽救损失，且主动如实报告，认识较好的，在已经采取安全防范措施情况下被盗窃，且能积极协助保</w:t>
      </w:r>
      <w:bookmarkStart w:id="1582" w:name="_Toc9038_WPSOffice_Level1"/>
      <w:r>
        <w:rPr>
          <w:rFonts w:hint="eastAsia" w:ascii="仿宋_GB2312" w:eastAsia="仿宋_GB2312" w:cs="仿宋_GB2312"/>
          <w:kern w:val="0"/>
          <w:sz w:val="32"/>
          <w:szCs w:val="32"/>
          <w:lang w:bidi="ar"/>
        </w:rPr>
        <w:t>卫部门、公安部门侦破者。</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（三）损坏</w:t>
      </w:r>
      <w:bookmarkEnd w:id="1582"/>
      <w:r>
        <w:rPr>
          <w:rFonts w:hint="eastAsia" w:ascii="仿宋_GB2312" w:eastAsia="仿宋_GB2312" w:cs="仿宋_GB2312"/>
          <w:kern w:val="0"/>
          <w:sz w:val="32"/>
          <w:szCs w:val="32"/>
          <w:lang w:bidi="ar"/>
        </w:rPr>
        <w:t>、</w:t>
      </w:r>
      <w:bookmarkStart w:id="1583" w:name="_Toc25803_WPSOffice_Level1"/>
      <w:r>
        <w:rPr>
          <w:rFonts w:hint="eastAsia" w:ascii="仿宋_GB2312" w:eastAsia="仿宋_GB2312" w:cs="仿宋_GB2312"/>
          <w:kern w:val="0"/>
          <w:sz w:val="32"/>
          <w:szCs w:val="32"/>
          <w:lang w:bidi="ar"/>
        </w:rPr>
        <w:t>丢失仪器设备的损失价</w:t>
      </w:r>
      <w:bookmarkEnd w:id="1583"/>
      <w:r>
        <w:rPr>
          <w:rFonts w:hint="eastAsia" w:ascii="仿宋_GB2312" w:eastAsia="仿宋_GB2312" w:cs="仿宋_GB2312"/>
          <w:kern w:val="0"/>
          <w:sz w:val="32"/>
          <w:szCs w:val="32"/>
          <w:lang w:bidi="ar"/>
        </w:rPr>
        <w:t>值</w:t>
      </w:r>
      <w:bookmarkStart w:id="1584" w:name="_Toc31579_WPSOffice_Level1"/>
      <w:r>
        <w:rPr>
          <w:rFonts w:hint="eastAsia" w:ascii="仿宋_GB2312" w:eastAsia="仿宋_GB2312" w:cs="仿宋_GB2312"/>
          <w:kern w:val="0"/>
          <w:sz w:val="32"/>
          <w:szCs w:val="32"/>
          <w:lang w:bidi="ar"/>
        </w:rPr>
        <w:t>，应根据具体情况实事求是地计算。</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1</w:t>
      </w:r>
      <w:bookmarkEnd w:id="1584"/>
      <w:r>
        <w:rPr>
          <w:rFonts w:hint="eastAsia" w:ascii="仿宋_GB2312" w:eastAsia="仿宋_GB2312" w:cs="仿宋_GB2312"/>
          <w:kern w:val="0"/>
          <w:sz w:val="32"/>
          <w:szCs w:val="32"/>
          <w:lang w:bidi="ar"/>
        </w:rPr>
        <w:t>.</w:t>
      </w:r>
      <w:bookmarkStart w:id="1585" w:name="_Toc30084_WPSOffice_Level1"/>
      <w:r>
        <w:rPr>
          <w:rFonts w:hint="eastAsia" w:ascii="仿宋_GB2312" w:eastAsia="仿宋_GB2312" w:cs="仿宋_GB2312"/>
          <w:kern w:val="0"/>
          <w:sz w:val="32"/>
          <w:szCs w:val="32"/>
          <w:lang w:bidi="ar"/>
        </w:rPr>
        <w:t>仪器设备的损坏丢失计价应</w:t>
      </w:r>
      <w:bookmarkEnd w:id="1585"/>
      <w:r>
        <w:rPr>
          <w:rFonts w:hint="eastAsia" w:ascii="仿宋_GB2312" w:eastAsia="仿宋_GB2312" w:cs="仿宋_GB2312"/>
          <w:kern w:val="0"/>
          <w:sz w:val="32"/>
          <w:szCs w:val="32"/>
          <w:lang w:bidi="ar"/>
        </w:rPr>
        <w:t>遵</w:t>
      </w:r>
      <w:bookmarkStart w:id="1586" w:name="_Toc8361_WPSOffice_Level1"/>
      <w:r>
        <w:rPr>
          <w:rFonts w:hint="eastAsia" w:ascii="仿宋_GB2312" w:eastAsia="仿宋_GB2312" w:cs="仿宋_GB2312"/>
          <w:kern w:val="0"/>
          <w:sz w:val="32"/>
          <w:szCs w:val="32"/>
          <w:lang w:bidi="ar"/>
        </w:rPr>
        <w:t>照以下原则：</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（1）损坏丢</w:t>
      </w:r>
      <w:bookmarkEnd w:id="1586"/>
      <w:r>
        <w:rPr>
          <w:rFonts w:hint="eastAsia" w:ascii="仿宋_GB2312" w:eastAsia="仿宋_GB2312" w:cs="仿宋_GB2312"/>
          <w:kern w:val="0"/>
          <w:sz w:val="32"/>
          <w:szCs w:val="32"/>
          <w:lang w:bidi="ar"/>
        </w:rPr>
        <w:t>失</w:t>
      </w:r>
      <w:bookmarkStart w:id="1587" w:name="_Toc6350_WPSOffice_Level1"/>
      <w:r>
        <w:rPr>
          <w:rFonts w:hint="eastAsia" w:ascii="仿宋_GB2312" w:eastAsia="仿宋_GB2312" w:cs="仿宋_GB2312"/>
          <w:kern w:val="0"/>
          <w:sz w:val="32"/>
          <w:szCs w:val="32"/>
          <w:lang w:bidi="ar"/>
        </w:rPr>
        <w:t>零配件的，</w:t>
      </w:r>
      <w:bookmarkEnd w:id="1587"/>
      <w:r>
        <w:rPr>
          <w:rFonts w:hint="eastAsia" w:ascii="仿宋_GB2312" w:eastAsia="仿宋_GB2312" w:cs="仿宋_GB2312"/>
          <w:kern w:val="0"/>
          <w:sz w:val="32"/>
          <w:szCs w:val="32"/>
          <w:lang w:bidi="ar"/>
        </w:rPr>
        <w:t>只</w:t>
      </w:r>
      <w:bookmarkStart w:id="1588" w:name="_Toc12371_WPSOffice_Level1"/>
      <w:r>
        <w:rPr>
          <w:rFonts w:hint="eastAsia" w:ascii="仿宋_GB2312" w:eastAsia="仿宋_GB2312" w:cs="仿宋_GB2312"/>
          <w:kern w:val="0"/>
          <w:sz w:val="32"/>
          <w:szCs w:val="32"/>
          <w:lang w:bidi="ar"/>
        </w:rPr>
        <w:t>计算零配件的</w:t>
      </w:r>
      <w:bookmarkEnd w:id="1588"/>
      <w:r>
        <w:rPr>
          <w:rFonts w:hint="eastAsia" w:ascii="仿宋_GB2312" w:eastAsia="仿宋_GB2312" w:cs="仿宋_GB2312"/>
          <w:kern w:val="0"/>
          <w:sz w:val="32"/>
          <w:szCs w:val="32"/>
          <w:lang w:bidi="ar"/>
        </w:rPr>
        <w:t>损</w:t>
      </w:r>
      <w:bookmarkStart w:id="1589" w:name="_Toc25556_WPSOffice_Level1"/>
      <w:r>
        <w:rPr>
          <w:rFonts w:hint="eastAsia" w:ascii="仿宋_GB2312" w:eastAsia="仿宋_GB2312" w:cs="仿宋_GB2312"/>
          <w:kern w:val="0"/>
          <w:sz w:val="32"/>
          <w:szCs w:val="32"/>
          <w:lang w:bidi="ar"/>
        </w:rPr>
        <w:t>坏、丢失价值。</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w:t>
      </w:r>
      <w:bookmarkEnd w:id="1589"/>
      <w:r>
        <w:rPr>
          <w:rFonts w:hint="eastAsia" w:ascii="仿宋_GB2312" w:eastAsia="仿宋_GB2312" w:cs="仿宋_GB2312"/>
          <w:kern w:val="0"/>
          <w:sz w:val="32"/>
          <w:szCs w:val="32"/>
          <w:lang w:bidi="ar"/>
        </w:rPr>
        <w:t>2</w:t>
      </w:r>
      <w:bookmarkStart w:id="1590" w:name="_Toc11606_WPSOffice_Level1"/>
      <w:r>
        <w:rPr>
          <w:rFonts w:hint="eastAsia" w:ascii="仿宋_GB2312" w:eastAsia="仿宋_GB2312" w:cs="仿宋_GB2312"/>
          <w:kern w:val="0"/>
          <w:sz w:val="32"/>
          <w:szCs w:val="32"/>
          <w:lang w:bidi="ar"/>
        </w:rPr>
        <w:t>）局部损坏可以修复的，</w:t>
      </w:r>
      <w:bookmarkEnd w:id="1590"/>
      <w:r>
        <w:rPr>
          <w:rFonts w:hint="eastAsia" w:ascii="仿宋_GB2312" w:eastAsia="仿宋_GB2312" w:cs="仿宋_GB2312"/>
          <w:kern w:val="0"/>
          <w:sz w:val="32"/>
          <w:szCs w:val="32"/>
          <w:lang w:bidi="ar"/>
        </w:rPr>
        <w:t>只</w:t>
      </w:r>
      <w:bookmarkStart w:id="1591" w:name="_Toc28213_WPSOffice_Level1"/>
      <w:r>
        <w:rPr>
          <w:rFonts w:hint="eastAsia" w:ascii="仿宋_GB2312" w:eastAsia="仿宋_GB2312" w:cs="仿宋_GB2312"/>
          <w:kern w:val="0"/>
          <w:sz w:val="32"/>
          <w:szCs w:val="32"/>
          <w:lang w:bidi="ar"/>
        </w:rPr>
        <w:t>计算修理费及元件费。</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（3）损坏后质量显著</w:t>
      </w:r>
      <w:bookmarkEnd w:id="1591"/>
      <w:r>
        <w:rPr>
          <w:rFonts w:hint="eastAsia" w:ascii="仿宋_GB2312" w:eastAsia="仿宋_GB2312" w:cs="仿宋_GB2312"/>
          <w:kern w:val="0"/>
          <w:sz w:val="32"/>
          <w:szCs w:val="32"/>
          <w:lang w:bidi="ar"/>
        </w:rPr>
        <w:t>下</w:t>
      </w:r>
      <w:bookmarkStart w:id="1592" w:name="_Toc14103_WPSOffice_Level1"/>
      <w:r>
        <w:rPr>
          <w:rFonts w:hint="eastAsia" w:ascii="仿宋_GB2312" w:eastAsia="仿宋_GB2312" w:cs="仿宋_GB2312"/>
          <w:kern w:val="0"/>
          <w:sz w:val="32"/>
          <w:szCs w:val="32"/>
          <w:lang w:bidi="ar"/>
        </w:rPr>
        <w:t>降，但尚</w:t>
      </w:r>
      <w:bookmarkEnd w:id="1592"/>
      <w:r>
        <w:rPr>
          <w:rFonts w:hint="eastAsia" w:ascii="仿宋_GB2312" w:eastAsia="仿宋_GB2312" w:cs="仿宋_GB2312"/>
          <w:kern w:val="0"/>
          <w:sz w:val="32"/>
          <w:szCs w:val="32"/>
          <w:lang w:bidi="ar"/>
        </w:rPr>
        <w:t>能</w:t>
      </w:r>
      <w:bookmarkStart w:id="1593" w:name="_Toc20192_WPSOffice_Level1"/>
      <w:r>
        <w:rPr>
          <w:rFonts w:hint="eastAsia" w:ascii="仿宋_GB2312" w:eastAsia="仿宋_GB2312" w:cs="仿宋_GB2312"/>
          <w:kern w:val="0"/>
          <w:sz w:val="32"/>
          <w:szCs w:val="32"/>
          <w:lang w:bidi="ar"/>
        </w:rPr>
        <w:t>使用的，应按其质</w:t>
      </w:r>
      <w:bookmarkEnd w:id="1593"/>
      <w:r>
        <w:rPr>
          <w:rFonts w:hint="eastAsia" w:ascii="仿宋_GB2312" w:eastAsia="仿宋_GB2312" w:cs="仿宋_GB2312"/>
          <w:kern w:val="0"/>
          <w:sz w:val="32"/>
          <w:szCs w:val="32"/>
          <w:lang w:bidi="ar"/>
        </w:rPr>
        <w:t>量</w:t>
      </w:r>
      <w:bookmarkStart w:id="1594" w:name="_Toc12649_WPSOffice_Level1"/>
      <w:r>
        <w:rPr>
          <w:rFonts w:hint="eastAsia" w:ascii="仿宋_GB2312" w:eastAsia="仿宋_GB2312" w:cs="仿宋_GB2312"/>
          <w:kern w:val="0"/>
          <w:sz w:val="32"/>
          <w:szCs w:val="32"/>
          <w:lang w:bidi="ar"/>
        </w:rPr>
        <w:t>变化程度酌情计算损失价值。</w:t>
      </w:r>
      <w:bookmarkEnd w:id="1594"/>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2.对于贵重精密仪器设备，除按损失部分的实际情况进行经济赔偿外，还要给予行政处分。</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第五十三条</w:t>
      </w:r>
      <w:r>
        <w:rPr>
          <w:rFonts w:hint="eastAsia" w:ascii="仿宋_GB2312" w:eastAsia="仿宋_GB2312" w:cs="仿宋_GB2312"/>
          <w:kern w:val="0"/>
          <w:sz w:val="32"/>
          <w:szCs w:val="32"/>
          <w:lang w:bidi="ar"/>
        </w:rPr>
        <w:t xml:space="preserve">  发生仪器设备损坏、丢失事故处理办法</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1.一旦发生仪器设备损坏、丢失事故，使用单位或当事人必须立即报告主管部门和设备处，迅速查明情况和原因，分清责任，提出处理意见，并及时进行处理。丢失贵重仪器设备和发生其他重大事故，应注意保护现场，由学院保卫处组织严格的审查，立案处理。</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t>2.赔偿处理权限：根据仪器设备的实际情况及损失价值，参照学校仪器设备购置审批权限，由相关管理部门分级负责审批，处理结果报学校后勤与资产管理处备案。</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 xml:space="preserve">第五十四条  </w:t>
      </w:r>
      <w:r>
        <w:rPr>
          <w:rFonts w:hint="eastAsia" w:ascii="仿宋_GB2312" w:eastAsia="仿宋_GB2312" w:cs="仿宋_GB2312"/>
          <w:kern w:val="0"/>
          <w:sz w:val="32"/>
          <w:szCs w:val="32"/>
          <w:lang w:bidi="ar"/>
        </w:rPr>
        <w:t>确定赔偿金额和偿还日期后，由赔偿人所在单位按期负责催缴，后勤与资产管理处负责督促检查偿还情况，每学年清理一次。经督促教育，仍然无故拖延不缴，教职员工由财务处从工资中扣付。</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第五十五条</w:t>
      </w:r>
      <w:r>
        <w:rPr>
          <w:rFonts w:hint="eastAsia" w:ascii="仿宋_GB2312" w:eastAsia="仿宋_GB2312" w:cs="仿宋_GB2312"/>
          <w:kern w:val="0"/>
          <w:sz w:val="32"/>
          <w:szCs w:val="32"/>
          <w:lang w:bidi="ar"/>
        </w:rPr>
        <w:t xml:space="preserve">  赔偿费上交学校财务处，用于仪器设备维修及补充。</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595" w:name="_Toc3602_WPSOffice_Level1"/>
      <w:r>
        <w:rPr>
          <w:rFonts w:hint="eastAsia" w:ascii="黑体" w:hAnsi="黑体" w:eastAsia="黑体"/>
          <w:b/>
          <w:sz w:val="32"/>
          <w:szCs w:val="32"/>
        </w:rPr>
        <w:t>第十一章  附  则</w:t>
      </w:r>
      <w:bookmarkEnd w:id="1595"/>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 xml:space="preserve">第五十六条  </w:t>
      </w:r>
      <w:r>
        <w:rPr>
          <w:rFonts w:hint="eastAsia" w:ascii="仿宋_GB2312" w:eastAsia="仿宋_GB2312" w:cs="仿宋_GB2312"/>
          <w:kern w:val="0"/>
          <w:sz w:val="32"/>
          <w:szCs w:val="32"/>
          <w:lang w:bidi="ar"/>
        </w:rPr>
        <w:t xml:space="preserve">本办法由学校后勤与资产管理处负责解释。具体国有资产管理细则、工作规范流程等另行文。 </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 xml:space="preserve">第五十七条  </w:t>
      </w:r>
      <w:r>
        <w:rPr>
          <w:rFonts w:hint="eastAsia" w:ascii="仿宋_GB2312" w:eastAsia="仿宋_GB2312" w:cs="仿宋_GB2312"/>
          <w:kern w:val="0"/>
          <w:sz w:val="32"/>
          <w:szCs w:val="32"/>
          <w:lang w:bidi="ar"/>
        </w:rPr>
        <w:t>本办法未尽事宜，按照财政局或教育局的有关规定执行。学校以前文件中有关条款与本办法相冲突</w:t>
      </w:r>
      <w:bookmarkStart w:id="1596" w:name="_Toc18577_WPSOffice_Level1"/>
      <w:r>
        <w:rPr>
          <w:rFonts w:hint="eastAsia" w:ascii="仿宋_GB2312" w:eastAsia="仿宋_GB2312" w:cs="仿宋_GB2312"/>
          <w:kern w:val="0"/>
          <w:sz w:val="32"/>
          <w:szCs w:val="32"/>
          <w:lang w:bidi="ar"/>
        </w:rPr>
        <w:t>的，以本</w:t>
      </w:r>
      <w:bookmarkEnd w:id="1596"/>
      <w:r>
        <w:rPr>
          <w:rFonts w:hint="eastAsia" w:ascii="仿宋_GB2312" w:eastAsia="仿宋_GB2312" w:cs="仿宋_GB2312"/>
          <w:kern w:val="0"/>
          <w:sz w:val="32"/>
          <w:szCs w:val="32"/>
          <w:lang w:bidi="ar"/>
        </w:rPr>
        <w:t>办</w:t>
      </w:r>
      <w:bookmarkStart w:id="1597" w:name="_Toc20865_WPSOffice_Level1"/>
      <w:r>
        <w:rPr>
          <w:rFonts w:hint="eastAsia" w:ascii="仿宋_GB2312" w:eastAsia="仿宋_GB2312" w:cs="仿宋_GB2312"/>
          <w:kern w:val="0"/>
          <w:sz w:val="32"/>
          <w:szCs w:val="32"/>
          <w:lang w:bidi="ar"/>
        </w:rPr>
        <w:t>法为准。</w:t>
      </w:r>
    </w:p>
    <w:p>
      <w:pPr>
        <w:pageBreakBefore w:val="0"/>
        <w:tabs>
          <w:tab w:val="left" w:pos="2270"/>
        </w:tabs>
        <w:kinsoku/>
        <w:wordWrap/>
        <w:overflowPunct/>
        <w:topLinePunct w:val="0"/>
        <w:autoSpaceDE/>
        <w:autoSpaceDN/>
        <w:bidi w:val="0"/>
        <w:spacing w:line="596" w:lineRule="exact"/>
        <w:ind w:firstLine="640"/>
        <w:jc w:val="left"/>
        <w:outlineLvl w:val="9"/>
        <w:rPr>
          <w:rFonts w:hint="eastAsia" w:ascii="仿宋_GB2312" w:eastAsia="仿宋_GB2312" w:cs="仿宋_GB2312"/>
          <w:kern w:val="0"/>
          <w:sz w:val="32"/>
          <w:szCs w:val="32"/>
          <w:lang w:bidi="ar"/>
        </w:rPr>
      </w:pPr>
      <w:r>
        <w:rPr>
          <w:rFonts w:hint="eastAsia" w:ascii="仿宋_GB2312" w:eastAsia="仿宋_GB2312" w:cs="仿宋_GB2312"/>
          <w:b/>
          <w:kern w:val="0"/>
          <w:sz w:val="32"/>
          <w:szCs w:val="32"/>
          <w:lang w:bidi="ar"/>
        </w:rPr>
        <w:t>第五十</w:t>
      </w:r>
      <w:bookmarkEnd w:id="1597"/>
      <w:r>
        <w:rPr>
          <w:rFonts w:hint="eastAsia" w:ascii="仿宋_GB2312" w:eastAsia="仿宋_GB2312" w:cs="仿宋_GB2312"/>
          <w:b/>
          <w:kern w:val="0"/>
          <w:sz w:val="32"/>
          <w:szCs w:val="32"/>
          <w:lang w:bidi="ar"/>
        </w:rPr>
        <w:t xml:space="preserve">八条 </w:t>
      </w:r>
      <w:r>
        <w:rPr>
          <w:rFonts w:hint="eastAsia" w:ascii="仿宋_GB2312" w:eastAsia="仿宋_GB2312" w:cs="仿宋_GB2312"/>
          <w:kern w:val="0"/>
          <w:sz w:val="32"/>
          <w:szCs w:val="32"/>
          <w:lang w:bidi="ar"/>
        </w:rPr>
        <w:t xml:space="preserve"> 本办法自颁布之日起施行，《柳州职业技术学院固定资产管理规定》（柳职院字〔2005〕第56号）同时废止。</w:t>
      </w:r>
    </w:p>
    <w:p>
      <w:pPr>
        <w:pageBreakBefore w:val="0"/>
        <w:kinsoku/>
        <w:wordWrap/>
        <w:overflowPunct/>
        <w:topLinePunct w:val="0"/>
        <w:autoSpaceDE/>
        <w:autoSpaceDN/>
        <w:bidi w:val="0"/>
        <w:outlineLvl w:val="9"/>
        <w:rPr>
          <w:rFonts w:hint="eastAsia" w:ascii="仿宋_GB2312" w:eastAsia="仿宋_GB2312" w:cs="仿宋_GB2312"/>
          <w:kern w:val="0"/>
          <w:sz w:val="32"/>
          <w:szCs w:val="32"/>
          <w:lang w:bidi="ar"/>
        </w:rPr>
      </w:pPr>
      <w:r>
        <w:rPr>
          <w:rFonts w:hint="eastAsia" w:ascii="仿宋_GB2312" w:eastAsia="仿宋_GB2312" w:cs="仿宋_GB2312"/>
          <w:kern w:val="0"/>
          <w:sz w:val="32"/>
          <w:szCs w:val="32"/>
          <w:lang w:bidi="ar"/>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598" w:name="_Toc21367"/>
      <w:bookmarkStart w:id="1599" w:name="_Toc18379_WPSOffice_Level1"/>
      <w:bookmarkStart w:id="1600" w:name="_Toc22345"/>
      <w:bookmarkStart w:id="1601" w:name="_Toc25619"/>
      <w:bookmarkStart w:id="1602" w:name="_Toc19168"/>
      <w:bookmarkStart w:id="1603" w:name="_Toc12090"/>
      <w:r>
        <w:rPr>
          <w:rFonts w:hint="eastAsia"/>
          <w:b/>
          <w:color w:val="000000"/>
          <w:sz w:val="36"/>
          <w:szCs w:val="36"/>
        </w:rPr>
        <w:t>柳州职业技术学院固定资产</w:t>
      </w:r>
      <w:bookmarkEnd w:id="1598"/>
      <w:bookmarkStart w:id="1604" w:name="_Toc2036"/>
      <w:r>
        <w:rPr>
          <w:rFonts w:hint="eastAsia"/>
          <w:b/>
          <w:color w:val="000000"/>
          <w:sz w:val="36"/>
          <w:szCs w:val="36"/>
        </w:rPr>
        <w:t>处置管理暂行办法</w:t>
      </w:r>
      <w:bookmarkEnd w:id="1599"/>
      <w:bookmarkEnd w:id="1600"/>
      <w:bookmarkEnd w:id="1601"/>
      <w:bookmarkEnd w:id="1602"/>
      <w:bookmarkEnd w:id="1603"/>
      <w:bookmarkEnd w:id="1604"/>
    </w:p>
    <w:p>
      <w:pPr>
        <w:pageBreakBefore w:val="0"/>
        <w:kinsoku/>
        <w:wordWrap/>
        <w:overflowPunct/>
        <w:topLinePunct w:val="0"/>
        <w:autoSpaceDE/>
        <w:autoSpaceDN/>
        <w:bidi w:val="0"/>
        <w:spacing w:line="596" w:lineRule="exact"/>
        <w:jc w:val="center"/>
        <w:outlineLvl w:val="9"/>
        <w:rPr>
          <w:rFonts w:hint="eastAsia"/>
          <w:b w:val="0"/>
          <w:bCs/>
          <w:color w:val="000000"/>
          <w:sz w:val="36"/>
          <w:szCs w:val="36"/>
          <w:lang w:eastAsia="zh-CN"/>
        </w:rPr>
      </w:pPr>
      <w:r>
        <w:rPr>
          <w:rFonts w:hint="eastAsia"/>
          <w:b w:val="0"/>
          <w:bCs/>
          <w:color w:val="000000"/>
          <w:sz w:val="36"/>
          <w:szCs w:val="36"/>
          <w:lang w:eastAsia="zh-CN"/>
        </w:rPr>
        <w:t>（</w:t>
      </w:r>
      <w:r>
        <w:rPr>
          <w:rFonts w:hint="eastAsia" w:ascii="仿宋_GB2312" w:eastAsia="仿宋_GB2312"/>
          <w:b w:val="0"/>
          <w:bCs/>
          <w:sz w:val="32"/>
          <w:szCs w:val="32"/>
        </w:rPr>
        <w:t>柳职院字〔2019〕19 号</w:t>
      </w:r>
      <w:r>
        <w:rPr>
          <w:rFonts w:hint="eastAsia"/>
          <w:b w:val="0"/>
          <w:bCs/>
          <w:color w:val="000000"/>
          <w:sz w:val="36"/>
          <w:szCs w:val="36"/>
          <w:lang w:eastAsia="zh-CN"/>
        </w:rPr>
        <w:t>）</w:t>
      </w:r>
    </w:p>
    <w:p>
      <w:pPr>
        <w:pageBreakBefore w:val="0"/>
        <w:kinsoku/>
        <w:wordWrap/>
        <w:overflowPunct/>
        <w:topLinePunct w:val="0"/>
        <w:autoSpaceDE/>
        <w:autoSpaceDN/>
        <w:bidi w:val="0"/>
        <w:spacing w:line="596" w:lineRule="exact"/>
        <w:jc w:val="center"/>
        <w:outlineLvl w:val="9"/>
        <w:rPr>
          <w:rFonts w:hint="eastAsia"/>
          <w:b w:val="0"/>
          <w:bCs/>
          <w:color w:val="000000"/>
          <w:sz w:val="36"/>
          <w:szCs w:val="36"/>
          <w:lang w:eastAsia="zh-CN"/>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605" w:name="_Toc258_WPSOffice_Level1"/>
      <w:r>
        <w:rPr>
          <w:rFonts w:ascii="黑体" w:hAnsi="黑体" w:eastAsia="黑体"/>
          <w:b/>
          <w:sz w:val="32"/>
          <w:szCs w:val="32"/>
        </w:rPr>
        <w:t>第一章  总则</w:t>
      </w:r>
      <w:bookmarkEnd w:id="1605"/>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第一条</w:t>
      </w:r>
      <w:bookmarkStart w:id="1606" w:name="_Toc27498_WPSOffice_Level1"/>
      <w:r>
        <w:rPr>
          <w:rFonts w:ascii="仿宋_GB2312" w:hAnsi="Times New Roman" w:eastAsia="仿宋_GB2312" w:cs="仿宋_GB2312"/>
          <w:sz w:val="32"/>
          <w:szCs w:val="32"/>
          <w:lang w:bidi="ar"/>
        </w:rPr>
        <w:t xml:space="preserve">  为规</w:t>
      </w:r>
      <w:bookmarkEnd w:id="1606"/>
      <w:r>
        <w:rPr>
          <w:rFonts w:ascii="仿宋_GB2312" w:hAnsi="Times New Roman" w:eastAsia="仿宋_GB2312" w:cs="仿宋_GB2312"/>
          <w:sz w:val="32"/>
          <w:szCs w:val="32"/>
          <w:lang w:bidi="ar"/>
        </w:rPr>
        <w:t>范</w:t>
      </w:r>
      <w:bookmarkStart w:id="1607" w:name="_Toc24496_WPSOffice_Level1"/>
      <w:r>
        <w:rPr>
          <w:rFonts w:ascii="仿宋_GB2312" w:hAnsi="Times New Roman" w:eastAsia="仿宋_GB2312" w:cs="仿宋_GB2312"/>
          <w:sz w:val="32"/>
          <w:szCs w:val="32"/>
          <w:lang w:bidi="ar"/>
        </w:rPr>
        <w:t>我</w:t>
      </w:r>
      <w:r>
        <w:rPr>
          <w:rFonts w:hint="eastAsia" w:ascii="仿宋_GB2312" w:hAnsi="Times New Roman" w:eastAsia="仿宋_GB2312" w:cs="仿宋_GB2312"/>
          <w:sz w:val="32"/>
          <w:szCs w:val="32"/>
          <w:lang w:bidi="ar"/>
        </w:rPr>
        <w:t>校固定资产</w:t>
      </w:r>
      <w:r>
        <w:rPr>
          <w:rFonts w:ascii="仿宋_GB2312" w:hAnsi="Times New Roman" w:eastAsia="仿宋_GB2312" w:cs="仿宋_GB2312"/>
          <w:sz w:val="32"/>
          <w:szCs w:val="32"/>
          <w:lang w:bidi="ar"/>
        </w:rPr>
        <w:t>处置行为，维护</w:t>
      </w:r>
      <w:r>
        <w:rPr>
          <w:rFonts w:hint="eastAsia" w:ascii="仿宋_GB2312" w:hAnsi="Times New Roman" w:eastAsia="仿宋_GB2312" w:cs="仿宋_GB2312"/>
          <w:sz w:val="32"/>
          <w:szCs w:val="32"/>
          <w:lang w:bidi="ar"/>
        </w:rPr>
        <w:t>固定资</w:t>
      </w:r>
      <w:bookmarkEnd w:id="1607"/>
      <w:r>
        <w:rPr>
          <w:rFonts w:hint="eastAsia" w:ascii="仿宋_GB2312" w:hAnsi="Times New Roman" w:eastAsia="仿宋_GB2312" w:cs="仿宋_GB2312"/>
          <w:sz w:val="32"/>
          <w:szCs w:val="32"/>
          <w:lang w:bidi="ar"/>
        </w:rPr>
        <w:t>产</w:t>
      </w:r>
      <w:r>
        <w:rPr>
          <w:rFonts w:ascii="仿宋_GB2312" w:hAnsi="Times New Roman" w:eastAsia="仿宋_GB2312" w:cs="仿宋_GB2312"/>
          <w:sz w:val="32"/>
          <w:szCs w:val="32"/>
          <w:lang w:bidi="ar"/>
        </w:rPr>
        <w:t>的安全和完整，保障国家所有者权益，根据《柳州市人民政府办公室关于印发</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柳州市本级行政事业单位</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处置管理办法</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的通知》</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柳政办〔2017〕161号</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自治区教育厅等五部门《关于深化广西高等教育领域简政放权放管结合优化服务改革的实施意见》</w:t>
      </w:r>
      <w:r>
        <w:rPr>
          <w:rFonts w:hint="eastAsia" w:ascii="仿宋_GB2312" w:hAnsi="Times New Roman" w:eastAsia="仿宋_GB2312" w:cs="仿宋_GB2312"/>
          <w:sz w:val="32"/>
          <w:szCs w:val="32"/>
          <w:lang w:bidi="ar"/>
        </w:rPr>
        <w:t>（桂教规范</w:t>
      </w:r>
      <w:r>
        <w:rPr>
          <w:rFonts w:ascii="仿宋_GB2312" w:hAnsi="Times New Roman" w:eastAsia="仿宋_GB2312" w:cs="仿宋_GB2312"/>
          <w:sz w:val="32"/>
          <w:szCs w:val="32"/>
          <w:lang w:bidi="ar"/>
        </w:rPr>
        <w:t>〔2017〕</w:t>
      </w:r>
      <w:r>
        <w:rPr>
          <w:rFonts w:hint="eastAsia" w:ascii="仿宋_GB2312" w:hAnsi="Times New Roman" w:eastAsia="仿宋_GB2312" w:cs="仿宋_GB2312"/>
          <w:sz w:val="32"/>
          <w:szCs w:val="32"/>
          <w:lang w:bidi="ar"/>
        </w:rPr>
        <w:t>26</w:t>
      </w:r>
      <w:r>
        <w:rPr>
          <w:rFonts w:ascii="仿宋_GB2312" w:hAnsi="Times New Roman" w:eastAsia="仿宋_GB2312" w:cs="仿宋_GB2312"/>
          <w:sz w:val="32"/>
          <w:szCs w:val="32"/>
          <w:lang w:bidi="ar"/>
        </w:rPr>
        <w:t>号</w:t>
      </w:r>
      <w:r>
        <w:rPr>
          <w:rFonts w:hint="eastAsia" w:ascii="仿宋_GB2312" w:hAnsi="Times New Roman" w:eastAsia="仿宋_GB2312" w:cs="仿宋_GB2312"/>
          <w:sz w:val="32"/>
          <w:szCs w:val="32"/>
          <w:lang w:bidi="ar"/>
        </w:rPr>
        <w:t>）以及《关于印发〈柳州市教育局局属单位固定资产处置管理办法〉的通知》（柳教财基〔2018〕10号）</w:t>
      </w:r>
      <w:r>
        <w:rPr>
          <w:rFonts w:ascii="仿宋_GB2312" w:hAnsi="Times New Roman" w:eastAsia="仿宋_GB2312" w:cs="仿宋_GB2312"/>
          <w:sz w:val="32"/>
          <w:szCs w:val="32"/>
          <w:lang w:bidi="ar"/>
        </w:rPr>
        <w:t>，结合我</w:t>
      </w:r>
      <w:r>
        <w:rPr>
          <w:rFonts w:hint="eastAsia" w:ascii="仿宋_GB2312" w:hAnsi="Times New Roman" w:eastAsia="仿宋_GB2312" w:cs="仿宋_GB2312"/>
          <w:sz w:val="32"/>
          <w:szCs w:val="32"/>
          <w:lang w:bidi="ar"/>
        </w:rPr>
        <w:t>校</w:t>
      </w:r>
      <w:r>
        <w:rPr>
          <w:rFonts w:ascii="仿宋_GB2312" w:hAnsi="Times New Roman" w:eastAsia="仿宋_GB2312" w:cs="仿宋_GB2312"/>
          <w:sz w:val="32"/>
          <w:szCs w:val="32"/>
          <w:lang w:bidi="ar"/>
        </w:rPr>
        <w:t>实际，制定本办法。</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第二条</w:t>
      </w:r>
      <w:r>
        <w:rPr>
          <w:rFonts w:ascii="仿宋_GB2312" w:hAnsi="Times New Roman" w:eastAsia="仿宋_GB2312" w:cs="仿宋_GB2312"/>
          <w:sz w:val="32"/>
          <w:szCs w:val="32"/>
          <w:lang w:bidi="ar"/>
        </w:rPr>
        <w:t xml:space="preserve">  本办法适用于我</w:t>
      </w:r>
      <w:r>
        <w:rPr>
          <w:rFonts w:hint="eastAsia" w:ascii="仿宋_GB2312" w:hAnsi="Times New Roman" w:eastAsia="仿宋_GB2312" w:cs="仿宋_GB2312"/>
          <w:sz w:val="32"/>
          <w:szCs w:val="32"/>
          <w:lang w:bidi="ar"/>
        </w:rPr>
        <w:t>校各部门</w:t>
      </w:r>
      <w:r>
        <w:rPr>
          <w:rFonts w:ascii="仿宋_GB2312" w:hAnsi="Times New Roman" w:eastAsia="仿宋_GB2312" w:cs="仿宋_GB2312"/>
          <w:sz w:val="32"/>
          <w:szCs w:val="32"/>
          <w:lang w:bidi="ar"/>
        </w:rPr>
        <w:t>。</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 xml:space="preserve">第三条  </w:t>
      </w:r>
      <w:r>
        <w:rPr>
          <w:rFonts w:ascii="仿宋_GB2312" w:hAnsi="Times New Roman" w:eastAsia="仿宋_GB2312" w:cs="仿宋_GB2312"/>
          <w:sz w:val="32"/>
          <w:szCs w:val="32"/>
          <w:lang w:bidi="ar"/>
        </w:rPr>
        <w:t>本办法所称的我</w:t>
      </w:r>
      <w:r>
        <w:rPr>
          <w:rFonts w:hint="eastAsia" w:ascii="仿宋_GB2312" w:hAnsi="Times New Roman" w:eastAsia="仿宋_GB2312" w:cs="仿宋_GB2312"/>
          <w:sz w:val="32"/>
          <w:szCs w:val="32"/>
          <w:lang w:bidi="ar"/>
        </w:rPr>
        <w:t>校固定</w:t>
      </w:r>
      <w:r>
        <w:rPr>
          <w:rFonts w:ascii="仿宋_GB2312" w:hAnsi="Times New Roman" w:eastAsia="仿宋_GB2312" w:cs="仿宋_GB2312"/>
          <w:sz w:val="32"/>
          <w:szCs w:val="32"/>
          <w:lang w:bidi="ar"/>
        </w:rPr>
        <w:t>资产处置，是指我</w:t>
      </w:r>
      <w:r>
        <w:rPr>
          <w:rFonts w:hint="eastAsia" w:ascii="仿宋_GB2312" w:hAnsi="Times New Roman" w:eastAsia="仿宋_GB2312" w:cs="仿宋_GB2312"/>
          <w:sz w:val="32"/>
          <w:szCs w:val="32"/>
          <w:lang w:bidi="ar"/>
        </w:rPr>
        <w:t>校</w:t>
      </w:r>
      <w:r>
        <w:rPr>
          <w:rFonts w:ascii="仿宋_GB2312" w:hAnsi="Times New Roman" w:eastAsia="仿宋_GB2312" w:cs="仿宋_GB2312"/>
          <w:sz w:val="32"/>
          <w:szCs w:val="32"/>
          <w:lang w:bidi="ar"/>
        </w:rPr>
        <w:t>对其占有、使用的</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，进行产权转让或注销产权的行为。</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第四条</w:t>
      </w:r>
      <w:r>
        <w:rPr>
          <w:rFonts w:ascii="仿宋_GB2312" w:hAnsi="Times New Roman" w:eastAsia="仿宋_GB2312" w:cs="仿宋_GB2312"/>
          <w:sz w:val="32"/>
          <w:szCs w:val="32"/>
          <w:lang w:bidi="ar"/>
        </w:rPr>
        <w:t xml:space="preserve">  我</w:t>
      </w:r>
      <w:r>
        <w:rPr>
          <w:rFonts w:hint="eastAsia" w:ascii="仿宋_GB2312" w:hAnsi="Times New Roman" w:eastAsia="仿宋_GB2312" w:cs="仿宋_GB2312"/>
          <w:sz w:val="32"/>
          <w:szCs w:val="32"/>
          <w:lang w:bidi="ar"/>
        </w:rPr>
        <w:t>校固定资产</w:t>
      </w:r>
      <w:r>
        <w:rPr>
          <w:rFonts w:ascii="仿宋_GB2312" w:hAnsi="Times New Roman" w:eastAsia="仿宋_GB2312" w:cs="仿宋_GB2312"/>
          <w:sz w:val="32"/>
          <w:szCs w:val="32"/>
          <w:lang w:bidi="ar"/>
        </w:rPr>
        <w:t>处置应遵循公开、公正、公平和竞争、择优的原则，严格履行审批手续，未经批准不得擅自处置。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处置应当由资产管理部门会同财务</w:t>
      </w:r>
      <w:r>
        <w:rPr>
          <w:rFonts w:hint="eastAsia" w:ascii="仿宋_GB2312" w:hAnsi="Times New Roman" w:eastAsia="仿宋_GB2312" w:cs="仿宋_GB2312"/>
          <w:sz w:val="32"/>
          <w:szCs w:val="32"/>
          <w:lang w:bidi="ar"/>
        </w:rPr>
        <w:t>处</w:t>
      </w:r>
      <w:r>
        <w:rPr>
          <w:rFonts w:ascii="仿宋_GB2312" w:hAnsi="Times New Roman" w:eastAsia="仿宋_GB2312" w:cs="仿宋_GB2312"/>
          <w:sz w:val="32"/>
          <w:szCs w:val="32"/>
          <w:lang w:bidi="ar"/>
        </w:rPr>
        <w:t>、</w:t>
      </w:r>
      <w:r>
        <w:rPr>
          <w:rFonts w:hint="eastAsia" w:ascii="仿宋_GB2312" w:hAnsi="Times New Roman" w:eastAsia="仿宋_GB2312" w:cs="仿宋_GB2312"/>
          <w:sz w:val="32"/>
          <w:szCs w:val="32"/>
          <w:lang w:bidi="ar"/>
        </w:rPr>
        <w:t>有关技术</w:t>
      </w:r>
      <w:r>
        <w:rPr>
          <w:rFonts w:ascii="仿宋_GB2312" w:hAnsi="Times New Roman" w:eastAsia="仿宋_GB2312" w:cs="仿宋_GB2312"/>
          <w:sz w:val="32"/>
          <w:szCs w:val="32"/>
          <w:lang w:bidi="ar"/>
        </w:rPr>
        <w:t>部门审核鉴定，提出意见，按规定程序报送审批。</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第五条</w:t>
      </w:r>
      <w:r>
        <w:rPr>
          <w:rFonts w:ascii="仿宋_GB2312" w:hAnsi="Times New Roman" w:eastAsia="仿宋_GB2312" w:cs="仿宋_GB2312"/>
          <w:sz w:val="32"/>
          <w:szCs w:val="32"/>
          <w:lang w:bidi="ar"/>
        </w:rPr>
        <w:t xml:space="preserve">  </w:t>
      </w:r>
      <w:r>
        <w:rPr>
          <w:rFonts w:hint="eastAsia" w:ascii="仿宋_GB2312" w:hAnsi="Times New Roman" w:eastAsia="仿宋_GB2312" w:cs="仿宋_GB2312"/>
          <w:sz w:val="32"/>
          <w:szCs w:val="32"/>
          <w:lang w:bidi="ar"/>
        </w:rPr>
        <w:t>我校</w:t>
      </w:r>
      <w:r>
        <w:rPr>
          <w:rFonts w:ascii="仿宋_GB2312" w:hAnsi="Times New Roman" w:eastAsia="仿宋_GB2312" w:cs="仿宋_GB2312"/>
          <w:sz w:val="32"/>
          <w:szCs w:val="32"/>
          <w:lang w:bidi="ar"/>
        </w:rPr>
        <w:t>成立资产处置管理小组，具体组织实施</w:t>
      </w:r>
      <w:r>
        <w:rPr>
          <w:rFonts w:hint="eastAsia" w:ascii="仿宋_GB2312" w:hAnsi="Times New Roman" w:eastAsia="仿宋_GB2312" w:cs="仿宋_GB2312"/>
          <w:sz w:val="32"/>
          <w:szCs w:val="32"/>
          <w:lang w:bidi="ar"/>
        </w:rPr>
        <w:t>本校</w:t>
      </w:r>
      <w:r>
        <w:rPr>
          <w:rFonts w:ascii="仿宋_GB2312" w:hAnsi="Times New Roman" w:eastAsia="仿宋_GB2312" w:cs="仿宋_GB2312"/>
          <w:sz w:val="32"/>
          <w:szCs w:val="32"/>
          <w:lang w:bidi="ar"/>
        </w:rPr>
        <w:t>的资产处置工作。</w:t>
      </w:r>
      <w:r>
        <w:rPr>
          <w:rFonts w:hint="eastAsia" w:ascii="仿宋_GB2312" w:hAnsi="Times New Roman" w:eastAsia="仿宋_GB2312" w:cs="仿宋_GB2312"/>
          <w:sz w:val="32"/>
          <w:szCs w:val="32"/>
          <w:lang w:bidi="ar"/>
        </w:rPr>
        <w:t>资产处置管理小组由后勤与资产管理处、财务处、教务与实训管理处、科技开发处、图书馆、信息技术中心、保卫处、内部审计与督导室等部门的人员组成。</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第六条</w:t>
      </w:r>
      <w:r>
        <w:rPr>
          <w:rFonts w:ascii="仿宋_GB2312" w:hAnsi="Times New Roman" w:eastAsia="仿宋_GB2312" w:cs="仿宋_GB2312"/>
          <w:sz w:val="32"/>
          <w:szCs w:val="32"/>
          <w:lang w:bidi="ar"/>
        </w:rPr>
        <w:t xml:space="preserve">  市财政局、市教育局对</w:t>
      </w:r>
      <w:r>
        <w:rPr>
          <w:rFonts w:hint="eastAsia" w:ascii="仿宋_GB2312" w:hAnsi="Times New Roman" w:eastAsia="仿宋_GB2312" w:cs="仿宋_GB2312"/>
          <w:sz w:val="32"/>
          <w:szCs w:val="32"/>
          <w:lang w:bidi="ar"/>
        </w:rPr>
        <w:t>我校固定资产</w:t>
      </w:r>
      <w:r>
        <w:rPr>
          <w:rFonts w:ascii="仿宋_GB2312" w:hAnsi="Times New Roman" w:eastAsia="仿宋_GB2312" w:cs="仿宋_GB2312"/>
          <w:sz w:val="32"/>
          <w:szCs w:val="32"/>
          <w:lang w:bidi="ar"/>
        </w:rPr>
        <w:t>处置事项的批复，以及</w:t>
      </w:r>
      <w:r>
        <w:rPr>
          <w:rFonts w:hint="eastAsia" w:ascii="仿宋_GB2312" w:hAnsi="Times New Roman" w:eastAsia="仿宋_GB2312" w:cs="仿宋_GB2312"/>
          <w:sz w:val="32"/>
          <w:szCs w:val="32"/>
          <w:lang w:bidi="ar"/>
        </w:rPr>
        <w:t>我校</w:t>
      </w:r>
      <w:r>
        <w:rPr>
          <w:rFonts w:ascii="仿宋_GB2312" w:hAnsi="Times New Roman" w:eastAsia="仿宋_GB2312" w:cs="仿宋_GB2312"/>
          <w:sz w:val="32"/>
          <w:szCs w:val="32"/>
          <w:lang w:bidi="ar"/>
        </w:rPr>
        <w:t>按规定处置</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报市教育局备案的文件，是市财政局安排市本级行政事业单位有关资产配置预算项目的参考依据，</w:t>
      </w:r>
      <w:r>
        <w:rPr>
          <w:rFonts w:hint="eastAsia" w:ascii="仿宋_GB2312" w:hAnsi="Times New Roman" w:eastAsia="仿宋_GB2312" w:cs="仿宋_GB2312"/>
          <w:sz w:val="32"/>
          <w:szCs w:val="32"/>
          <w:lang w:bidi="ar"/>
        </w:rPr>
        <w:t>我校</w:t>
      </w:r>
      <w:r>
        <w:rPr>
          <w:rFonts w:ascii="仿宋_GB2312" w:hAnsi="Times New Roman" w:eastAsia="仿宋_GB2312" w:cs="仿宋_GB2312"/>
          <w:sz w:val="32"/>
          <w:szCs w:val="32"/>
          <w:lang w:bidi="ar"/>
        </w:rPr>
        <w:t>应当依据其办理</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产权变动和进行账务处理。账务处理按照现行事业单位财务和会计制度的有关规定执行。</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w:t>
      </w:r>
      <w:r>
        <w:rPr>
          <w:rFonts w:hint="eastAsia" w:ascii="仿宋_GB2312" w:hAnsi="Times New Roman" w:eastAsia="仿宋_GB2312" w:cs="仿宋_GB2312"/>
          <w:b/>
          <w:sz w:val="32"/>
          <w:szCs w:val="32"/>
          <w:lang w:bidi="ar"/>
        </w:rPr>
        <w:t>七</w:t>
      </w:r>
      <w:r>
        <w:rPr>
          <w:rFonts w:ascii="仿宋_GB2312" w:hAnsi="Times New Roman" w:eastAsia="仿宋_GB2312" w:cs="仿宋_GB2312"/>
          <w:b/>
          <w:sz w:val="32"/>
          <w:szCs w:val="32"/>
          <w:lang w:bidi="ar"/>
        </w:rPr>
        <w:t xml:space="preserve">条 </w:t>
      </w:r>
      <w:r>
        <w:rPr>
          <w:rFonts w:ascii="仿宋_GB2312" w:hAnsi="Times New Roman" w:eastAsia="仿宋_GB2312" w:cs="仿宋_GB2312"/>
          <w:sz w:val="32"/>
          <w:szCs w:val="32"/>
          <w:lang w:bidi="ar"/>
        </w:rPr>
        <w:t xml:space="preserve"> </w:t>
      </w:r>
      <w:r>
        <w:rPr>
          <w:rFonts w:hint="eastAsia" w:ascii="仿宋_GB2312" w:hAnsi="Times New Roman" w:eastAsia="仿宋_GB2312" w:cs="仿宋_GB2312"/>
          <w:sz w:val="32"/>
          <w:szCs w:val="32"/>
          <w:lang w:bidi="ar"/>
        </w:rPr>
        <w:t>我校</w:t>
      </w:r>
      <w:bookmarkStart w:id="1608" w:name="_Toc23626_WPSOffice_Level1"/>
      <w:r>
        <w:rPr>
          <w:rFonts w:ascii="仿宋_GB2312" w:hAnsi="Times New Roman" w:eastAsia="仿宋_GB2312" w:cs="仿宋_GB2312"/>
          <w:sz w:val="32"/>
          <w:szCs w:val="32"/>
          <w:lang w:bidi="ar"/>
        </w:rPr>
        <w:t>拟处置的</w:t>
      </w:r>
      <w:bookmarkEnd w:id="1608"/>
      <w:r>
        <w:rPr>
          <w:rFonts w:hint="eastAsia" w:ascii="仿宋_GB2312" w:hAnsi="Times New Roman" w:eastAsia="仿宋_GB2312" w:cs="仿宋_GB2312"/>
          <w:sz w:val="32"/>
          <w:szCs w:val="32"/>
          <w:lang w:bidi="ar"/>
        </w:rPr>
        <w:t>固</w:t>
      </w:r>
      <w:bookmarkStart w:id="1609" w:name="_Toc15334_WPSOffice_Level1"/>
      <w:r>
        <w:rPr>
          <w:rFonts w:hint="eastAsia" w:ascii="仿宋_GB2312" w:hAnsi="Times New Roman" w:eastAsia="仿宋_GB2312" w:cs="仿宋_GB2312"/>
          <w:sz w:val="32"/>
          <w:szCs w:val="32"/>
          <w:lang w:bidi="ar"/>
        </w:rPr>
        <w:t>定资产</w:t>
      </w:r>
      <w:r>
        <w:rPr>
          <w:rFonts w:ascii="仿宋_GB2312" w:hAnsi="Times New Roman" w:eastAsia="仿宋_GB2312" w:cs="仿宋_GB2312"/>
          <w:sz w:val="32"/>
          <w:szCs w:val="32"/>
          <w:lang w:bidi="ar"/>
        </w:rPr>
        <w:t>权属应当清晰。</w:t>
      </w:r>
      <w:bookmarkEnd w:id="1609"/>
      <w:r>
        <w:rPr>
          <w:rFonts w:ascii="仿宋_GB2312" w:hAnsi="Times New Roman" w:eastAsia="仿宋_GB2312" w:cs="仿宋_GB2312"/>
          <w:sz w:val="32"/>
          <w:szCs w:val="32"/>
          <w:lang w:bidi="ar"/>
        </w:rPr>
        <w:t>权属关系不明确或者存在权属纠纷的资产，须待权属界定明确后予以处置；被设置为担保物的</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的处置，应当符合《中华人民共和国担保法》、《中华人民共和国物权法》等法律的有关规定。</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w:t>
      </w:r>
      <w:r>
        <w:rPr>
          <w:rFonts w:hint="eastAsia" w:ascii="仿宋_GB2312" w:hAnsi="Times New Roman" w:eastAsia="仿宋_GB2312" w:cs="仿宋_GB2312"/>
          <w:b/>
          <w:sz w:val="32"/>
          <w:szCs w:val="32"/>
          <w:lang w:bidi="ar"/>
        </w:rPr>
        <w:t>八</w:t>
      </w:r>
      <w:r>
        <w:rPr>
          <w:rFonts w:ascii="仿宋_GB2312" w:hAnsi="Times New Roman" w:eastAsia="仿宋_GB2312" w:cs="仿宋_GB2312"/>
          <w:b/>
          <w:sz w:val="32"/>
          <w:szCs w:val="32"/>
          <w:lang w:bidi="ar"/>
        </w:rPr>
        <w:t xml:space="preserve">条 </w:t>
      </w:r>
      <w:r>
        <w:rPr>
          <w:rFonts w:ascii="仿宋_GB2312" w:hAnsi="Times New Roman" w:eastAsia="仿宋_GB2312" w:cs="仿宋_GB2312"/>
          <w:sz w:val="32"/>
          <w:szCs w:val="32"/>
          <w:lang w:bidi="ar"/>
        </w:rPr>
        <w:t xml:space="preserve"> </w:t>
      </w:r>
      <w:r>
        <w:rPr>
          <w:rFonts w:hint="eastAsia" w:ascii="仿宋_GB2312" w:hAnsi="Times New Roman" w:eastAsia="仿宋_GB2312" w:cs="仿宋_GB2312"/>
          <w:sz w:val="32"/>
          <w:szCs w:val="32"/>
          <w:lang w:bidi="ar"/>
        </w:rPr>
        <w:t>我校</w:t>
      </w:r>
      <w:r>
        <w:rPr>
          <w:rFonts w:ascii="仿宋_GB2312" w:hAnsi="Times New Roman" w:eastAsia="仿宋_GB2312" w:cs="仿宋_GB2312"/>
          <w:sz w:val="32"/>
          <w:szCs w:val="32"/>
          <w:lang w:bidi="ar"/>
        </w:rPr>
        <w:t>应当充分利用信息化管理手段，对本单位</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实行动态管理，及时准确反映资产增减变动情况和处置收入情况。</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w:t>
      </w:r>
      <w:r>
        <w:rPr>
          <w:rFonts w:hint="eastAsia" w:ascii="仿宋_GB2312" w:hAnsi="Times New Roman" w:eastAsia="仿宋_GB2312" w:cs="仿宋_GB2312"/>
          <w:b/>
          <w:sz w:val="32"/>
          <w:szCs w:val="32"/>
          <w:lang w:bidi="ar"/>
        </w:rPr>
        <w:t>九</w:t>
      </w:r>
      <w:r>
        <w:rPr>
          <w:rFonts w:ascii="仿宋_GB2312" w:hAnsi="Times New Roman" w:eastAsia="仿宋_GB2312" w:cs="仿宋_GB2312"/>
          <w:b/>
          <w:sz w:val="32"/>
          <w:szCs w:val="32"/>
          <w:lang w:bidi="ar"/>
        </w:rPr>
        <w:t>条</w:t>
      </w:r>
      <w:r>
        <w:rPr>
          <w:rFonts w:ascii="仿宋_GB2312" w:hAnsi="Times New Roman" w:eastAsia="仿宋_GB2312" w:cs="仿宋_GB2312"/>
          <w:sz w:val="32"/>
          <w:szCs w:val="32"/>
          <w:lang w:bidi="ar"/>
        </w:rPr>
        <w:t xml:space="preserve">  </w:t>
      </w:r>
      <w:r>
        <w:rPr>
          <w:rFonts w:hint="eastAsia" w:ascii="仿宋_GB2312" w:hAnsi="Times New Roman" w:eastAsia="仿宋_GB2312" w:cs="仿宋_GB2312"/>
          <w:sz w:val="32"/>
          <w:szCs w:val="32"/>
          <w:lang w:bidi="ar"/>
        </w:rPr>
        <w:t>我校</w:t>
      </w:r>
      <w:r>
        <w:rPr>
          <w:rFonts w:ascii="仿宋_GB2312" w:hAnsi="Times New Roman" w:eastAsia="仿宋_GB2312" w:cs="仿宋_GB2312"/>
          <w:sz w:val="32"/>
          <w:szCs w:val="32"/>
          <w:lang w:bidi="ar"/>
        </w:rPr>
        <w:t>应当建立健全资产内部控制制度，明确岗位职责，完善处置流程，规范处置行为。</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610" w:name="_Toc20196_WPSOffice_Level1"/>
      <w:r>
        <w:rPr>
          <w:rFonts w:ascii="黑体" w:hAnsi="黑体" w:eastAsia="黑体"/>
          <w:b/>
          <w:sz w:val="32"/>
          <w:szCs w:val="32"/>
        </w:rPr>
        <w:t>第二章  处置范围和基本程序</w:t>
      </w:r>
      <w:bookmarkEnd w:id="1610"/>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第十条</w:t>
      </w:r>
      <w:r>
        <w:rPr>
          <w:rFonts w:ascii="仿宋_GB2312" w:hAnsi="Times New Roman" w:eastAsia="仿宋_GB2312" w:cs="仿宋_GB2312"/>
          <w:sz w:val="32"/>
          <w:szCs w:val="32"/>
          <w:lang w:bidi="ar"/>
        </w:rPr>
        <w:t xml:space="preserve">  </w:t>
      </w:r>
      <w:r>
        <w:rPr>
          <w:rFonts w:hint="eastAsia" w:ascii="仿宋_GB2312" w:hAnsi="Times New Roman" w:eastAsia="仿宋_GB2312" w:cs="仿宋_GB2312"/>
          <w:sz w:val="32"/>
          <w:szCs w:val="32"/>
          <w:lang w:bidi="ar"/>
        </w:rPr>
        <w:t>固定</w:t>
      </w:r>
      <w:r>
        <w:rPr>
          <w:rFonts w:ascii="仿宋_GB2312" w:hAnsi="Times New Roman" w:eastAsia="仿宋_GB2312" w:cs="仿宋_GB2312"/>
          <w:sz w:val="32"/>
          <w:szCs w:val="32"/>
          <w:lang w:bidi="ar"/>
        </w:rPr>
        <w:t>资产处置的范围包括：</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（一）闲置资产；</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（二）超标准配置的资产；</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（三</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因技术原因并经过科学论证，确需报废、淘汰的资产；</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（四）因单位分立、撤销、合并、改制、隶属关系改变等原因发生的产权转移的资产；</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（五）呆账及非正常损失的资产；</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（六）已超过使用年限无法继续使用的资产；</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（七）依照国家有关规定需要进行资产处置的其他情形。</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处置方式包括</w:t>
      </w:r>
      <w:bookmarkStart w:id="1611" w:name="_Toc14276_WPSOffice_Level1"/>
      <w:r>
        <w:rPr>
          <w:rFonts w:ascii="仿宋_GB2312" w:hAnsi="Times New Roman" w:eastAsia="仿宋_GB2312" w:cs="仿宋_GB2312"/>
          <w:sz w:val="32"/>
          <w:szCs w:val="32"/>
          <w:lang w:bidi="ar"/>
        </w:rPr>
        <w:t>无偿调拨</w:t>
      </w:r>
      <w:bookmarkEnd w:id="1611"/>
      <w:r>
        <w:rPr>
          <w:rFonts w:ascii="仿宋_GB2312" w:hAnsi="Times New Roman" w:eastAsia="仿宋_GB2312" w:cs="仿宋_GB2312"/>
          <w:sz w:val="32"/>
          <w:szCs w:val="32"/>
          <w:lang w:bidi="ar"/>
        </w:rPr>
        <w:t>（划转）、对外捐赠、出售、出让、转让、置换、报废、报损、货币性资产损失核销等。</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第十</w:t>
      </w:r>
      <w:r>
        <w:rPr>
          <w:rFonts w:hint="eastAsia" w:ascii="仿宋_GB2312" w:hAnsi="Times New Roman" w:eastAsia="仿宋_GB2312" w:cs="仿宋_GB2312"/>
          <w:b/>
          <w:sz w:val="32"/>
          <w:szCs w:val="32"/>
          <w:lang w:bidi="ar"/>
        </w:rPr>
        <w:t>一</w:t>
      </w:r>
      <w:r>
        <w:rPr>
          <w:rFonts w:ascii="仿宋_GB2312" w:hAnsi="Times New Roman" w:eastAsia="仿宋_GB2312" w:cs="仿宋_GB2312"/>
          <w:b/>
          <w:sz w:val="32"/>
          <w:szCs w:val="32"/>
          <w:lang w:bidi="ar"/>
        </w:rPr>
        <w:t xml:space="preserve">条 </w:t>
      </w:r>
      <w:r>
        <w:rPr>
          <w:rFonts w:ascii="仿宋_GB2312" w:hAnsi="Times New Roman" w:eastAsia="仿宋_GB2312" w:cs="仿宋_GB2312"/>
          <w:sz w:val="32"/>
          <w:szCs w:val="32"/>
          <w:lang w:bidi="ar"/>
        </w:rPr>
        <w:t xml:space="preserve"> </w:t>
      </w:r>
      <w:r>
        <w:rPr>
          <w:rFonts w:hint="eastAsia" w:ascii="仿宋_GB2312" w:hAnsi="Times New Roman" w:eastAsia="仿宋_GB2312" w:cs="仿宋_GB2312"/>
          <w:sz w:val="32"/>
          <w:szCs w:val="32"/>
          <w:lang w:bidi="ar"/>
        </w:rPr>
        <w:t>我校固定资产</w:t>
      </w:r>
      <w:r>
        <w:rPr>
          <w:rFonts w:ascii="仿宋_GB2312" w:hAnsi="Times New Roman" w:eastAsia="仿宋_GB2312" w:cs="仿宋_GB2312"/>
          <w:sz w:val="32"/>
          <w:szCs w:val="32"/>
          <w:lang w:bidi="ar"/>
        </w:rPr>
        <w:t>处置按</w:t>
      </w:r>
      <w:r>
        <w:rPr>
          <w:rFonts w:hint="eastAsia" w:ascii="仿宋_GB2312" w:hAnsi="Times New Roman" w:eastAsia="仿宋_GB2312" w:cs="仿宋_GB2312"/>
          <w:sz w:val="32"/>
          <w:szCs w:val="32"/>
          <w:lang w:bidi="ar"/>
        </w:rPr>
        <w:t>以下权限进行审批</w:t>
      </w:r>
      <w:r>
        <w:rPr>
          <w:rFonts w:ascii="仿宋_GB2312" w:hAnsi="Times New Roman" w:eastAsia="仿宋_GB2312" w:cs="仿宋_GB2312"/>
          <w:sz w:val="32"/>
          <w:szCs w:val="32"/>
          <w:lang w:bidi="ar"/>
        </w:rPr>
        <w:t>：</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（一）</w:t>
      </w:r>
      <w:r>
        <w:rPr>
          <w:rFonts w:ascii="仿宋_GB2312" w:hAnsi="Times New Roman" w:eastAsia="仿宋_GB2312" w:cs="仿宋_GB2312"/>
          <w:sz w:val="32"/>
          <w:szCs w:val="32"/>
          <w:lang w:bidi="ar"/>
        </w:rPr>
        <w:t>根据自治区教育厅等五部门《关于深化广西高等教育领域简政放权放管结合优化服务改革的实施意见》,市教育局授权局属高校自主处置以下资产：</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1</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按照国家和自治区有关标准，已达到规定使用年限并符合报废条件的</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处置（车辆应当达到规定使用年限或规定行使里程数）；</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2</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按照国家和自治区有关标准，未达到规定使用年限或报废条件、单位价值（账面</w:t>
      </w:r>
      <w:r>
        <w:rPr>
          <w:rFonts w:hint="eastAsia" w:ascii="仿宋_GB2312" w:hAnsi="Times New Roman" w:eastAsia="仿宋_GB2312" w:cs="仿宋_GB2312"/>
          <w:sz w:val="32"/>
          <w:szCs w:val="32"/>
          <w:lang w:bidi="ar"/>
        </w:rPr>
        <w:t>原</w:t>
      </w:r>
      <w:r>
        <w:rPr>
          <w:rFonts w:ascii="仿宋_GB2312" w:hAnsi="Times New Roman" w:eastAsia="仿宋_GB2312" w:cs="仿宋_GB2312"/>
          <w:sz w:val="32"/>
          <w:szCs w:val="32"/>
          <w:lang w:bidi="ar"/>
        </w:rPr>
        <w:t>值，下同）在100万元（不含）以下的专用设备类</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3</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按照国家和自治区有关标准，未达到报废条件、单位价值在100万元（不含）以下的构筑物处置；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ascii="仿宋_GB2312" w:hAnsi="Times New Roman" w:eastAsia="仿宋_GB2312" w:cs="仿宋_GB2312"/>
          <w:sz w:val="32"/>
          <w:szCs w:val="32"/>
          <w:lang w:bidi="ar"/>
        </w:rPr>
        <w:t>4</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按照国家和自治区有关标准，未达到规定使用年限或报废条件、单位价值在10万元（不含）以下的通用设备、文物和陈列品、图书档案、家具、用具、装具及动植物类等</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（二）</w:t>
      </w:r>
      <w:r>
        <w:rPr>
          <w:rFonts w:ascii="仿宋_GB2312" w:hAnsi="Times New Roman" w:eastAsia="仿宋_GB2312" w:cs="仿宋_GB2312"/>
          <w:sz w:val="32"/>
          <w:szCs w:val="32"/>
          <w:lang w:bidi="ar"/>
        </w:rPr>
        <w:t>需经柳州市教育局审核后报市财政局审批的资产处置事项：</w:t>
      </w:r>
      <w:bookmarkStart w:id="1612" w:name="_Toc25412_WPSOffice_Level1"/>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1</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按</w:t>
      </w:r>
      <w:bookmarkEnd w:id="1612"/>
      <w:r>
        <w:rPr>
          <w:rFonts w:ascii="仿宋_GB2312" w:hAnsi="Times New Roman" w:eastAsia="仿宋_GB2312" w:cs="仿宋_GB2312"/>
          <w:sz w:val="32"/>
          <w:szCs w:val="32"/>
          <w:lang w:bidi="ar"/>
        </w:rPr>
        <w:t>照国家</w:t>
      </w:r>
      <w:bookmarkStart w:id="1613" w:name="_Toc30182_WPSOffice_Level1"/>
      <w:r>
        <w:rPr>
          <w:rFonts w:ascii="仿宋_GB2312" w:hAnsi="Times New Roman" w:eastAsia="仿宋_GB2312" w:cs="仿宋_GB2312"/>
          <w:sz w:val="32"/>
          <w:szCs w:val="32"/>
          <w:lang w:bidi="ar"/>
        </w:rPr>
        <w:t>和自治区</w:t>
      </w:r>
      <w:bookmarkEnd w:id="1613"/>
      <w:r>
        <w:rPr>
          <w:rFonts w:ascii="仿宋_GB2312" w:hAnsi="Times New Roman" w:eastAsia="仿宋_GB2312" w:cs="仿宋_GB2312"/>
          <w:sz w:val="32"/>
          <w:szCs w:val="32"/>
          <w:lang w:bidi="ar"/>
        </w:rPr>
        <w:t>有关标准，未达到规定使用年限或规定行使里程数的车辆处置；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2</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土地、房屋建筑物的处置；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3．</w:t>
      </w:r>
      <w:r>
        <w:rPr>
          <w:rFonts w:ascii="仿宋_GB2312" w:hAnsi="Times New Roman" w:eastAsia="仿宋_GB2312" w:cs="仿宋_GB2312"/>
          <w:sz w:val="32"/>
          <w:szCs w:val="32"/>
          <w:lang w:bidi="ar"/>
        </w:rPr>
        <w:t>对外捐赠</w:t>
      </w:r>
      <w:r>
        <w:rPr>
          <w:rFonts w:hint="eastAsia" w:ascii="仿宋_GB2312" w:hAnsi="Times New Roman" w:eastAsia="仿宋_GB2312" w:cs="仿宋_GB2312"/>
          <w:sz w:val="32"/>
          <w:szCs w:val="32"/>
          <w:lang w:bidi="ar"/>
        </w:rPr>
        <w:t>的固定资产</w:t>
      </w:r>
      <w:r>
        <w:rPr>
          <w:rFonts w:ascii="仿宋_GB2312" w:hAnsi="Times New Roman" w:eastAsia="仿宋_GB2312" w:cs="仿宋_GB2312"/>
          <w:sz w:val="32"/>
          <w:szCs w:val="32"/>
          <w:lang w:bidi="ar"/>
        </w:rPr>
        <w:t>；</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4．</w:t>
      </w:r>
      <w:r>
        <w:rPr>
          <w:rFonts w:ascii="仿宋_GB2312" w:hAnsi="Times New Roman" w:eastAsia="仿宋_GB2312" w:cs="仿宋_GB2312"/>
          <w:sz w:val="32"/>
          <w:szCs w:val="32"/>
          <w:lang w:bidi="ar"/>
        </w:rPr>
        <w:t>跨部门、跨级次的</w:t>
      </w:r>
      <w:r>
        <w:rPr>
          <w:rFonts w:hint="eastAsia" w:ascii="仿宋_GB2312" w:hAnsi="Times New Roman" w:eastAsia="仿宋_GB2312" w:cs="仿宋_GB2312"/>
          <w:sz w:val="32"/>
          <w:szCs w:val="32"/>
          <w:lang w:bidi="ar"/>
        </w:rPr>
        <w:t>固定</w:t>
      </w:r>
      <w:r>
        <w:rPr>
          <w:rFonts w:ascii="仿宋_GB2312" w:hAnsi="Times New Roman" w:eastAsia="仿宋_GB2312" w:cs="仿宋_GB2312"/>
          <w:sz w:val="32"/>
          <w:szCs w:val="32"/>
          <w:lang w:bidi="ar"/>
        </w:rPr>
        <w:t>资产无偿调拨（划转）；</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5．</w:t>
      </w:r>
      <w:r>
        <w:rPr>
          <w:rFonts w:ascii="仿宋_GB2312" w:hAnsi="Times New Roman" w:eastAsia="仿宋_GB2312" w:cs="仿宋_GB2312"/>
          <w:sz w:val="32"/>
          <w:szCs w:val="32"/>
          <w:lang w:bidi="ar"/>
        </w:rPr>
        <w:t>因单位分立、撤销、合并、改制、隶属关系改变等原因发生的资产产权转移；</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6．</w:t>
      </w:r>
      <w:r>
        <w:rPr>
          <w:rFonts w:ascii="仿宋_GB2312" w:hAnsi="Times New Roman" w:eastAsia="仿宋_GB2312" w:cs="仿宋_GB2312"/>
          <w:sz w:val="32"/>
          <w:szCs w:val="32"/>
          <w:lang w:bidi="ar"/>
        </w:rPr>
        <w:t>按照国家和自治区有关标准，未达到规定使用年限或报废条件、单位价值在100万元（含）以上的专用设备类</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7．</w:t>
      </w:r>
      <w:r>
        <w:rPr>
          <w:rFonts w:ascii="仿宋_GB2312" w:hAnsi="Times New Roman" w:eastAsia="仿宋_GB2312" w:cs="仿宋_GB2312"/>
          <w:sz w:val="32"/>
          <w:szCs w:val="32"/>
          <w:lang w:bidi="ar"/>
        </w:rPr>
        <w:t>按照国家和自治区有关标准，未达到报废条件、单位价值在100万元以上（含）的构筑物处置；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8．</w:t>
      </w:r>
      <w:r>
        <w:rPr>
          <w:rFonts w:ascii="仿宋_GB2312" w:hAnsi="Times New Roman" w:eastAsia="仿宋_GB2312" w:cs="仿宋_GB2312"/>
          <w:sz w:val="32"/>
          <w:szCs w:val="32"/>
          <w:lang w:bidi="ar"/>
        </w:rPr>
        <w:t>按照国家和自治区有关标准，未达到规定使用年限或报废条件、单位价值在10万元（含）以上的通用设备、文物和陈列品、图书档案、家具、用具、装具及动植物类等</w:t>
      </w:r>
      <w:r>
        <w:rPr>
          <w:rFonts w:hint="eastAsia" w:ascii="仿宋_GB2312" w:hAnsi="Times New Roman" w:eastAsia="仿宋_GB2312" w:cs="仿宋_GB2312"/>
          <w:sz w:val="32"/>
          <w:szCs w:val="32"/>
          <w:lang w:bidi="ar"/>
        </w:rPr>
        <w:t>固定</w:t>
      </w:r>
      <w:r>
        <w:rPr>
          <w:rFonts w:ascii="仿宋_GB2312" w:hAnsi="Times New Roman" w:eastAsia="仿宋_GB2312" w:cs="仿宋_GB2312"/>
          <w:sz w:val="32"/>
          <w:szCs w:val="32"/>
          <w:lang w:bidi="ar"/>
        </w:rPr>
        <w:t>资产处置。</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b/>
          <w:sz w:val="32"/>
          <w:szCs w:val="32"/>
          <w:lang w:bidi="ar"/>
        </w:rPr>
        <w:t>第十二条</w:t>
      </w:r>
      <w:r>
        <w:rPr>
          <w:rFonts w:hint="eastAsia" w:ascii="仿宋_GB2312" w:hAnsi="Times New Roman" w:eastAsia="仿宋_GB2312" w:cs="仿宋_GB2312"/>
          <w:sz w:val="32"/>
          <w:szCs w:val="32"/>
          <w:lang w:bidi="ar"/>
        </w:rPr>
        <w:t xml:space="preserve"> 校内固定资产处置审批原则</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1．资产已达到规定使用年限但仍能正常使用的，原则上不进行处置审批。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2．资产未达到使用年限或报废条件、</w:t>
      </w:r>
      <w:r>
        <w:rPr>
          <w:rFonts w:ascii="仿宋_GB2312" w:hAnsi="Times New Roman" w:eastAsia="仿宋_GB2312" w:cs="仿宋_GB2312"/>
          <w:sz w:val="32"/>
          <w:szCs w:val="32"/>
          <w:lang w:bidi="ar"/>
        </w:rPr>
        <w:t>单位价值在10万元（不含）以下的</w:t>
      </w:r>
      <w:r>
        <w:rPr>
          <w:rFonts w:hint="eastAsia" w:ascii="仿宋_GB2312" w:hAnsi="Times New Roman" w:eastAsia="仿宋_GB2312" w:cs="仿宋_GB2312"/>
          <w:sz w:val="32"/>
          <w:szCs w:val="32"/>
          <w:lang w:bidi="ar"/>
        </w:rPr>
        <w:t>通用设备、文物和陈列品、图书档案、家具、用具、装具及动植物类等固定资产，已无法正常使用的，经过有关专家鉴定确定无法维修或维修成本过高的，可以申请处置。每半年同类资产处置原值批量金额达到100万元及以上的，报校长办公会审批同意向党委会报告后，方可进行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3.资产未达到规定使用年限或报废条件、单位价值在100万元（不含）以下的专用设备类固定资产，已无法正常使用的，经过有关专家及相关部门鉴定确定无法维修或维修成本过高的，可以申请处置。每半年同类资产处置原值批量金额达到100万元及以上的，报校长办公会审批同意向党委会报告后，方可进行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4.资产未达到规定使用年限或报废条件、</w:t>
      </w:r>
      <w:r>
        <w:rPr>
          <w:rFonts w:ascii="仿宋_GB2312" w:hAnsi="Times New Roman" w:eastAsia="仿宋_GB2312" w:cs="仿宋_GB2312"/>
          <w:sz w:val="32"/>
          <w:szCs w:val="32"/>
          <w:lang w:bidi="ar"/>
        </w:rPr>
        <w:t>单位价值在10万元（不含）以</w:t>
      </w:r>
      <w:r>
        <w:rPr>
          <w:rFonts w:hint="eastAsia" w:ascii="仿宋_GB2312" w:hAnsi="Times New Roman" w:eastAsia="仿宋_GB2312" w:cs="仿宋_GB2312"/>
          <w:sz w:val="32"/>
          <w:szCs w:val="32"/>
          <w:lang w:bidi="ar"/>
        </w:rPr>
        <w:t>上</w:t>
      </w:r>
      <w:r>
        <w:rPr>
          <w:rFonts w:ascii="仿宋_GB2312" w:hAnsi="Times New Roman" w:eastAsia="仿宋_GB2312" w:cs="仿宋_GB2312"/>
          <w:sz w:val="32"/>
          <w:szCs w:val="32"/>
          <w:lang w:bidi="ar"/>
        </w:rPr>
        <w:t>的</w:t>
      </w:r>
      <w:r>
        <w:rPr>
          <w:rFonts w:hint="eastAsia" w:ascii="仿宋_GB2312" w:hAnsi="Times New Roman" w:eastAsia="仿宋_GB2312" w:cs="仿宋_GB2312"/>
          <w:sz w:val="32"/>
          <w:szCs w:val="32"/>
          <w:lang w:bidi="ar"/>
        </w:rPr>
        <w:t>通用设备、文物和陈列品、图书档案、家具、用具、装具及动植物类等固定资产及单位价值在100万元（含）以上的专用设备类固定资产，已无法正常使用的，经过有关专家及相关部门鉴定确定无法维修或维修成本过高的，可以申请处置。每</w:t>
      </w:r>
      <w:bookmarkStart w:id="1614" w:name="_Toc26441_WPSOffice_Level1"/>
      <w:r>
        <w:rPr>
          <w:rFonts w:hint="eastAsia" w:ascii="仿宋_GB2312" w:hAnsi="Times New Roman" w:eastAsia="仿宋_GB2312" w:cs="仿宋_GB2312"/>
          <w:sz w:val="32"/>
          <w:szCs w:val="32"/>
          <w:lang w:bidi="ar"/>
        </w:rPr>
        <w:t>半年同类</w:t>
      </w:r>
      <w:bookmarkEnd w:id="1614"/>
      <w:r>
        <w:rPr>
          <w:rFonts w:hint="eastAsia" w:ascii="仿宋_GB2312" w:hAnsi="Times New Roman" w:eastAsia="仿宋_GB2312" w:cs="仿宋_GB2312"/>
          <w:sz w:val="32"/>
          <w:szCs w:val="32"/>
          <w:lang w:bidi="ar"/>
        </w:rPr>
        <w:t>资</w:t>
      </w:r>
      <w:bookmarkStart w:id="1615" w:name="_Toc7478_WPSOffice_Level1"/>
      <w:r>
        <w:rPr>
          <w:rFonts w:hint="eastAsia" w:ascii="仿宋_GB2312" w:hAnsi="Times New Roman" w:eastAsia="仿宋_GB2312" w:cs="仿宋_GB2312"/>
          <w:sz w:val="32"/>
          <w:szCs w:val="32"/>
          <w:lang w:bidi="ar"/>
        </w:rPr>
        <w:t>产处置原值批量</w:t>
      </w:r>
      <w:bookmarkEnd w:id="1615"/>
      <w:r>
        <w:rPr>
          <w:rFonts w:hint="eastAsia" w:ascii="仿宋_GB2312" w:hAnsi="Times New Roman" w:eastAsia="仿宋_GB2312" w:cs="仿宋_GB2312"/>
          <w:sz w:val="32"/>
          <w:szCs w:val="32"/>
          <w:lang w:bidi="ar"/>
        </w:rPr>
        <w:t>金额达到100万元及以上的，报校长办公会审批同意向党委会报告后，报教育局审核并报财政局审批。待财政局批复后，方可进行处置。</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5.资产处置，必须经过归口管理部门进行审批。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6.对于已达到规定使用年限并符合报废条件的固定资产，每半年处置资产原值批量金额500万元（含）以下的，报校长办公会备案；每半年处置资产原值批量金额达到500万元以上的，报党委会备案。</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7.资产处置申报采取集中方式进行。每年进行两次，分别在五月及十月，原则上不允许跨年度审批。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8.需经柳州市教育局审核后报市财政局审批的资产处置事项，由申请部门提交材料，后勤与资产管理处资产管理科收集整理材料，并以正式文件向柳州市教育局申报。固定资产处置事项经市教育局审议通过后，报送市财政局审批。市财政局对市教育局报送的固定资产处置事项进行审核批复。</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b/>
          <w:sz w:val="32"/>
          <w:szCs w:val="32"/>
          <w:lang w:bidi="ar"/>
        </w:rPr>
        <w:t>第十三条</w:t>
      </w:r>
      <w:r>
        <w:rPr>
          <w:rFonts w:hint="eastAsia" w:ascii="仿宋_GB2312" w:hAnsi="Times New Roman" w:eastAsia="仿宋_GB2312" w:cs="仿宋_GB2312"/>
          <w:sz w:val="32"/>
          <w:szCs w:val="32"/>
          <w:lang w:bidi="ar"/>
        </w:rPr>
        <w:t xml:space="preserve">  校内固定资产处置程序</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1.部门申报。学校各部门处置固定资产，在学校网上办事系统中进行申请。按资产处置类型分别填制《固定资产处置申请表》中“设备编号、资产名称、规格型号、单价（原值）、购置时间（年月）、处置原因”。同时上传待处置资产的实物照片作为附件。并由部门负责人进行审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2.归口部门领导审批。涉及到归口部门管理的资产，需要同时由归口部门领导进行审批。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3.财务处经办会计下载申请部门填好并上传的表格，填写表中“财务资产编号、已提折旧额、账面净值”。再次上传表格后提交财务处领导审批。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4.后勤处经办人员接到财务处转来的资产处置申请表后，通知相关部</w:t>
      </w:r>
      <w:bookmarkStart w:id="1616" w:name="_Toc2911_WPSOffice_Level1"/>
      <w:r>
        <w:rPr>
          <w:rFonts w:hint="eastAsia" w:ascii="仿宋_GB2312" w:hAnsi="Times New Roman" w:eastAsia="仿宋_GB2312" w:cs="仿宋_GB2312"/>
          <w:sz w:val="32"/>
          <w:szCs w:val="32"/>
          <w:lang w:bidi="ar"/>
        </w:rPr>
        <w:t>门人员到</w:t>
      </w:r>
      <w:bookmarkEnd w:id="1616"/>
      <w:r>
        <w:rPr>
          <w:rFonts w:hint="eastAsia" w:ascii="仿宋_GB2312" w:hAnsi="Times New Roman" w:eastAsia="仿宋_GB2312" w:cs="仿宋_GB2312"/>
          <w:sz w:val="32"/>
          <w:szCs w:val="32"/>
          <w:lang w:bidi="ar"/>
        </w:rPr>
        <w:t>现</w:t>
      </w:r>
      <w:bookmarkStart w:id="1617" w:name="_Toc18056_WPSOffice_Level1"/>
      <w:r>
        <w:rPr>
          <w:rFonts w:hint="eastAsia" w:ascii="仿宋_GB2312" w:hAnsi="Times New Roman" w:eastAsia="仿宋_GB2312" w:cs="仿宋_GB2312"/>
          <w:sz w:val="32"/>
          <w:szCs w:val="32"/>
          <w:lang w:bidi="ar"/>
        </w:rPr>
        <w:t>场进行资产盘点，包括申请部门资产管</w:t>
      </w:r>
      <w:bookmarkEnd w:id="1617"/>
      <w:r>
        <w:rPr>
          <w:rFonts w:hint="eastAsia" w:ascii="仿宋_GB2312" w:hAnsi="Times New Roman" w:eastAsia="仿宋_GB2312" w:cs="仿宋_GB2312"/>
          <w:sz w:val="32"/>
          <w:szCs w:val="32"/>
          <w:lang w:bidi="ar"/>
        </w:rPr>
        <w:t>理员、归口管理部门人员、财务处经办会计及内部审计人员，确定需要处置的资产账实一致，并在流程中进行审批。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5.后勤与资产管理处领导进行审批。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6.根据资产处置原值批量金额及资产处置类型，由资产处置小组副组长或组长进行最终审批。</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第</w:t>
      </w:r>
      <w:r>
        <w:rPr>
          <w:rFonts w:hint="eastAsia" w:ascii="仿宋_GB2312" w:hAnsi="Times New Roman" w:eastAsia="仿宋_GB2312" w:cs="仿宋_GB2312"/>
          <w:sz w:val="32"/>
          <w:szCs w:val="32"/>
          <w:lang w:bidi="ar"/>
        </w:rPr>
        <w:t>十四</w:t>
      </w:r>
      <w:r>
        <w:rPr>
          <w:rFonts w:ascii="仿宋_GB2312" w:hAnsi="Times New Roman" w:eastAsia="仿宋_GB2312" w:cs="仿宋_GB2312"/>
          <w:sz w:val="32"/>
          <w:szCs w:val="32"/>
          <w:lang w:bidi="ar"/>
        </w:rPr>
        <w:t>条</w:t>
      </w:r>
      <w:r>
        <w:rPr>
          <w:rFonts w:hint="eastAsia" w:ascii="仿宋_GB2312" w:hAnsi="Times New Roman" w:eastAsia="仿宋_GB2312" w:cs="仿宋_GB2312"/>
          <w:sz w:val="32"/>
          <w:szCs w:val="32"/>
          <w:lang w:bidi="ar"/>
        </w:rPr>
        <w:t xml:space="preserve">  我校</w:t>
      </w:r>
      <w:r>
        <w:rPr>
          <w:rFonts w:ascii="仿宋_GB2312" w:hAnsi="Times New Roman" w:eastAsia="仿宋_GB2312" w:cs="仿宋_GB2312"/>
          <w:sz w:val="32"/>
          <w:szCs w:val="32"/>
          <w:lang w:bidi="ar"/>
        </w:rPr>
        <w:t>于每年六月底、十二月底分两次将</w:t>
      </w:r>
      <w:r>
        <w:rPr>
          <w:rFonts w:hint="eastAsia" w:ascii="仿宋_GB2312" w:hAnsi="Times New Roman" w:eastAsia="仿宋_GB2312" w:cs="仿宋_GB2312"/>
          <w:sz w:val="32"/>
          <w:szCs w:val="32"/>
          <w:lang w:bidi="ar"/>
        </w:rPr>
        <w:t>经过学校审批通过的固定资产</w:t>
      </w:r>
      <w:r>
        <w:rPr>
          <w:rFonts w:ascii="仿宋_GB2312" w:hAnsi="Times New Roman" w:eastAsia="仿宋_GB2312" w:cs="仿宋_GB2312"/>
          <w:sz w:val="32"/>
          <w:szCs w:val="32"/>
          <w:lang w:bidi="ar"/>
        </w:rPr>
        <w:t>处置结果列表报市教育局、市财政局备案。</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对于需经柳州市教育局审核后报市财政局审批的资产处置事项学校收到财政局对固定资产处置事项的批复后，才能对资产进行处置及销账。</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第</w:t>
      </w:r>
      <w:r>
        <w:rPr>
          <w:rFonts w:hint="eastAsia" w:ascii="仿宋_GB2312" w:hAnsi="Times New Roman" w:eastAsia="仿宋_GB2312" w:cs="仿宋_GB2312"/>
          <w:sz w:val="32"/>
          <w:szCs w:val="32"/>
          <w:lang w:bidi="ar"/>
        </w:rPr>
        <w:t>十五</w:t>
      </w:r>
      <w:r>
        <w:rPr>
          <w:rFonts w:ascii="仿宋_GB2312" w:hAnsi="Times New Roman" w:eastAsia="仿宋_GB2312" w:cs="仿宋_GB2312"/>
          <w:sz w:val="32"/>
          <w:szCs w:val="32"/>
          <w:lang w:bidi="ar"/>
        </w:rPr>
        <w:t>条</w:t>
      </w:r>
      <w:r>
        <w:rPr>
          <w:rFonts w:hint="eastAsia" w:ascii="仿宋_GB2312" w:hAnsi="Times New Roman" w:eastAsia="仿宋_GB2312" w:cs="仿宋_GB2312"/>
          <w:sz w:val="32"/>
          <w:szCs w:val="32"/>
          <w:lang w:bidi="ar"/>
        </w:rPr>
        <w:t xml:space="preserve">  固定资产</w:t>
      </w:r>
      <w:r>
        <w:rPr>
          <w:rFonts w:ascii="仿宋_GB2312" w:hAnsi="Times New Roman" w:eastAsia="仿宋_GB2312" w:cs="仿宋_GB2312"/>
          <w:sz w:val="32"/>
          <w:szCs w:val="32"/>
          <w:lang w:bidi="ar"/>
        </w:rPr>
        <w:t>处置。</w:t>
      </w:r>
      <w:r>
        <w:rPr>
          <w:rFonts w:hint="eastAsia" w:ascii="仿宋_GB2312" w:hAnsi="Times New Roman" w:eastAsia="仿宋_GB2312" w:cs="仿宋_GB2312"/>
          <w:sz w:val="32"/>
          <w:szCs w:val="32"/>
          <w:lang w:bidi="ar"/>
        </w:rPr>
        <w:t>已审批通过的固定资产</w:t>
      </w:r>
      <w:r>
        <w:rPr>
          <w:rFonts w:ascii="仿宋_GB2312" w:hAnsi="Times New Roman" w:eastAsia="仿宋_GB2312" w:cs="仿宋_GB2312"/>
          <w:sz w:val="32"/>
          <w:szCs w:val="32"/>
          <w:lang w:bidi="ar"/>
        </w:rPr>
        <w:t>处置，应遵循公开、公平、公正的原则。出售、出让、转让、变卖资产</w:t>
      </w:r>
      <w:r>
        <w:rPr>
          <w:rFonts w:hint="eastAsia" w:ascii="仿宋_GB2312" w:hAnsi="Times New Roman" w:eastAsia="仿宋_GB2312" w:cs="仿宋_GB2312"/>
          <w:sz w:val="32"/>
          <w:szCs w:val="32"/>
          <w:lang w:bidi="ar"/>
        </w:rPr>
        <w:t>应通过政府定点回收公司处置。由后勤与资产管理处</w:t>
      </w:r>
      <w:r>
        <w:rPr>
          <w:rFonts w:ascii="仿宋_GB2312" w:hAnsi="Times New Roman" w:eastAsia="仿宋_GB2312" w:cs="仿宋_GB2312"/>
          <w:sz w:val="32"/>
          <w:szCs w:val="32"/>
          <w:lang w:bidi="ar"/>
        </w:rPr>
        <w:t>具体组织实施本单位的资产处置工作</w:t>
      </w:r>
      <w:r>
        <w:rPr>
          <w:rFonts w:hint="eastAsia" w:ascii="仿宋_GB2312" w:hAnsi="Times New Roman" w:eastAsia="仿宋_GB2312" w:cs="仿宋_GB2312"/>
          <w:sz w:val="32"/>
          <w:szCs w:val="32"/>
          <w:lang w:bidi="ar"/>
        </w:rPr>
        <w:t>，由内部审计与督导室对该工作进行监督</w:t>
      </w:r>
      <w:r>
        <w:rPr>
          <w:rFonts w:ascii="仿宋_GB2312" w:hAnsi="Times New Roman" w:eastAsia="仿宋_GB2312" w:cs="仿宋_GB2312"/>
          <w:sz w:val="32"/>
          <w:szCs w:val="32"/>
          <w:lang w:bidi="ar"/>
        </w:rPr>
        <w:t>。</w:t>
      </w:r>
      <w:r>
        <w:rPr>
          <w:rFonts w:hint="eastAsia" w:ascii="仿宋_GB2312" w:hAnsi="Times New Roman" w:eastAsia="仿宋_GB2312" w:cs="仿宋_GB2312"/>
          <w:sz w:val="32"/>
          <w:szCs w:val="32"/>
          <w:lang w:bidi="ar"/>
        </w:rPr>
        <w:t>固定资产处置完成之后，及时将相关材料交于财务处进行资产价值销账处理。</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618" w:name="_Toc12958_WPSOffice_Level1"/>
      <w:r>
        <w:rPr>
          <w:rFonts w:ascii="黑体" w:hAnsi="黑体" w:eastAsia="黑体"/>
          <w:b/>
          <w:sz w:val="32"/>
          <w:szCs w:val="32"/>
        </w:rPr>
        <w:t>第</w:t>
      </w:r>
      <w:r>
        <w:rPr>
          <w:rFonts w:hint="eastAsia" w:ascii="黑体" w:hAnsi="黑体" w:eastAsia="黑体"/>
          <w:b/>
          <w:sz w:val="32"/>
          <w:szCs w:val="32"/>
        </w:rPr>
        <w:t>三</w:t>
      </w:r>
      <w:r>
        <w:rPr>
          <w:rFonts w:ascii="黑体" w:hAnsi="黑体" w:eastAsia="黑体"/>
          <w:b/>
          <w:sz w:val="32"/>
          <w:szCs w:val="32"/>
        </w:rPr>
        <w:t>章  监督检查和法律责任</w:t>
      </w:r>
      <w:bookmarkEnd w:id="1618"/>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w:t>
      </w:r>
      <w:r>
        <w:rPr>
          <w:rFonts w:hint="eastAsia" w:ascii="仿宋_GB2312" w:hAnsi="Times New Roman" w:eastAsia="仿宋_GB2312" w:cs="仿宋_GB2312"/>
          <w:b/>
          <w:sz w:val="32"/>
          <w:szCs w:val="32"/>
          <w:lang w:bidi="ar"/>
        </w:rPr>
        <w:t>十六</w:t>
      </w:r>
      <w:r>
        <w:rPr>
          <w:rFonts w:ascii="仿宋_GB2312" w:hAnsi="Times New Roman" w:eastAsia="仿宋_GB2312" w:cs="仿宋_GB2312"/>
          <w:b/>
          <w:sz w:val="32"/>
          <w:szCs w:val="32"/>
          <w:lang w:bidi="ar"/>
        </w:rPr>
        <w:t xml:space="preserve">条 </w:t>
      </w:r>
      <w:r>
        <w:rPr>
          <w:rFonts w:ascii="仿宋_GB2312" w:hAnsi="Times New Roman" w:eastAsia="仿宋_GB2312" w:cs="仿宋_GB2312"/>
          <w:sz w:val="32"/>
          <w:szCs w:val="32"/>
          <w:lang w:bidi="ar"/>
        </w:rPr>
        <w:t xml:space="preserve"> </w:t>
      </w:r>
      <w:r>
        <w:rPr>
          <w:rFonts w:hint="eastAsia" w:ascii="仿宋_GB2312" w:hAnsi="Times New Roman" w:eastAsia="仿宋_GB2312" w:cs="仿宋_GB2312"/>
          <w:sz w:val="32"/>
          <w:szCs w:val="32"/>
          <w:lang w:bidi="ar"/>
        </w:rPr>
        <w:t>学校资产处置小组对我校固定资产</w:t>
      </w:r>
      <w:r>
        <w:rPr>
          <w:rFonts w:ascii="仿宋_GB2312" w:hAnsi="Times New Roman" w:eastAsia="仿宋_GB2312" w:cs="仿宋_GB2312"/>
          <w:sz w:val="32"/>
          <w:szCs w:val="32"/>
          <w:lang w:bidi="ar"/>
        </w:rPr>
        <w:t>处置情况进行监督，可定期或不定期对处置情况开展专项检查。</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w:t>
      </w:r>
      <w:r>
        <w:rPr>
          <w:rFonts w:hint="eastAsia" w:ascii="仿宋_GB2312" w:hAnsi="Times New Roman" w:eastAsia="仿宋_GB2312" w:cs="仿宋_GB2312"/>
          <w:b/>
          <w:sz w:val="32"/>
          <w:szCs w:val="32"/>
          <w:lang w:bidi="ar"/>
        </w:rPr>
        <w:t>十七</w:t>
      </w:r>
      <w:r>
        <w:rPr>
          <w:rFonts w:ascii="仿宋_GB2312" w:hAnsi="Times New Roman" w:eastAsia="仿宋_GB2312" w:cs="仿宋_GB2312"/>
          <w:b/>
          <w:sz w:val="32"/>
          <w:szCs w:val="32"/>
          <w:lang w:bidi="ar"/>
        </w:rPr>
        <w:t>条</w:t>
      </w:r>
      <w:r>
        <w:rPr>
          <w:rFonts w:ascii="仿宋_GB2312" w:hAnsi="Times New Roman" w:eastAsia="仿宋_GB2312" w:cs="仿宋_GB2312"/>
          <w:sz w:val="32"/>
          <w:szCs w:val="32"/>
          <w:lang w:bidi="ar"/>
        </w:rPr>
        <w:t xml:space="preserve">  </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处置过程中不得有下列行为</w:t>
      </w:r>
      <w:r>
        <w:rPr>
          <w:rFonts w:hint="eastAsia" w:ascii="仿宋_GB2312" w:hAnsi="Times New Roman" w:eastAsia="仿宋_GB2312" w:cs="仿宋_GB2312"/>
          <w:sz w:val="32"/>
          <w:szCs w:val="32"/>
          <w:lang w:bidi="ar"/>
        </w:rPr>
        <w:t>：</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（一）未按规定程序申报，擅自越权对规定限额以上的</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进行处置</w:t>
      </w:r>
      <w:r>
        <w:rPr>
          <w:rFonts w:hint="eastAsia" w:ascii="仿宋_GB2312" w:hAnsi="Times New Roman" w:eastAsia="仿宋_GB2312" w:cs="仿宋_GB2312"/>
          <w:sz w:val="32"/>
          <w:szCs w:val="32"/>
          <w:lang w:bidi="ar"/>
        </w:rPr>
        <w:t>；</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（二）对不符合规定的申报处置材料予以审批</w:t>
      </w:r>
      <w:r>
        <w:rPr>
          <w:rFonts w:hint="eastAsia" w:ascii="仿宋_GB2312" w:hAnsi="Times New Roman" w:eastAsia="仿宋_GB2312" w:cs="仿宋_GB2312"/>
          <w:sz w:val="32"/>
          <w:szCs w:val="32"/>
          <w:lang w:bidi="ar"/>
        </w:rPr>
        <w:t>；</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（三）串通作弊、暗箱操作，压价处置</w:t>
      </w:r>
      <w:r>
        <w:rPr>
          <w:rFonts w:hint="eastAsia" w:ascii="仿宋_GB2312" w:hAnsi="Times New Roman" w:eastAsia="仿宋_GB2312" w:cs="仿宋_GB2312"/>
          <w:sz w:val="32"/>
          <w:szCs w:val="32"/>
          <w:lang w:bidi="ar"/>
        </w:rPr>
        <w:t>固定资产；</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（四）截留</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处置收入</w:t>
      </w:r>
      <w:r>
        <w:rPr>
          <w:rFonts w:hint="eastAsia" w:ascii="仿宋_GB2312" w:hAnsi="Times New Roman" w:eastAsia="仿宋_GB2312" w:cs="仿宋_GB2312"/>
          <w:sz w:val="32"/>
          <w:szCs w:val="32"/>
          <w:lang w:bidi="ar"/>
        </w:rPr>
        <w:t>；</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（五）其他造成</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损失的行为。</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w:t>
      </w:r>
      <w:r>
        <w:rPr>
          <w:rFonts w:hint="eastAsia" w:ascii="仿宋_GB2312" w:hAnsi="Times New Roman" w:eastAsia="仿宋_GB2312" w:cs="仿宋_GB2312"/>
          <w:b/>
          <w:sz w:val="32"/>
          <w:szCs w:val="32"/>
          <w:lang w:bidi="ar"/>
        </w:rPr>
        <w:t>十八</w:t>
      </w:r>
      <w:r>
        <w:rPr>
          <w:rFonts w:ascii="仿宋_GB2312" w:hAnsi="Times New Roman" w:eastAsia="仿宋_GB2312" w:cs="仿宋_GB2312"/>
          <w:b/>
          <w:sz w:val="32"/>
          <w:szCs w:val="32"/>
          <w:lang w:bidi="ar"/>
        </w:rPr>
        <w:t>条</w:t>
      </w:r>
      <w:r>
        <w:rPr>
          <w:rFonts w:ascii="仿宋_GB2312" w:hAnsi="Times New Roman" w:eastAsia="仿宋_GB2312" w:cs="仿宋_GB2312"/>
          <w:sz w:val="32"/>
          <w:szCs w:val="32"/>
          <w:lang w:bidi="ar"/>
        </w:rPr>
        <w:t xml:space="preserve">  违反本办法规定的</w:t>
      </w:r>
      <w:r>
        <w:rPr>
          <w:rFonts w:hint="eastAsia" w:ascii="仿宋_GB2312" w:hAnsi="Times New Roman" w:eastAsia="仿宋_GB2312" w:cs="仿宋_GB2312"/>
          <w:sz w:val="32"/>
          <w:szCs w:val="32"/>
          <w:lang w:bidi="ar"/>
        </w:rPr>
        <w:t>人员</w:t>
      </w:r>
      <w:r>
        <w:rPr>
          <w:rFonts w:ascii="仿宋_GB2312" w:hAnsi="Times New Roman" w:eastAsia="仿宋_GB2312" w:cs="仿宋_GB2312"/>
          <w:sz w:val="32"/>
          <w:szCs w:val="32"/>
          <w:lang w:bidi="ar"/>
        </w:rPr>
        <w:t>，应根据《财政违法行为处罚处分条例》（国务院令第427 号）等国家有关规定追究法律责任，涉嫌犯罪的，移送司法机关处理。</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p>
    <w:p>
      <w:pPr>
        <w:pageBreakBefore w:val="0"/>
        <w:kinsoku/>
        <w:wordWrap/>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619" w:name="_Toc12673_WPSOffice_Level1"/>
      <w:r>
        <w:rPr>
          <w:rFonts w:ascii="黑体" w:hAnsi="黑体" w:eastAsia="黑体"/>
          <w:b/>
          <w:sz w:val="32"/>
          <w:szCs w:val="32"/>
        </w:rPr>
        <w:t>第</w:t>
      </w:r>
      <w:r>
        <w:rPr>
          <w:rFonts w:hint="eastAsia" w:ascii="黑体" w:hAnsi="黑体" w:eastAsia="黑体"/>
          <w:b/>
          <w:sz w:val="32"/>
          <w:szCs w:val="32"/>
        </w:rPr>
        <w:t>四</w:t>
      </w:r>
      <w:r>
        <w:rPr>
          <w:rFonts w:ascii="黑体" w:hAnsi="黑体" w:eastAsia="黑体"/>
          <w:b/>
          <w:sz w:val="32"/>
          <w:szCs w:val="32"/>
        </w:rPr>
        <w:t>章  附则</w:t>
      </w:r>
      <w:bookmarkEnd w:id="1619"/>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第十九条</w:t>
      </w:r>
      <w:r>
        <w:rPr>
          <w:rFonts w:ascii="仿宋_GB2312" w:hAnsi="Times New Roman" w:eastAsia="仿宋_GB2312" w:cs="仿宋_GB2312"/>
          <w:sz w:val="32"/>
          <w:szCs w:val="32"/>
          <w:lang w:bidi="ar"/>
        </w:rPr>
        <w:t xml:space="preserve">  对涉及国家安全和秘密的</w:t>
      </w:r>
      <w:r>
        <w:rPr>
          <w:rFonts w:hint="eastAsia" w:ascii="仿宋_GB2312" w:hAnsi="Times New Roman" w:eastAsia="仿宋_GB2312" w:cs="仿宋_GB2312"/>
          <w:sz w:val="32"/>
          <w:szCs w:val="32"/>
          <w:lang w:bidi="ar"/>
        </w:rPr>
        <w:t>固定资产</w:t>
      </w:r>
      <w:r>
        <w:rPr>
          <w:rFonts w:ascii="仿宋_GB2312" w:hAnsi="Times New Roman" w:eastAsia="仿宋_GB2312" w:cs="仿宋_GB2312"/>
          <w:sz w:val="32"/>
          <w:szCs w:val="32"/>
          <w:lang w:bidi="ar"/>
        </w:rPr>
        <w:t>处置，应当按照国家有关保密制度的规定，做好保密工作，防止失密和泄</w:t>
      </w:r>
      <w:bookmarkStart w:id="1620" w:name="_Toc9167_WPSOffice_Level1"/>
      <w:r>
        <w:rPr>
          <w:rFonts w:ascii="仿宋_GB2312" w:hAnsi="Times New Roman" w:eastAsia="仿宋_GB2312" w:cs="仿宋_GB2312"/>
          <w:sz w:val="32"/>
          <w:szCs w:val="32"/>
          <w:lang w:bidi="ar"/>
        </w:rPr>
        <w:t>密。</w:t>
      </w:r>
    </w:p>
    <w:p>
      <w:pPr>
        <w:pStyle w:val="10"/>
        <w:pageBreakBefore w:val="0"/>
        <w:widowControl w:val="0"/>
        <w:kinsoku/>
        <w:wordWrap/>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b/>
          <w:sz w:val="32"/>
          <w:szCs w:val="32"/>
          <w:lang w:bidi="ar"/>
        </w:rPr>
        <w:t>第</w:t>
      </w:r>
      <w:r>
        <w:rPr>
          <w:rFonts w:hint="eastAsia" w:ascii="仿宋_GB2312" w:hAnsi="Times New Roman" w:eastAsia="仿宋_GB2312" w:cs="仿宋_GB2312"/>
          <w:b/>
          <w:sz w:val="32"/>
          <w:szCs w:val="32"/>
          <w:lang w:bidi="ar"/>
        </w:rPr>
        <w:t>二</w:t>
      </w:r>
      <w:bookmarkEnd w:id="1620"/>
      <w:r>
        <w:rPr>
          <w:rFonts w:ascii="仿宋_GB2312" w:hAnsi="Times New Roman" w:eastAsia="仿宋_GB2312" w:cs="仿宋_GB2312"/>
          <w:b/>
          <w:sz w:val="32"/>
          <w:szCs w:val="32"/>
          <w:lang w:bidi="ar"/>
        </w:rPr>
        <w:t>十条</w:t>
      </w:r>
      <w:r>
        <w:rPr>
          <w:rFonts w:ascii="仿宋_GB2312" w:hAnsi="Times New Roman" w:eastAsia="仿宋_GB2312" w:cs="仿宋_GB2312"/>
          <w:sz w:val="32"/>
          <w:szCs w:val="32"/>
          <w:lang w:bidi="ar"/>
        </w:rPr>
        <w:t xml:space="preserve">  本办法自印发之日起施行。由</w:t>
      </w:r>
      <w:r>
        <w:rPr>
          <w:rFonts w:hint="eastAsia" w:ascii="仿宋_GB2312" w:hAnsi="Times New Roman" w:eastAsia="仿宋_GB2312" w:cs="仿宋_GB2312"/>
          <w:sz w:val="32"/>
          <w:szCs w:val="32"/>
          <w:lang w:bidi="ar"/>
        </w:rPr>
        <w:t>后勤与资产管理处</w:t>
      </w:r>
      <w:r>
        <w:rPr>
          <w:rFonts w:ascii="仿宋_GB2312" w:hAnsi="Times New Roman" w:eastAsia="仿宋_GB2312" w:cs="仿宋_GB2312"/>
          <w:sz w:val="32"/>
          <w:szCs w:val="32"/>
          <w:lang w:bidi="ar"/>
        </w:rPr>
        <w:t>负责解释。</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附件</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1</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柳州</w:t>
      </w:r>
      <w:r>
        <w:rPr>
          <w:rFonts w:hint="eastAsia" w:ascii="仿宋_GB2312" w:hAnsi="Times New Roman" w:eastAsia="仿宋_GB2312" w:cs="仿宋_GB2312"/>
          <w:sz w:val="32"/>
          <w:szCs w:val="32"/>
          <w:lang w:bidi="ar"/>
        </w:rPr>
        <w:t>职业技术学院</w:t>
      </w:r>
      <w:r>
        <w:rPr>
          <w:rFonts w:ascii="仿宋_GB2312" w:hAnsi="Times New Roman" w:eastAsia="仿宋_GB2312" w:cs="仿宋_GB2312"/>
          <w:sz w:val="32"/>
          <w:szCs w:val="32"/>
          <w:lang w:bidi="ar"/>
        </w:rPr>
        <w:t>处置管理小组及职责分工</w:t>
      </w:r>
    </w:p>
    <w:p>
      <w:pPr>
        <w:pStyle w:val="10"/>
        <w:pageBreakBefore w:val="0"/>
        <w:widowControl w:val="0"/>
        <w:kinsoku/>
        <w:wordWrap/>
        <w:overflowPunct/>
        <w:topLinePunct w:val="0"/>
        <w:autoSpaceDE/>
        <w:autoSpaceDN/>
        <w:bidi w:val="0"/>
        <w:spacing w:before="0" w:beforeAutospacing="0" w:after="0" w:afterAutospacing="0" w:line="590" w:lineRule="exact"/>
        <w:ind w:firstLine="1600" w:firstLineChars="5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2．</w:t>
      </w:r>
      <w:r>
        <w:rPr>
          <w:rFonts w:ascii="仿宋_GB2312" w:hAnsi="Times New Roman" w:eastAsia="仿宋_GB2312" w:cs="仿宋_GB2312"/>
          <w:sz w:val="32"/>
          <w:szCs w:val="32"/>
          <w:lang w:bidi="ar"/>
        </w:rPr>
        <w:t>柳州市本级行政事业单位部分固定资产规定使用</w:t>
      </w:r>
    </w:p>
    <w:p>
      <w:pPr>
        <w:pStyle w:val="10"/>
        <w:pageBreakBefore w:val="0"/>
        <w:widowControl w:val="0"/>
        <w:kinsoku/>
        <w:wordWrap/>
        <w:overflowPunct/>
        <w:topLinePunct w:val="0"/>
        <w:autoSpaceDE/>
        <w:autoSpaceDN/>
        <w:bidi w:val="0"/>
        <w:spacing w:before="0" w:beforeAutospacing="0" w:after="0" w:afterAutospacing="0" w:line="590" w:lineRule="exact"/>
        <w:ind w:firstLine="1984" w:firstLineChars="620"/>
        <w:outlineLvl w:val="9"/>
        <w:rPr>
          <w:rFonts w:hint="eastAsia" w:ascii="仿宋_GB2312" w:hAnsi="Times New Roman" w:eastAsia="仿宋_GB2312" w:cs="仿宋_GB2312"/>
          <w:sz w:val="32"/>
          <w:szCs w:val="32"/>
          <w:lang w:bidi="ar"/>
        </w:rPr>
      </w:pPr>
      <w:r>
        <w:rPr>
          <w:rFonts w:ascii="仿宋_GB2312" w:hAnsi="Times New Roman" w:eastAsia="仿宋_GB2312" w:cs="仿宋_GB2312"/>
          <w:sz w:val="32"/>
          <w:szCs w:val="32"/>
          <w:lang w:bidi="ar"/>
        </w:rPr>
        <w:t>年限（标准）表</w:t>
      </w:r>
    </w:p>
    <w:p>
      <w:pPr>
        <w:pStyle w:val="10"/>
        <w:pageBreakBefore w:val="0"/>
        <w:widowControl w:val="0"/>
        <w:kinsoku/>
        <w:wordWrap/>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 xml:space="preserve">      3.柳州职业技术学院部门资产处置申请表</w:t>
      </w:r>
    </w:p>
    <w:p>
      <w:pPr>
        <w:pStyle w:val="10"/>
        <w:pageBreakBefore w:val="0"/>
        <w:widowControl w:val="0"/>
        <w:kinsoku/>
        <w:wordWrap/>
        <w:overflowPunct/>
        <w:topLinePunct w:val="0"/>
        <w:autoSpaceDE/>
        <w:autoSpaceDN/>
        <w:bidi w:val="0"/>
        <w:spacing w:before="0" w:beforeAutospacing="0" w:after="0" w:afterAutospacing="0" w:line="590" w:lineRule="exact"/>
        <w:ind w:firstLine="1600" w:firstLineChars="5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4.固定资产处置审批权限</w:t>
      </w:r>
    </w:p>
    <w:p>
      <w:pPr>
        <w:pStyle w:val="10"/>
        <w:pageBreakBefore w:val="0"/>
        <w:widowControl w:val="0"/>
        <w:kinsoku/>
        <w:wordWrap/>
        <w:overflowPunct/>
        <w:topLinePunct w:val="0"/>
        <w:autoSpaceDE/>
        <w:autoSpaceDN/>
        <w:bidi w:val="0"/>
        <w:spacing w:before="0" w:beforeAutospacing="0" w:after="0" w:afterAutospacing="0" w:line="590" w:lineRule="exact"/>
        <w:ind w:firstLine="1600" w:firstLineChars="5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5.柳州市本级行政事业单位固定资产处置申请表</w:t>
      </w:r>
    </w:p>
    <w:p>
      <w:pPr>
        <w:pStyle w:val="10"/>
        <w:pageBreakBefore w:val="0"/>
        <w:widowControl w:val="0"/>
        <w:kinsoku/>
        <w:wordWrap/>
        <w:overflowPunct/>
        <w:topLinePunct w:val="0"/>
        <w:autoSpaceDE/>
        <w:autoSpaceDN/>
        <w:bidi w:val="0"/>
        <w:spacing w:before="0" w:beforeAutospacing="0" w:after="0" w:afterAutospacing="0" w:line="590" w:lineRule="exact"/>
        <w:ind w:firstLine="1760" w:firstLineChars="55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（汇总表）</w:t>
      </w:r>
    </w:p>
    <w:p>
      <w:pPr>
        <w:pageBreakBefore w:val="0"/>
        <w:kinsoku/>
        <w:wordWrap/>
        <w:overflowPunct/>
        <w:topLinePunct w:val="0"/>
        <w:autoSpaceDE/>
        <w:autoSpaceDN/>
        <w:bidi w:val="0"/>
        <w:outlineLvl w:val="9"/>
        <w:rPr>
          <w:rFonts w:hint="eastAsia" w:eastAsia="仿宋_GB2312"/>
          <w:sz w:val="32"/>
          <w:szCs w:val="32"/>
        </w:rPr>
      </w:pPr>
    </w:p>
    <w:p>
      <w:pPr>
        <w:pageBreakBefore w:val="0"/>
        <w:kinsoku/>
        <w:wordWrap/>
        <w:overflowPunct/>
        <w:topLinePunct w:val="0"/>
        <w:autoSpaceDE/>
        <w:autoSpaceDN/>
        <w:bidi w:val="0"/>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r>
        <w:rPr>
          <w:rFonts w:eastAsia="仿宋_GB2312"/>
          <w:b/>
          <w:sz w:val="32"/>
          <w:szCs w:val="32"/>
        </w:rPr>
        <w:br w:type="page"/>
      </w:r>
      <w:bookmarkStart w:id="1621" w:name="_Toc16397_WPSOffice_Level1"/>
      <w:r>
        <w:rPr>
          <w:rFonts w:eastAsia="仿宋_GB2312"/>
          <w:b/>
          <w:sz w:val="32"/>
          <w:szCs w:val="32"/>
        </w:rPr>
        <w:t>附件1</w:t>
      </w:r>
      <w:r>
        <w:rPr>
          <w:rFonts w:eastAsia="仿宋_GB2312"/>
          <w:sz w:val="32"/>
          <w:szCs w:val="32"/>
        </w:rPr>
        <w:t>：</w:t>
      </w:r>
      <w:bookmarkEnd w:id="1621"/>
    </w:p>
    <w:p>
      <w:pPr>
        <w:pageBreakBefore w:val="0"/>
        <w:kinsoku/>
        <w:wordWrap/>
        <w:overflowPunct/>
        <w:topLinePunct w:val="0"/>
        <w:autoSpaceDE/>
        <w:autoSpaceDN/>
        <w:bidi w:val="0"/>
        <w:spacing w:line="590" w:lineRule="exact"/>
        <w:jc w:val="center"/>
        <w:outlineLvl w:val="9"/>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柳州职业技术学院资产处置管理</w:t>
      </w:r>
    </w:p>
    <w:p>
      <w:pPr>
        <w:pageBreakBefore w:val="0"/>
        <w:kinsoku/>
        <w:wordWrap/>
        <w:overflowPunct/>
        <w:topLinePunct w:val="0"/>
        <w:autoSpaceDE/>
        <w:autoSpaceDN/>
        <w:bidi w:val="0"/>
        <w:spacing w:line="590" w:lineRule="exact"/>
        <w:jc w:val="center"/>
        <w:outlineLvl w:val="9"/>
        <w:rPr>
          <w:rFonts w:hint="eastAsia" w:ascii="黑体" w:hAnsi="黑体" w:eastAsia="黑体" w:cs="黑体"/>
          <w:color w:val="000000"/>
          <w:sz w:val="36"/>
          <w:szCs w:val="36"/>
        </w:rPr>
      </w:pPr>
      <w:r>
        <w:rPr>
          <w:rFonts w:hint="eastAsia" w:ascii="方正小标宋简体" w:hAnsi="方正小标宋简体" w:eastAsia="方正小标宋简体" w:cs="方正小标宋简体"/>
          <w:color w:val="000000"/>
          <w:sz w:val="36"/>
          <w:szCs w:val="36"/>
        </w:rPr>
        <w:t>小组及职责分工</w:t>
      </w:r>
    </w:p>
    <w:p>
      <w:pPr>
        <w:pageBreakBefore w:val="0"/>
        <w:kinsoku/>
        <w:wordWrap/>
        <w:overflowPunct/>
        <w:topLinePunct w:val="0"/>
        <w:autoSpaceDE/>
        <w:autoSpaceDN/>
        <w:bidi w:val="0"/>
        <w:spacing w:line="590" w:lineRule="exact"/>
        <w:ind w:firstLine="1280" w:firstLineChars="400"/>
        <w:outlineLvl w:val="9"/>
        <w:rPr>
          <w:rFonts w:hint="eastAsia" w:ascii="黑体" w:hAnsi="黑体" w:eastAsia="黑体" w:cs="黑体"/>
          <w:color w:val="000000"/>
          <w:sz w:val="32"/>
          <w:szCs w:val="32"/>
        </w:rPr>
      </w:pP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sz w:val="32"/>
          <w:szCs w:val="32"/>
        </w:rPr>
        <w:t>柳州职业技术学院</w:t>
      </w:r>
      <w:r>
        <w:rPr>
          <w:rFonts w:hint="eastAsia" w:eastAsia="仿宋_GB2312"/>
          <w:color w:val="000000"/>
          <w:kern w:val="0"/>
          <w:sz w:val="32"/>
          <w:szCs w:val="32"/>
        </w:rPr>
        <w:t>资产处置管理小组，具体组织实施本校的资产处置审核工作。资产处置管理小组</w:t>
      </w:r>
      <w:r>
        <w:rPr>
          <w:rFonts w:eastAsia="仿宋_GB2312"/>
          <w:color w:val="000000"/>
          <w:kern w:val="0"/>
          <w:sz w:val="32"/>
          <w:szCs w:val="32"/>
        </w:rPr>
        <w:t>由</w:t>
      </w:r>
      <w:r>
        <w:rPr>
          <w:rFonts w:hint="eastAsia" w:eastAsia="仿宋_GB2312"/>
          <w:color w:val="000000"/>
          <w:kern w:val="0"/>
          <w:sz w:val="32"/>
          <w:szCs w:val="32"/>
        </w:rPr>
        <w:t>后勤与资产管理处、财务处、教务与实训管理处、</w:t>
      </w:r>
      <w:r>
        <w:rPr>
          <w:rFonts w:hint="eastAsia" w:ascii="仿宋_GB2312" w:eastAsia="仿宋_GB2312" w:cs="宋体"/>
          <w:sz w:val="32"/>
          <w:szCs w:val="32"/>
        </w:rPr>
        <w:t>科技开发处、</w:t>
      </w:r>
      <w:r>
        <w:rPr>
          <w:rFonts w:hint="eastAsia" w:eastAsia="仿宋_GB2312"/>
          <w:color w:val="000000"/>
          <w:kern w:val="0"/>
          <w:sz w:val="32"/>
          <w:szCs w:val="32"/>
        </w:rPr>
        <w:t>图书馆、信息技术中心、保卫处、内部审计与督导室等部门的人员组成。</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一、资产处置管理小组成员如下：</w:t>
      </w:r>
    </w:p>
    <w:p>
      <w:pPr>
        <w:pageBreakBefore w:val="0"/>
        <w:kinsoku/>
        <w:wordWrap/>
        <w:overflowPunct/>
        <w:topLinePunct w:val="0"/>
        <w:autoSpaceDE/>
        <w:autoSpaceDN/>
        <w:bidi w:val="0"/>
        <w:spacing w:line="590" w:lineRule="exact"/>
        <w:ind w:firstLine="640" w:firstLineChars="200"/>
        <w:outlineLvl w:val="9"/>
        <w:rPr>
          <w:rFonts w:hint="eastAsia" w:eastAsia="仿宋_GB2312"/>
          <w:sz w:val="32"/>
          <w:szCs w:val="32"/>
        </w:rPr>
      </w:pPr>
      <w:r>
        <w:rPr>
          <w:rFonts w:hint="eastAsia" w:eastAsia="仿宋_GB2312"/>
          <w:sz w:val="32"/>
          <w:szCs w:val="32"/>
        </w:rPr>
        <w:t>组  长：石令明</w:t>
      </w:r>
    </w:p>
    <w:p>
      <w:pPr>
        <w:pageBreakBefore w:val="0"/>
        <w:kinsoku/>
        <w:wordWrap/>
        <w:overflowPunct/>
        <w:topLinePunct w:val="0"/>
        <w:autoSpaceDE/>
        <w:autoSpaceDN/>
        <w:bidi w:val="0"/>
        <w:spacing w:line="590" w:lineRule="exact"/>
        <w:ind w:firstLine="640" w:firstLineChars="200"/>
        <w:outlineLvl w:val="9"/>
        <w:rPr>
          <w:rFonts w:hint="eastAsia" w:eastAsia="仿宋_GB2312"/>
          <w:sz w:val="32"/>
          <w:szCs w:val="32"/>
        </w:rPr>
      </w:pPr>
      <w:r>
        <w:rPr>
          <w:rFonts w:hint="eastAsia" w:eastAsia="仿宋_GB2312"/>
          <w:sz w:val="32"/>
          <w:szCs w:val="32"/>
        </w:rPr>
        <w:t>副组长：瞿  凡  冉福松</w:t>
      </w:r>
    </w:p>
    <w:p>
      <w:pPr>
        <w:pageBreakBefore w:val="0"/>
        <w:kinsoku/>
        <w:wordWrap/>
        <w:overflowPunct/>
        <w:topLinePunct w:val="0"/>
        <w:autoSpaceDE/>
        <w:autoSpaceDN/>
        <w:bidi w:val="0"/>
        <w:spacing w:line="590" w:lineRule="exact"/>
        <w:ind w:firstLine="640" w:firstLineChars="200"/>
        <w:outlineLvl w:val="9"/>
        <w:rPr>
          <w:rFonts w:hint="eastAsia" w:ascii="仿宋_GB2312" w:eastAsia="仿宋_GB2312" w:cs="宋体"/>
          <w:sz w:val="32"/>
          <w:szCs w:val="32"/>
        </w:rPr>
      </w:pPr>
      <w:r>
        <w:rPr>
          <w:rFonts w:hint="eastAsia" w:eastAsia="仿宋_GB2312"/>
          <w:color w:val="000000"/>
          <w:sz w:val="32"/>
          <w:szCs w:val="32"/>
        </w:rPr>
        <w:t xml:space="preserve">成  员：邓亮顺  </w:t>
      </w:r>
      <w:r>
        <w:rPr>
          <w:rFonts w:hint="eastAsia" w:ascii="仿宋_GB2312" w:eastAsia="仿宋_GB2312" w:cs="宋体"/>
          <w:sz w:val="32"/>
          <w:szCs w:val="32"/>
        </w:rPr>
        <w:t xml:space="preserve">麻慧琼  </w:t>
      </w:r>
      <w:r>
        <w:rPr>
          <w:rFonts w:hint="eastAsia" w:eastAsia="仿宋_GB2312"/>
          <w:color w:val="000000"/>
          <w:sz w:val="32"/>
          <w:szCs w:val="32"/>
        </w:rPr>
        <w:t xml:space="preserve">韦  林  </w:t>
      </w:r>
      <w:r>
        <w:rPr>
          <w:rFonts w:hint="eastAsia" w:ascii="仿宋_GB2312" w:eastAsia="仿宋_GB2312" w:cs="宋体"/>
          <w:sz w:val="32"/>
          <w:szCs w:val="32"/>
        </w:rPr>
        <w:t>何志忠  谭界忠</w:t>
      </w:r>
    </w:p>
    <w:p>
      <w:pPr>
        <w:pageBreakBefore w:val="0"/>
        <w:kinsoku/>
        <w:wordWrap/>
        <w:overflowPunct/>
        <w:topLinePunct w:val="0"/>
        <w:autoSpaceDE/>
        <w:autoSpaceDN/>
        <w:bidi w:val="0"/>
        <w:spacing w:line="590" w:lineRule="exact"/>
        <w:ind w:firstLine="1920" w:firstLineChars="600"/>
        <w:outlineLvl w:val="9"/>
        <w:rPr>
          <w:rFonts w:hint="eastAsia" w:ascii="仿宋_GB2312" w:eastAsia="仿宋_GB2312" w:cs="宋体"/>
          <w:sz w:val="32"/>
          <w:szCs w:val="32"/>
          <w:highlight w:val="yellow"/>
        </w:rPr>
      </w:pPr>
      <w:r>
        <w:rPr>
          <w:rFonts w:hint="eastAsia" w:ascii="仿宋_GB2312" w:eastAsia="仿宋_GB2312" w:cs="宋体"/>
          <w:sz w:val="32"/>
          <w:szCs w:val="32"/>
        </w:rPr>
        <w:t xml:space="preserve">曾  韬  高勇军  周继春  </w:t>
      </w:r>
      <w:r>
        <w:rPr>
          <w:rFonts w:hint="eastAsia" w:eastAsia="仿宋_GB2312"/>
          <w:color w:val="000000"/>
          <w:sz w:val="32"/>
          <w:szCs w:val="32"/>
        </w:rPr>
        <w:t>邱  禹</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二、职责分工：</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资产管理小组对本单位各部门申报的待处置资产进行审核，提出资产处置意见，具体分工如下：</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1．后勤与资产管理处及财务处：负责统筹本校资产处置工作，审核本校拟处置的资产。</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后勤与资产管理处主要负责对资产实物形态的管理；财务处主要负责对资产价值形态的管理。</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2．后勤与资产管理处：负责审核本校拟处置的不动产（房屋、建筑物、构筑物等）；</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3．教</w:t>
      </w:r>
      <w:bookmarkStart w:id="1622" w:name="_Toc16544_WPSOffice_Level1"/>
      <w:r>
        <w:rPr>
          <w:rFonts w:hint="eastAsia" w:eastAsia="仿宋_GB2312"/>
          <w:color w:val="000000"/>
          <w:kern w:val="0"/>
          <w:sz w:val="32"/>
          <w:szCs w:val="32"/>
        </w:rPr>
        <w:t>务与实训管理处：负责审核本校拟处置的教学仪器</w:t>
      </w:r>
      <w:bookmarkEnd w:id="1622"/>
      <w:r>
        <w:rPr>
          <w:rFonts w:hint="eastAsia" w:eastAsia="仿宋_GB2312"/>
          <w:color w:val="000000"/>
          <w:kern w:val="0"/>
          <w:sz w:val="32"/>
          <w:szCs w:val="32"/>
        </w:rPr>
        <w:t>设备；</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4. 科技开发处：负责审核本校拟处置的科研设备；</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5．图书馆：负责审核本校拟处置的图书等；</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6．信息技术中心：负责审核本校拟处置的信息化设施设备；</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7．保卫处：负责审核本校拟处置的消防及安全监控设施设备；</w:t>
      </w:r>
    </w:p>
    <w:p>
      <w:pPr>
        <w:pageBreakBefore w:val="0"/>
        <w:kinsoku/>
        <w:wordWrap/>
        <w:overflowPunct/>
        <w:topLinePunct w:val="0"/>
        <w:autoSpaceDE/>
        <w:autoSpaceDN/>
        <w:bidi w:val="0"/>
        <w:spacing w:line="590" w:lineRule="exact"/>
        <w:ind w:firstLine="640" w:firstLineChars="200"/>
        <w:outlineLvl w:val="9"/>
        <w:rPr>
          <w:rFonts w:hint="eastAsia" w:eastAsia="仿宋_GB2312"/>
          <w:color w:val="000000"/>
          <w:kern w:val="0"/>
          <w:sz w:val="32"/>
          <w:szCs w:val="32"/>
        </w:rPr>
      </w:pPr>
      <w:r>
        <w:rPr>
          <w:rFonts w:hint="eastAsia" w:eastAsia="仿宋_GB2312"/>
          <w:color w:val="000000"/>
          <w:kern w:val="0"/>
          <w:sz w:val="32"/>
          <w:szCs w:val="32"/>
        </w:rPr>
        <w:t>8．</w:t>
      </w:r>
      <w:r>
        <w:rPr>
          <w:rFonts w:hint="eastAsia" w:eastAsia="仿宋_GB2312"/>
          <w:kern w:val="0"/>
          <w:sz w:val="32"/>
          <w:szCs w:val="32"/>
        </w:rPr>
        <w:t>内部审计与督导室：</w:t>
      </w:r>
      <w:r>
        <w:rPr>
          <w:rFonts w:hint="eastAsia" w:eastAsia="仿宋_GB2312"/>
          <w:color w:val="000000"/>
          <w:kern w:val="0"/>
          <w:sz w:val="32"/>
          <w:szCs w:val="32"/>
        </w:rPr>
        <w:t>负责对资产处置过程进行监督。</w:t>
      </w:r>
    </w:p>
    <w:p>
      <w:pPr>
        <w:pageBreakBefore w:val="0"/>
        <w:kinsoku/>
        <w:wordWrap/>
        <w:overflowPunct/>
        <w:topLinePunct w:val="0"/>
        <w:autoSpaceDE/>
        <w:autoSpaceDN/>
        <w:bidi w:val="0"/>
        <w:spacing w:line="590" w:lineRule="exact"/>
        <w:ind w:firstLine="420" w:firstLineChars="200"/>
        <w:outlineLvl w:val="9"/>
        <w:rPr>
          <w:rFonts w:hint="eastAsia"/>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p>
    <w:p>
      <w:pPr>
        <w:pageBreakBefore w:val="0"/>
        <w:kinsoku/>
        <w:wordWrap/>
        <w:overflowPunct/>
        <w:topLinePunct w:val="0"/>
        <w:autoSpaceDE/>
        <w:autoSpaceDN/>
        <w:bidi w:val="0"/>
        <w:spacing w:line="620" w:lineRule="exact"/>
        <w:outlineLvl w:val="9"/>
        <w:rPr>
          <w:rFonts w:hint="eastAsia" w:eastAsia="仿宋_GB2312"/>
          <w:sz w:val="32"/>
          <w:szCs w:val="32"/>
        </w:rPr>
      </w:pPr>
      <w:bookmarkStart w:id="1623" w:name="_Toc5754_WPSOffice_Level1"/>
      <w:r>
        <w:rPr>
          <w:rFonts w:hint="eastAsia" w:ascii="仿宋" w:hAnsi="仿宋" w:eastAsia="仿宋" w:cs="仿宋"/>
          <w:b/>
          <w:sz w:val="32"/>
          <w:szCs w:val="32"/>
        </w:rPr>
        <w:t>附件2</w:t>
      </w:r>
      <w:r>
        <w:rPr>
          <w:rFonts w:hint="eastAsia" w:eastAsia="仿宋_GB2312"/>
          <w:sz w:val="32"/>
          <w:szCs w:val="32"/>
        </w:rPr>
        <w:t>：</w:t>
      </w:r>
      <w:bookmarkEnd w:id="1623"/>
    </w:p>
    <w:p>
      <w:pPr>
        <w:pageBreakBefore w:val="0"/>
        <w:kinsoku/>
        <w:wordWrap/>
        <w:overflowPunct/>
        <w:topLinePunct w:val="0"/>
        <w:autoSpaceDE/>
        <w:autoSpaceDN/>
        <w:bidi w:val="0"/>
        <w:spacing w:line="620" w:lineRule="exact"/>
        <w:jc w:val="center"/>
        <w:outlineLvl w:val="9"/>
        <w:rPr>
          <w:rFonts w:eastAsia="方正小标宋简体"/>
          <w:color w:val="000000"/>
          <w:sz w:val="36"/>
          <w:szCs w:val="36"/>
        </w:rPr>
      </w:pPr>
      <w:r>
        <w:rPr>
          <w:rFonts w:eastAsia="方正小标宋简体"/>
          <w:color w:val="000000"/>
          <w:sz w:val="36"/>
          <w:szCs w:val="36"/>
        </w:rPr>
        <w:t>柳州市本级行政事业单位部分</w:t>
      </w:r>
    </w:p>
    <w:p>
      <w:pPr>
        <w:pageBreakBefore w:val="0"/>
        <w:kinsoku/>
        <w:wordWrap/>
        <w:overflowPunct/>
        <w:topLinePunct w:val="0"/>
        <w:autoSpaceDE/>
        <w:autoSpaceDN/>
        <w:bidi w:val="0"/>
        <w:spacing w:line="620" w:lineRule="exact"/>
        <w:jc w:val="center"/>
        <w:outlineLvl w:val="9"/>
        <w:rPr>
          <w:rFonts w:hint="eastAsia" w:eastAsia="方正小标宋简体"/>
          <w:color w:val="000000"/>
          <w:sz w:val="36"/>
          <w:szCs w:val="36"/>
        </w:rPr>
      </w:pPr>
      <w:r>
        <w:rPr>
          <w:rFonts w:eastAsia="方正小标宋简体"/>
          <w:color w:val="000000"/>
          <w:sz w:val="36"/>
          <w:szCs w:val="36"/>
        </w:rPr>
        <w:t>固定资产规定使用年限（标准）表</w:t>
      </w:r>
    </w:p>
    <w:tbl>
      <w:tblPr>
        <w:tblStyle w:val="14"/>
        <w:tblW w:w="9087" w:type="dxa"/>
        <w:jc w:val="center"/>
        <w:tblInd w:w="0" w:type="dxa"/>
        <w:tblLayout w:type="fixed"/>
        <w:tblCellMar>
          <w:top w:w="0" w:type="dxa"/>
          <w:left w:w="108" w:type="dxa"/>
          <w:bottom w:w="0" w:type="dxa"/>
          <w:right w:w="108" w:type="dxa"/>
        </w:tblCellMar>
      </w:tblPr>
      <w:tblGrid>
        <w:gridCol w:w="866"/>
        <w:gridCol w:w="1049"/>
        <w:gridCol w:w="935"/>
        <w:gridCol w:w="3686"/>
        <w:gridCol w:w="1134"/>
        <w:gridCol w:w="1417"/>
      </w:tblGrid>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一</w:t>
            </w:r>
          </w:p>
        </w:tc>
        <w:tc>
          <w:tcPr>
            <w:tcW w:w="5670" w:type="dxa"/>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交通运输设备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2"/>
              </w:rPr>
            </w:pPr>
            <w:r>
              <w:rPr>
                <w:rFonts w:hint="eastAsia" w:ascii="仿宋_GB2312" w:eastAsia="仿宋_GB2312"/>
                <w:bCs/>
                <w:color w:val="000000"/>
                <w:kern w:val="0"/>
                <w:sz w:val="22"/>
              </w:rPr>
              <w:t>规定使用年限（标准）</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（一）</w:t>
            </w:r>
          </w:p>
        </w:tc>
        <w:tc>
          <w:tcPr>
            <w:tcW w:w="5670" w:type="dxa"/>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机动车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2"/>
              </w:rPr>
            </w:pPr>
            <w:r>
              <w:rPr>
                <w:rFonts w:hint="eastAsia" w:ascii="仿宋_GB2312" w:eastAsia="仿宋_GB2312"/>
                <w:bCs/>
                <w:color w:val="000000"/>
                <w:kern w:val="0"/>
                <w:sz w:val="22"/>
              </w:rPr>
              <w:t>使用年限</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2"/>
              </w:rPr>
            </w:pPr>
            <w:r>
              <w:rPr>
                <w:rFonts w:hint="eastAsia" w:ascii="仿宋_GB2312" w:eastAsia="仿宋_GB2312"/>
                <w:bCs/>
                <w:color w:val="000000"/>
                <w:kern w:val="0"/>
                <w:sz w:val="22"/>
              </w:rPr>
              <w:t>行驶里程数（万公里）</w:t>
            </w:r>
          </w:p>
        </w:tc>
      </w:tr>
      <w:tr>
        <w:tblPrEx>
          <w:tblLayout w:type="fixed"/>
          <w:tblCellMar>
            <w:top w:w="0" w:type="dxa"/>
            <w:left w:w="108" w:type="dxa"/>
            <w:bottom w:w="0" w:type="dxa"/>
            <w:right w:w="108" w:type="dxa"/>
          </w:tblCellMar>
        </w:tblPrEx>
        <w:trPr>
          <w:trHeight w:val="425" w:hRule="atLeast"/>
          <w:jc w:val="center"/>
        </w:trPr>
        <w:tc>
          <w:tcPr>
            <w:tcW w:w="866" w:type="dxa"/>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w:t>
            </w:r>
          </w:p>
        </w:tc>
        <w:tc>
          <w:tcPr>
            <w:tcW w:w="1984" w:type="dxa"/>
            <w:gridSpan w:val="2"/>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非营运汽车</w:t>
            </w: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小、微型非营运载客汽车、大型非营运轿车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60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中型非营运载客汽车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20</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50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大型非营运载客汽车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20</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60</w:t>
            </w:r>
          </w:p>
        </w:tc>
      </w:tr>
      <w:tr>
        <w:tblPrEx>
          <w:tblLayout w:type="fixed"/>
          <w:tblCellMar>
            <w:top w:w="0" w:type="dxa"/>
            <w:left w:w="108" w:type="dxa"/>
            <w:bottom w:w="0" w:type="dxa"/>
            <w:right w:w="108" w:type="dxa"/>
          </w:tblCellMar>
        </w:tblPrEx>
        <w:trPr>
          <w:trHeight w:val="425" w:hRule="atLeast"/>
          <w:jc w:val="center"/>
        </w:trPr>
        <w:tc>
          <w:tcPr>
            <w:tcW w:w="866" w:type="dxa"/>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w:t>
            </w:r>
          </w:p>
        </w:tc>
        <w:tc>
          <w:tcPr>
            <w:tcW w:w="1984" w:type="dxa"/>
            <w:gridSpan w:val="2"/>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教练载客汽车</w:t>
            </w: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小型教练载客汽车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10</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50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中型教练载客汽车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12</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50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大型教练载客汽车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15</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60</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w:t>
            </w:r>
          </w:p>
        </w:tc>
        <w:tc>
          <w:tcPr>
            <w:tcW w:w="1984" w:type="dxa"/>
            <w:gridSpan w:val="2"/>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专用校车</w:t>
            </w: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　</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15</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40</w:t>
            </w:r>
          </w:p>
        </w:tc>
      </w:tr>
      <w:tr>
        <w:tblPrEx>
          <w:tblLayout w:type="fixed"/>
          <w:tblCellMar>
            <w:top w:w="0" w:type="dxa"/>
            <w:left w:w="108" w:type="dxa"/>
            <w:bottom w:w="0" w:type="dxa"/>
            <w:right w:w="108" w:type="dxa"/>
          </w:tblCellMar>
        </w:tblPrEx>
        <w:trPr>
          <w:trHeight w:val="425" w:hRule="atLeast"/>
          <w:jc w:val="center"/>
        </w:trPr>
        <w:tc>
          <w:tcPr>
            <w:tcW w:w="866" w:type="dxa"/>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4</w:t>
            </w:r>
          </w:p>
        </w:tc>
        <w:tc>
          <w:tcPr>
            <w:tcW w:w="1984" w:type="dxa"/>
            <w:gridSpan w:val="2"/>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载货汽车</w:t>
            </w: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三轮汽车、装用单缸发动机的低速货车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9</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　</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装用多缸发动机的低速货车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12</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50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微型载货汽车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12</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30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危险品运输载货汽车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10</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40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中、轻型载货汽车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15</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60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重型载货汽车（包括半挂牵引车和全挂牵引车）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15</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70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全挂车、危险品运输半挂车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10</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70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集装箱半挂车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20</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2"/>
              </w:rPr>
            </w:pPr>
            <w:r>
              <w:rPr>
                <w:rFonts w:hint="eastAsia" w:ascii="仿宋_GB2312" w:eastAsia="仿宋_GB2312"/>
                <w:color w:val="000000"/>
                <w:kern w:val="0"/>
                <w:sz w:val="22"/>
              </w:rPr>
              <w:t>其他载货汽车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15</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　</w:t>
            </w:r>
          </w:p>
        </w:tc>
      </w:tr>
      <w:tr>
        <w:tblPrEx>
          <w:tblLayout w:type="fixed"/>
          <w:tblCellMar>
            <w:top w:w="0" w:type="dxa"/>
            <w:left w:w="108" w:type="dxa"/>
            <w:bottom w:w="0" w:type="dxa"/>
            <w:right w:w="108" w:type="dxa"/>
          </w:tblCellMar>
        </w:tblPrEx>
        <w:trPr>
          <w:trHeight w:val="425" w:hRule="atLeast"/>
          <w:jc w:val="center"/>
        </w:trPr>
        <w:tc>
          <w:tcPr>
            <w:tcW w:w="866" w:type="dxa"/>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5</w:t>
            </w:r>
          </w:p>
        </w:tc>
        <w:tc>
          <w:tcPr>
            <w:tcW w:w="1984" w:type="dxa"/>
            <w:gridSpan w:val="2"/>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专项作业车</w:t>
            </w: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有载货功能的专项作业车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15</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50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无载货功能的专项作业车</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30</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50</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c>
          <w:tcPr>
            <w:tcW w:w="1984" w:type="dxa"/>
            <w:gridSpan w:val="2"/>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轮式专用机械车</w:t>
            </w:r>
          </w:p>
        </w:tc>
        <w:tc>
          <w:tcPr>
            <w:tcW w:w="368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　</w:t>
            </w:r>
          </w:p>
        </w:tc>
        <w:tc>
          <w:tcPr>
            <w:tcW w:w="113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w:t>
            </w:r>
          </w:p>
        </w:tc>
        <w:tc>
          <w:tcPr>
            <w:tcW w:w="141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50</w:t>
            </w:r>
          </w:p>
        </w:tc>
      </w:tr>
      <w:tr>
        <w:tblPrEx>
          <w:tblLayout w:type="fixed"/>
          <w:tblCellMar>
            <w:top w:w="0" w:type="dxa"/>
            <w:left w:w="108" w:type="dxa"/>
            <w:bottom w:w="0" w:type="dxa"/>
            <w:right w:w="108" w:type="dxa"/>
          </w:tblCellMar>
        </w:tblPrEx>
        <w:trPr>
          <w:trHeight w:val="425" w:hRule="atLeast"/>
          <w:jc w:val="center"/>
        </w:trPr>
        <w:tc>
          <w:tcPr>
            <w:tcW w:w="866"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7</w:t>
            </w:r>
          </w:p>
        </w:tc>
        <w:tc>
          <w:tcPr>
            <w:tcW w:w="1984"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摩托车</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outlineLvl w:val="9"/>
              <w:rPr>
                <w:rFonts w:hint="eastAsia" w:ascii="仿宋_GB2312" w:eastAsia="仿宋_GB2312"/>
                <w:color w:val="000000"/>
                <w:kern w:val="0"/>
                <w:sz w:val="24"/>
              </w:rPr>
            </w:pPr>
            <w:r>
              <w:rPr>
                <w:rFonts w:hint="eastAsia" w:ascii="仿宋_GB2312" w:eastAsia="仿宋_GB2312"/>
                <w:color w:val="000000"/>
                <w:kern w:val="0"/>
                <w:sz w:val="24"/>
              </w:rPr>
              <w:t>三轮摩托车</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12</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198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p>
        </w:tc>
        <w:tc>
          <w:tcPr>
            <w:tcW w:w="3686"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ind w:left="-67" w:leftChars="-32" w:firstLine="132" w:firstLineChars="55"/>
              <w:outlineLvl w:val="9"/>
              <w:rPr>
                <w:rFonts w:hint="eastAsia" w:ascii="仿宋_GB2312" w:eastAsia="仿宋_GB2312"/>
                <w:color w:val="000000"/>
                <w:kern w:val="0"/>
                <w:sz w:val="24"/>
              </w:rPr>
            </w:pPr>
            <w:r>
              <w:rPr>
                <w:rFonts w:hint="eastAsia" w:ascii="仿宋_GB2312" w:eastAsia="仿宋_GB2312"/>
                <w:color w:val="000000"/>
                <w:kern w:val="0"/>
                <w:sz w:val="24"/>
              </w:rPr>
              <w:t>其他摩托车</w:t>
            </w:r>
          </w:p>
        </w:tc>
        <w:tc>
          <w:tcPr>
            <w:tcW w:w="1134"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13</w:t>
            </w:r>
          </w:p>
        </w:tc>
        <w:tc>
          <w:tcPr>
            <w:tcW w:w="1417"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12</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（二）</w:t>
            </w:r>
          </w:p>
        </w:tc>
        <w:tc>
          <w:tcPr>
            <w:tcW w:w="5670" w:type="dxa"/>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船舶（含海船和河船）</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2"/>
              </w:rPr>
            </w:pPr>
            <w:r>
              <w:rPr>
                <w:rFonts w:hint="eastAsia" w:ascii="仿宋_GB2312" w:eastAsia="仿宋_GB2312"/>
                <w:color w:val="000000"/>
                <w:kern w:val="0"/>
                <w:sz w:val="22"/>
              </w:rPr>
              <w:t>使用年限</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高速客船</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25</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客船类（包括客滚船、客货船、客渡船、客货渡船、旅游船）</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30</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w:t>
            </w:r>
          </w:p>
        </w:tc>
        <w:tc>
          <w:tcPr>
            <w:tcW w:w="5670"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液体货船类（包括油船、化学品船、液化气船）</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30</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4</w:t>
            </w:r>
          </w:p>
        </w:tc>
        <w:tc>
          <w:tcPr>
            <w:tcW w:w="5670"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散货船类（包括矿砂船）</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30</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5</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杂货船类（包括滚装船、散装水泥船、冷藏船、木材船、驳船、集装箱船）</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35</w:t>
            </w:r>
          </w:p>
        </w:tc>
      </w:tr>
      <w:tr>
        <w:tblPrEx>
          <w:tblLayout w:type="fixed"/>
          <w:tblCellMar>
            <w:top w:w="0" w:type="dxa"/>
            <w:left w:w="108" w:type="dxa"/>
            <w:bottom w:w="0" w:type="dxa"/>
            <w:right w:w="108" w:type="dxa"/>
          </w:tblCellMar>
        </w:tblPrEx>
        <w:trPr>
          <w:trHeight w:val="425" w:hRule="atLeast"/>
          <w:jc w:val="center"/>
        </w:trPr>
        <w:tc>
          <w:tcPr>
            <w:tcW w:w="866" w:type="dxa"/>
            <w:vMerge w:val="restart"/>
            <w:tcBorders>
              <w:top w:val="nil"/>
              <w:left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6</w:t>
            </w:r>
          </w:p>
        </w:tc>
        <w:tc>
          <w:tcPr>
            <w:tcW w:w="1049" w:type="dxa"/>
            <w:vMerge w:val="restart"/>
            <w:tcBorders>
              <w:top w:val="single" w:color="auto" w:sz="4" w:space="0"/>
              <w:left w:val="nil"/>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航道工程船</w:t>
            </w:r>
          </w:p>
        </w:tc>
        <w:tc>
          <w:tcPr>
            <w:tcW w:w="4621" w:type="dxa"/>
            <w:gridSpan w:val="2"/>
            <w:tcBorders>
              <w:top w:val="single" w:color="auto" w:sz="4" w:space="0"/>
              <w:left w:val="single" w:color="auto" w:sz="4" w:space="0"/>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大型工程船舶（疏浚船、拖轮等）</w:t>
            </w:r>
          </w:p>
        </w:tc>
        <w:tc>
          <w:tcPr>
            <w:tcW w:w="2551" w:type="dxa"/>
            <w:gridSpan w:val="2"/>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2"/>
              </w:rPr>
            </w:pPr>
            <w:r>
              <w:rPr>
                <w:rFonts w:hint="eastAsia" w:ascii="仿宋_GB2312" w:eastAsia="仿宋_GB2312"/>
                <w:bCs/>
                <w:color w:val="000000"/>
                <w:kern w:val="0"/>
                <w:sz w:val="22"/>
              </w:rPr>
              <w:t>30</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left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p>
        </w:tc>
        <w:tc>
          <w:tcPr>
            <w:tcW w:w="1049" w:type="dxa"/>
            <w:vMerge w:val="continue"/>
            <w:tcBorders>
              <w:left w:val="nil"/>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p>
        </w:tc>
        <w:tc>
          <w:tcPr>
            <w:tcW w:w="4621" w:type="dxa"/>
            <w:gridSpan w:val="2"/>
            <w:tcBorders>
              <w:top w:val="single" w:color="auto" w:sz="4" w:space="0"/>
              <w:left w:val="single" w:color="auto" w:sz="4" w:space="0"/>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大型维护管理船舶（船身长17米及以上）</w:t>
            </w:r>
          </w:p>
        </w:tc>
        <w:tc>
          <w:tcPr>
            <w:tcW w:w="2551" w:type="dxa"/>
            <w:gridSpan w:val="2"/>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2"/>
              </w:rPr>
            </w:pPr>
            <w:r>
              <w:rPr>
                <w:rFonts w:hint="eastAsia" w:ascii="仿宋_GB2312" w:eastAsia="仿宋_GB2312"/>
                <w:bCs/>
                <w:color w:val="000000"/>
                <w:kern w:val="0"/>
                <w:sz w:val="22"/>
              </w:rPr>
              <w:t>25</w:t>
            </w:r>
          </w:p>
        </w:tc>
      </w:tr>
      <w:tr>
        <w:tblPrEx>
          <w:tblLayout w:type="fixed"/>
          <w:tblCellMar>
            <w:top w:w="0" w:type="dxa"/>
            <w:left w:w="108" w:type="dxa"/>
            <w:bottom w:w="0" w:type="dxa"/>
            <w:right w:w="108" w:type="dxa"/>
          </w:tblCellMar>
        </w:tblPrEx>
        <w:trPr>
          <w:trHeight w:val="425" w:hRule="atLeast"/>
          <w:jc w:val="center"/>
        </w:trPr>
        <w:tc>
          <w:tcPr>
            <w:tcW w:w="866" w:type="dxa"/>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p>
        </w:tc>
        <w:tc>
          <w:tcPr>
            <w:tcW w:w="1049" w:type="dxa"/>
            <w:vMerge w:val="continue"/>
            <w:tcBorders>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p>
        </w:tc>
        <w:tc>
          <w:tcPr>
            <w:tcW w:w="4621" w:type="dxa"/>
            <w:gridSpan w:val="2"/>
            <w:tcBorders>
              <w:top w:val="single" w:color="auto" w:sz="4" w:space="0"/>
              <w:left w:val="single" w:color="auto" w:sz="4" w:space="0"/>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小型维护管理船舶（船身长17米以下）</w:t>
            </w:r>
          </w:p>
        </w:tc>
        <w:tc>
          <w:tcPr>
            <w:tcW w:w="2551" w:type="dxa"/>
            <w:gridSpan w:val="2"/>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2"/>
              </w:rPr>
            </w:pPr>
            <w:r>
              <w:rPr>
                <w:rFonts w:hint="eastAsia" w:ascii="仿宋_GB2312" w:eastAsia="仿宋_GB2312"/>
                <w:bCs/>
                <w:color w:val="000000"/>
                <w:kern w:val="0"/>
                <w:sz w:val="22"/>
              </w:rPr>
              <w:t>15</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二</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办公自动化设备</w:t>
            </w:r>
          </w:p>
        </w:tc>
        <w:tc>
          <w:tcPr>
            <w:tcW w:w="2551" w:type="dxa"/>
            <w:gridSpan w:val="2"/>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2"/>
              </w:rPr>
            </w:pPr>
            <w:r>
              <w:rPr>
                <w:rFonts w:hint="eastAsia" w:ascii="仿宋_GB2312" w:eastAsia="仿宋_GB2312"/>
                <w:bCs/>
                <w:color w:val="000000"/>
                <w:kern w:val="0"/>
                <w:sz w:val="22"/>
              </w:rPr>
              <w:t>　</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大型计算机</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计算机网络设备（含服务器、交接机）</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台式电脑（包括电脑终端）</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4</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笔记本电脑</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5</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移动硬盘、不间断电源</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打印机、扫描仪、传真机</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7</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复印机、速印机、投影机、碎纸机</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三</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电器设备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　</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电视机</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电冰箱</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洗衣机</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4</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摄像器材</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5</w:t>
            </w:r>
          </w:p>
        </w:tc>
        <w:tc>
          <w:tcPr>
            <w:tcW w:w="5670"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摄影器材（照相机）</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空气调节器、除湿设备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10</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7</w:t>
            </w:r>
          </w:p>
        </w:tc>
        <w:tc>
          <w:tcPr>
            <w:tcW w:w="5670" w:type="dxa"/>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中央空调设备</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15</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四</w:t>
            </w:r>
          </w:p>
        </w:tc>
        <w:tc>
          <w:tcPr>
            <w:tcW w:w="5670" w:type="dxa"/>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家具</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　</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文件柜</w:t>
            </w:r>
          </w:p>
        </w:tc>
        <w:tc>
          <w:tcPr>
            <w:tcW w:w="2551" w:type="dxa"/>
            <w:gridSpan w:val="2"/>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20</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保密柜</w:t>
            </w:r>
          </w:p>
        </w:tc>
        <w:tc>
          <w:tcPr>
            <w:tcW w:w="2551" w:type="dxa"/>
            <w:gridSpan w:val="2"/>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20</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w:t>
            </w:r>
          </w:p>
        </w:tc>
        <w:tc>
          <w:tcPr>
            <w:tcW w:w="5670"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茶水柜</w:t>
            </w:r>
          </w:p>
        </w:tc>
        <w:tc>
          <w:tcPr>
            <w:tcW w:w="2551" w:type="dxa"/>
            <w:gridSpan w:val="2"/>
            <w:tcBorders>
              <w:top w:val="single" w:color="auto" w:sz="4" w:space="0"/>
              <w:left w:val="single" w:color="auto" w:sz="4" w:space="0"/>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20</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4</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会议桌</w:t>
            </w:r>
          </w:p>
        </w:tc>
        <w:tc>
          <w:tcPr>
            <w:tcW w:w="2551" w:type="dxa"/>
            <w:gridSpan w:val="2"/>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20</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5</w:t>
            </w:r>
          </w:p>
        </w:tc>
        <w:tc>
          <w:tcPr>
            <w:tcW w:w="5670" w:type="dxa"/>
            <w:gridSpan w:val="3"/>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其他办公家具</w:t>
            </w:r>
          </w:p>
        </w:tc>
        <w:tc>
          <w:tcPr>
            <w:tcW w:w="2551" w:type="dxa"/>
            <w:gridSpan w:val="2"/>
            <w:tcBorders>
              <w:top w:val="single" w:color="auto" w:sz="4" w:space="0"/>
              <w:left w:val="single" w:color="auto" w:sz="4" w:space="0"/>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15</w:t>
            </w:r>
          </w:p>
        </w:tc>
      </w:tr>
      <w:tr>
        <w:tblPrEx>
          <w:tblLayout w:type="fixed"/>
          <w:tblCellMar>
            <w:top w:w="0" w:type="dxa"/>
            <w:left w:w="108" w:type="dxa"/>
            <w:bottom w:w="0" w:type="dxa"/>
            <w:right w:w="108" w:type="dxa"/>
          </w:tblCellMar>
        </w:tblPrEx>
        <w:trPr>
          <w:trHeight w:val="425"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五</w:t>
            </w:r>
          </w:p>
        </w:tc>
        <w:tc>
          <w:tcPr>
            <w:tcW w:w="5670"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专用设备</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　</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消防设备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12</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2</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厨房设备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3</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监控系统（监控设备设施、安全防范系统）</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4</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道路清扫设备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10</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5</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电子设备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广播电视、影像摄录、传送设备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6</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7</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音响设备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13</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健身房设备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8</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9</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color w:val="000000"/>
                <w:kern w:val="0"/>
                <w:sz w:val="24"/>
              </w:rPr>
            </w:pPr>
            <w:r>
              <w:rPr>
                <w:rFonts w:hint="eastAsia" w:ascii="仿宋_GB2312" w:eastAsia="仿宋_GB2312"/>
                <w:color w:val="000000"/>
                <w:kern w:val="0"/>
                <w:sz w:val="24"/>
              </w:rPr>
              <w:t>通讯设备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color w:val="000000"/>
                <w:kern w:val="0"/>
                <w:sz w:val="24"/>
              </w:rPr>
            </w:pPr>
            <w:r>
              <w:rPr>
                <w:rFonts w:hint="eastAsia" w:ascii="仿宋_GB2312" w:eastAsia="仿宋_GB2312"/>
                <w:color w:val="000000"/>
                <w:kern w:val="0"/>
                <w:sz w:val="24"/>
              </w:rPr>
              <w:t>9</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六</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自动化控制类仪器仪表</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10</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七</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通用测试仪器设备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10</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八</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机械设备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12</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九</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动力设备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15</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十</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传导设备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22</w:t>
            </w:r>
          </w:p>
        </w:tc>
      </w:tr>
      <w:tr>
        <w:tblPrEx>
          <w:tblLayout w:type="fixed"/>
          <w:tblCellMar>
            <w:top w:w="0" w:type="dxa"/>
            <w:left w:w="108" w:type="dxa"/>
            <w:bottom w:w="0" w:type="dxa"/>
            <w:right w:w="108" w:type="dxa"/>
          </w:tblCellMar>
        </w:tblPrEx>
        <w:trPr>
          <w:trHeight w:val="425" w:hRule="atLeast"/>
          <w:jc w:val="center"/>
        </w:trPr>
        <w:tc>
          <w:tcPr>
            <w:tcW w:w="86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十一</w:t>
            </w:r>
          </w:p>
        </w:tc>
        <w:tc>
          <w:tcPr>
            <w:tcW w:w="5670" w:type="dxa"/>
            <w:gridSpan w:val="3"/>
            <w:tcBorders>
              <w:top w:val="single" w:color="auto" w:sz="4" w:space="0"/>
              <w:left w:val="nil"/>
              <w:bottom w:val="single" w:color="auto" w:sz="4" w:space="0"/>
              <w:right w:val="single" w:color="000000" w:sz="4" w:space="0"/>
            </w:tcBorders>
            <w:noWrap w:val="0"/>
            <w:vAlign w:val="center"/>
          </w:tcPr>
          <w:p>
            <w:pPr>
              <w:pageBreakBefore w:val="0"/>
              <w:widowControl/>
              <w:kinsoku/>
              <w:wordWrap/>
              <w:overflowPunct/>
              <w:topLinePunct w:val="0"/>
              <w:autoSpaceDE/>
              <w:autoSpaceDN/>
              <w:bidi w:val="0"/>
              <w:spacing w:line="0" w:lineRule="atLeast"/>
              <w:jc w:val="left"/>
              <w:outlineLvl w:val="9"/>
              <w:rPr>
                <w:rFonts w:hint="eastAsia" w:ascii="仿宋_GB2312" w:eastAsia="仿宋_GB2312"/>
                <w:bCs/>
                <w:color w:val="000000"/>
                <w:kern w:val="0"/>
                <w:sz w:val="24"/>
              </w:rPr>
            </w:pPr>
            <w:r>
              <w:rPr>
                <w:rFonts w:hint="eastAsia" w:ascii="仿宋_GB2312" w:eastAsia="仿宋_GB2312"/>
                <w:bCs/>
                <w:color w:val="000000"/>
                <w:kern w:val="0"/>
                <w:sz w:val="24"/>
              </w:rPr>
              <w:t>闭路电视播放设备</w:t>
            </w:r>
          </w:p>
        </w:tc>
        <w:tc>
          <w:tcPr>
            <w:tcW w:w="2551" w:type="dxa"/>
            <w:gridSpan w:val="2"/>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0" w:lineRule="atLeast"/>
              <w:jc w:val="center"/>
              <w:outlineLvl w:val="9"/>
              <w:rPr>
                <w:rFonts w:hint="eastAsia" w:ascii="仿宋_GB2312" w:eastAsia="仿宋_GB2312"/>
                <w:bCs/>
                <w:color w:val="000000"/>
                <w:kern w:val="0"/>
                <w:sz w:val="24"/>
              </w:rPr>
            </w:pPr>
            <w:r>
              <w:rPr>
                <w:rFonts w:hint="eastAsia" w:ascii="仿宋_GB2312" w:eastAsia="仿宋_GB2312"/>
                <w:bCs/>
                <w:color w:val="000000"/>
                <w:kern w:val="0"/>
                <w:sz w:val="24"/>
              </w:rPr>
              <w:t>10</w:t>
            </w:r>
          </w:p>
        </w:tc>
      </w:tr>
    </w:tbl>
    <w:p>
      <w:pPr>
        <w:pageBreakBefore w:val="0"/>
        <w:kinsoku/>
        <w:wordWrap/>
        <w:overflowPunct/>
        <w:topLinePunct w:val="0"/>
        <w:autoSpaceDE/>
        <w:autoSpaceDN/>
        <w:bidi w:val="0"/>
        <w:spacing w:line="340" w:lineRule="exact"/>
        <w:ind w:left="700" w:hanging="525" w:hangingChars="250"/>
        <w:outlineLvl w:val="9"/>
        <w:rPr>
          <w:rFonts w:eastAsia="仿宋_GB2312"/>
          <w:color w:val="000000"/>
        </w:rPr>
      </w:pPr>
      <w:r>
        <w:rPr>
          <w:rFonts w:eastAsia="仿宋_GB2312"/>
          <w:color w:val="000000"/>
        </w:rPr>
        <w:t>注：1.本表机动车规定使用年限和行驶里程数两者只需达到其中之一即为达到规定报废条件；机动车规定报废条件参照《机动车强制报废标准规定细则》（商务部、发改委、公安部、环境保护部令2012第12号）制定。</w:t>
      </w:r>
    </w:p>
    <w:p>
      <w:pPr>
        <w:pageBreakBefore w:val="0"/>
        <w:kinsoku/>
        <w:wordWrap/>
        <w:overflowPunct/>
        <w:topLinePunct w:val="0"/>
        <w:autoSpaceDE/>
        <w:autoSpaceDN/>
        <w:bidi w:val="0"/>
        <w:spacing w:line="340" w:lineRule="exact"/>
        <w:ind w:left="525" w:leftChars="200" w:hanging="105" w:hangingChars="50"/>
        <w:outlineLvl w:val="9"/>
        <w:rPr>
          <w:rFonts w:eastAsia="仿宋_GB2312"/>
          <w:color w:val="000000"/>
        </w:rPr>
      </w:pPr>
      <w:r>
        <w:rPr>
          <w:rFonts w:eastAsia="仿宋_GB2312"/>
          <w:color w:val="000000"/>
        </w:rPr>
        <w:t>2.国家另有规定的，从其规定</w:t>
      </w:r>
    </w:p>
    <w:p>
      <w:pPr>
        <w:pageBreakBefore w:val="0"/>
        <w:kinsoku/>
        <w:wordWrap/>
        <w:overflowPunct/>
        <w:topLinePunct w:val="0"/>
        <w:autoSpaceDE/>
        <w:autoSpaceDN/>
        <w:bidi w:val="0"/>
        <w:spacing w:line="340" w:lineRule="exact"/>
        <w:outlineLvl w:val="9"/>
        <w:rPr>
          <w:rFonts w:hint="eastAsia" w:eastAsia="仿宋_GB2312"/>
          <w:color w:val="000000"/>
          <w:lang w:eastAsia="zh-CN"/>
        </w:rPr>
        <w:sectPr>
          <w:footerReference r:id="rId35" w:type="default"/>
          <w:pgSz w:w="11906" w:h="16838"/>
          <w:pgMar w:top="2098" w:right="1474" w:bottom="1984" w:left="1587" w:header="851" w:footer="992" w:gutter="0"/>
          <w:pgNumType w:fmt="decimal"/>
          <w:cols w:space="425" w:num="1"/>
          <w:docGrid w:type="lines" w:linePitch="312" w:charSpace="0"/>
        </w:sectPr>
      </w:pPr>
    </w:p>
    <w:tbl>
      <w:tblPr>
        <w:tblStyle w:val="14"/>
        <w:tblW w:w="14049" w:type="dxa"/>
        <w:tblInd w:w="0" w:type="dxa"/>
        <w:tblLayout w:type="fixed"/>
        <w:tblCellMar>
          <w:top w:w="15" w:type="dxa"/>
          <w:left w:w="15" w:type="dxa"/>
          <w:bottom w:w="15" w:type="dxa"/>
          <w:right w:w="15" w:type="dxa"/>
        </w:tblCellMar>
      </w:tblPr>
      <w:tblGrid>
        <w:gridCol w:w="434"/>
        <w:gridCol w:w="900"/>
        <w:gridCol w:w="960"/>
        <w:gridCol w:w="1529"/>
        <w:gridCol w:w="1490"/>
        <w:gridCol w:w="1540"/>
        <w:gridCol w:w="1610"/>
        <w:gridCol w:w="1616"/>
        <w:gridCol w:w="1560"/>
        <w:gridCol w:w="955"/>
        <w:gridCol w:w="888"/>
        <w:gridCol w:w="468"/>
        <w:gridCol w:w="99"/>
      </w:tblGrid>
      <w:tr>
        <w:tblPrEx>
          <w:tblLayout w:type="fixed"/>
          <w:tblCellMar>
            <w:top w:w="15" w:type="dxa"/>
            <w:left w:w="15" w:type="dxa"/>
            <w:bottom w:w="15" w:type="dxa"/>
            <w:right w:w="15" w:type="dxa"/>
          </w:tblCellMar>
        </w:tblPrEx>
        <w:trPr>
          <w:gridAfter w:val="1"/>
          <w:wAfter w:w="99" w:type="dxa"/>
          <w:trHeight w:val="405" w:hRule="atLeast"/>
        </w:trPr>
        <w:tc>
          <w:tcPr>
            <w:tcW w:w="13950" w:type="dxa"/>
            <w:gridSpan w:val="12"/>
            <w:noWrap w:val="0"/>
            <w:vAlign w:val="center"/>
          </w:tcPr>
          <w:p>
            <w:pPr>
              <w:pageBreakBefore w:val="0"/>
              <w:kinsoku/>
              <w:wordWrap/>
              <w:overflowPunct/>
              <w:topLinePunct w:val="0"/>
              <w:autoSpaceDE/>
              <w:autoSpaceDN/>
              <w:bidi w:val="0"/>
              <w:spacing w:line="620" w:lineRule="exact"/>
              <w:outlineLvl w:val="9"/>
              <w:rPr>
                <w:rFonts w:hint="eastAsia" w:ascii="仿宋" w:hAnsi="仿宋" w:eastAsia="仿宋" w:cs="仿宋"/>
                <w:b/>
                <w:sz w:val="32"/>
                <w:szCs w:val="32"/>
              </w:rPr>
            </w:pPr>
            <w:r>
              <w:rPr>
                <w:rFonts w:hint="eastAsia" w:ascii="仿宋" w:hAnsi="仿宋" w:eastAsia="仿宋" w:cs="仿宋"/>
                <w:b/>
                <w:sz w:val="32"/>
                <w:szCs w:val="32"/>
              </w:rPr>
              <w:t>附件3：</w:t>
            </w:r>
          </w:p>
          <w:p>
            <w:pPr>
              <w:pageBreakBefore w:val="0"/>
              <w:widowControl/>
              <w:kinsoku/>
              <w:wordWrap/>
              <w:overflowPunct/>
              <w:topLinePunct w:val="0"/>
              <w:autoSpaceDE/>
              <w:autoSpaceDN/>
              <w:bidi w:val="0"/>
              <w:textAlignment w:val="center"/>
              <w:outlineLvl w:val="9"/>
              <w:rPr>
                <w:rFonts w:hint="eastAsia" w:ascii="仿宋" w:hAnsi="仿宋" w:eastAsia="仿宋" w:cs="仿宋"/>
                <w:b/>
                <w:kern w:val="0"/>
                <w:sz w:val="32"/>
                <w:szCs w:val="32"/>
                <w:lang w:bidi="ar"/>
              </w:rPr>
            </w:pPr>
          </w:p>
          <w:p>
            <w:pPr>
              <w:pageBreakBefore w:val="0"/>
              <w:kinsoku/>
              <w:wordWrap/>
              <w:overflowPunct/>
              <w:topLinePunct w:val="0"/>
              <w:autoSpaceDE/>
              <w:autoSpaceDN/>
              <w:bidi w:val="0"/>
              <w:spacing w:line="620" w:lineRule="exact"/>
              <w:jc w:val="center"/>
              <w:outlineLvl w:val="9"/>
              <w:rPr>
                <w:rFonts w:hint="eastAsia" w:ascii="宋体" w:hAnsi="宋体" w:cs="宋体"/>
                <w:b/>
                <w:sz w:val="32"/>
                <w:szCs w:val="32"/>
                <w:lang w:bidi="th-TH"/>
              </w:rPr>
            </w:pPr>
            <w:r>
              <w:rPr>
                <w:rFonts w:hint="eastAsia" w:eastAsia="方正小标宋简体"/>
                <w:color w:val="000000"/>
                <w:sz w:val="36"/>
                <w:szCs w:val="36"/>
              </w:rPr>
              <w:t>柳州职业技术学院部门资产处置申请表</w:t>
            </w:r>
          </w:p>
        </w:tc>
      </w:tr>
      <w:tr>
        <w:tblPrEx>
          <w:tblLayout w:type="fixed"/>
          <w:tblCellMar>
            <w:top w:w="15" w:type="dxa"/>
            <w:left w:w="15" w:type="dxa"/>
            <w:bottom w:w="15" w:type="dxa"/>
            <w:right w:w="15" w:type="dxa"/>
          </w:tblCellMar>
        </w:tblPrEx>
        <w:trPr>
          <w:trHeight w:val="316" w:hRule="atLeast"/>
        </w:trPr>
        <w:tc>
          <w:tcPr>
            <w:tcW w:w="5313" w:type="dxa"/>
            <w:gridSpan w:val="5"/>
            <w:tcBorders>
              <w:bottom w:val="single" w:color="000000" w:sz="4" w:space="0"/>
            </w:tcBorders>
            <w:noWrap w:val="0"/>
            <w:vAlign w:val="center"/>
          </w:tcPr>
          <w:p>
            <w:pPr>
              <w:pageBreakBefore w:val="0"/>
              <w:widowControl/>
              <w:kinsoku/>
              <w:wordWrap/>
              <w:overflowPunct/>
              <w:topLinePunct w:val="0"/>
              <w:autoSpaceDE/>
              <w:autoSpaceDN/>
              <w:bidi w:val="0"/>
              <w:jc w:val="left"/>
              <w:textAlignment w:val="center"/>
              <w:outlineLvl w:val="9"/>
              <w:rPr>
                <w:rFonts w:hint="eastAsia" w:ascii="仿宋_GB2312" w:hAnsi="宋体" w:eastAsia="仿宋_GB2312" w:cs="宋体"/>
                <w:sz w:val="24"/>
                <w:lang w:bidi="th-TH"/>
              </w:rPr>
            </w:pPr>
            <w:r>
              <w:rPr>
                <w:rFonts w:hint="eastAsia" w:ascii="仿宋_GB2312" w:hAnsi="宋体" w:eastAsia="仿宋_GB2312" w:cs="宋体"/>
                <w:kern w:val="0"/>
                <w:sz w:val="24"/>
                <w:lang w:bidi="ar"/>
              </w:rPr>
              <w:t xml:space="preserve">申请部门： </w:t>
            </w:r>
            <w:r>
              <w:rPr>
                <w:rFonts w:hint="eastAsia" w:ascii="仿宋_GB2312" w:eastAsia="仿宋_GB2312"/>
                <w:kern w:val="0"/>
                <w:sz w:val="24"/>
                <w:lang w:bidi="ar"/>
              </w:rPr>
              <w:t xml:space="preserve">                      </w:t>
            </w:r>
          </w:p>
        </w:tc>
        <w:tc>
          <w:tcPr>
            <w:tcW w:w="1540" w:type="dxa"/>
            <w:noWrap w:val="0"/>
            <w:vAlign w:val="center"/>
          </w:tcPr>
          <w:p>
            <w:pPr>
              <w:pageBreakBefore w:val="0"/>
              <w:kinsoku/>
              <w:wordWrap/>
              <w:overflowPunct/>
              <w:topLinePunct w:val="0"/>
              <w:autoSpaceDE/>
              <w:autoSpaceDN/>
              <w:bidi w:val="0"/>
              <w:outlineLvl w:val="9"/>
              <w:rPr>
                <w:rFonts w:hint="eastAsia" w:ascii="仿宋_GB2312" w:hAnsi="宋体" w:eastAsia="仿宋_GB2312" w:cs="宋体"/>
                <w:sz w:val="24"/>
                <w:lang w:bidi="th-TH"/>
              </w:rPr>
            </w:pPr>
          </w:p>
        </w:tc>
        <w:tc>
          <w:tcPr>
            <w:tcW w:w="3226" w:type="dxa"/>
            <w:gridSpan w:val="2"/>
            <w:tcBorders>
              <w:bottom w:val="single" w:color="000000" w:sz="4" w:space="0"/>
            </w:tcBorders>
            <w:noWrap w:val="0"/>
            <w:vAlign w:val="center"/>
          </w:tcPr>
          <w:p>
            <w:pPr>
              <w:pageBreakBefore w:val="0"/>
              <w:widowControl/>
              <w:kinsoku/>
              <w:wordWrap/>
              <w:overflowPunct/>
              <w:topLinePunct w:val="0"/>
              <w:autoSpaceDE/>
              <w:autoSpaceDN/>
              <w:bidi w:val="0"/>
              <w:jc w:val="right"/>
              <w:textAlignment w:val="center"/>
              <w:outlineLvl w:val="9"/>
              <w:rPr>
                <w:rFonts w:hint="eastAsia" w:ascii="仿宋_GB2312" w:hAnsi="宋体" w:eastAsia="仿宋_GB2312" w:cs="宋体"/>
                <w:sz w:val="24"/>
                <w:lang w:bidi="th-TH"/>
              </w:rPr>
            </w:pPr>
            <w:r>
              <w:rPr>
                <w:rFonts w:hint="eastAsia" w:ascii="仿宋_GB2312" w:hAnsi="宋体" w:eastAsia="仿宋_GB2312" w:cs="宋体"/>
                <w:kern w:val="0"/>
                <w:sz w:val="24"/>
                <w:lang w:bidi="ar"/>
              </w:rPr>
              <w:t xml:space="preserve">   时间：  年  月  日</w:t>
            </w:r>
          </w:p>
        </w:tc>
        <w:tc>
          <w:tcPr>
            <w:tcW w:w="1560" w:type="dxa"/>
            <w:noWrap w:val="0"/>
            <w:vAlign w:val="center"/>
          </w:tcPr>
          <w:p>
            <w:pPr>
              <w:pageBreakBefore w:val="0"/>
              <w:kinsoku/>
              <w:wordWrap/>
              <w:overflowPunct/>
              <w:topLinePunct w:val="0"/>
              <w:autoSpaceDE/>
              <w:autoSpaceDN/>
              <w:bidi w:val="0"/>
              <w:outlineLvl w:val="9"/>
              <w:rPr>
                <w:rFonts w:hint="eastAsia" w:ascii="仿宋_GB2312" w:hAnsi="宋体" w:eastAsia="仿宋_GB2312" w:cs="宋体"/>
                <w:sz w:val="24"/>
                <w:lang w:bidi="th-TH"/>
              </w:rPr>
            </w:pPr>
          </w:p>
        </w:tc>
        <w:tc>
          <w:tcPr>
            <w:tcW w:w="2410" w:type="dxa"/>
            <w:gridSpan w:val="4"/>
            <w:noWrap w:val="0"/>
            <w:vAlign w:val="center"/>
          </w:tcPr>
          <w:p>
            <w:pPr>
              <w:pageBreakBefore w:val="0"/>
              <w:widowControl/>
              <w:kinsoku/>
              <w:wordWrap/>
              <w:overflowPunct/>
              <w:topLinePunct w:val="0"/>
              <w:autoSpaceDE/>
              <w:autoSpaceDN/>
              <w:bidi w:val="0"/>
              <w:jc w:val="left"/>
              <w:textAlignment w:val="center"/>
              <w:outlineLvl w:val="9"/>
              <w:rPr>
                <w:rFonts w:hint="eastAsia" w:ascii="仿宋_GB2312" w:hAnsi="宋体" w:eastAsia="仿宋_GB2312" w:cs="宋体"/>
                <w:sz w:val="24"/>
                <w:lang w:bidi="th-TH"/>
              </w:rPr>
            </w:pPr>
            <w:r>
              <w:rPr>
                <w:rFonts w:hint="eastAsia" w:ascii="仿宋_GB2312" w:hAnsi="宋体" w:eastAsia="仿宋_GB2312" w:cs="宋体"/>
                <w:kern w:val="0"/>
                <w:sz w:val="24"/>
                <w:lang w:bidi="ar"/>
              </w:rPr>
              <w:t>单位：元</w:t>
            </w:r>
          </w:p>
        </w:tc>
      </w:tr>
      <w:tr>
        <w:tblPrEx>
          <w:tblLayout w:type="fixed"/>
          <w:tblCellMar>
            <w:top w:w="15" w:type="dxa"/>
            <w:left w:w="15" w:type="dxa"/>
            <w:bottom w:w="15" w:type="dxa"/>
            <w:right w:w="15" w:type="dxa"/>
          </w:tblCellMar>
        </w:tblPrEx>
        <w:trPr>
          <w:trHeight w:val="660" w:hRule="atLeast"/>
        </w:trPr>
        <w:tc>
          <w:tcPr>
            <w:tcW w:w="43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序号</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设备编号</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资产名称</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规格型号</w:t>
            </w:r>
          </w:p>
        </w:tc>
        <w:tc>
          <w:tcPr>
            <w:tcW w:w="14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单价</w:t>
            </w:r>
            <w:r>
              <w:rPr>
                <w:rFonts w:hint="eastAsia" w:ascii="仿宋_GB2312" w:hAnsi="宋体" w:eastAsia="仿宋_GB2312" w:cs="宋体"/>
                <w:kern w:val="0"/>
                <w:sz w:val="18"/>
                <w:szCs w:val="18"/>
                <w:lang w:bidi="ar"/>
              </w:rPr>
              <w:br w:type="textWrapping"/>
            </w:r>
            <w:r>
              <w:rPr>
                <w:rFonts w:hint="eastAsia" w:ascii="仿宋_GB2312" w:hAnsi="宋体" w:eastAsia="仿宋_GB2312" w:cs="宋体"/>
                <w:kern w:val="0"/>
                <w:sz w:val="18"/>
                <w:szCs w:val="18"/>
                <w:lang w:bidi="ar"/>
              </w:rPr>
              <w:t>（原值）</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购置时间</w:t>
            </w:r>
            <w:r>
              <w:rPr>
                <w:rFonts w:hint="eastAsia" w:ascii="仿宋_GB2312" w:hAnsi="宋体" w:eastAsia="仿宋_GB2312" w:cs="宋体"/>
                <w:kern w:val="0"/>
                <w:sz w:val="18"/>
                <w:szCs w:val="18"/>
                <w:lang w:bidi="ar"/>
              </w:rPr>
              <w:br w:type="textWrapping"/>
            </w:r>
            <w:r>
              <w:rPr>
                <w:rFonts w:hint="eastAsia" w:ascii="仿宋_GB2312" w:hAnsi="宋体" w:eastAsia="仿宋_GB2312" w:cs="宋体"/>
                <w:kern w:val="0"/>
                <w:sz w:val="18"/>
                <w:szCs w:val="18"/>
                <w:lang w:bidi="ar"/>
              </w:rPr>
              <w:t>（年月）</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报废（盘亏）原因</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财务资产编号</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已提折旧</w:t>
            </w:r>
          </w:p>
        </w:tc>
        <w:tc>
          <w:tcPr>
            <w:tcW w:w="2410"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账面净值</w:t>
            </w:r>
          </w:p>
        </w:tc>
      </w:tr>
      <w:tr>
        <w:tblPrEx>
          <w:tblLayout w:type="fixed"/>
          <w:tblCellMar>
            <w:top w:w="15" w:type="dxa"/>
            <w:left w:w="15" w:type="dxa"/>
            <w:bottom w:w="15" w:type="dxa"/>
            <w:right w:w="15" w:type="dxa"/>
          </w:tblCellMar>
        </w:tblPrEx>
        <w:trPr>
          <w:trHeight w:val="390" w:hRule="atLeast"/>
        </w:trPr>
        <w:tc>
          <w:tcPr>
            <w:tcW w:w="43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96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29"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49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4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61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61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6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2410" w:type="dxa"/>
            <w:gridSpan w:val="4"/>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r>
      <w:tr>
        <w:tblPrEx>
          <w:tblLayout w:type="fixed"/>
          <w:tblCellMar>
            <w:top w:w="15" w:type="dxa"/>
            <w:left w:w="15" w:type="dxa"/>
            <w:bottom w:w="15" w:type="dxa"/>
            <w:right w:w="15" w:type="dxa"/>
          </w:tblCellMar>
        </w:tblPrEx>
        <w:trPr>
          <w:trHeight w:val="390" w:hRule="atLeast"/>
        </w:trPr>
        <w:tc>
          <w:tcPr>
            <w:tcW w:w="43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96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29"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49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4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61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61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6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2410" w:type="dxa"/>
            <w:gridSpan w:val="4"/>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r>
      <w:tr>
        <w:tblPrEx>
          <w:tblLayout w:type="fixed"/>
          <w:tblCellMar>
            <w:top w:w="15" w:type="dxa"/>
            <w:left w:w="15" w:type="dxa"/>
            <w:bottom w:w="15" w:type="dxa"/>
            <w:right w:w="15" w:type="dxa"/>
          </w:tblCellMar>
        </w:tblPrEx>
        <w:trPr>
          <w:trHeight w:val="390" w:hRule="atLeast"/>
        </w:trPr>
        <w:tc>
          <w:tcPr>
            <w:tcW w:w="43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w:t>
            </w: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96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29"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49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4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61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61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6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2410" w:type="dxa"/>
            <w:gridSpan w:val="4"/>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r>
      <w:tr>
        <w:tblPrEx>
          <w:tblLayout w:type="fixed"/>
          <w:tblCellMar>
            <w:top w:w="15" w:type="dxa"/>
            <w:left w:w="15" w:type="dxa"/>
            <w:bottom w:w="15" w:type="dxa"/>
            <w:right w:w="15" w:type="dxa"/>
          </w:tblCellMar>
        </w:tblPrEx>
        <w:trPr>
          <w:trHeight w:val="350" w:hRule="atLeast"/>
        </w:trPr>
        <w:tc>
          <w:tcPr>
            <w:tcW w:w="4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合计金额</w:t>
            </w:r>
          </w:p>
        </w:tc>
        <w:tc>
          <w:tcPr>
            <w:tcW w:w="149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4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61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2410"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r>
      <w:tr>
        <w:tblPrEx>
          <w:tblLayout w:type="fixed"/>
          <w:tblCellMar>
            <w:top w:w="15" w:type="dxa"/>
            <w:left w:w="15" w:type="dxa"/>
            <w:bottom w:w="15" w:type="dxa"/>
            <w:right w:w="15" w:type="dxa"/>
          </w:tblCellMar>
        </w:tblPrEx>
        <w:trPr>
          <w:trHeight w:val="570" w:hRule="atLeast"/>
        </w:trPr>
        <w:tc>
          <w:tcPr>
            <w:tcW w:w="3823"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使用部门（盖章）</w:t>
            </w:r>
          </w:p>
        </w:tc>
        <w:tc>
          <w:tcPr>
            <w:tcW w:w="14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归口部门（签章）</w:t>
            </w:r>
          </w:p>
        </w:tc>
        <w:tc>
          <w:tcPr>
            <w:tcW w:w="3150" w:type="dxa"/>
            <w:gridSpan w:val="2"/>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财务处（盖章）</w:t>
            </w:r>
          </w:p>
        </w:tc>
        <w:tc>
          <w:tcPr>
            <w:tcW w:w="3176" w:type="dxa"/>
            <w:gridSpan w:val="2"/>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后勤与资产管理处（盖章）</w:t>
            </w:r>
          </w:p>
        </w:tc>
        <w:tc>
          <w:tcPr>
            <w:tcW w:w="955" w:type="dxa"/>
            <w:tcBorders>
              <w:top w:val="single" w:color="000000" w:sz="4" w:space="0"/>
              <w:left w:val="single" w:color="000000" w:sz="4" w:space="0"/>
              <w:bottom w:val="single" w:color="000000" w:sz="4" w:space="0"/>
              <w:right w:val="single" w:color="auto"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主管副校长</w:t>
            </w:r>
          </w:p>
        </w:tc>
        <w:tc>
          <w:tcPr>
            <w:tcW w:w="888" w:type="dxa"/>
            <w:tcBorders>
              <w:top w:val="single" w:color="000000" w:sz="4" w:space="0"/>
              <w:left w:val="single" w:color="auto" w:sz="4" w:space="0"/>
              <w:bottom w:val="single" w:color="000000" w:sz="4" w:space="0"/>
              <w:right w:val="single" w:color="auto"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kern w:val="0"/>
                <w:sz w:val="18"/>
                <w:szCs w:val="18"/>
                <w:lang w:bidi="ar"/>
              </w:rPr>
            </w:pPr>
            <w:r>
              <w:rPr>
                <w:rFonts w:hint="eastAsia" w:ascii="仿宋_GB2312" w:hAnsi="宋体" w:eastAsia="仿宋_GB2312" w:cs="宋体"/>
                <w:kern w:val="0"/>
                <w:sz w:val="18"/>
                <w:szCs w:val="18"/>
                <w:lang w:bidi="ar"/>
              </w:rPr>
              <w:t>总会计师</w:t>
            </w:r>
          </w:p>
        </w:tc>
        <w:tc>
          <w:tcPr>
            <w:tcW w:w="567" w:type="dxa"/>
            <w:gridSpan w:val="2"/>
            <w:tcBorders>
              <w:top w:val="single" w:color="000000" w:sz="4" w:space="0"/>
              <w:left w:val="single" w:color="auto"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kern w:val="0"/>
                <w:sz w:val="18"/>
                <w:szCs w:val="18"/>
                <w:lang w:bidi="ar"/>
              </w:rPr>
            </w:pPr>
            <w:r>
              <w:rPr>
                <w:rFonts w:hint="eastAsia" w:ascii="仿宋_GB2312" w:hAnsi="宋体" w:eastAsia="仿宋_GB2312" w:cs="宋体"/>
                <w:kern w:val="0"/>
                <w:sz w:val="18"/>
                <w:szCs w:val="18"/>
                <w:lang w:bidi="ar"/>
              </w:rPr>
              <w:t>校长</w:t>
            </w:r>
          </w:p>
        </w:tc>
      </w:tr>
      <w:tr>
        <w:tblPrEx>
          <w:tblLayout w:type="fixed"/>
          <w:tblCellMar>
            <w:top w:w="15" w:type="dxa"/>
            <w:left w:w="15" w:type="dxa"/>
            <w:bottom w:w="15" w:type="dxa"/>
            <w:right w:w="15" w:type="dxa"/>
          </w:tblCellMar>
        </w:tblPrEx>
        <w:trPr>
          <w:trHeight w:val="564" w:hRule="atLeast"/>
        </w:trPr>
        <w:tc>
          <w:tcPr>
            <w:tcW w:w="2294" w:type="dxa"/>
            <w:gridSpan w:val="3"/>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经办人（签字）</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部门领导（签字）</w:t>
            </w:r>
          </w:p>
        </w:tc>
        <w:tc>
          <w:tcPr>
            <w:tcW w:w="14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kern w:val="0"/>
                <w:sz w:val="18"/>
                <w:szCs w:val="18"/>
                <w:lang w:bidi="ar"/>
              </w:rPr>
            </w:pPr>
            <w:r>
              <w:rPr>
                <w:rFonts w:hint="eastAsia" w:ascii="仿宋_GB2312" w:hAnsi="宋体" w:eastAsia="仿宋_GB2312" w:cs="宋体"/>
                <w:kern w:val="0"/>
                <w:sz w:val="18"/>
                <w:szCs w:val="18"/>
                <w:lang w:bidi="ar"/>
              </w:rPr>
              <w:t>归口部门领导</w:t>
            </w:r>
          </w:p>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（签字）</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经办人（签字）</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部门领导（签字）</w:t>
            </w:r>
          </w:p>
        </w:tc>
        <w:tc>
          <w:tcPr>
            <w:tcW w:w="161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经办人（签字）</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18"/>
                <w:szCs w:val="18"/>
                <w:lang w:bidi="th-TH"/>
              </w:rPr>
            </w:pPr>
            <w:r>
              <w:rPr>
                <w:rFonts w:hint="eastAsia" w:ascii="仿宋_GB2312" w:hAnsi="宋体" w:eastAsia="仿宋_GB2312" w:cs="宋体"/>
                <w:kern w:val="0"/>
                <w:sz w:val="18"/>
                <w:szCs w:val="18"/>
                <w:lang w:bidi="ar"/>
              </w:rPr>
              <w:t>部门领导（签字）</w:t>
            </w:r>
          </w:p>
        </w:tc>
        <w:tc>
          <w:tcPr>
            <w:tcW w:w="955" w:type="dxa"/>
            <w:vMerge w:val="restart"/>
            <w:tcBorders>
              <w:top w:val="single" w:color="000000" w:sz="4" w:space="0"/>
              <w:left w:val="single" w:color="000000" w:sz="4" w:space="0"/>
              <w:righ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888" w:type="dxa"/>
            <w:vMerge w:val="restart"/>
            <w:tcBorders>
              <w:top w:val="single" w:color="000000" w:sz="4" w:space="0"/>
              <w:left w:val="single" w:color="auto" w:sz="4" w:space="0"/>
              <w:righ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567" w:type="dxa"/>
            <w:gridSpan w:val="2"/>
            <w:vMerge w:val="restart"/>
            <w:tcBorders>
              <w:top w:val="single" w:color="000000" w:sz="4" w:space="0"/>
              <w:left w:val="single" w:color="auto"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r>
      <w:tr>
        <w:tblPrEx>
          <w:tblLayout w:type="fixed"/>
          <w:tblCellMar>
            <w:top w:w="15" w:type="dxa"/>
            <w:left w:w="15" w:type="dxa"/>
            <w:bottom w:w="15" w:type="dxa"/>
            <w:right w:w="15" w:type="dxa"/>
          </w:tblCellMar>
        </w:tblPrEx>
        <w:trPr>
          <w:trHeight w:val="405" w:hRule="atLeast"/>
        </w:trPr>
        <w:tc>
          <w:tcPr>
            <w:tcW w:w="2294" w:type="dxa"/>
            <w:gridSpan w:val="3"/>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color w:val="000000"/>
                <w:sz w:val="24"/>
                <w:lang w:bidi="th-TH"/>
              </w:rPr>
            </w:pPr>
          </w:p>
        </w:tc>
        <w:tc>
          <w:tcPr>
            <w:tcW w:w="1529"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outlineLvl w:val="9"/>
              <w:rPr>
                <w:rFonts w:hint="eastAsia" w:ascii="仿宋_GB2312" w:hAnsi="宋体" w:eastAsia="仿宋_GB2312" w:cs="宋体"/>
                <w:color w:val="000000"/>
                <w:sz w:val="24"/>
                <w:lang w:bidi="th-TH"/>
              </w:rPr>
            </w:pPr>
          </w:p>
        </w:tc>
        <w:tc>
          <w:tcPr>
            <w:tcW w:w="149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outlineLvl w:val="9"/>
              <w:rPr>
                <w:rFonts w:hint="eastAsia" w:ascii="仿宋_GB2312" w:hAnsi="宋体" w:eastAsia="仿宋_GB2312" w:cs="宋体"/>
                <w:color w:val="000000"/>
                <w:sz w:val="24"/>
                <w:lang w:bidi="th-TH"/>
              </w:rPr>
            </w:pPr>
          </w:p>
        </w:tc>
        <w:tc>
          <w:tcPr>
            <w:tcW w:w="154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outlineLvl w:val="9"/>
              <w:rPr>
                <w:rFonts w:hint="eastAsia" w:ascii="仿宋_GB2312" w:hAnsi="宋体" w:eastAsia="仿宋_GB2312" w:cs="宋体"/>
                <w:color w:val="000000"/>
                <w:sz w:val="24"/>
                <w:lang w:bidi="th-TH"/>
              </w:rPr>
            </w:pPr>
          </w:p>
        </w:tc>
        <w:tc>
          <w:tcPr>
            <w:tcW w:w="161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color w:val="000000"/>
                <w:sz w:val="24"/>
                <w:lang w:bidi="th-TH"/>
              </w:rPr>
            </w:pPr>
          </w:p>
        </w:tc>
        <w:tc>
          <w:tcPr>
            <w:tcW w:w="1616"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jc w:val="center"/>
              <w:outlineLvl w:val="9"/>
              <w:rPr>
                <w:rFonts w:hint="eastAsia" w:ascii="仿宋_GB2312" w:hAnsi="宋体" w:eastAsia="仿宋_GB2312" w:cs="宋体"/>
                <w:color w:val="000000"/>
                <w:sz w:val="24"/>
                <w:lang w:bidi="th-TH"/>
              </w:rPr>
            </w:pPr>
          </w:p>
        </w:tc>
        <w:tc>
          <w:tcPr>
            <w:tcW w:w="1560" w:type="dxa"/>
            <w:tcBorders>
              <w:top w:val="single" w:color="000000" w:sz="4" w:space="0"/>
              <w:left w:val="single" w:color="000000" w:sz="4" w:space="0"/>
              <w:bottom w:val="single" w:color="000000" w:sz="4" w:space="0"/>
              <w:right w:val="single" w:color="000000" w:sz="4" w:space="0"/>
            </w:tcBorders>
            <w:noWrap w:val="0"/>
            <w:vAlign w:val="top"/>
          </w:tcPr>
          <w:p>
            <w:pPr>
              <w:pageBreakBefore w:val="0"/>
              <w:kinsoku/>
              <w:wordWrap/>
              <w:overflowPunct/>
              <w:topLinePunct w:val="0"/>
              <w:autoSpaceDE/>
              <w:autoSpaceDN/>
              <w:bidi w:val="0"/>
              <w:outlineLvl w:val="9"/>
              <w:rPr>
                <w:rFonts w:hint="eastAsia" w:ascii="仿宋_GB2312" w:hAnsi="宋体" w:eastAsia="仿宋_GB2312" w:cs="宋体"/>
                <w:color w:val="000000"/>
                <w:sz w:val="24"/>
                <w:lang w:bidi="th-TH"/>
              </w:rPr>
            </w:pPr>
          </w:p>
        </w:tc>
        <w:tc>
          <w:tcPr>
            <w:tcW w:w="955" w:type="dxa"/>
            <w:vMerge w:val="continue"/>
            <w:tcBorders>
              <w:left w:val="single" w:color="000000" w:sz="4" w:space="0"/>
              <w:bottom w:val="single" w:color="000000" w:sz="4" w:space="0"/>
              <w:righ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color w:val="000000"/>
                <w:sz w:val="24"/>
                <w:lang w:bidi="th-TH"/>
              </w:rPr>
            </w:pPr>
          </w:p>
        </w:tc>
        <w:tc>
          <w:tcPr>
            <w:tcW w:w="888" w:type="dxa"/>
            <w:vMerge w:val="continue"/>
            <w:tcBorders>
              <w:left w:val="single" w:color="auto" w:sz="4" w:space="0"/>
              <w:bottom w:val="single" w:color="000000" w:sz="4" w:space="0"/>
              <w:righ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sz w:val="18"/>
                <w:szCs w:val="18"/>
                <w:lang w:bidi="th-TH"/>
              </w:rPr>
            </w:pPr>
          </w:p>
        </w:tc>
        <w:tc>
          <w:tcPr>
            <w:tcW w:w="567" w:type="dxa"/>
            <w:gridSpan w:val="2"/>
            <w:vMerge w:val="continue"/>
            <w:tcBorders>
              <w:left w:val="single" w:color="auto" w:sz="4" w:space="0"/>
              <w:bottom w:val="single" w:color="000000" w:sz="4" w:space="0"/>
              <w:right w:val="single" w:color="000000" w:sz="4" w:space="0"/>
            </w:tcBorders>
            <w:noWrap w:val="0"/>
            <w:vAlign w:val="center"/>
          </w:tcPr>
          <w:p>
            <w:pPr>
              <w:pageBreakBefore w:val="0"/>
              <w:kinsoku/>
              <w:wordWrap/>
              <w:overflowPunct/>
              <w:topLinePunct w:val="0"/>
              <w:autoSpaceDE/>
              <w:autoSpaceDN/>
              <w:bidi w:val="0"/>
              <w:jc w:val="center"/>
              <w:outlineLvl w:val="9"/>
              <w:rPr>
                <w:rFonts w:hint="eastAsia" w:ascii="仿宋_GB2312" w:hAnsi="宋体" w:eastAsia="仿宋_GB2312" w:cs="宋体"/>
                <w:color w:val="000000"/>
                <w:sz w:val="24"/>
                <w:lang w:bidi="th-TH"/>
              </w:rPr>
            </w:pPr>
          </w:p>
        </w:tc>
      </w:tr>
      <w:tr>
        <w:tblPrEx>
          <w:tblLayout w:type="fixed"/>
          <w:tblCellMar>
            <w:top w:w="15" w:type="dxa"/>
            <w:left w:w="15" w:type="dxa"/>
            <w:bottom w:w="15" w:type="dxa"/>
            <w:right w:w="15" w:type="dxa"/>
          </w:tblCellMar>
        </w:tblPrEx>
        <w:trPr>
          <w:trHeight w:val="1696" w:hRule="atLeast"/>
        </w:trPr>
        <w:tc>
          <w:tcPr>
            <w:tcW w:w="14049" w:type="dxa"/>
            <w:gridSpan w:val="13"/>
            <w:tcBorders>
              <w:top w:val="single" w:color="000000" w:sz="4" w:space="0"/>
            </w:tcBorders>
            <w:noWrap w:val="0"/>
            <w:vAlign w:val="center"/>
          </w:tcPr>
          <w:p>
            <w:pPr>
              <w:pageBreakBefore w:val="0"/>
              <w:widowControl/>
              <w:kinsoku/>
              <w:wordWrap/>
              <w:overflowPunct/>
              <w:topLinePunct w:val="0"/>
              <w:autoSpaceDE/>
              <w:autoSpaceDN/>
              <w:bidi w:val="0"/>
              <w:jc w:val="left"/>
              <w:textAlignment w:val="center"/>
              <w:outlineLvl w:val="9"/>
              <w:rPr>
                <w:rFonts w:hint="eastAsia" w:ascii="仿宋_GB2312" w:hAnsi="宋体" w:eastAsia="仿宋_GB2312" w:cs="宋体"/>
                <w:kern w:val="0"/>
                <w:sz w:val="20"/>
                <w:szCs w:val="20"/>
                <w:lang w:bidi="ar"/>
              </w:rPr>
            </w:pPr>
            <w:r>
              <w:rPr>
                <w:rFonts w:hint="eastAsia" w:ascii="仿宋_GB2312" w:hAnsi="宋体" w:eastAsia="仿宋_GB2312" w:cs="宋体"/>
                <w:color w:val="000000"/>
                <w:kern w:val="0"/>
                <w:sz w:val="20"/>
                <w:szCs w:val="20"/>
                <w:lang w:bidi="ar"/>
              </w:rPr>
              <w:t>说明：1. 资产报废必须先填表并经相关部门批准通过后，方可由后勤与资产管理处统一办理政府报批手续，政府资产处置审批文件下达前由资产使用部门自行找地方放置并</w:t>
            </w:r>
            <w:r>
              <w:rPr>
                <w:rFonts w:hint="eastAsia" w:ascii="仿宋_GB2312" w:hAnsi="宋体" w:eastAsia="仿宋_GB2312" w:cs="宋体"/>
                <w:kern w:val="0"/>
                <w:sz w:val="20"/>
                <w:szCs w:val="20"/>
                <w:lang w:bidi="ar"/>
              </w:rPr>
              <w:t>保管好，不得随意丢弃处置，如有违反将通报批评并追究相关部门责任。</w:t>
            </w:r>
            <w:r>
              <w:rPr>
                <w:rFonts w:hint="eastAsia" w:ascii="仿宋_GB2312" w:hAnsi="宋体" w:eastAsia="仿宋_GB2312" w:cs="宋体"/>
                <w:kern w:val="0"/>
                <w:sz w:val="20"/>
                <w:szCs w:val="20"/>
                <w:lang w:bidi="ar"/>
              </w:rPr>
              <w:br w:type="textWrapping"/>
            </w:r>
            <w:r>
              <w:rPr>
                <w:rFonts w:hint="eastAsia" w:ascii="仿宋_GB2312" w:hAnsi="宋体" w:eastAsia="仿宋_GB2312" w:cs="宋体"/>
                <w:kern w:val="0"/>
                <w:sz w:val="20"/>
                <w:szCs w:val="20"/>
                <w:lang w:bidi="ar"/>
              </w:rPr>
              <w:t xml:space="preserve">      2. 使用部门负责填写表中的设备编号、资产名称、规格型号、单价（原值）、购置时间（年月）、报废（盘亏）原因（家具类报废的设备编号填“无”但需附上家具实物照片作为附件）；财务处负责填写财务资产编号、已折旧额、账面净值；后勤与资产管理处负责核对报废实物与表中使用部门所填信息是否一致。</w:t>
            </w:r>
            <w:r>
              <w:rPr>
                <w:rFonts w:hint="eastAsia" w:ascii="仿宋_GB2312" w:hAnsi="宋体" w:eastAsia="仿宋_GB2312" w:cs="宋体"/>
                <w:kern w:val="0"/>
                <w:sz w:val="20"/>
                <w:szCs w:val="20"/>
                <w:lang w:bidi="ar"/>
              </w:rPr>
              <w:br w:type="textWrapping"/>
            </w:r>
            <w:r>
              <w:rPr>
                <w:rFonts w:hint="eastAsia" w:ascii="仿宋_GB2312" w:hAnsi="宋体" w:eastAsia="仿宋_GB2312" w:cs="宋体"/>
                <w:kern w:val="0"/>
                <w:sz w:val="20"/>
                <w:szCs w:val="20"/>
                <w:lang w:bidi="ar"/>
              </w:rPr>
              <w:t xml:space="preserve">      3. 报废（盘亏）原因可按照实际情况填写：如已坏无维修价值、技术已过时无使用价值、已过规定使用年限无法正常使用、丢失（须有证实材料）等。</w:t>
            </w:r>
          </w:p>
          <w:p>
            <w:pPr>
              <w:pageBreakBefore w:val="0"/>
              <w:widowControl/>
              <w:kinsoku/>
              <w:wordWrap/>
              <w:overflowPunct/>
              <w:topLinePunct w:val="0"/>
              <w:autoSpaceDE/>
              <w:autoSpaceDN/>
              <w:bidi w:val="0"/>
              <w:ind w:left="600"/>
              <w:jc w:val="left"/>
              <w:textAlignment w:val="center"/>
              <w:outlineLvl w:val="9"/>
              <w:rPr>
                <w:rFonts w:hint="eastAsia" w:ascii="仿宋_GB2312" w:hAnsi="宋体" w:eastAsia="仿宋_GB2312" w:cs="宋体"/>
                <w:kern w:val="0"/>
                <w:sz w:val="20"/>
                <w:szCs w:val="20"/>
                <w:lang w:bidi="ar"/>
              </w:rPr>
            </w:pPr>
            <w:r>
              <w:rPr>
                <w:rFonts w:hint="eastAsia" w:ascii="仿宋_GB2312" w:hAnsi="宋体" w:eastAsia="仿宋_GB2312" w:cs="宋体"/>
                <w:kern w:val="0"/>
                <w:sz w:val="20"/>
                <w:szCs w:val="20"/>
                <w:lang w:bidi="ar"/>
              </w:rPr>
              <w:t>4. 按处置类型分别填报，一种类型一张表。</w:t>
            </w:r>
          </w:p>
          <w:p>
            <w:pPr>
              <w:pageBreakBefore w:val="0"/>
              <w:widowControl/>
              <w:kinsoku/>
              <w:wordWrap/>
              <w:overflowPunct/>
              <w:topLinePunct w:val="0"/>
              <w:autoSpaceDE/>
              <w:autoSpaceDN/>
              <w:bidi w:val="0"/>
              <w:ind w:firstLine="600" w:firstLineChars="300"/>
              <w:jc w:val="left"/>
              <w:textAlignment w:val="center"/>
              <w:outlineLvl w:val="9"/>
              <w:rPr>
                <w:rFonts w:hint="eastAsia" w:ascii="仿宋_GB2312" w:hAnsi="宋体" w:eastAsia="仿宋_GB2312" w:cs="宋体"/>
                <w:kern w:val="0"/>
                <w:sz w:val="20"/>
                <w:szCs w:val="20"/>
                <w:lang w:bidi="ar"/>
              </w:rPr>
            </w:pPr>
            <w:r>
              <w:rPr>
                <w:rFonts w:hint="eastAsia" w:ascii="仿宋_GB2312" w:hAnsi="宋体" w:eastAsia="仿宋_GB2312" w:cs="宋体"/>
                <w:kern w:val="0"/>
                <w:sz w:val="20"/>
                <w:szCs w:val="20"/>
                <w:lang w:bidi="ar"/>
              </w:rPr>
              <w:t>5.具体审批权限见附件4</w:t>
            </w:r>
          </w:p>
          <w:p>
            <w:pPr>
              <w:pageBreakBefore w:val="0"/>
              <w:widowControl/>
              <w:kinsoku/>
              <w:wordWrap/>
              <w:overflowPunct/>
              <w:topLinePunct w:val="0"/>
              <w:autoSpaceDE/>
              <w:autoSpaceDN/>
              <w:bidi w:val="0"/>
              <w:ind w:firstLine="600" w:firstLineChars="300"/>
              <w:jc w:val="left"/>
              <w:textAlignment w:val="center"/>
              <w:outlineLvl w:val="9"/>
              <w:rPr>
                <w:rFonts w:hint="eastAsia" w:ascii="仿宋_GB2312" w:hAnsi="宋体" w:eastAsia="仿宋_GB2312" w:cs="宋体"/>
                <w:color w:val="000000"/>
                <w:sz w:val="20"/>
                <w:szCs w:val="20"/>
                <w:lang w:bidi="th-TH"/>
              </w:rPr>
            </w:pPr>
            <w:r>
              <w:rPr>
                <w:rFonts w:hint="eastAsia" w:ascii="仿宋_GB2312" w:hAnsi="宋体" w:eastAsia="仿宋_GB2312" w:cs="宋体"/>
                <w:kern w:val="0"/>
                <w:sz w:val="20"/>
                <w:szCs w:val="20"/>
                <w:lang w:bidi="ar"/>
              </w:rPr>
              <w:t xml:space="preserve">     </w:t>
            </w:r>
            <w:r>
              <w:rPr>
                <w:rFonts w:hint="eastAsia" w:ascii="仿宋_GB2312" w:eastAsia="仿宋_GB2312"/>
              </w:rPr>
              <mc:AlternateContent>
                <mc:Choice Requires="wps">
                  <w:drawing>
                    <wp:anchor distT="0" distB="0" distL="114300" distR="114300" simplePos="0" relativeHeight="251911168" behindDoc="0" locked="0" layoutInCell="1" allowOverlap="1">
                      <wp:simplePos x="0" y="0"/>
                      <wp:positionH relativeFrom="column">
                        <wp:posOffset>917575</wp:posOffset>
                      </wp:positionH>
                      <wp:positionV relativeFrom="paragraph">
                        <wp:posOffset>6448425</wp:posOffset>
                      </wp:positionV>
                      <wp:extent cx="421640" cy="539750"/>
                      <wp:effectExtent l="0" t="0" r="16510" b="12700"/>
                      <wp:wrapNone/>
                      <wp:docPr id="52" name="文本框 5"/>
                      <wp:cNvGraphicFramePr/>
                      <a:graphic xmlns:a="http://schemas.openxmlformats.org/drawingml/2006/main">
                        <a:graphicData uri="http://schemas.microsoft.com/office/word/2010/wordprocessingShape">
                          <wps:wsp>
                            <wps:cNvSpPr txBox="1">
                              <a:spLocks noChangeArrowheads="1"/>
                            </wps:cNvSpPr>
                            <wps:spPr bwMode="auto">
                              <a:xfrm>
                                <a:off x="0" y="0"/>
                                <a:ext cx="421640" cy="539750"/>
                              </a:xfrm>
                              <a:prstGeom prst="rect">
                                <a:avLst/>
                              </a:prstGeom>
                              <a:solidFill>
                                <a:srgbClr val="FFFFFF"/>
                              </a:solidFill>
                              <a:ln>
                                <a:noFill/>
                              </a:ln>
                              <a:effectLst/>
                            </wps:spPr>
                            <wps:txbx>
                              <w:txbxContent>
                                <w:p>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17 -</w:t>
                                  </w:r>
                                  <w:r>
                                    <w:rPr>
                                      <w:rFonts w:ascii="宋体" w:hAnsi="宋体"/>
                                      <w:sz w:val="28"/>
                                      <w:szCs w:val="28"/>
                                    </w:rPr>
                                    <w:fldChar w:fldCharType="end"/>
                                  </w:r>
                                </w:p>
                              </w:txbxContent>
                            </wps:txbx>
                            <wps:bodyPr rot="0" vert="vert" wrap="square" lIns="91440" tIns="45720" rIns="91440" bIns="45720" anchor="t" anchorCtr="0" upright="1">
                              <a:spAutoFit/>
                            </wps:bodyPr>
                          </wps:wsp>
                        </a:graphicData>
                      </a:graphic>
                    </wp:anchor>
                  </w:drawing>
                </mc:Choice>
                <mc:Fallback>
                  <w:pict>
                    <v:shape id="文本框 5" o:spid="_x0000_s1026" o:spt="202" type="#_x0000_t202" style="position:absolute;left:0pt;margin-left:72.25pt;margin-top:507.75pt;height:42.5pt;width:33.2pt;z-index:251911168;mso-width-relative:page;mso-height-relative:page;" fillcolor="#FFFFFF" filled="t" stroked="f" coordsize="21600,21600" o:gfxdata="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dQsWbbAAAADQEAAA8AAAAA&#10;AAAAAQAgAAAAIgAAAGRycy9kb3ducmV2LnhtbFBLAQIUABQAAAAIAIdO4kBM0z2WEQIAAP4DAAAO&#10;AAAAAAAAAAEAIAAAACoBAABkcnMvZTJvRG9jLnhtbFBLBQYAAAAABgAGAFkBAACtBQAAAAA=&#10;">
                      <v:fill on="t" focussize="0,0"/>
                      <v:stroke on="f"/>
                      <v:imagedata o:title=""/>
                      <o:lock v:ext="edit" aspectratio="f"/>
                      <v:textbox style="layout-flow:vertical;mso-fit-shape-to-text:t;">
                        <w:txbxContent>
                          <w:p>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17 -</w:t>
                            </w:r>
                            <w:r>
                              <w:rPr>
                                <w:rFonts w:ascii="宋体" w:hAnsi="宋体"/>
                                <w:sz w:val="28"/>
                                <w:szCs w:val="28"/>
                              </w:rPr>
                              <w:fldChar w:fldCharType="end"/>
                            </w:r>
                          </w:p>
                        </w:txbxContent>
                      </v:textbox>
                    </v:shape>
                  </w:pict>
                </mc:Fallback>
              </mc:AlternateContent>
            </w:r>
          </w:p>
        </w:tc>
      </w:tr>
    </w:tbl>
    <w:p>
      <w:pPr>
        <w:pageBreakBefore w:val="0"/>
        <w:kinsoku/>
        <w:wordWrap/>
        <w:overflowPunct/>
        <w:topLinePunct w:val="0"/>
        <w:autoSpaceDE/>
        <w:autoSpaceDN/>
        <w:bidi w:val="0"/>
        <w:spacing w:line="620" w:lineRule="exact"/>
        <w:outlineLvl w:val="9"/>
        <w:rPr>
          <w:rFonts w:hint="eastAsia" w:ascii="仿宋" w:hAnsi="仿宋" w:eastAsia="仿宋" w:cs="仿宋"/>
          <w:b/>
          <w:sz w:val="32"/>
          <w:szCs w:val="32"/>
        </w:rPr>
      </w:pPr>
      <w:bookmarkStart w:id="1624" w:name="_Toc25075_WPSOffice_Level1"/>
      <w:r>
        <w:rPr>
          <w:rFonts w:hint="eastAsia" w:ascii="仿宋" w:hAnsi="仿宋" w:eastAsia="仿宋" w:cs="仿宋"/>
          <w:b/>
          <w:sz w:val="32"/>
          <w:szCs w:val="32"/>
        </w:rPr>
        <w:t>附件4：</w:t>
      </w:r>
      <w:bookmarkEnd w:id="1624"/>
      <w:r>
        <w:rPr>
          <w:rFonts w:hint="eastAsia" w:ascii="仿宋" w:hAnsi="仿宋" w:eastAsia="仿宋" w:cs="仿宋"/>
          <w:b/>
          <w:sz w:val="32"/>
          <w:szCs w:val="32"/>
        </w:rPr>
        <w:t xml:space="preserve"> </w:t>
      </w:r>
    </w:p>
    <w:p>
      <w:pPr>
        <w:pageBreakBefore w:val="0"/>
        <w:kinsoku/>
        <w:wordWrap/>
        <w:overflowPunct/>
        <w:topLinePunct w:val="0"/>
        <w:autoSpaceDE/>
        <w:autoSpaceDN/>
        <w:bidi w:val="0"/>
        <w:spacing w:line="620" w:lineRule="exact"/>
        <w:jc w:val="center"/>
        <w:outlineLvl w:val="9"/>
        <w:rPr>
          <w:rFonts w:eastAsia="方正小标宋简体"/>
          <w:color w:val="000000"/>
          <w:sz w:val="36"/>
          <w:szCs w:val="36"/>
        </w:rPr>
      </w:pPr>
      <w:r>
        <w:rPr>
          <w:rFonts w:hint="eastAsia" w:eastAsia="方正小标宋简体"/>
          <w:color w:val="000000"/>
          <w:sz w:val="36"/>
          <w:szCs w:val="36"/>
        </w:rPr>
        <w:t>固定资产处置审批权限</w:t>
      </w:r>
    </w:p>
    <w:p>
      <w:pPr>
        <w:pageBreakBefore w:val="0"/>
        <w:kinsoku/>
        <w:wordWrap/>
        <w:overflowPunct/>
        <w:topLinePunct w:val="0"/>
        <w:autoSpaceDE/>
        <w:autoSpaceDN/>
        <w:bidi w:val="0"/>
        <w:spacing w:line="280" w:lineRule="exact"/>
        <w:jc w:val="left"/>
        <w:outlineLvl w:val="9"/>
        <w:rPr>
          <w:rFonts w:hint="eastAsia" w:eastAsia="仿宋_GB2312"/>
          <w:b/>
          <w:sz w:val="36"/>
          <w:szCs w:val="36"/>
          <w:lang w:bidi="th-TH"/>
        </w:rPr>
      </w:pPr>
    </w:p>
    <w:tbl>
      <w:tblPr>
        <w:tblStyle w:val="14"/>
        <w:tblW w:w="13619" w:type="dxa"/>
        <w:tblInd w:w="0" w:type="dxa"/>
        <w:tblLayout w:type="fixed"/>
        <w:tblCellMar>
          <w:top w:w="0" w:type="dxa"/>
          <w:left w:w="0" w:type="dxa"/>
          <w:bottom w:w="0" w:type="dxa"/>
          <w:right w:w="0" w:type="dxa"/>
        </w:tblCellMar>
      </w:tblPr>
      <w:tblGrid>
        <w:gridCol w:w="2425"/>
        <w:gridCol w:w="3247"/>
        <w:gridCol w:w="2907"/>
        <w:gridCol w:w="1771"/>
        <w:gridCol w:w="3269"/>
      </w:tblGrid>
      <w:tr>
        <w:tblPrEx>
          <w:tblLayout w:type="fixed"/>
          <w:tblCellMar>
            <w:top w:w="0" w:type="dxa"/>
            <w:left w:w="0" w:type="dxa"/>
            <w:bottom w:w="0" w:type="dxa"/>
            <w:right w:w="0" w:type="dxa"/>
          </w:tblCellMar>
        </w:tblPrEx>
        <w:trPr>
          <w:trHeight w:val="1200" w:hRule="atLeast"/>
        </w:trPr>
        <w:tc>
          <w:tcPr>
            <w:tcW w:w="5672" w:type="dxa"/>
            <w:gridSpan w:val="2"/>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仿宋_GB2312" w:eastAsia="仿宋_GB2312"/>
                <w:sz w:val="24"/>
                <w:lang w:bidi="th-TH"/>
              </w:rPr>
            </w:pPr>
            <w:r>
              <w:rPr>
                <w:rFonts w:hint="eastAsia" w:ascii="仿宋_GB2312" w:eastAsia="仿宋_GB2312"/>
                <w:kern w:val="0"/>
                <w:sz w:val="24"/>
                <w:lang w:bidi="ar"/>
              </w:rPr>
              <w:t>处置类型</w:t>
            </w:r>
          </w:p>
        </w:tc>
        <w:tc>
          <w:tcPr>
            <w:tcW w:w="2907"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24"/>
                <w:lang w:bidi="th-TH"/>
              </w:rPr>
            </w:pPr>
            <w:r>
              <w:rPr>
                <w:rFonts w:hint="eastAsia" w:ascii="仿宋_GB2312" w:hAnsi="宋体" w:eastAsia="仿宋_GB2312" w:cs="宋体"/>
                <w:kern w:val="0"/>
                <w:sz w:val="24"/>
                <w:lang w:bidi="ar"/>
              </w:rPr>
              <w:t>学校审批权限</w:t>
            </w:r>
          </w:p>
        </w:tc>
        <w:tc>
          <w:tcPr>
            <w:tcW w:w="1771"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24"/>
                <w:lang w:bidi="th-TH"/>
              </w:rPr>
            </w:pPr>
            <w:r>
              <w:rPr>
                <w:rFonts w:hint="eastAsia" w:ascii="仿宋_GB2312" w:hAnsi="宋体" w:eastAsia="仿宋_GB2312" w:cs="宋体"/>
                <w:kern w:val="0"/>
                <w:sz w:val="24"/>
                <w:lang w:bidi="ar"/>
              </w:rPr>
              <w:t>是否需要报教育局复审后报财政局审批</w:t>
            </w:r>
          </w:p>
        </w:tc>
        <w:tc>
          <w:tcPr>
            <w:tcW w:w="3269"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仿宋_GB2312" w:eastAsia="仿宋_GB2312"/>
                <w:sz w:val="24"/>
                <w:lang w:bidi="th-TH"/>
              </w:rPr>
            </w:pPr>
            <w:r>
              <w:rPr>
                <w:rFonts w:hint="eastAsia" w:ascii="仿宋_GB2312" w:eastAsia="仿宋_GB2312"/>
                <w:kern w:val="0"/>
                <w:sz w:val="24"/>
                <w:lang w:bidi="ar"/>
              </w:rPr>
              <w:t>每半年批量处置权限</w:t>
            </w:r>
          </w:p>
        </w:tc>
      </w:tr>
      <w:tr>
        <w:tblPrEx>
          <w:tblLayout w:type="fixed"/>
          <w:tblCellMar>
            <w:top w:w="0" w:type="dxa"/>
            <w:left w:w="0" w:type="dxa"/>
            <w:bottom w:w="0" w:type="dxa"/>
            <w:right w:w="0" w:type="dxa"/>
          </w:tblCellMar>
        </w:tblPrEx>
        <w:trPr>
          <w:trHeight w:val="1648" w:hRule="atLeast"/>
        </w:trPr>
        <w:tc>
          <w:tcPr>
            <w:tcW w:w="2425"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宋体" w:hAnsi="宋体" w:cs="宋体"/>
                <w:sz w:val="22"/>
                <w:szCs w:val="22"/>
                <w:lang w:bidi="th-TH"/>
              </w:rPr>
            </w:pPr>
            <w:r>
              <w:rPr>
                <w:rFonts w:hint="eastAsia" w:ascii="宋体" w:hAnsi="宋体" w:cs="宋体"/>
                <w:kern w:val="0"/>
                <w:sz w:val="22"/>
                <w:szCs w:val="22"/>
                <w:lang w:bidi="ar"/>
              </w:rPr>
              <w:t>已达到规定使用年限并符合报废条件</w:t>
            </w:r>
          </w:p>
        </w:tc>
        <w:tc>
          <w:tcPr>
            <w:tcW w:w="3247"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仿宋_GB2312" w:eastAsia="仿宋_GB2312"/>
                <w:sz w:val="22"/>
                <w:szCs w:val="22"/>
                <w:lang w:bidi="th-TH"/>
              </w:rPr>
            </w:pPr>
            <w:r>
              <w:rPr>
                <w:rFonts w:hint="eastAsia" w:ascii="仿宋_GB2312" w:eastAsia="仿宋_GB2312"/>
                <w:kern w:val="0"/>
                <w:sz w:val="22"/>
                <w:szCs w:val="22"/>
                <w:lang w:bidi="ar"/>
              </w:rPr>
              <w:t>无论金额大小</w:t>
            </w:r>
          </w:p>
        </w:tc>
        <w:tc>
          <w:tcPr>
            <w:tcW w:w="2907"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仿宋_GB2312" w:eastAsia="仿宋_GB2312"/>
                <w:sz w:val="22"/>
                <w:szCs w:val="22"/>
                <w:lang w:bidi="th-TH"/>
              </w:rPr>
            </w:pPr>
            <w:r>
              <w:rPr>
                <w:rFonts w:hint="eastAsia" w:ascii="仿宋_GB2312" w:eastAsia="仿宋_GB2312"/>
                <w:kern w:val="0"/>
                <w:sz w:val="22"/>
                <w:szCs w:val="22"/>
                <w:lang w:bidi="ar"/>
              </w:rPr>
              <w:t>学校自主处置，由</w:t>
            </w:r>
            <w:r>
              <w:rPr>
                <w:rFonts w:hint="eastAsia" w:ascii="仿宋_GB2312" w:hAnsi="宋体" w:eastAsia="仿宋_GB2312" w:cs="宋体"/>
                <w:kern w:val="0"/>
                <w:sz w:val="22"/>
                <w:szCs w:val="22"/>
                <w:lang w:bidi="ar"/>
              </w:rPr>
              <w:t>归口管理部门、财务处、后勤与资产管理处审批；</w:t>
            </w:r>
            <w:r>
              <w:rPr>
                <w:rFonts w:hint="eastAsia" w:ascii="仿宋_GB2312" w:eastAsia="仿宋_GB2312"/>
                <w:kern w:val="0"/>
                <w:sz w:val="22"/>
                <w:szCs w:val="22"/>
                <w:lang w:bidi="ar"/>
              </w:rPr>
              <w:t>每半年向教育局、财政局备案一次</w:t>
            </w:r>
          </w:p>
        </w:tc>
        <w:tc>
          <w:tcPr>
            <w:tcW w:w="1771"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22"/>
                <w:szCs w:val="22"/>
                <w:lang w:bidi="th-TH"/>
              </w:rPr>
            </w:pPr>
            <w:r>
              <w:rPr>
                <w:rFonts w:hint="eastAsia" w:ascii="仿宋_GB2312" w:hAnsi="宋体" w:eastAsia="仿宋_GB2312" w:cs="宋体"/>
                <w:kern w:val="0"/>
                <w:sz w:val="22"/>
                <w:szCs w:val="22"/>
                <w:lang w:bidi="ar"/>
              </w:rPr>
              <w:t>否</w:t>
            </w:r>
          </w:p>
        </w:tc>
        <w:tc>
          <w:tcPr>
            <w:tcW w:w="3269"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仿宋_GB2312" w:eastAsia="仿宋_GB2312"/>
                <w:sz w:val="22"/>
                <w:szCs w:val="22"/>
                <w:lang w:bidi="th-TH"/>
              </w:rPr>
            </w:pPr>
            <w:r>
              <w:rPr>
                <w:rFonts w:hint="eastAsia" w:ascii="仿宋_GB2312" w:hAnsi="宋体" w:eastAsia="仿宋_GB2312" w:cs="宋体"/>
                <w:kern w:val="0"/>
                <w:sz w:val="22"/>
                <w:szCs w:val="22"/>
                <w:lang w:bidi="ar"/>
              </w:rPr>
              <w:t>资产处置原值批量金额≤</w:t>
            </w:r>
            <w:r>
              <w:rPr>
                <w:rFonts w:hint="eastAsia" w:ascii="仿宋_GB2312" w:eastAsia="仿宋_GB2312"/>
                <w:sz w:val="22"/>
                <w:szCs w:val="22"/>
                <w:lang w:bidi="ar"/>
              </w:rPr>
              <w:t>500</w:t>
            </w:r>
            <w:r>
              <w:rPr>
                <w:rFonts w:hint="eastAsia" w:ascii="仿宋_GB2312" w:hAnsi="宋体" w:eastAsia="仿宋_GB2312" w:cs="宋体"/>
                <w:kern w:val="0"/>
                <w:sz w:val="22"/>
                <w:szCs w:val="22"/>
                <w:lang w:bidi="ar"/>
              </w:rPr>
              <w:t>万元报校长办公会备案；资产处置原值批量金额&gt;</w:t>
            </w:r>
            <w:r>
              <w:rPr>
                <w:rFonts w:hint="eastAsia" w:ascii="仿宋_GB2312" w:eastAsia="仿宋_GB2312"/>
                <w:sz w:val="22"/>
                <w:szCs w:val="22"/>
                <w:lang w:bidi="ar"/>
              </w:rPr>
              <w:t>500</w:t>
            </w:r>
            <w:r>
              <w:rPr>
                <w:rFonts w:hint="eastAsia" w:ascii="仿宋_GB2312" w:hAnsi="宋体" w:eastAsia="仿宋_GB2312" w:cs="宋体"/>
                <w:kern w:val="0"/>
                <w:sz w:val="22"/>
                <w:szCs w:val="22"/>
                <w:lang w:bidi="ar"/>
              </w:rPr>
              <w:t>万元报党委会备案</w:t>
            </w:r>
          </w:p>
        </w:tc>
      </w:tr>
      <w:tr>
        <w:tblPrEx>
          <w:tblLayout w:type="fixed"/>
          <w:tblCellMar>
            <w:top w:w="0" w:type="dxa"/>
            <w:left w:w="0" w:type="dxa"/>
            <w:bottom w:w="0" w:type="dxa"/>
            <w:right w:w="0" w:type="dxa"/>
          </w:tblCellMar>
        </w:tblPrEx>
        <w:trPr>
          <w:trHeight w:val="2681" w:hRule="atLeast"/>
        </w:trPr>
        <w:tc>
          <w:tcPr>
            <w:tcW w:w="2425" w:type="dxa"/>
            <w:vMerge w:val="restart"/>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cs="宋体"/>
                <w:b/>
                <w:sz w:val="22"/>
                <w:szCs w:val="22"/>
                <w:lang w:bidi="th-TH"/>
              </w:rPr>
            </w:pPr>
            <w:r>
              <w:rPr>
                <w:rFonts w:ascii="宋体" w:hAnsi="宋体" w:cs="宋体"/>
                <w:b/>
                <w:sz w:val="22"/>
                <w:szCs w:val="22"/>
                <w:lang w:bidi="ar"/>
              </w:rPr>
              <w:t>未达到</w:t>
            </w:r>
            <w:r>
              <w:rPr>
                <w:rFonts w:hint="eastAsia" w:ascii="宋体" w:hAnsi="宋体" w:cs="宋体"/>
                <w:kern w:val="0"/>
                <w:sz w:val="22"/>
                <w:szCs w:val="22"/>
                <w:lang w:bidi="ar"/>
              </w:rPr>
              <w:t>规定使用年限及报废条件，需提前报废的</w:t>
            </w:r>
          </w:p>
        </w:tc>
        <w:tc>
          <w:tcPr>
            <w:tcW w:w="3247"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仿宋_GB2312" w:eastAsia="仿宋_GB2312"/>
                <w:sz w:val="22"/>
                <w:szCs w:val="22"/>
                <w:lang w:bidi="th-TH"/>
              </w:rPr>
            </w:pPr>
            <w:r>
              <w:rPr>
                <w:rFonts w:hint="eastAsia" w:ascii="仿宋_GB2312" w:hAnsi="宋体" w:eastAsia="仿宋_GB2312" w:cs="宋体"/>
                <w:kern w:val="0"/>
                <w:sz w:val="22"/>
                <w:szCs w:val="22"/>
                <w:lang w:bidi="ar"/>
              </w:rPr>
              <w:t>单位价值</w:t>
            </w:r>
            <w:r>
              <w:rPr>
                <w:rFonts w:hint="eastAsia" w:ascii="仿宋_GB2312" w:eastAsia="仿宋_GB2312"/>
                <w:sz w:val="22"/>
                <w:szCs w:val="22"/>
                <w:lang w:bidi="ar"/>
              </w:rPr>
              <w:t>&lt;100</w:t>
            </w:r>
            <w:r>
              <w:rPr>
                <w:rFonts w:hint="eastAsia" w:ascii="仿宋_GB2312" w:hAnsi="宋体" w:eastAsia="仿宋_GB2312" w:cs="宋体"/>
                <w:kern w:val="0"/>
                <w:sz w:val="22"/>
                <w:szCs w:val="22"/>
                <w:lang w:bidi="ar"/>
              </w:rPr>
              <w:t>万元专用设备、构筑物等；单位价值</w:t>
            </w:r>
            <w:r>
              <w:rPr>
                <w:rFonts w:hint="eastAsia" w:ascii="仿宋_GB2312" w:eastAsia="仿宋_GB2312"/>
                <w:sz w:val="22"/>
                <w:szCs w:val="22"/>
                <w:lang w:bidi="ar"/>
              </w:rPr>
              <w:t>&lt;10</w:t>
            </w:r>
            <w:r>
              <w:rPr>
                <w:rFonts w:hint="eastAsia" w:ascii="仿宋_GB2312" w:hAnsi="宋体" w:eastAsia="仿宋_GB2312" w:cs="宋体"/>
                <w:kern w:val="0"/>
                <w:sz w:val="22"/>
                <w:szCs w:val="22"/>
                <w:lang w:bidi="ar"/>
              </w:rPr>
              <w:t>万元通用设备、图书、家具等</w:t>
            </w:r>
          </w:p>
        </w:tc>
        <w:tc>
          <w:tcPr>
            <w:tcW w:w="2907"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仿宋_GB2312" w:hAnsi="宋体" w:eastAsia="仿宋_GB2312" w:cs="宋体"/>
                <w:sz w:val="22"/>
                <w:szCs w:val="22"/>
                <w:lang w:bidi="th-TH"/>
              </w:rPr>
            </w:pPr>
            <w:r>
              <w:rPr>
                <w:rFonts w:hint="eastAsia" w:ascii="仿宋_GB2312" w:hAnsi="宋体" w:eastAsia="仿宋_GB2312" w:cs="宋体"/>
                <w:kern w:val="0"/>
                <w:sz w:val="22"/>
                <w:szCs w:val="22"/>
                <w:lang w:bidi="ar"/>
              </w:rPr>
              <w:t>单次申请资产处置原值合计金额≤50万元的，由归口管理部门、财务处、后勤与资产管理处审批；单次申请资产处置原值合计金额&gt;50万元的，需要资产处置小组副组长审批</w:t>
            </w:r>
          </w:p>
        </w:tc>
        <w:tc>
          <w:tcPr>
            <w:tcW w:w="1771"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22"/>
                <w:szCs w:val="22"/>
                <w:lang w:bidi="th-TH"/>
              </w:rPr>
            </w:pPr>
            <w:r>
              <w:rPr>
                <w:rFonts w:hint="eastAsia" w:ascii="仿宋_GB2312" w:hAnsi="宋体" w:eastAsia="仿宋_GB2312" w:cs="宋体"/>
                <w:kern w:val="0"/>
                <w:sz w:val="22"/>
                <w:szCs w:val="22"/>
                <w:lang w:bidi="ar"/>
              </w:rPr>
              <w:t>否</w:t>
            </w:r>
          </w:p>
        </w:tc>
        <w:tc>
          <w:tcPr>
            <w:tcW w:w="3269"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仿宋_GB2312" w:eastAsia="仿宋_GB2312"/>
                <w:sz w:val="22"/>
                <w:szCs w:val="22"/>
                <w:lang w:bidi="th-TH"/>
              </w:rPr>
            </w:pPr>
            <w:r>
              <w:rPr>
                <w:rFonts w:hint="eastAsia" w:ascii="仿宋_GB2312" w:hAnsi="宋体" w:eastAsia="仿宋_GB2312" w:cs="宋体"/>
                <w:kern w:val="0"/>
                <w:sz w:val="22"/>
                <w:szCs w:val="22"/>
                <w:lang w:bidi="ar"/>
              </w:rPr>
              <w:t>资产处置原值批量金额≥</w:t>
            </w:r>
            <w:r>
              <w:rPr>
                <w:rFonts w:hint="eastAsia" w:ascii="仿宋_GB2312" w:eastAsia="仿宋_GB2312"/>
                <w:sz w:val="22"/>
                <w:szCs w:val="22"/>
                <w:lang w:bidi="ar"/>
              </w:rPr>
              <w:t>100</w:t>
            </w:r>
            <w:r>
              <w:rPr>
                <w:rFonts w:hint="eastAsia" w:ascii="仿宋_GB2312" w:hAnsi="宋体" w:eastAsia="仿宋_GB2312" w:cs="宋体"/>
                <w:kern w:val="0"/>
                <w:sz w:val="22"/>
                <w:szCs w:val="22"/>
                <w:lang w:bidi="ar"/>
              </w:rPr>
              <w:t>万元报校长办公会审批同意后向党委会报告</w:t>
            </w:r>
          </w:p>
        </w:tc>
      </w:tr>
      <w:tr>
        <w:tblPrEx>
          <w:tblLayout w:type="fixed"/>
          <w:tblCellMar>
            <w:top w:w="0" w:type="dxa"/>
            <w:left w:w="0" w:type="dxa"/>
            <w:bottom w:w="0" w:type="dxa"/>
            <w:right w:w="0" w:type="dxa"/>
          </w:tblCellMar>
        </w:tblPrEx>
        <w:trPr>
          <w:trHeight w:val="1749" w:hRule="atLeast"/>
        </w:trPr>
        <w:tc>
          <w:tcPr>
            <w:tcW w:w="2425" w:type="dxa"/>
            <w:vMerge w:val="continue"/>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cs="宋体"/>
                <w:b/>
                <w:sz w:val="22"/>
                <w:szCs w:val="22"/>
                <w:lang w:bidi="th-TH"/>
              </w:rPr>
            </w:pPr>
          </w:p>
        </w:tc>
        <w:tc>
          <w:tcPr>
            <w:tcW w:w="3247"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仿宋_GB2312" w:eastAsia="仿宋_GB2312"/>
                <w:sz w:val="22"/>
                <w:szCs w:val="22"/>
                <w:lang w:bidi="th-TH"/>
              </w:rPr>
            </w:pPr>
            <w:r>
              <w:rPr>
                <w:rFonts w:hint="eastAsia" w:ascii="仿宋_GB2312" w:hAnsi="宋体" w:eastAsia="仿宋_GB2312" w:cs="宋体"/>
                <w:kern w:val="0"/>
                <w:sz w:val="22"/>
                <w:szCs w:val="22"/>
                <w:lang w:bidi="ar"/>
              </w:rPr>
              <w:t>单位价值≥</w:t>
            </w:r>
            <w:r>
              <w:rPr>
                <w:rFonts w:hint="eastAsia" w:ascii="仿宋_GB2312" w:eastAsia="仿宋_GB2312"/>
                <w:sz w:val="22"/>
                <w:szCs w:val="22"/>
                <w:lang w:bidi="ar"/>
              </w:rPr>
              <w:t>100</w:t>
            </w:r>
            <w:r>
              <w:rPr>
                <w:rFonts w:hint="eastAsia" w:ascii="仿宋_GB2312" w:hAnsi="宋体" w:eastAsia="仿宋_GB2312" w:cs="宋体"/>
                <w:kern w:val="0"/>
                <w:sz w:val="22"/>
                <w:szCs w:val="22"/>
                <w:lang w:bidi="ar"/>
              </w:rPr>
              <w:t>万元专用设备、构筑物；</w:t>
            </w:r>
            <w:r>
              <w:rPr>
                <w:rFonts w:hint="eastAsia" w:ascii="仿宋_GB2312" w:hAnsi="宋体" w:eastAsia="仿宋_GB2312" w:cs="宋体"/>
                <w:sz w:val="24"/>
                <w:lang w:bidi="ar"/>
              </w:rPr>
              <w:t>单位价值≥</w:t>
            </w:r>
            <w:r>
              <w:rPr>
                <w:rFonts w:hint="eastAsia" w:ascii="仿宋_GB2312" w:eastAsia="仿宋_GB2312"/>
                <w:sz w:val="24"/>
                <w:lang w:bidi="ar"/>
              </w:rPr>
              <w:t>10</w:t>
            </w:r>
            <w:r>
              <w:rPr>
                <w:rFonts w:hint="eastAsia" w:ascii="仿宋_GB2312" w:hAnsi="宋体" w:eastAsia="仿宋_GB2312" w:cs="宋体"/>
                <w:sz w:val="24"/>
                <w:lang w:bidi="ar"/>
              </w:rPr>
              <w:t>万元通用设备、图书、家具等</w:t>
            </w:r>
          </w:p>
        </w:tc>
        <w:tc>
          <w:tcPr>
            <w:tcW w:w="2907"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仿宋_GB2312" w:hAnsi="宋体" w:eastAsia="仿宋_GB2312" w:cs="宋体"/>
                <w:sz w:val="22"/>
                <w:szCs w:val="22"/>
                <w:lang w:bidi="th-TH"/>
              </w:rPr>
            </w:pPr>
            <w:r>
              <w:rPr>
                <w:rFonts w:hint="eastAsia" w:ascii="仿宋_GB2312" w:hAnsi="宋体" w:eastAsia="仿宋_GB2312" w:cs="宋体"/>
                <w:kern w:val="0"/>
                <w:sz w:val="22"/>
                <w:szCs w:val="22"/>
                <w:lang w:bidi="ar"/>
              </w:rPr>
              <w:t>无论金额大小，需要资产处置小组副组长、组长审批</w:t>
            </w:r>
          </w:p>
        </w:tc>
        <w:tc>
          <w:tcPr>
            <w:tcW w:w="1771"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仿宋_GB2312" w:hAnsi="宋体" w:eastAsia="仿宋_GB2312" w:cs="宋体"/>
                <w:sz w:val="22"/>
                <w:szCs w:val="22"/>
                <w:lang w:bidi="th-TH"/>
              </w:rPr>
            </w:pPr>
            <w:r>
              <w:rPr>
                <w:rFonts w:hint="eastAsia" w:ascii="仿宋_GB2312" w:hAnsi="宋体" w:eastAsia="仿宋_GB2312" w:cs="宋体"/>
                <w:kern w:val="0"/>
                <w:sz w:val="22"/>
                <w:szCs w:val="22"/>
                <w:lang w:bidi="ar"/>
              </w:rPr>
              <w:t>是</w:t>
            </w:r>
          </w:p>
        </w:tc>
        <w:tc>
          <w:tcPr>
            <w:tcW w:w="3269" w:type="dxa"/>
            <w:tcBorders>
              <w:top w:val="nil"/>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仿宋_GB2312" w:eastAsia="仿宋_GB2312"/>
                <w:sz w:val="22"/>
                <w:szCs w:val="22"/>
                <w:lang w:bidi="th-TH"/>
              </w:rPr>
            </w:pPr>
            <w:r>
              <w:rPr>
                <w:rFonts w:hint="eastAsia" w:ascii="仿宋_GB2312" w:hAnsi="宋体" w:eastAsia="仿宋_GB2312" w:cs="宋体"/>
                <w:kern w:val="0"/>
                <w:sz w:val="22"/>
                <w:szCs w:val="22"/>
                <w:lang w:bidi="ar"/>
              </w:rPr>
              <w:t>资产处置原值批量金额≥</w:t>
            </w:r>
            <w:r>
              <w:rPr>
                <w:rFonts w:hint="eastAsia" w:ascii="仿宋_GB2312" w:eastAsia="仿宋_GB2312"/>
                <w:sz w:val="22"/>
                <w:szCs w:val="22"/>
                <w:lang w:bidi="ar"/>
              </w:rPr>
              <w:t>100</w:t>
            </w:r>
            <w:r>
              <w:rPr>
                <w:rFonts w:hint="eastAsia" w:ascii="仿宋_GB2312" w:hAnsi="宋体" w:eastAsia="仿宋_GB2312" w:cs="宋体"/>
                <w:kern w:val="0"/>
                <w:sz w:val="22"/>
                <w:szCs w:val="22"/>
                <w:lang w:bidi="ar"/>
              </w:rPr>
              <w:t>万元报校长办公会审批同意后向党委会报告</w:t>
            </w:r>
          </w:p>
        </w:tc>
      </w:tr>
    </w:tbl>
    <w:p>
      <w:pPr>
        <w:pageBreakBefore w:val="0"/>
        <w:kinsoku/>
        <w:wordWrap/>
        <w:overflowPunct/>
        <w:topLinePunct w:val="0"/>
        <w:autoSpaceDE/>
        <w:autoSpaceDN/>
        <w:bidi w:val="0"/>
        <w:spacing w:line="620" w:lineRule="exact"/>
        <w:outlineLvl w:val="9"/>
        <w:rPr>
          <w:rFonts w:hint="eastAsia" w:ascii="仿宋" w:hAnsi="仿宋" w:eastAsia="仿宋" w:cs="仿宋"/>
          <w:b/>
          <w:sz w:val="32"/>
          <w:szCs w:val="32"/>
        </w:rPr>
      </w:pPr>
      <w:bookmarkStart w:id="1625" w:name="_Toc21629_WPSOffice_Level1"/>
      <w:r>
        <w:rPr>
          <w:rFonts w:hint="eastAsia" w:ascii="仿宋" w:hAnsi="仿宋" w:eastAsia="仿宋" w:cs="仿宋"/>
          <w:b/>
          <w:sz w:val="32"/>
          <w:szCs w:val="32"/>
        </w:rPr>
        <w:t>附件5：</w:t>
      </w:r>
      <w:bookmarkEnd w:id="1625"/>
    </w:p>
    <w:p>
      <w:pPr>
        <w:pageBreakBefore w:val="0"/>
        <w:kinsoku/>
        <w:wordWrap/>
        <w:overflowPunct/>
        <w:topLinePunct w:val="0"/>
        <w:autoSpaceDE/>
        <w:autoSpaceDN/>
        <w:bidi w:val="0"/>
        <w:spacing w:line="620" w:lineRule="exact"/>
        <w:jc w:val="center"/>
        <w:outlineLvl w:val="9"/>
        <w:rPr>
          <w:rFonts w:hint="eastAsia" w:eastAsia="方正小标宋简体"/>
          <w:color w:val="000000"/>
          <w:sz w:val="36"/>
          <w:szCs w:val="36"/>
        </w:rPr>
      </w:pPr>
      <w:r>
        <w:rPr>
          <w:rFonts w:hint="eastAsia" w:eastAsia="方正小标宋简体"/>
          <w:color w:val="000000"/>
          <w:sz w:val="36"/>
          <w:szCs w:val="36"/>
        </w:rPr>
        <w:t>柳州市本级行政事业单位固定资产处置申请表</w:t>
      </w:r>
    </w:p>
    <w:p>
      <w:pPr>
        <w:pageBreakBefore w:val="0"/>
        <w:kinsoku/>
        <w:wordWrap/>
        <w:overflowPunct/>
        <w:topLinePunct w:val="0"/>
        <w:autoSpaceDE/>
        <w:autoSpaceDN/>
        <w:bidi w:val="0"/>
        <w:spacing w:line="620" w:lineRule="exact"/>
        <w:jc w:val="left"/>
        <w:outlineLvl w:val="9"/>
        <w:rPr>
          <w:rFonts w:hint="eastAsia" w:ascii="仿宋_GB2312" w:eastAsia="仿宋_GB2312"/>
          <w:sz w:val="24"/>
          <w:lang w:bidi="th-TH"/>
        </w:rPr>
      </w:pPr>
      <w:r>
        <w:rPr>
          <w:rFonts w:hint="eastAsia" w:ascii="仿宋_GB2312" w:eastAsia="仿宋_GB2312"/>
          <w:sz w:val="24"/>
          <w:lang w:bidi="th-TH"/>
        </w:rPr>
        <w:t>申请单位（公章）：                            申报时间：      年   月   日                              金额单位：元</w:t>
      </w:r>
    </w:p>
    <w:tbl>
      <w:tblPr>
        <w:tblStyle w:val="14"/>
        <w:tblW w:w="142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2025"/>
        <w:gridCol w:w="1508"/>
        <w:gridCol w:w="720"/>
        <w:gridCol w:w="992"/>
        <w:gridCol w:w="1559"/>
        <w:gridCol w:w="1370"/>
        <w:gridCol w:w="1370"/>
        <w:gridCol w:w="1371"/>
        <w:gridCol w:w="1243"/>
        <w:gridCol w:w="12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817" w:type="dxa"/>
            <w:vMerge w:val="restart"/>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序号</w:t>
            </w:r>
          </w:p>
        </w:tc>
        <w:tc>
          <w:tcPr>
            <w:tcW w:w="2025" w:type="dxa"/>
            <w:vMerge w:val="restart"/>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资产名称</w:t>
            </w:r>
          </w:p>
        </w:tc>
        <w:tc>
          <w:tcPr>
            <w:tcW w:w="1508" w:type="dxa"/>
            <w:vMerge w:val="restart"/>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规格型号</w:t>
            </w:r>
          </w:p>
        </w:tc>
        <w:tc>
          <w:tcPr>
            <w:tcW w:w="720" w:type="dxa"/>
            <w:vMerge w:val="restart"/>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计量单位</w:t>
            </w:r>
          </w:p>
        </w:tc>
        <w:tc>
          <w:tcPr>
            <w:tcW w:w="992" w:type="dxa"/>
            <w:vMerge w:val="restart"/>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数量</w:t>
            </w:r>
          </w:p>
        </w:tc>
        <w:tc>
          <w:tcPr>
            <w:tcW w:w="1559" w:type="dxa"/>
            <w:vMerge w:val="restart"/>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购置时间</w:t>
            </w:r>
          </w:p>
        </w:tc>
        <w:tc>
          <w:tcPr>
            <w:tcW w:w="4111" w:type="dxa"/>
            <w:gridSpan w:val="3"/>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价    值</w:t>
            </w:r>
          </w:p>
        </w:tc>
        <w:tc>
          <w:tcPr>
            <w:tcW w:w="1243" w:type="dxa"/>
            <w:vMerge w:val="restart"/>
            <w:tcBorders>
              <w:righ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处置形式</w:t>
            </w:r>
          </w:p>
        </w:tc>
        <w:tc>
          <w:tcPr>
            <w:tcW w:w="1243" w:type="dxa"/>
            <w:vMerge w:val="restart"/>
            <w:tcBorders>
              <w:lef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处置原因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817" w:type="dxa"/>
            <w:vMerge w:val="continue"/>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2025" w:type="dxa"/>
            <w:vMerge w:val="continue"/>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508" w:type="dxa"/>
            <w:vMerge w:val="continue"/>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720" w:type="dxa"/>
            <w:vMerge w:val="continue"/>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992" w:type="dxa"/>
            <w:vMerge w:val="continue"/>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559" w:type="dxa"/>
            <w:vMerge w:val="continue"/>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370" w:type="dxa"/>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账面原值</w:t>
            </w:r>
          </w:p>
        </w:tc>
        <w:tc>
          <w:tcPr>
            <w:tcW w:w="1370" w:type="dxa"/>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已折旧额</w:t>
            </w:r>
          </w:p>
        </w:tc>
        <w:tc>
          <w:tcPr>
            <w:tcW w:w="1371" w:type="dxa"/>
            <w:noWrap w:val="0"/>
            <w:vAlign w:val="center"/>
          </w:tcPr>
          <w:p>
            <w:pPr>
              <w:pageBreakBefore w:val="0"/>
              <w:kinsoku/>
              <w:wordWrap/>
              <w:overflowPunct/>
              <w:topLinePunct w:val="0"/>
              <w:autoSpaceDE/>
              <w:autoSpaceDN/>
              <w:bidi w:val="0"/>
              <w:jc w:val="center"/>
              <w:outlineLvl w:val="9"/>
              <w:rPr>
                <w:rFonts w:hint="eastAsia" w:ascii="仿宋_GB2312" w:hAnsi="黑体" w:eastAsia="仿宋_GB2312"/>
                <w:sz w:val="24"/>
                <w:lang w:bidi="th-TH"/>
              </w:rPr>
            </w:pPr>
            <w:r>
              <w:rPr>
                <w:rFonts w:hint="eastAsia" w:ascii="仿宋_GB2312" w:hAnsi="黑体" w:eastAsia="仿宋_GB2312"/>
                <w:sz w:val="24"/>
                <w:lang w:bidi="th-TH"/>
              </w:rPr>
              <w:t>账面净值</w:t>
            </w:r>
          </w:p>
        </w:tc>
        <w:tc>
          <w:tcPr>
            <w:tcW w:w="1243" w:type="dxa"/>
            <w:vMerge w:val="continue"/>
            <w:tcBorders>
              <w:righ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243" w:type="dxa"/>
            <w:vMerge w:val="continue"/>
            <w:tcBorders>
              <w:lef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2025" w:type="dxa"/>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508" w:type="dxa"/>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720" w:type="dxa"/>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992" w:type="dxa"/>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559" w:type="dxa"/>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370" w:type="dxa"/>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370" w:type="dxa"/>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371" w:type="dxa"/>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243" w:type="dxa"/>
            <w:tcBorders>
              <w:righ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c>
          <w:tcPr>
            <w:tcW w:w="1243" w:type="dxa"/>
            <w:tcBorders>
              <w:left w:val="single" w:color="auto" w:sz="4" w:space="0"/>
            </w:tcBorders>
            <w:noWrap w:val="0"/>
            <w:vAlign w:val="center"/>
          </w:tcPr>
          <w:p>
            <w:pPr>
              <w:pageBreakBefore w:val="0"/>
              <w:kinsoku/>
              <w:wordWrap/>
              <w:overflowPunct/>
              <w:topLinePunct w:val="0"/>
              <w:autoSpaceDE/>
              <w:autoSpaceDN/>
              <w:bidi w:val="0"/>
              <w:jc w:val="center"/>
              <w:outlineLvl w:val="9"/>
              <w:rPr>
                <w:rFonts w:hint="eastAsia" w:ascii="仿宋_GB2312" w:eastAsia="仿宋_GB2312"/>
                <w:sz w:val="24"/>
                <w:lang w:bidi="th-TH"/>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2025"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508"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72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992"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559"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37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37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371"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243" w:type="dxa"/>
            <w:tcBorders>
              <w:right w:val="single" w:color="auto" w:sz="4" w:space="0"/>
            </w:tcBorders>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243" w:type="dxa"/>
            <w:tcBorders>
              <w:left w:val="single" w:color="auto" w:sz="4" w:space="0"/>
            </w:tcBorders>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2025"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508"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72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992"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559"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37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37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371"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243" w:type="dxa"/>
            <w:tcBorders>
              <w:right w:val="single" w:color="auto" w:sz="4" w:space="0"/>
            </w:tcBorders>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243" w:type="dxa"/>
            <w:tcBorders>
              <w:left w:val="single" w:color="auto" w:sz="4" w:space="0"/>
            </w:tcBorders>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2025"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508"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72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992"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559"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37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37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371"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243" w:type="dxa"/>
            <w:tcBorders>
              <w:right w:val="single" w:color="auto" w:sz="4" w:space="0"/>
            </w:tcBorders>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c>
          <w:tcPr>
            <w:tcW w:w="1243" w:type="dxa"/>
            <w:tcBorders>
              <w:left w:val="single" w:color="auto" w:sz="4" w:space="0"/>
            </w:tcBorders>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eastAsia="仿宋_GB2312"/>
                <w:sz w:val="24"/>
                <w:lang w:bidi="th-TH"/>
              </w:rPr>
            </w:pPr>
            <w:r>
              <w:rPr>
                <w:rFonts w:hint="eastAsia" w:ascii="仿宋_GB2312" w:eastAsia="仿宋_GB2312"/>
                <w:sz w:val="24"/>
                <w:lang w:bidi="th-TH"/>
              </w:rPr>
              <w:t>申请单位意见</w:t>
            </w:r>
          </w:p>
        </w:tc>
        <w:tc>
          <w:tcPr>
            <w:tcW w:w="3533" w:type="dxa"/>
            <w:gridSpan w:val="2"/>
            <w:tcBorders>
              <w:right w:val="single" w:color="auto" w:sz="4" w:space="0"/>
            </w:tcBorders>
            <w:noWrap w:val="0"/>
            <w:vAlign w:val="bottom"/>
          </w:tcPr>
          <w:p>
            <w:pPr>
              <w:pageBreakBefore w:val="0"/>
              <w:kinsoku/>
              <w:wordWrap/>
              <w:overflowPunct/>
              <w:topLinePunct w:val="0"/>
              <w:autoSpaceDE/>
              <w:autoSpaceDN/>
              <w:bidi w:val="0"/>
              <w:spacing w:line="400" w:lineRule="exact"/>
              <w:outlineLvl w:val="9"/>
              <w:rPr>
                <w:rFonts w:hint="eastAsia" w:ascii="仿宋_GB2312" w:eastAsia="仿宋_GB2312"/>
                <w:sz w:val="24"/>
                <w:lang w:bidi="th-TH"/>
              </w:rPr>
            </w:pPr>
            <w:r>
              <w:rPr>
                <w:rFonts w:hint="eastAsia" w:ascii="仿宋_GB2312" w:eastAsia="仿宋_GB2312"/>
                <w:sz w:val="24"/>
                <w:lang w:bidi="th-TH"/>
              </w:rPr>
              <w:t>财务负责人：</w:t>
            </w:r>
          </w:p>
        </w:tc>
        <w:tc>
          <w:tcPr>
            <w:tcW w:w="3271" w:type="dxa"/>
            <w:gridSpan w:val="3"/>
            <w:tcBorders>
              <w:left w:val="single" w:color="auto" w:sz="4" w:space="0"/>
            </w:tcBorders>
            <w:noWrap w:val="0"/>
            <w:vAlign w:val="bottom"/>
          </w:tcPr>
          <w:p>
            <w:pPr>
              <w:pageBreakBefore w:val="0"/>
              <w:kinsoku/>
              <w:wordWrap/>
              <w:overflowPunct/>
              <w:topLinePunct w:val="0"/>
              <w:autoSpaceDE/>
              <w:autoSpaceDN/>
              <w:bidi w:val="0"/>
              <w:spacing w:line="400" w:lineRule="exact"/>
              <w:outlineLvl w:val="9"/>
              <w:rPr>
                <w:rFonts w:hint="eastAsia" w:ascii="仿宋_GB2312" w:eastAsia="仿宋_GB2312"/>
                <w:sz w:val="24"/>
                <w:lang w:bidi="th-TH"/>
              </w:rPr>
            </w:pPr>
          </w:p>
          <w:p>
            <w:pPr>
              <w:pageBreakBefore w:val="0"/>
              <w:kinsoku/>
              <w:wordWrap/>
              <w:overflowPunct/>
              <w:topLinePunct w:val="0"/>
              <w:autoSpaceDE/>
              <w:autoSpaceDN/>
              <w:bidi w:val="0"/>
              <w:spacing w:line="400" w:lineRule="exact"/>
              <w:outlineLvl w:val="9"/>
              <w:rPr>
                <w:rFonts w:hint="eastAsia" w:ascii="仿宋_GB2312" w:eastAsia="仿宋_GB2312"/>
                <w:sz w:val="24"/>
                <w:lang w:bidi="th-TH"/>
              </w:rPr>
            </w:pPr>
            <w:r>
              <w:rPr>
                <w:rFonts w:hint="eastAsia" w:ascii="仿宋_GB2312" w:eastAsia="仿宋_GB2312"/>
                <w:sz w:val="24"/>
                <w:lang w:bidi="th-TH"/>
              </w:rPr>
              <w:t>后勤与资产管理处</w:t>
            </w:r>
          </w:p>
          <w:p>
            <w:pPr>
              <w:pageBreakBefore w:val="0"/>
              <w:kinsoku/>
              <w:wordWrap/>
              <w:overflowPunct/>
              <w:topLinePunct w:val="0"/>
              <w:autoSpaceDE/>
              <w:autoSpaceDN/>
              <w:bidi w:val="0"/>
              <w:spacing w:line="400" w:lineRule="exact"/>
              <w:outlineLvl w:val="9"/>
              <w:rPr>
                <w:rFonts w:hint="eastAsia" w:ascii="仿宋_GB2312" w:eastAsia="仿宋_GB2312"/>
                <w:sz w:val="24"/>
                <w:lang w:bidi="th-TH"/>
              </w:rPr>
            </w:pPr>
            <w:r>
              <w:rPr>
                <w:rFonts w:hint="eastAsia" w:ascii="仿宋_GB2312" w:eastAsia="仿宋_GB2312"/>
                <w:sz w:val="24"/>
                <w:lang w:bidi="th-TH"/>
              </w:rPr>
              <w:t>负责人：</w:t>
            </w:r>
          </w:p>
        </w:tc>
        <w:tc>
          <w:tcPr>
            <w:tcW w:w="6597" w:type="dxa"/>
            <w:gridSpan w:val="5"/>
            <w:noWrap w:val="0"/>
            <w:vAlign w:val="bottom"/>
          </w:tcPr>
          <w:p>
            <w:pPr>
              <w:pageBreakBefore w:val="0"/>
              <w:kinsoku/>
              <w:wordWrap/>
              <w:overflowPunct/>
              <w:topLinePunct w:val="0"/>
              <w:autoSpaceDE/>
              <w:autoSpaceDN/>
              <w:bidi w:val="0"/>
              <w:spacing w:line="400" w:lineRule="exact"/>
              <w:outlineLvl w:val="9"/>
              <w:rPr>
                <w:rFonts w:hint="eastAsia" w:ascii="仿宋_GB2312" w:eastAsia="仿宋_GB2312"/>
                <w:sz w:val="24"/>
                <w:lang w:bidi="th-TH"/>
              </w:rPr>
            </w:pPr>
            <w:r>
              <w:rPr>
                <w:rFonts w:hint="eastAsia" w:ascii="仿宋_GB2312" w:eastAsia="仿宋_GB2312"/>
                <w:sz w:val="24"/>
                <w:lang w:bidi="th-TH"/>
              </w:rPr>
              <w:t>单位负责人：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pageBreakBefore w:val="0"/>
              <w:kinsoku/>
              <w:wordWrap/>
              <w:overflowPunct/>
              <w:topLinePunct w:val="0"/>
              <w:autoSpaceDE/>
              <w:autoSpaceDN/>
              <w:bidi w:val="0"/>
              <w:spacing w:line="360" w:lineRule="exact"/>
              <w:jc w:val="center"/>
              <w:outlineLvl w:val="9"/>
              <w:rPr>
                <w:rFonts w:hint="eastAsia" w:ascii="仿宋_GB2312" w:eastAsia="仿宋_GB2312"/>
                <w:sz w:val="24"/>
                <w:lang w:bidi="th-TH"/>
              </w:rPr>
            </w:pPr>
            <w:r>
              <w:rPr>
                <w:rFonts w:hint="eastAsia" w:ascii="仿宋_GB2312" w:eastAsia="仿宋_GB2312"/>
                <w:sz w:val="24"/>
                <w:lang w:bidi="th-TH"/>
              </w:rPr>
              <w:t>主管部门审核意见</w:t>
            </w:r>
          </w:p>
        </w:tc>
        <w:tc>
          <w:tcPr>
            <w:tcW w:w="13401" w:type="dxa"/>
            <w:gridSpan w:val="10"/>
            <w:noWrap w:val="0"/>
            <w:vAlign w:val="bottom"/>
          </w:tcPr>
          <w:p>
            <w:pPr>
              <w:pageBreakBefore w:val="0"/>
              <w:kinsoku/>
              <w:wordWrap/>
              <w:overflowPunct/>
              <w:topLinePunct w:val="0"/>
              <w:autoSpaceDE/>
              <w:autoSpaceDN/>
              <w:bidi w:val="0"/>
              <w:spacing w:line="400" w:lineRule="exact"/>
              <w:outlineLvl w:val="9"/>
              <w:rPr>
                <w:rFonts w:hint="eastAsia" w:ascii="仿宋_GB2312" w:eastAsia="仿宋_GB2312"/>
                <w:sz w:val="24"/>
                <w:lang w:bidi="th-TH"/>
              </w:rPr>
            </w:pPr>
            <w:r>
              <w:rPr>
                <w:rFonts w:hint="eastAsia" w:ascii="仿宋_GB2312" w:eastAsia="仿宋_GB2312"/>
                <w:sz w:val="24"/>
                <w:lang w:bidi="th-TH"/>
              </w:rPr>
              <w:t>（公章）：</w:t>
            </w:r>
          </w:p>
        </w:tc>
      </w:tr>
    </w:tbl>
    <w:p>
      <w:pPr>
        <w:pageBreakBefore w:val="0"/>
        <w:kinsoku/>
        <w:wordWrap/>
        <w:overflowPunct/>
        <w:topLinePunct w:val="0"/>
        <w:autoSpaceDE/>
        <w:autoSpaceDN/>
        <w:bidi w:val="0"/>
        <w:spacing w:line="400" w:lineRule="exact"/>
        <w:jc w:val="left"/>
        <w:outlineLvl w:val="9"/>
        <w:rPr>
          <w:rFonts w:hint="eastAsia" w:ascii="仿宋_GB2312" w:eastAsia="仿宋_GB2312"/>
          <w:sz w:val="24"/>
          <w:lang w:bidi="th-TH"/>
        </w:rPr>
      </w:pPr>
      <w:r>
        <w:rPr>
          <w:rFonts w:hint="eastAsia" w:ascii="仿宋_GB2312" w:eastAsia="仿宋_GB2312"/>
          <w:sz w:val="24"/>
          <w:lang w:bidi="th-TH"/>
        </w:rPr>
        <w:t>申请单位联系人：                                                   联系电话：</w:t>
      </w:r>
    </w:p>
    <w:p>
      <w:pPr>
        <w:pageBreakBefore w:val="0"/>
        <w:kinsoku/>
        <w:wordWrap/>
        <w:overflowPunct/>
        <w:topLinePunct w:val="0"/>
        <w:autoSpaceDE/>
        <w:autoSpaceDN/>
        <w:bidi w:val="0"/>
        <w:spacing w:line="280" w:lineRule="exact"/>
        <w:jc w:val="left"/>
        <w:outlineLvl w:val="9"/>
        <w:rPr>
          <w:rFonts w:hint="eastAsia" w:ascii="仿宋_GB2312" w:eastAsia="仿宋_GB2312"/>
          <w:kern w:val="0"/>
          <w:sz w:val="20"/>
          <w:szCs w:val="20"/>
          <w:lang w:bidi="th-TH"/>
        </w:rPr>
      </w:pPr>
      <w:r>
        <w:rPr>
          <w:rFonts w:hint="eastAsia" w:ascii="仿宋_GB2312" w:eastAsia="仿宋_GB2312"/>
          <w:sz w:val="20"/>
          <w:szCs w:val="20"/>
          <w:lang w:bidi="th-TH"/>
        </w:rPr>
        <w:t>说明：</w:t>
      </w:r>
      <w:r>
        <w:rPr>
          <w:rFonts w:hint="eastAsia" w:ascii="仿宋_GB2312" w:eastAsia="仿宋_GB2312"/>
          <w:kern w:val="0"/>
          <w:sz w:val="20"/>
          <w:szCs w:val="20"/>
          <w:lang w:bidi="th-TH"/>
        </w:rPr>
        <w:t>1. 处置形式包括：无偿调拨（划转）、对外捐赠、出售、出让、转让、置换、报损、报废以及货币性资产损失核销等；</w:t>
      </w:r>
    </w:p>
    <w:p>
      <w:pPr>
        <w:pageBreakBefore w:val="0"/>
        <w:kinsoku/>
        <w:wordWrap/>
        <w:overflowPunct/>
        <w:topLinePunct w:val="0"/>
        <w:autoSpaceDE/>
        <w:autoSpaceDN/>
        <w:bidi w:val="0"/>
        <w:spacing w:line="280" w:lineRule="exact"/>
        <w:ind w:firstLine="104" w:firstLineChars="50"/>
        <w:jc w:val="left"/>
        <w:outlineLvl w:val="9"/>
        <w:rPr>
          <w:rFonts w:hint="eastAsia" w:ascii="仿宋_GB2312" w:eastAsia="仿宋_GB2312"/>
          <w:kern w:val="0"/>
          <w:sz w:val="20"/>
          <w:szCs w:val="20"/>
          <w:lang w:bidi="th-TH"/>
        </w:rPr>
      </w:pPr>
      <w:r>
        <w:rPr>
          <w:rFonts w:hint="eastAsia" w:ascii="仿宋_GB2312" w:eastAsia="仿宋_GB2312"/>
          <w:spacing w:val="4"/>
          <w:kern w:val="0"/>
          <w:sz w:val="20"/>
          <w:szCs w:val="20"/>
          <w:lang w:bidi="th-TH"/>
        </w:rPr>
        <w:t xml:space="preserve">     </w:t>
      </w:r>
      <w:r>
        <w:rPr>
          <w:rFonts w:hint="eastAsia" w:ascii="仿宋_GB2312" w:eastAsia="仿宋_GB2312"/>
          <w:kern w:val="0"/>
          <w:sz w:val="20"/>
          <w:szCs w:val="20"/>
          <w:lang w:bidi="th-TH"/>
        </w:rPr>
        <w:t>2. 本表一式三份，申报单位、主管部门、财政部门各一份。“申请单位”为主管部门则只需填写申请单位意见栏；</w:t>
      </w:r>
    </w:p>
    <w:p>
      <w:pPr>
        <w:pageBreakBefore w:val="0"/>
        <w:kinsoku/>
        <w:wordWrap/>
        <w:overflowPunct/>
        <w:topLinePunct w:val="0"/>
        <w:autoSpaceDE/>
        <w:autoSpaceDN/>
        <w:bidi w:val="0"/>
        <w:spacing w:line="280" w:lineRule="exact"/>
        <w:jc w:val="left"/>
        <w:outlineLvl w:val="9"/>
        <w:rPr>
          <w:rFonts w:hint="eastAsia" w:ascii="仿宋_GB2312" w:eastAsia="仿宋_GB2312"/>
          <w:sz w:val="24"/>
          <w:lang w:bidi="th-TH"/>
        </w:rPr>
      </w:pPr>
      <w:r>
        <w:rPr>
          <w:rFonts w:hint="eastAsia" w:ascii="仿宋_GB2312" w:eastAsia="仿宋_GB2312"/>
          <w:spacing w:val="4"/>
          <w:kern w:val="0"/>
          <w:sz w:val="20"/>
          <w:szCs w:val="20"/>
          <w:lang w:bidi="th-TH"/>
        </w:rPr>
        <w:t xml:space="preserve">      </w:t>
      </w:r>
      <w:r>
        <w:rPr>
          <w:rFonts w:hint="eastAsia" w:ascii="仿宋_GB2312" w:eastAsia="仿宋_GB2312"/>
          <w:kern w:val="0"/>
          <w:sz w:val="20"/>
          <w:szCs w:val="20"/>
          <w:lang w:bidi="th-TH"/>
        </w:rPr>
        <w:t>3. 本表栏数不够，可自行增加栏数。</w:t>
      </w:r>
    </w:p>
    <w:p>
      <w:pPr>
        <w:pageBreakBefore w:val="0"/>
        <w:kinsoku/>
        <w:wordWrap/>
        <w:overflowPunct/>
        <w:topLinePunct w:val="0"/>
        <w:autoSpaceDE/>
        <w:autoSpaceDN/>
        <w:bidi w:val="0"/>
        <w:spacing w:line="340" w:lineRule="exact"/>
        <w:outlineLvl w:val="9"/>
        <w:rPr>
          <w:rFonts w:hint="eastAsia" w:eastAsia="仿宋_GB2312"/>
          <w:color w:val="000000"/>
          <w:lang w:eastAsia="zh-CN"/>
        </w:rPr>
        <w:sectPr>
          <w:footerReference r:id="rId37" w:type="default"/>
          <w:headerReference r:id="rId36" w:type="even"/>
          <w:footerReference r:id="rId38" w:type="even"/>
          <w:pgSz w:w="16838" w:h="11906" w:orient="landscape"/>
          <w:pgMar w:top="1418" w:right="1418" w:bottom="1418" w:left="1418" w:header="851" w:footer="1021" w:gutter="0"/>
          <w:pgNumType w:fmt="decimal"/>
          <w:cols w:space="720" w:num="1"/>
          <w:docGrid w:type="linesAndChar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626" w:name="_Toc31621"/>
      <w:bookmarkStart w:id="1627" w:name="_Toc26325"/>
      <w:bookmarkStart w:id="1628" w:name="_Toc2548"/>
      <w:bookmarkStart w:id="1629" w:name="_Toc31344_WPSOffice_Level1"/>
      <w:bookmarkStart w:id="1630" w:name="_Toc1844"/>
      <w:r>
        <w:rPr>
          <w:rFonts w:hint="eastAsia"/>
          <w:b/>
          <w:color w:val="000000"/>
          <w:sz w:val="36"/>
          <w:szCs w:val="36"/>
        </w:rPr>
        <w:t>柳州职业技术学院采购管理办法（试行）</w:t>
      </w:r>
      <w:bookmarkEnd w:id="1626"/>
      <w:bookmarkEnd w:id="1627"/>
      <w:bookmarkEnd w:id="1628"/>
      <w:bookmarkEnd w:id="1629"/>
      <w:bookmarkEnd w:id="1630"/>
    </w:p>
    <w:p>
      <w:pPr>
        <w:pageBreakBefore w:val="0"/>
        <w:widowControl/>
        <w:kinsoku/>
        <w:wordWrap/>
        <w:overflowPunct/>
        <w:topLinePunct w:val="0"/>
        <w:autoSpaceDE/>
        <w:autoSpaceDN/>
        <w:bidi w:val="0"/>
        <w:jc w:val="center"/>
        <w:outlineLvl w:val="9"/>
        <w:rPr>
          <w:rFonts w:hint="eastAsia" w:ascii="仿宋_GB2312" w:eastAsia="仿宋_GB2312"/>
          <w:sz w:val="32"/>
          <w:szCs w:val="32"/>
        </w:rPr>
      </w:pPr>
      <w:r>
        <w:rPr>
          <w:rFonts w:hint="eastAsia" w:ascii="仿宋_GB2312" w:eastAsia="仿宋_GB2312"/>
          <w:sz w:val="32"/>
          <w:szCs w:val="32"/>
        </w:rPr>
        <w:t xml:space="preserve"> (柳职院字〔2021〕37 号)</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31" w:name="_Toc23182_WPSOffice_Level1"/>
      <w:r>
        <w:rPr>
          <w:rFonts w:hint="eastAsia" w:ascii="黑体" w:hAnsi="黑体" w:eastAsia="黑体"/>
          <w:b/>
          <w:sz w:val="32"/>
          <w:szCs w:val="32"/>
        </w:rPr>
        <w:t>第一章 总  则</w:t>
      </w:r>
      <w:bookmarkEnd w:id="1631"/>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加强我校采购管理，使各类采购工作规范化、程序化，提高经费的使用效益，避免造成资源浪费和不必要损失，保证教学、科研等各项工作的顺利进行，根据政府采购法规和相关政策文件，结合学校实际工作，制定本办法。</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第二条 </w:t>
      </w:r>
      <w:r>
        <w:rPr>
          <w:rFonts w:hint="eastAsia" w:ascii="仿宋_GB2312" w:eastAsia="仿宋_GB2312"/>
          <w:sz w:val="32"/>
          <w:szCs w:val="32"/>
        </w:rPr>
        <w:t xml:space="preserve"> 本管理办法适用于使用学校各类资金采购货物和服务的行为。本办法所称的货物是指各种形态和种类的物品，包括各种仪器设备、教学器材、教学图书等；服务是指除货物和工程以外的其他采购对象。</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本办法所称的政府采购是指学校使用财政性资金采购依法制定的集中采购目录以内的或者采购限额标准以上的货物、工程和服务的行为。政府采购的具体方式由柳州市政府采购办按相关法规确定，政府采购采用以下方式：公开招标、邀请招标、竞争性谈判、单一来源采购、询价、国务院政府采购监督管理部门认定的其他采购方式。</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实行柳州市协议供货、定点服务、政采云电子卖场采购的项目，按照其相关规定执行。</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政府集中采购目录以外且不达分散采购限额标准的项目，不实行政府采购。完成学校内部审批后，采用以下方式：部门自行采购、市场询价采购、学校询价采购、委托招标、学校定点采购等。</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各类采购工作必须严格执行国家有关法律、法规和规定，必须严格执行学校制定的审批程序，必须遵守学校的规章制度。遵循公开透明原则、公平竞争原则、公正原则和诚实信用原则。</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与采购相关的人员必须奉公守法、廉洁自律。控制法律风险，依法依规组织开展政府采购活动，明晰事权，依法履职尽职，既不能失职不作为，也不能越权乱作为。任何人不得超越制度和程序办事，因不履行规章制度而产生的问题，由相关人员承担责任。</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严格遵守保密要求，禁止在招投标活动中收取回扣，不得以任何形式泄露招标相关信息，杜绝与投标方串标、围标等可能影响公平竞争、损害学校利益和国家利益等违规违纪的行为。不得接受企业任何礼品、礼金及参加有碍公务的任何形式的活动，否则按有关法律法规处理。</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学校采购业务工作由资产管理处负责监督，审计</w:t>
      </w:r>
      <w:bookmarkStart w:id="1632" w:name="_Toc26989_WPSOffice_Level1"/>
      <w:r>
        <w:rPr>
          <w:rFonts w:hint="eastAsia" w:ascii="仿宋_GB2312" w:eastAsia="仿宋_GB2312"/>
          <w:sz w:val="32"/>
          <w:szCs w:val="32"/>
        </w:rPr>
        <w:t>处可视具体情况对采购工作的关键环节进行监督</w:t>
      </w:r>
      <w:bookmarkEnd w:id="1632"/>
      <w:r>
        <w:rPr>
          <w:rFonts w:hint="eastAsia" w:ascii="仿宋_GB2312" w:eastAsia="仿宋_GB2312"/>
          <w:sz w:val="32"/>
          <w:szCs w:val="32"/>
        </w:rPr>
        <w:t>或</w:t>
      </w:r>
      <w:bookmarkStart w:id="1633" w:name="_Toc22967_WPSOffice_Level1"/>
      <w:r>
        <w:rPr>
          <w:rFonts w:hint="eastAsia" w:ascii="仿宋_GB2312" w:eastAsia="仿宋_GB2312"/>
          <w:sz w:val="32"/>
          <w:szCs w:val="32"/>
        </w:rPr>
        <w:t>随机抽查。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34" w:name="_Toc9280_WPSOffice_Level1"/>
      <w:r>
        <w:rPr>
          <w:rFonts w:hint="eastAsia" w:ascii="黑体" w:hAnsi="黑体" w:eastAsia="黑体"/>
          <w:b/>
          <w:sz w:val="32"/>
          <w:szCs w:val="32"/>
        </w:rPr>
        <w:t>第二章 采购管理职责</w:t>
      </w:r>
      <w:bookmarkEnd w:id="1634"/>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w:t>
      </w:r>
      <w:bookmarkEnd w:id="1633"/>
      <w:r>
        <w:rPr>
          <w:rFonts w:hint="eastAsia" w:ascii="仿宋_GB2312" w:eastAsia="仿宋_GB2312"/>
          <w:b/>
          <w:bCs/>
          <w:sz w:val="32"/>
          <w:szCs w:val="32"/>
        </w:rPr>
        <w:t xml:space="preserve">八条  </w:t>
      </w:r>
      <w:bookmarkStart w:id="1635" w:name="_Toc20339_WPSOffice_Level1"/>
      <w:r>
        <w:rPr>
          <w:rFonts w:hint="eastAsia" w:ascii="仿宋_GB2312" w:eastAsia="仿宋_GB2312"/>
          <w:sz w:val="32"/>
          <w:szCs w:val="32"/>
        </w:rPr>
        <w:t>采购流程由申请采购部门、项目经费管理部门、资产管</w:t>
      </w:r>
      <w:bookmarkEnd w:id="1635"/>
      <w:r>
        <w:rPr>
          <w:rFonts w:hint="eastAsia" w:ascii="仿宋_GB2312" w:eastAsia="仿宋_GB2312"/>
          <w:sz w:val="32"/>
          <w:szCs w:val="32"/>
        </w:rPr>
        <w:t>理处、审计处和其他相关职能部门在各自职责范围内分别完成。各部门在各自负责的职责范围内出现问题，根据本办法相关条款追责。</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申请采购部门职责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1.申报年度政府采购计划</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申请采购各部门应在每年8月（视学校预算编制工作安排而定），由部门主管资产负责人向资产管理处上报下一年度采购计划，提交《xx年度部门采购计划申请表》（附件1）。表中应明确资金来源情况，且金额须与上报的下一年度预算一致。逾期提交或提交的表格不符合要求，在校内网上进行通报。通报之后五个工作日内，还未整改或提交材料的，资产管理处不予办理采购审批手续。若年中有文件下达项目资金的，在收到下达资金文件五个工作日内，由部门主管资产负责人上报年度采购追加计划（填写要求参照年度采购计划）。</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拟订采购需求，组织召开项目立项论证会议以及参加采购论证会议。预算金额12万元（含）以上的采购项目需要进行立项。采购论证会前申购部门须将论证材料包括立项论证会议纪要、采购需求、三家询价报价表等资料发给资产管理处及参加会议相关人员，以便参会人员了解会议论证内容。会议纪要须提交到资产管理处备案。</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3.提供、修改与审核采购需求，同时审核、修改评分标准中等含有技术参数的内容及售后服务等相关商务要求。相关修改意见必须报资产管理处备案。</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4.项目采购论证会议通过后五个工作日内，由申购部门根据已经确认的参数需求办理采购项目预算审核申请流程，编报“柳州职业技术学院采购项目预算审核申请”，由审计处对项目预算进行审核确认。</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5.采购项目预算审核完成后五个工作日内，由申购部门根据审计处最终预算审核价格办理网上事前审批手续，填报《设备物资采购表》，上传项目论证相关资料、采购需求以及三家报价等；同时向资产管理处提交采购需求、三家报价等纸质资料，以便办理教育局及财政局相关审批手续。同时，根据教育局审批要求，对项目预算超过伍拾万元的项目，还必须提供学校校长办公会会议纪要和学校党委会会议纪要。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6.回答对招标文件内采购需求的咨询与质疑。答复的咨询和质疑需要形成文件资料报资产管理处备案。</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7.审核拟签订合同条款。执行合同、组织项目初验收并形成《项目初步验收报告》（附件2）报资产管理处备案。初验收通过后3个工作日内向资产管理处通过邮件形式提交最终验收申请。</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8.严格按合同约定时间，及时完成项目的结算付款手续及履约保证金的支付手续，并报资产管理处备案。</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项目经费归口管理部门负责审核采购资金来源和预算。</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资产管理处职责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1.审核申请采购部门提交的年度采购计划，汇总全校年度采购计划。</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2.建立供应商库、评审专家库及代理机构库。</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3.上报政府采购月度计划。</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4.选择招标代理机构，签订委托代理协议。</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5.组织召开项目采购论证会议。邀请申购部门、技术专家等部门人员审定采购需求、预算控制价格、技术参数（含核心技术参数）、评分标准等招标文件内容。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6.组织编制招标文件，确定招标文件的商务条款，包含投标资质、资格审查内容等。审核招标文件中评分标准、付款方式、质保期限、优惠、结算方式及违约责任等条款。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7.在校园网发布采购公告。</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8.组织政府采购，完成开标会相关事务。</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9.在校园网发布中标（成交）结果公告。</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10.组织回答供应商针对招标文件、中标（成交）结果的咨询与质疑。</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11.对招标代理机构工作情况进行评价。</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12.组织评审确定学校定点采购单位。学校定点采购适用于拟购货物（或服务）在政府集中采购目录以外，且单次申购金额在限额标准以下的情况。</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13.组织学校询价采购、市场询价相关工作。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14.审核政府采购合同，包括合同价款及供应商是否与中标（成交）确认表中所列内容一致；合同中关于付款方式、质保期限、优惠、结算方式及违约责任等条款是否与中标（成交）人的投标文件相符。组织签订政府采购合同，组织项目最终验收，出具验收报告（附件3）。</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15.归档与上报相关资料，包括招标文件、政府采购合同复印件、论证会会议纪要、验收报告等。</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审计处职责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1.负责预算金额12万元（含）以上的采购项目的预算价审核。</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2.负责采购相关工作的现场监督，包括学校询价、项目验收等关键环节。</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第十三条  </w:t>
      </w:r>
      <w:r>
        <w:rPr>
          <w:rFonts w:hint="eastAsia" w:ascii="仿宋_GB2312" w:eastAsia="仿宋_GB2312"/>
          <w:sz w:val="32"/>
          <w:szCs w:val="32"/>
        </w:rPr>
        <w:t>相关职能部门职责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按照职责对采购项目进行规划和指导，归口组织项目的校内评审，监督检查项目执行和项目绩效完成情况，根据需要参与或组织项目验收工作。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1.教务与实训管理处组织教学相关项目立项的学校论证。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2.发展规划与质量管理处组织学校“双高”项目的学校论证。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3.科技开发处、校企合作处组织科研项目、校企合作项目立项的学校论证。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4财务处负责对项目的经费预算进行审核。</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5.信息技术服务中心负责对网络、软件、计算机相关项目立项的学校论证。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6.后勤保障处负责对项目实施过程中涉及到的基建改造、供电改造、网络布线、内饰装修等进行评审。</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7.纪委办公室（监察室）负责工作纪律方面的监督。</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招标代理机构职责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1.接到学校项目委托三个工作日内拟定工作计划并提交给资产管理处审定后执行。</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2.编制采购文件和开标、评标程序等，对采购需求中有可能出现异议或不符合相关法规的提出修改建议，并按规定送资产管理处审定。</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3.负责采购文件的澄清、答疑等具体工作，并向供应商发出澄清函或更改通知。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4.编写招标公告，在指定的报刊、网上刊登和发布招标公告。</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5.按规定抽取专家评委。组织开标、评标会，复核评标公告。</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6.发出中标（成交）通知书，公布中标（成交）结果，印刷合同书并组织资产管理科代表学校与中标（成交）人签订合同。</w:t>
      </w: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36" w:name="_Toc10556_WPSOffice_Level1"/>
      <w:r>
        <w:rPr>
          <w:rFonts w:hint="eastAsia" w:ascii="黑体" w:hAnsi="黑体" w:eastAsia="黑体"/>
          <w:b/>
          <w:sz w:val="32"/>
          <w:szCs w:val="32"/>
        </w:rPr>
        <w:t>第三章 采购项目调研、立项及论证</w:t>
      </w:r>
      <w:bookmarkEnd w:id="1636"/>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申请采购部门应加强对项目预算调研阶段的管理。参与调研报价的企业需实质性三家以上，提高项目预算合理性。申请采购部门提交的《项目立项论证记录》，必须确保国内至少有三家厂商的产品在预算内可以满足所列技术参数及要求，并提供满足所有参数及要求的三家询价报价文件（附件7）。</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单项采购金额达到壹佰伍拾万元及以上的重大项目原则上应资产管理处牵头、会同申请采购部门、审计处共同进行项目调研考察，考察过程中不接受厂商的食宿安排。申请采购部门负责参数、性能及功能、设备前瞻性等技术方面的调研，力求建设项目实用性、先进性和经济性的优化组合。审计处负责价格方面的调研。</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采购预算在12万元（含）以上的项目，申请采购部门应严格遵守相关法规，在充分调研的基础上，组织分管校领导、专家组（教学团队、专业教师）、财务人员参与对项目进行学校立项论证。论证内容至少包括所申报项目的必要性、可行性、安全性、采购需求、申报预算金额使用与管理等方面。认真填写《项目立项论证记录》（参考）（附件4），其中必须包括明确的技术参数、预算价格、设备购置明细表。</w:t>
      </w:r>
    </w:p>
    <w:p>
      <w:pPr>
        <w:pageBreakBefore w:val="0"/>
        <w:kinsoku/>
        <w:wordWrap/>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立项通过且资金落实后二十个工作日内，由申购部门提交申请，资产管理处组织项目采购论证会。会议应邀请申购部门、技术专家和相关人员参与。论证内容包括主要设备的确定、是否含进口产品、是否分</w:t>
      </w:r>
      <w:bookmarkStart w:id="1637" w:name="_Toc18016_WPSOffice_Level1"/>
      <w:r>
        <w:rPr>
          <w:rFonts w:hint="eastAsia" w:ascii="仿宋_GB2312" w:eastAsia="仿宋_GB2312"/>
          <w:sz w:val="32"/>
          <w:szCs w:val="32"/>
        </w:rPr>
        <w:t>标、参数是否有排他性、交货时间及售后服务要求</w:t>
      </w:r>
      <w:bookmarkEnd w:id="1637"/>
      <w:r>
        <w:rPr>
          <w:rFonts w:hint="eastAsia" w:ascii="仿宋_GB2312" w:eastAsia="仿宋_GB2312"/>
          <w:sz w:val="32"/>
          <w:szCs w:val="32"/>
        </w:rPr>
        <w:t>等</w:t>
      </w:r>
      <w:bookmarkStart w:id="1638" w:name="_Toc5478_WPSOffice_Level1"/>
      <w:r>
        <w:rPr>
          <w:rFonts w:hint="eastAsia" w:ascii="仿宋_GB2312" w:eastAsia="仿宋_GB2312"/>
          <w:sz w:val="32"/>
          <w:szCs w:val="32"/>
        </w:rPr>
        <w:t>，填写《采购项目论证会记录》（附件5），</w:t>
      </w:r>
      <w:bookmarkEnd w:id="1638"/>
      <w:r>
        <w:rPr>
          <w:rFonts w:hint="eastAsia" w:ascii="仿宋_GB2312" w:eastAsia="仿宋_GB2312"/>
          <w:sz w:val="32"/>
          <w:szCs w:val="32"/>
        </w:rPr>
        <w:t>经</w:t>
      </w:r>
      <w:bookmarkStart w:id="1639" w:name="_Toc6241_WPSOffice_Level1"/>
      <w:r>
        <w:rPr>
          <w:rFonts w:hint="eastAsia" w:ascii="仿宋_GB2312" w:eastAsia="仿宋_GB2312"/>
          <w:sz w:val="32"/>
          <w:szCs w:val="32"/>
        </w:rPr>
        <w:t>会议代表签字确认后留存备查。必要时可邀请校</w:t>
      </w:r>
      <w:bookmarkEnd w:id="1639"/>
      <w:r>
        <w:rPr>
          <w:rFonts w:hint="eastAsia" w:ascii="仿宋_GB2312" w:eastAsia="仿宋_GB2312"/>
          <w:sz w:val="32"/>
          <w:szCs w:val="32"/>
        </w:rPr>
        <w:t>外</w:t>
      </w:r>
      <w:bookmarkStart w:id="1640" w:name="_Toc23803_WPSOffice_Level1"/>
      <w:r>
        <w:rPr>
          <w:rFonts w:hint="eastAsia" w:ascii="仿宋_GB2312" w:eastAsia="仿宋_GB2312"/>
          <w:sz w:val="32"/>
          <w:szCs w:val="32"/>
        </w:rPr>
        <w:t>专家参与论证。聘请校外专家费</w:t>
      </w:r>
      <w:bookmarkEnd w:id="1640"/>
      <w:r>
        <w:rPr>
          <w:rFonts w:hint="eastAsia" w:ascii="仿宋_GB2312" w:eastAsia="仿宋_GB2312"/>
          <w:sz w:val="32"/>
          <w:szCs w:val="32"/>
        </w:rPr>
        <w:t>用应在项目预算中体现</w:t>
      </w:r>
      <w:bookmarkStart w:id="1641" w:name="_Toc3446_WPSOffice_Level1"/>
      <w:r>
        <w:rPr>
          <w:rFonts w:hint="eastAsia" w:ascii="仿宋_GB2312" w:eastAsia="仿宋_GB2312"/>
          <w:sz w:val="32"/>
          <w:szCs w:val="32"/>
        </w:rPr>
        <w:t>。</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w:t>
      </w:r>
      <w:bookmarkEnd w:id="1641"/>
      <w:r>
        <w:rPr>
          <w:rFonts w:hint="eastAsia" w:ascii="仿宋_GB2312" w:eastAsia="仿宋_GB2312"/>
          <w:b/>
          <w:bCs/>
          <w:sz w:val="32"/>
          <w:szCs w:val="32"/>
        </w:rPr>
        <w:t>九</w:t>
      </w:r>
      <w:bookmarkStart w:id="1642" w:name="_Toc3162_WPSOffice_Level1"/>
      <w:r>
        <w:rPr>
          <w:rFonts w:hint="eastAsia" w:ascii="仿宋_GB2312" w:eastAsia="仿宋_GB2312"/>
          <w:b/>
          <w:bCs/>
          <w:sz w:val="32"/>
          <w:szCs w:val="32"/>
        </w:rPr>
        <w:t xml:space="preserve">条  </w:t>
      </w:r>
      <w:r>
        <w:rPr>
          <w:rFonts w:hint="eastAsia" w:ascii="仿宋_GB2312" w:eastAsia="仿宋_GB2312"/>
          <w:sz w:val="32"/>
          <w:szCs w:val="32"/>
        </w:rPr>
        <w:t>若需采购进口设备，应按照《财</w:t>
      </w:r>
      <w:bookmarkEnd w:id="1642"/>
      <w:r>
        <w:rPr>
          <w:rFonts w:hint="eastAsia" w:ascii="仿宋_GB2312" w:eastAsia="仿宋_GB2312"/>
          <w:sz w:val="32"/>
          <w:szCs w:val="32"/>
        </w:rPr>
        <w:t>政部关于印发&lt;政府采购进口产品管理办法&gt;的通知》（财库[2007]119号）规定进行论证及相关资料的准备。同时必须了解海关免税《告知书》（附件6），了解进口免税设备应尽的义务。</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若需采购的产品只能由单一厂商提供的，可在设备购置明细表中注明“申请单一来源”，按政府采购中单一来源采购办法申请报批。若在申购单一来源采购过程中，经资产管理处核实，出现以下情况之一的，申请采购部门必须向资产管理处及审计处做出书面解释，资产管理处及审计</w:t>
      </w:r>
      <w:bookmarkStart w:id="1643" w:name="_Toc32032_WPSOffice_Level1"/>
      <w:r>
        <w:rPr>
          <w:rFonts w:hint="eastAsia" w:ascii="仿宋_GB2312" w:eastAsia="仿宋_GB2312"/>
          <w:sz w:val="32"/>
          <w:szCs w:val="32"/>
        </w:rPr>
        <w:t>处视具体</w:t>
      </w:r>
      <w:bookmarkEnd w:id="1643"/>
      <w:r>
        <w:rPr>
          <w:rFonts w:hint="eastAsia" w:ascii="仿宋_GB2312" w:eastAsia="仿宋_GB2312"/>
          <w:sz w:val="32"/>
          <w:szCs w:val="32"/>
        </w:rPr>
        <w:t>情</w:t>
      </w:r>
      <w:bookmarkStart w:id="1644" w:name="_Toc18219_WPSOffice_Level1"/>
      <w:r>
        <w:rPr>
          <w:rFonts w:hint="eastAsia" w:ascii="仿宋_GB2312" w:eastAsia="仿宋_GB2312"/>
          <w:sz w:val="32"/>
          <w:szCs w:val="32"/>
        </w:rPr>
        <w:t>况，可要求申请采购部门对申购方案做必</w:t>
      </w:r>
      <w:bookmarkEnd w:id="1644"/>
      <w:r>
        <w:rPr>
          <w:rFonts w:hint="eastAsia" w:ascii="仿宋_GB2312" w:eastAsia="仿宋_GB2312"/>
          <w:sz w:val="32"/>
          <w:szCs w:val="32"/>
        </w:rPr>
        <w:t>要修改或对申购方案重新论证：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（1）申请采购部门提出的主要技术参数及功能要求、交货时间及售后服务条款，所列三个参考品牌不能全部满足要求的；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（2）申请采购部门申购的同一品牌同一型号设备预算价格与资产管理处所了解的价格相差超过30%以上的。</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对于单项设备预算金额较大（指单项金额在伍拾万元以上）或高新技术的设备采购方案，资产管理处可要求申请采购部门举行申购项目推介会，邀请所列参考品牌厂家或代理商到会作进一步的产品介绍及技术咨询。资产管理处、教务与实训管理处、审计处等相关部门应派人参加推介会。</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向政府相关部门报批采购项目，政府批复项目后，不能实质性修改采购方案，否则该方案无效，需重新申报。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45" w:name="_Toc21380_WPSOffice_Level1"/>
      <w:r>
        <w:rPr>
          <w:rFonts w:hint="eastAsia" w:ascii="黑体" w:hAnsi="黑体" w:eastAsia="黑体"/>
          <w:b/>
          <w:sz w:val="32"/>
          <w:szCs w:val="32"/>
        </w:rPr>
        <w:t>第四章 采购方式的确定</w:t>
      </w:r>
      <w:bookmarkEnd w:id="1645"/>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第二十三条</w:t>
      </w:r>
      <w:r>
        <w:rPr>
          <w:rFonts w:hint="eastAsia" w:ascii="仿宋_GB2312" w:eastAsia="仿宋_GB2312"/>
          <w:sz w:val="32"/>
          <w:szCs w:val="32"/>
        </w:rPr>
        <w:t xml:space="preserve">  采购方式按照总则第三条规定，由资产管理处处长在采购事前申请审批流程中提出意见，并报校领导审批。</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第二十四条</w:t>
      </w:r>
      <w:r>
        <w:rPr>
          <w:rFonts w:hint="eastAsia" w:ascii="仿宋_GB2312" w:eastAsia="仿宋_GB2312"/>
          <w:sz w:val="32"/>
          <w:szCs w:val="32"/>
        </w:rPr>
        <w:t xml:space="preserve">  政府集中采购目录以内的项目，按政府采购相关规定执行。政府集中采购目录以外且单项或批量采购预算金额在分散采购限额标准以上的项目，应按《政府采购法》和《招标投标法》有关规定执行。</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第二十五条</w:t>
      </w:r>
      <w:r>
        <w:rPr>
          <w:rFonts w:hint="eastAsia" w:ascii="仿宋_GB2312" w:eastAsia="仿宋_GB2312"/>
          <w:sz w:val="32"/>
          <w:szCs w:val="32"/>
        </w:rPr>
        <w:t xml:space="preserve">  拟购货物（或服务）在政府集中采购目录以外，且单次申购金额在10000元（不含）以下的，由申购部门采用部门自行采购方式采购；单次申购金额在10000元-50000元（不含）的，可以采用市场询价方式采购，由申购部门不少于2人及资产管理处1人共同参与确定；单次申购金额在50000元-120000元（不含）的，可以采用学校询价方式采购，由资产管理处组织、申购部门派人参与、审计处现场监督，必要时可邀请相关专家参与评议；单次申购金额在120000元-300000元（不含）的，原则上通过委托社会招标代理机构进行采购。</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拟购货物（或服务）在政府集中采购目录以外，且单次申购金额在50000元-300000元（不含）的，符合以下情况之一可实施政采云平台分散采购：（1）因情况紧急经过审批的；（2）政</w:t>
      </w:r>
      <w:bookmarkStart w:id="1646" w:name="_Toc9702_WPSOffice_Level1"/>
      <w:r>
        <w:rPr>
          <w:rFonts w:hint="eastAsia" w:ascii="仿宋_GB2312" w:eastAsia="仿宋_GB2312"/>
          <w:sz w:val="32"/>
          <w:szCs w:val="32"/>
        </w:rPr>
        <w:t>采云平台</w:t>
      </w:r>
      <w:bookmarkEnd w:id="1646"/>
      <w:r>
        <w:rPr>
          <w:rFonts w:hint="eastAsia" w:ascii="仿宋_GB2312" w:eastAsia="仿宋_GB2312"/>
          <w:sz w:val="32"/>
          <w:szCs w:val="32"/>
        </w:rPr>
        <w:t>有</w:t>
      </w:r>
      <w:bookmarkStart w:id="1647" w:name="_Toc23886_WPSOffice_Level1"/>
      <w:r>
        <w:rPr>
          <w:rFonts w:hint="eastAsia" w:ascii="仿宋_GB2312" w:eastAsia="仿宋_GB2312"/>
          <w:sz w:val="32"/>
          <w:szCs w:val="32"/>
        </w:rPr>
        <w:t>商家，并进行询价比较后确定；（3）</w:t>
      </w:r>
      <w:bookmarkEnd w:id="1647"/>
      <w:r>
        <w:rPr>
          <w:rFonts w:hint="eastAsia" w:ascii="仿宋_GB2312" w:eastAsia="仿宋_GB2312"/>
          <w:sz w:val="32"/>
          <w:szCs w:val="32"/>
        </w:rPr>
        <w:t>科研类项目。</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拟购货物（或服务）在政府集中采购目录以外，且属于学校定点采购范围内的货物和服务，按确定定点时的合同约定进行采购，不再执行上述三种采购方式。</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第二十六条  </w:t>
      </w:r>
      <w:r>
        <w:rPr>
          <w:rFonts w:hint="eastAsia" w:ascii="仿宋_GB2312" w:eastAsia="仿宋_GB2312"/>
          <w:sz w:val="32"/>
          <w:szCs w:val="32"/>
        </w:rPr>
        <w:t>任何情况下，均不得化整为零采取其他方式采购。若发现拆单进行采购，根据本办法相关条款追责。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48" w:name="_Toc19108_WPSOffice_Level1"/>
      <w:r>
        <w:rPr>
          <w:rFonts w:hint="eastAsia" w:ascii="黑体" w:hAnsi="黑体" w:eastAsia="黑体"/>
          <w:b/>
          <w:sz w:val="32"/>
          <w:szCs w:val="32"/>
        </w:rPr>
        <w:t>第五章 招标代理机构的确定</w:t>
      </w:r>
      <w:bookmarkEnd w:id="1648"/>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第二十七条</w:t>
      </w:r>
      <w:r>
        <w:rPr>
          <w:rFonts w:hint="eastAsia" w:ascii="仿宋_GB2312" w:eastAsia="仿宋_GB2312"/>
          <w:sz w:val="32"/>
          <w:szCs w:val="32"/>
        </w:rPr>
        <w:t xml:space="preserve">  根据招标代理机构类似项目采购资质与业绩，学校对其综合因素进行考虑，由资产管理处选择确定招标代理机构。若招标代理机构在项目招标中出现失误的，学校可视具体情况在一定时间内暂停与其合作。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49" w:name="_Toc24136_WPSOffice_Level1"/>
      <w:r>
        <w:rPr>
          <w:rFonts w:hint="eastAsia" w:ascii="黑体" w:hAnsi="黑体" w:eastAsia="黑体"/>
          <w:b/>
          <w:sz w:val="32"/>
          <w:szCs w:val="32"/>
        </w:rPr>
        <w:t>第六章 招标文件审核</w:t>
      </w:r>
      <w:bookmarkEnd w:id="1649"/>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第二十八条</w:t>
      </w:r>
      <w:r>
        <w:rPr>
          <w:rFonts w:hint="eastAsia" w:ascii="仿宋_GB2312" w:eastAsia="仿宋_GB2312"/>
          <w:sz w:val="32"/>
          <w:szCs w:val="32"/>
        </w:rPr>
        <w:t xml:space="preserve">  招标文件审核流</w:t>
      </w:r>
      <w:bookmarkStart w:id="1650" w:name="_Toc23995_WPSOffice_Level1"/>
      <w:r>
        <w:rPr>
          <w:rFonts w:hint="eastAsia" w:ascii="仿宋_GB2312" w:eastAsia="仿宋_GB2312"/>
          <w:sz w:val="32"/>
          <w:szCs w:val="32"/>
        </w:rPr>
        <w:t>程</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w:t>
      </w:r>
      <w:bookmarkEnd w:id="1650"/>
      <w:r>
        <w:rPr>
          <w:rFonts w:hint="eastAsia" w:ascii="仿宋_GB2312" w:eastAsia="仿宋_GB2312"/>
          <w:sz w:val="32"/>
          <w:szCs w:val="32"/>
        </w:rPr>
        <w:t>资</w:t>
      </w:r>
      <w:bookmarkStart w:id="1651" w:name="_Toc17464_WPSOffice_Level1"/>
      <w:r>
        <w:rPr>
          <w:rFonts w:hint="eastAsia" w:ascii="仿宋_GB2312" w:eastAsia="仿宋_GB2312"/>
          <w:sz w:val="32"/>
          <w:szCs w:val="32"/>
        </w:rPr>
        <w:t>产管理处组织招标代理机构</w:t>
      </w:r>
      <w:bookmarkEnd w:id="1651"/>
      <w:r>
        <w:rPr>
          <w:rFonts w:hint="eastAsia" w:ascii="仿宋_GB2312" w:eastAsia="仿宋_GB2312"/>
          <w:sz w:val="32"/>
          <w:szCs w:val="32"/>
        </w:rPr>
        <w:t>根据使用部门提出的采购需求编制招标文件；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2.申请采购部门对标书内容（包括参数及要求前后一致性方面）进行审核并修改；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3.资产管理处汇总申请采购部门意见并进行检查，复核无误后报招标公司审定；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4.若招标文件中出现失误的，按各部门职责范围根据本办法相关条款追责。</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第二十九条</w:t>
      </w:r>
      <w:r>
        <w:rPr>
          <w:rFonts w:hint="eastAsia" w:ascii="仿宋_GB2312" w:eastAsia="仿宋_GB2312"/>
          <w:sz w:val="32"/>
          <w:szCs w:val="32"/>
        </w:rPr>
        <w:t xml:space="preserve">  申请采购部门要正确处理</w:t>
      </w:r>
      <w:bookmarkStart w:id="1652" w:name="_Toc1630_WPSOffice_Level1"/>
      <w:r>
        <w:rPr>
          <w:rFonts w:hint="eastAsia" w:ascii="仿宋_GB2312" w:eastAsia="仿宋_GB2312"/>
          <w:sz w:val="32"/>
          <w:szCs w:val="32"/>
        </w:rPr>
        <w:t>好与潜在供应商的工作关系。申请采购部门应掌握项目采</w:t>
      </w:r>
      <w:bookmarkEnd w:id="1652"/>
      <w:r>
        <w:rPr>
          <w:rFonts w:hint="eastAsia" w:ascii="仿宋_GB2312" w:eastAsia="仿宋_GB2312"/>
          <w:sz w:val="32"/>
          <w:szCs w:val="32"/>
        </w:rPr>
        <w:t>购的控制权，除市场调研和项目预算环节需要企业参与外，不允许将填写项目申报文本、项目评审资料交给企业编制，更不得出现由投标企业代理填写招标文件、技术参数的情况，不得在招标文件中出现违规的倾向性问题，若发现根据本办法相关条款追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53" w:name="_Toc26502_WPSOffice_Level1"/>
      <w:r>
        <w:rPr>
          <w:rFonts w:hint="eastAsia" w:ascii="黑体" w:hAnsi="黑体" w:eastAsia="黑体"/>
          <w:b/>
          <w:sz w:val="32"/>
          <w:szCs w:val="32"/>
        </w:rPr>
        <w:t>第七章 采购公告</w:t>
      </w:r>
      <w:bookmarkEnd w:id="1653"/>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第三十条</w:t>
      </w:r>
      <w:r>
        <w:rPr>
          <w:rFonts w:hint="eastAsia" w:ascii="仿宋_GB2312" w:eastAsia="仿宋_GB2312"/>
          <w:sz w:val="32"/>
          <w:szCs w:val="32"/>
        </w:rPr>
        <w:t xml:space="preserve">  政府采购的公开招标、竞争性谈判、竞争性磋商和邀请招标项目，由政府采购招标代理机构按政府采购规定发布采购公告，同时由资产管理处在校园网发布采购公告。</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第三十一条</w:t>
      </w:r>
      <w:r>
        <w:rPr>
          <w:rFonts w:hint="eastAsia" w:ascii="仿宋_GB2312" w:eastAsia="仿宋_GB2312"/>
          <w:sz w:val="32"/>
          <w:szCs w:val="32"/>
        </w:rPr>
        <w:t xml:space="preserve">  属于学校询价采购方式确定的项目，由资产管理处在校园网发布采购公告。</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54" w:name="_Toc12734_WPSOffice_Level1"/>
      <w:r>
        <w:rPr>
          <w:rFonts w:hint="eastAsia" w:ascii="黑体" w:hAnsi="黑体" w:eastAsia="黑体"/>
          <w:b/>
          <w:sz w:val="32"/>
          <w:szCs w:val="32"/>
        </w:rPr>
        <w:t>第八章 评  标</w:t>
      </w:r>
      <w:bookmarkEnd w:id="1654"/>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第三十二条</w:t>
      </w:r>
      <w:r>
        <w:rPr>
          <w:rFonts w:hint="eastAsia" w:ascii="仿宋_GB2312" w:eastAsia="仿宋_GB2312"/>
          <w:sz w:val="32"/>
          <w:szCs w:val="32"/>
        </w:rPr>
        <w:t xml:space="preserve">  政府采购项目、委托代理招标项目的业主评审代表，由校长委派或授权资产管理处组织确定。业主评审代表人选必须是学校在编人员。</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第三十三条</w:t>
      </w:r>
      <w:r>
        <w:rPr>
          <w:rFonts w:hint="eastAsia" w:ascii="仿宋_GB2312" w:eastAsia="仿宋_GB2312"/>
          <w:sz w:val="32"/>
          <w:szCs w:val="32"/>
        </w:rPr>
        <w:t xml:space="preserve">  审计处可视项目具体情况派出一人作为学校监督人员对评标过程进行全程监督或随机进行抽查。</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第三十四条</w:t>
      </w:r>
      <w:r>
        <w:rPr>
          <w:rFonts w:hint="eastAsia" w:ascii="仿宋_GB2312" w:eastAsia="仿宋_GB2312"/>
          <w:sz w:val="32"/>
          <w:szCs w:val="32"/>
        </w:rPr>
        <w:t xml:space="preserve">  各部门参与政府采购评标的业主评委，应与学校签订《评标责任承诺书》（附件8），在评标过程中若发生重大失误，如中标人的（投标文件中承诺的）主要技术参数及功能要求、交货时间及售后服务条款等与招标文件不符（低于招标文件要求）等，导致项目无法按原要求完成，根据本办法相关条款追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55" w:name="_Toc18927_WPSOffice_Level1"/>
      <w:r>
        <w:rPr>
          <w:rFonts w:hint="eastAsia" w:ascii="黑体" w:hAnsi="黑体" w:eastAsia="黑体"/>
          <w:b/>
          <w:sz w:val="32"/>
          <w:szCs w:val="32"/>
        </w:rPr>
        <w:t>第九章 合同审核、签订及执行</w:t>
      </w:r>
      <w:bookmarkEnd w:id="1655"/>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第三十五条</w:t>
      </w:r>
      <w:r>
        <w:rPr>
          <w:rFonts w:hint="eastAsia" w:ascii="仿宋_GB2312" w:eastAsia="仿宋_GB2312"/>
          <w:sz w:val="32"/>
          <w:szCs w:val="32"/>
        </w:rPr>
        <w:t xml:space="preserve">  资产管理处负责政府采购合同商务条款的审核，包括合同价款及供应商是否与中标（成交）确认表中所列内容一致；合同中关于付款方式、质保期限、优惠、结算方式及违约责任等条款是否与中标（成交）人的投标文件相符。申请采购部门负责合同除商务条款外的其余条款相关内容的审核。保证合同货物的数量、品牌、规格、质量或服务内容与投标文件内容一致。</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bookmarkStart w:id="1656" w:name="_Toc25282_WPSOffice_Level1"/>
      <w:r>
        <w:rPr>
          <w:rFonts w:hint="eastAsia" w:ascii="仿宋_GB2312" w:eastAsia="仿宋_GB2312"/>
          <w:b/>
          <w:bCs/>
          <w:sz w:val="32"/>
          <w:szCs w:val="32"/>
        </w:rPr>
        <w:t>第三十六条</w:t>
      </w:r>
      <w:r>
        <w:rPr>
          <w:rFonts w:hint="eastAsia" w:ascii="仿宋_GB2312" w:eastAsia="仿宋_GB2312"/>
          <w:sz w:val="32"/>
          <w:szCs w:val="32"/>
        </w:rPr>
        <w:t xml:space="preserve">  资产管理处负责组织政府采购合同送审及签订。</w:t>
      </w:r>
      <w:bookmarkEnd w:id="1656"/>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第三十七条</w:t>
      </w:r>
      <w:r>
        <w:rPr>
          <w:rFonts w:hint="eastAsia" w:ascii="仿宋_GB2312" w:eastAsia="仿宋_GB2312"/>
          <w:sz w:val="32"/>
          <w:szCs w:val="32"/>
        </w:rPr>
        <w:t xml:space="preserve">  拟签合同具备法律效力，原则上不允许调整货物。在特殊情况下，货物需要调整的，必须满足以下条件：</w:t>
      </w:r>
      <w:r>
        <w:rPr>
          <w:rFonts w:hint="eastAsia" w:ascii="仿宋_GB2312" w:eastAsia="仿宋_GB2312"/>
          <w:sz w:val="32"/>
          <w:szCs w:val="32"/>
        </w:rPr>
        <w:fldChar w:fldCharType="begin"/>
      </w:r>
      <w:r>
        <w:rPr>
          <w:rFonts w:hint="eastAsia" w:ascii="仿宋_GB2312" w:eastAsia="仿宋_GB2312"/>
          <w:sz w:val="32"/>
          <w:szCs w:val="32"/>
        </w:rPr>
        <w:instrText xml:space="preserve"> = 1 \* GB3 </w:instrText>
      </w:r>
      <w:r>
        <w:rPr>
          <w:rFonts w:hint="eastAsia" w:ascii="仿宋_GB2312" w:eastAsia="仿宋_GB2312"/>
          <w:sz w:val="32"/>
          <w:szCs w:val="32"/>
        </w:rPr>
        <w:fldChar w:fldCharType="separate"/>
      </w:r>
      <w:r>
        <w:rPr>
          <w:rFonts w:hint="eastAsia" w:ascii="仿宋_GB2312" w:eastAsia="仿宋_GB2312"/>
          <w:sz w:val="32"/>
          <w:szCs w:val="32"/>
        </w:rPr>
        <w:t>①</w:t>
      </w:r>
      <w:r>
        <w:rPr>
          <w:rFonts w:hint="eastAsia" w:ascii="仿宋_GB2312" w:eastAsia="仿宋_GB2312"/>
          <w:sz w:val="32"/>
          <w:szCs w:val="32"/>
        </w:rPr>
        <w:fldChar w:fldCharType="end"/>
      </w:r>
      <w:r>
        <w:rPr>
          <w:rFonts w:hint="eastAsia" w:ascii="仿宋_GB2312" w:eastAsia="仿宋_GB2312"/>
          <w:sz w:val="32"/>
          <w:szCs w:val="32"/>
        </w:rPr>
        <w:t>货物质量、技术参数及售后服务不能低于合同约定要求；</w:t>
      </w:r>
      <w:r>
        <w:rPr>
          <w:rFonts w:hint="eastAsia" w:ascii="仿宋_GB2312" w:eastAsia="仿宋_GB2312"/>
          <w:sz w:val="32"/>
          <w:szCs w:val="32"/>
        </w:rPr>
        <w:fldChar w:fldCharType="begin"/>
      </w:r>
      <w:r>
        <w:rPr>
          <w:rFonts w:hint="eastAsia" w:ascii="仿宋_GB2312" w:eastAsia="仿宋_GB2312"/>
          <w:sz w:val="32"/>
          <w:szCs w:val="32"/>
        </w:rPr>
        <w:instrText xml:space="preserve"> = 2 \* GB3 </w:instrText>
      </w:r>
      <w:r>
        <w:rPr>
          <w:rFonts w:hint="eastAsia" w:ascii="仿宋_GB2312" w:eastAsia="仿宋_GB2312"/>
          <w:sz w:val="32"/>
          <w:szCs w:val="32"/>
        </w:rPr>
        <w:fldChar w:fldCharType="separate"/>
      </w:r>
      <w:r>
        <w:rPr>
          <w:rFonts w:hint="eastAsia" w:ascii="仿宋_GB2312" w:eastAsia="仿宋_GB2312"/>
          <w:sz w:val="32"/>
          <w:szCs w:val="32"/>
        </w:rPr>
        <w:t>②</w:t>
      </w:r>
      <w:r>
        <w:rPr>
          <w:rFonts w:hint="eastAsia" w:ascii="仿宋_GB2312" w:eastAsia="仿宋_GB2312"/>
          <w:sz w:val="32"/>
          <w:szCs w:val="32"/>
        </w:rPr>
        <w:fldChar w:fldCharType="end"/>
      </w:r>
      <w:r>
        <w:rPr>
          <w:rFonts w:hint="eastAsia" w:ascii="仿宋_GB2312" w:eastAsia="仿宋_GB2312"/>
          <w:sz w:val="32"/>
          <w:szCs w:val="32"/>
        </w:rPr>
        <w:t>变更后所供货物的市场价格不低于合同价格。在货物交付时，若出现所供货物在数量、金额、售后服务不变的前提下，性能、参数高于合同约定的，由申请采购部门提交书面材料《采购项目变更申请表》（附件9），申请采购部门及归口管理部门签署意见同意接受后，报资产管理处备案。签订补充协议后，予以验收。</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第三十八条</w:t>
      </w:r>
      <w:r>
        <w:rPr>
          <w:rFonts w:hint="eastAsia" w:ascii="仿宋_GB2312" w:eastAsia="仿宋_GB2312"/>
          <w:sz w:val="32"/>
          <w:szCs w:val="32"/>
        </w:rPr>
        <w:t xml:space="preserve">  合同内容（如货物类型、数量、金额、性能、参数）原则上不允许发生重大变更。一旦发生，根据本办法相关条款追责。发生变更时，应及时办理变更审批手续。审批同意后，才能进行变更。审批手续如下：使用部门要组织本部门专业人员进行论证，并邀请资产管理处、审计处、法务参与。在变更金额达到合同总金额的20%及以上，须向主管副校长报告；在变更金额达到合同总金额的30%及以上或主要设备发生变更的，须同时向主管副校长及校长报告。在无法确认所供货物技术性能高于或等同于合同约定时，应邀请校外专家进行论证，征求专家意见，同时报校领导审批。</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第三十九条</w:t>
      </w:r>
      <w:r>
        <w:rPr>
          <w:rFonts w:hint="eastAsia" w:ascii="仿宋_GB2312" w:eastAsia="仿宋_GB2312"/>
          <w:sz w:val="32"/>
          <w:szCs w:val="32"/>
        </w:rPr>
        <w:t xml:space="preserve">  申请采购部门对中标商提供的设备对照合同条款逐一验货并签字，保证执行的数量、品牌、规格、质量或服务与合同一致。全部货物签收完成五个工作日内，申请采购部门提交《政府采购合同款、履约保证金支付意见表》（附件10）于财务处，根据合同付款条款办理支付首款手续，并报资产管理处备案。</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第四十条</w:t>
      </w:r>
      <w:r>
        <w:rPr>
          <w:rFonts w:hint="eastAsia" w:ascii="仿宋_GB2312" w:eastAsia="仿宋_GB2312"/>
          <w:sz w:val="32"/>
          <w:szCs w:val="32"/>
        </w:rPr>
        <w:t xml:space="preserve">  申请采购部门组织采购项目的实施，监管采购项目合同的执行。项目执行率与申请采购部门绩效考核挂钩。</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57" w:name="_Toc25158_WPSOffice_Level1"/>
      <w:r>
        <w:rPr>
          <w:rFonts w:hint="eastAsia" w:ascii="黑体" w:hAnsi="黑体" w:eastAsia="黑体"/>
          <w:b/>
          <w:sz w:val="32"/>
          <w:szCs w:val="32"/>
        </w:rPr>
        <w:t>第十章 项目验收管理</w:t>
      </w:r>
      <w:bookmarkEnd w:id="1657"/>
    </w:p>
    <w:p>
      <w:pPr>
        <w:pageBreakBefore w:val="0"/>
        <w:kinsoku/>
        <w:wordWrap/>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第四十一条</w:t>
      </w:r>
      <w:r>
        <w:rPr>
          <w:rFonts w:hint="eastAsia" w:ascii="仿宋_GB2312" w:eastAsia="仿宋_GB2312"/>
          <w:sz w:val="32"/>
          <w:szCs w:val="32"/>
        </w:rPr>
        <w:t xml:space="preserve">  对于产品验收，在交付、安装、测试和试用后实施验收。对于服务验收，在服务结束后进行验收。涉及固定资产入库的采购项目由资产管理处组织学校验收。未涉及固定资产采购的项目，由使用部门自行根据合同进行验收。</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第四十二条</w:t>
      </w:r>
      <w:r>
        <w:rPr>
          <w:rFonts w:hint="eastAsia" w:ascii="仿宋_GB2312" w:eastAsia="仿宋_GB2312"/>
          <w:sz w:val="32"/>
          <w:szCs w:val="32"/>
        </w:rPr>
        <w:t xml:space="preserve">  申请采购部门应根据项目合同，在约定的时间内检测合同约定的各项技术指标的完成情况，并核对产品技术指标、使用性能、规格、型号、数量等是否与合同一致。若在初验过程中发现问题，应及时反馈提交中标商解决。初验合格后，应出具项目初步验收报告，需要使用部门两名专业老师签字、一名部门主管采购领导签字确认；初步验收通过3个工作日内，向资产管理处申请办理学校验收手续。</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第四十三条  </w:t>
      </w:r>
      <w:r>
        <w:rPr>
          <w:rFonts w:hint="eastAsia" w:ascii="仿宋_GB2312" w:eastAsia="仿宋_GB2312"/>
          <w:sz w:val="32"/>
          <w:szCs w:val="32"/>
        </w:rPr>
        <w:t>合同金额在伍拾万元以上（含伍拾万元）的，验收时由使用部门委派至少3人以上（其中含一名部门领导）、归口管理部门委派1人，资产管理处委派1人进行验收，审计处委派1人监督验收过程；合同金额在壹拾万至伍十万元的，验收时由使用部门委派至少2人以上（其中含一名部门领导）、归口管理部门委派1人，资产管理处委派1人进行验收 ，审计处委派1人监督验收过程；合同金额在壹拾万元以下的，验收时由使用部门委派2人（其中含一名部门领导），资产管理处委派1人共同参与验收。验收以合同为依据，对货物的数量与质量，按相关技术要求或产品验收标准，使用部门填写《柳州职业技术学院采购项目验收报告》，验收后验收组成员签字。</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第四十四条</w:t>
      </w:r>
      <w:r>
        <w:rPr>
          <w:rFonts w:hint="eastAsia" w:ascii="仿宋_GB2312" w:eastAsia="仿宋_GB2312"/>
          <w:sz w:val="32"/>
          <w:szCs w:val="32"/>
        </w:rPr>
        <w:t xml:space="preserve">  必要时可邀请校外专家参与验收。聘请校外专家费用应在项目预算中体现。</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第四十五条</w:t>
      </w:r>
      <w:r>
        <w:rPr>
          <w:rFonts w:hint="eastAsia" w:ascii="仿宋_GB2312" w:eastAsia="仿宋_GB2312"/>
          <w:sz w:val="32"/>
          <w:szCs w:val="32"/>
        </w:rPr>
        <w:t xml:space="preserve">  应加强对验收环节管理。验收不合格，应拒绝接受，并作专项验收报告，参加人员签字，按合同有关条款处理。未完成验收的项目不得支付项目尾款。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58" w:name="_Toc31536_WPSOffice_Level1"/>
      <w:r>
        <w:rPr>
          <w:rFonts w:hint="eastAsia" w:ascii="黑体" w:hAnsi="黑体" w:eastAsia="黑体"/>
          <w:b/>
          <w:sz w:val="32"/>
          <w:szCs w:val="32"/>
        </w:rPr>
        <w:t>第十一章 结算与付款</w:t>
      </w:r>
      <w:bookmarkEnd w:id="1658"/>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第四十六条</w:t>
      </w:r>
      <w:r>
        <w:rPr>
          <w:rFonts w:hint="eastAsia" w:ascii="仿宋_GB2312" w:eastAsia="仿宋_GB2312"/>
          <w:sz w:val="32"/>
          <w:szCs w:val="32"/>
        </w:rPr>
        <w:t xml:space="preserve">  申购部门在验收合格后，应严格按照合同内容在约定时间内办理结算。结算时应该由申请采购部门提交事前审批流程，附上《柳州职业技术学院设备采购项目验收报告》《项目货物合同书》《政府采购合同款、履约保证金支付意见表》“购货发票”、“固定资产入库单”等构成报账结算凭证到财务处办理结算手续，并报资产管理处备案。</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第四十七条  </w:t>
      </w:r>
      <w:r>
        <w:rPr>
          <w:rFonts w:hint="eastAsia" w:ascii="仿宋_GB2312" w:eastAsia="仿宋_GB2312"/>
          <w:sz w:val="32"/>
          <w:szCs w:val="32"/>
        </w:rPr>
        <w:t>质保期到期十个工作日内，申请采购部门根据合同履行情况及设备运行情况，提交《政府采购合同款、履约保证金支付意见表》于财务处，根据合同条款办理中标商的履约保证金的返还支付手续，并报资产管理处备案。</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59" w:name="_Toc18883_WPSOffice_Level1"/>
      <w:r>
        <w:rPr>
          <w:rFonts w:hint="eastAsia" w:ascii="黑体" w:hAnsi="黑体" w:eastAsia="黑体"/>
          <w:b/>
          <w:sz w:val="32"/>
          <w:szCs w:val="32"/>
        </w:rPr>
        <w:t>第十二章 责任追究</w:t>
      </w:r>
      <w:bookmarkEnd w:id="1659"/>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第四十八条  </w:t>
      </w:r>
      <w:r>
        <w:rPr>
          <w:rFonts w:hint="eastAsia" w:ascii="仿宋_GB2312" w:eastAsia="仿宋_GB2312"/>
          <w:sz w:val="32"/>
          <w:szCs w:val="32"/>
        </w:rPr>
        <w:t xml:space="preserve">参与学校采购与招标活动的工作人员有下列情形之一的，责令限期改正；限期之内不改正的，视情节轻重由纪委办公室（监察室）给予相应处理，并予全校通报，分管领导负连带责任：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1.应当采用公开招标方式而擅自采用其他方式采购的；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2.将必须进行招标的项目化整为零或者以其他任何方式规避招标的；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3.以不合理的要求限制或者排斥潜在投标供应商，对潜在投标供应商实行差别待遇或者歧视待遇，或者招标文件指定特定的供应商、含有倾向性或者排斥潜在投标供应商的其他内容的。                                    </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第四十九条  </w:t>
      </w:r>
      <w:r>
        <w:rPr>
          <w:rFonts w:hint="eastAsia" w:ascii="仿宋_GB2312" w:eastAsia="仿宋_GB2312"/>
          <w:sz w:val="32"/>
          <w:szCs w:val="32"/>
        </w:rPr>
        <w:t xml:space="preserve">业主评委有下列行为之一的，责令改正；造成重大失误的，视情节轻重由纪委办公室（监察室）给予相应处理，并予全校通报：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1.明知应当回避而未主动回避的；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2.在知道自己为评标委员会成员身份后至评标结束前的时段内私下接触投标供应商的；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3.在评标过程中有明显不合理或者不正当倾向性的； </w:t>
      </w:r>
    </w:p>
    <w:p>
      <w:pPr>
        <w:pageBreakBefore w:val="0"/>
        <w:kinsoku/>
        <w:wordWrap/>
        <w:overflowPunct/>
        <w:topLinePunct w:val="0"/>
        <w:autoSpaceDE/>
        <w:autoSpaceDN/>
        <w:bidi w:val="0"/>
        <w:spacing w:line="596" w:lineRule="exact"/>
        <w:outlineLvl w:val="9"/>
        <w:rPr>
          <w:rFonts w:hint="eastAsia" w:ascii="仿宋_GB2312" w:eastAsia="仿宋_GB2312"/>
          <w:sz w:val="32"/>
          <w:szCs w:val="32"/>
        </w:rPr>
      </w:pPr>
      <w:r>
        <w:rPr>
          <w:rFonts w:hint="eastAsia" w:ascii="仿宋_GB2312" w:eastAsia="仿宋_GB2312"/>
          <w:sz w:val="32"/>
          <w:szCs w:val="32"/>
        </w:rPr>
        <w:t xml:space="preserve">    4.未按招标文件规定的评标方法和标准进行评标的。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上述行为影响中标结果的，中标结果无效。 </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第五十条</w:t>
      </w:r>
      <w:r>
        <w:rPr>
          <w:rFonts w:hint="eastAsia" w:ascii="仿宋_GB2312" w:eastAsia="仿宋_GB2312"/>
          <w:sz w:val="32"/>
          <w:szCs w:val="32"/>
        </w:rPr>
        <w:t xml:space="preserve">  任何部门或者个人非法干预、影响评标的过程或者结果的，责令改正；造成严重后果的，视情节轻重由纪委办公室（监察室）给予责任部门或个人相应处理，并予全校通报。 </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第五十一条</w:t>
      </w:r>
      <w:r>
        <w:rPr>
          <w:rFonts w:hint="eastAsia" w:ascii="仿宋_GB2312" w:eastAsia="仿宋_GB2312"/>
          <w:sz w:val="32"/>
          <w:szCs w:val="32"/>
        </w:rPr>
        <w:t xml:space="preserve">  参与学校采购与招标活动的工作人员必须遵守国家的法律、法规和学校的有关规章制度，对存在滥用职权、玩忽职守、徇私舞弊等行为的责任人，视情节轻重由纪检监察室追究责任。涉嫌犯罪的，依法移送司法机关处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黑体" w:hAnsi="黑体" w:eastAsia="黑体"/>
          <w:b/>
          <w:sz w:val="32"/>
          <w:szCs w:val="32"/>
        </w:rPr>
      </w:pPr>
      <w:bookmarkStart w:id="1660" w:name="_Toc13056_WPSOffice_Level1"/>
      <w:r>
        <w:rPr>
          <w:rFonts w:hint="eastAsia" w:ascii="黑体" w:hAnsi="黑体" w:eastAsia="黑体"/>
          <w:b/>
          <w:sz w:val="32"/>
          <w:szCs w:val="32"/>
        </w:rPr>
        <w:t>第十三章  附  则</w:t>
      </w:r>
      <w:bookmarkEnd w:id="1660"/>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第五十二条  </w:t>
      </w:r>
      <w:r>
        <w:rPr>
          <w:rFonts w:hint="eastAsia" w:ascii="仿宋_GB2312" w:eastAsia="仿宋_GB2312"/>
          <w:sz w:val="32"/>
          <w:szCs w:val="32"/>
        </w:rPr>
        <w:t>本办法由资产管理处负责解释。采购具体操作流程另行规定。</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第五十三条</w:t>
      </w:r>
      <w:r>
        <w:rPr>
          <w:rFonts w:hint="eastAsia" w:ascii="仿宋_GB2312" w:eastAsia="仿宋_GB2312"/>
          <w:sz w:val="32"/>
          <w:szCs w:val="32"/>
        </w:rPr>
        <w:t xml:space="preserve">  本办法自下文之日起施行。柳职院字〔2017〕28号《柳州职业技术学院采购管理办法》及之前文件废止。</w:t>
      </w:r>
    </w:p>
    <w:p>
      <w:pPr>
        <w:pageBreakBefore w:val="0"/>
        <w:kinsoku/>
        <w:wordWrap/>
        <w:overflowPunct/>
        <w:topLinePunct w:val="0"/>
        <w:autoSpaceDE/>
        <w:autoSpaceDN/>
        <w:bidi w:val="0"/>
        <w:spacing w:line="596" w:lineRule="exact"/>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rPr>
        <w:t>附件：1.</w:t>
      </w:r>
      <w:r>
        <w:rPr>
          <w:rFonts w:hint="eastAsia" w:ascii="仿宋_GB2312" w:eastAsia="仿宋_GB2312"/>
          <w:sz w:val="32"/>
          <w:szCs w:val="32"/>
          <w:lang w:val="ru-RU"/>
        </w:rPr>
        <w:t>xx年度部门采购计划申请表</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lang w:val="ru-RU"/>
        </w:rPr>
      </w:pPr>
      <w:r>
        <w:rPr>
          <w:rFonts w:hint="eastAsia" w:ascii="仿宋_GB2312" w:eastAsia="仿宋_GB2312"/>
          <w:sz w:val="32"/>
          <w:szCs w:val="32"/>
        </w:rPr>
        <w:t>2.</w:t>
      </w:r>
      <w:r>
        <w:rPr>
          <w:rFonts w:hint="eastAsia" w:ascii="仿宋_GB2312" w:eastAsia="仿宋_GB2312"/>
          <w:sz w:val="32"/>
          <w:szCs w:val="32"/>
          <w:lang w:val="ru-RU"/>
        </w:rPr>
        <w:t>项目初步验收报告</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lang w:val="ru-RU"/>
        </w:rPr>
      </w:pPr>
      <w:r>
        <w:rPr>
          <w:rFonts w:hint="eastAsia" w:ascii="仿宋_GB2312" w:eastAsia="仿宋_GB2312"/>
          <w:sz w:val="32"/>
          <w:szCs w:val="32"/>
        </w:rPr>
        <w:t>3.</w:t>
      </w:r>
      <w:r>
        <w:rPr>
          <w:rFonts w:hint="eastAsia" w:ascii="仿宋_GB2312" w:eastAsia="仿宋_GB2312"/>
          <w:sz w:val="32"/>
          <w:szCs w:val="32"/>
          <w:lang w:val="ru-RU"/>
        </w:rPr>
        <w:t>柳州职业技术学院采购项目验收报告</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lang w:val="ru-RU"/>
        </w:rPr>
      </w:pPr>
      <w:r>
        <w:rPr>
          <w:rFonts w:hint="eastAsia" w:ascii="仿宋_GB2312" w:eastAsia="仿宋_GB2312"/>
          <w:sz w:val="32"/>
          <w:szCs w:val="32"/>
        </w:rPr>
        <w:t>4.XX项目立项论证记录</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lang w:val="ru-RU"/>
        </w:rPr>
      </w:pPr>
      <w:r>
        <w:rPr>
          <w:rFonts w:hint="eastAsia" w:ascii="仿宋_GB2312" w:eastAsia="仿宋_GB2312"/>
          <w:sz w:val="32"/>
          <w:szCs w:val="32"/>
        </w:rPr>
        <w:t>5.</w:t>
      </w:r>
      <w:r>
        <w:rPr>
          <w:rFonts w:hint="eastAsia" w:ascii="仿宋_GB2312" w:eastAsia="仿宋_GB2312"/>
          <w:sz w:val="32"/>
          <w:szCs w:val="32"/>
          <w:lang w:val="ru-RU"/>
        </w:rPr>
        <w:t>XX采购项目论证会记录</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rPr>
      </w:pPr>
      <w:r>
        <w:rPr>
          <w:rFonts w:hint="eastAsia" w:ascii="仿宋_GB2312" w:eastAsia="仿宋_GB2312"/>
          <w:sz w:val="32"/>
          <w:szCs w:val="32"/>
        </w:rPr>
        <w:t>6.告知书</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rPr>
      </w:pPr>
      <w:r>
        <w:rPr>
          <w:rFonts w:hint="eastAsia" w:ascii="仿宋_GB2312" w:eastAsia="仿宋_GB2312"/>
          <w:sz w:val="32"/>
          <w:szCs w:val="32"/>
        </w:rPr>
        <w:t>7.询价文件</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rPr>
      </w:pPr>
      <w:r>
        <w:rPr>
          <w:rFonts w:hint="eastAsia" w:ascii="仿宋_GB2312" w:eastAsia="仿宋_GB2312"/>
          <w:sz w:val="32"/>
          <w:szCs w:val="32"/>
        </w:rPr>
        <w:t>8.</w:t>
      </w:r>
      <w:r>
        <w:rPr>
          <w:rFonts w:hint="eastAsia" w:ascii="仿宋_GB2312" w:eastAsia="仿宋_GB2312"/>
          <w:sz w:val="32"/>
          <w:szCs w:val="32"/>
          <w:lang w:val="ru-RU"/>
        </w:rPr>
        <w:t>评标责任承诺书</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lang w:val="ru-RU"/>
        </w:rPr>
      </w:pPr>
      <w:r>
        <w:rPr>
          <w:rFonts w:hint="eastAsia" w:ascii="仿宋_GB2312" w:eastAsia="仿宋_GB2312"/>
          <w:sz w:val="32"/>
          <w:szCs w:val="32"/>
        </w:rPr>
        <w:t>9.</w:t>
      </w:r>
      <w:r>
        <w:rPr>
          <w:rFonts w:hint="eastAsia" w:ascii="仿宋_GB2312" w:eastAsia="仿宋_GB2312"/>
          <w:sz w:val="32"/>
          <w:szCs w:val="32"/>
          <w:lang w:val="ru-RU"/>
        </w:rPr>
        <w:t>采购项目变更申请表</w:t>
      </w:r>
    </w:p>
    <w:p>
      <w:pPr>
        <w:pageBreakBefore w:val="0"/>
        <w:kinsoku/>
        <w:wordWrap/>
        <w:overflowPunct/>
        <w:topLinePunct w:val="0"/>
        <w:autoSpaceDE/>
        <w:autoSpaceDN/>
        <w:bidi w:val="0"/>
        <w:spacing w:line="596" w:lineRule="exact"/>
        <w:ind w:firstLine="1600" w:firstLineChars="500"/>
        <w:outlineLvl w:val="9"/>
        <w:rPr>
          <w:rFonts w:hint="eastAsia" w:ascii="仿宋_GB2312" w:eastAsia="仿宋_GB2312"/>
          <w:sz w:val="32"/>
          <w:szCs w:val="32"/>
          <w:lang w:val="ru-RU"/>
        </w:rPr>
        <w:sectPr>
          <w:headerReference r:id="rId39" w:type="default"/>
          <w:pgSz w:w="11906" w:h="16838"/>
          <w:pgMar w:top="2098" w:right="1474" w:bottom="1984" w:left="1587" w:header="851" w:footer="992" w:gutter="0"/>
          <w:pgNumType w:fmt="decimal"/>
          <w:cols w:space="720" w:num="1"/>
          <w:docGrid w:type="lines" w:linePitch="312" w:charSpace="0"/>
        </w:sectPr>
      </w:pPr>
      <w:r>
        <w:rPr>
          <w:rFonts w:hint="eastAsia" w:ascii="仿宋_GB2312" w:eastAsia="仿宋_GB2312"/>
          <w:sz w:val="32"/>
          <w:szCs w:val="32"/>
        </w:rPr>
        <w:t>10</w:t>
      </w:r>
      <w:r>
        <w:rPr>
          <w:rFonts w:hint="eastAsia" w:ascii="仿宋_GB2312" w:eastAsia="仿宋_GB2312"/>
          <w:sz w:val="32"/>
          <w:szCs w:val="32"/>
          <w:lang w:val="ru-RU"/>
        </w:rPr>
        <w:t>.政府采购合同款、履约保证金支付意见表</w:t>
      </w: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61" w:name="_Toc21912_WPSOffice_Level1"/>
      <w:r>
        <w:rPr>
          <w:rFonts w:hint="eastAsia" w:ascii="黑体" w:hAnsi="Calibri" w:eastAsia="黑体"/>
          <w:b/>
          <w:bCs/>
          <w:sz w:val="32"/>
          <w:szCs w:val="32"/>
          <w:lang w:val="ru-RU"/>
        </w:rPr>
        <w:t>附件1</w:t>
      </w:r>
      <w:r>
        <w:rPr>
          <w:rFonts w:hint="eastAsia" w:ascii="黑体" w:hAnsi="Calibri" w:eastAsia="黑体"/>
          <w:b/>
          <w:bCs/>
          <w:sz w:val="32"/>
          <w:szCs w:val="32"/>
        </w:rPr>
        <w:t>:</w:t>
      </w:r>
      <w:bookmarkEnd w:id="1661"/>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662" w:name="_Toc31571_WPSOffice_Level1"/>
      <w:r>
        <w:rPr>
          <w:rFonts w:hint="eastAsia"/>
          <w:b/>
          <w:color w:val="000000"/>
          <w:sz w:val="36"/>
          <w:szCs w:val="36"/>
        </w:rPr>
        <w:t>柳州职业技术学院</w:t>
      </w:r>
      <w:bookmarkEnd w:id="1662"/>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1663" w:name="_Toc10317_WPSOffice_Level1"/>
      <w:r>
        <w:rPr>
          <w:rFonts w:hint="eastAsia"/>
          <w:b/>
          <w:color w:val="000000"/>
          <w:sz w:val="36"/>
          <w:szCs w:val="36"/>
        </w:rPr>
        <w:t>XX年度部门采购计划申请表</w:t>
      </w:r>
      <w:bookmarkEnd w:id="1663"/>
    </w:p>
    <w:p>
      <w:pPr>
        <w:pageBreakBefore w:val="0"/>
        <w:kinsoku/>
        <w:wordWrap/>
        <w:overflowPunct/>
        <w:topLinePunct w:val="0"/>
        <w:autoSpaceDE/>
        <w:autoSpaceDN/>
        <w:bidi w:val="0"/>
        <w:jc w:val="left"/>
        <w:outlineLvl w:val="9"/>
        <w:rPr>
          <w:rFonts w:ascii="宋体"/>
          <w:b/>
          <w:sz w:val="24"/>
          <w:u w:val="single"/>
        </w:rPr>
      </w:pPr>
      <w:r>
        <w:rPr>
          <w:rFonts w:hint="eastAsia" w:ascii="宋体" w:hAnsi="宋体"/>
          <w:b/>
          <w:sz w:val="24"/>
        </w:rPr>
        <w:t>部门名称：</w:t>
      </w:r>
      <w:r>
        <w:rPr>
          <w:rFonts w:ascii="宋体" w:hAnsi="宋体"/>
          <w:b/>
          <w:sz w:val="24"/>
          <w:u w:val="single"/>
        </w:rPr>
        <w:t xml:space="preserve">                  </w:t>
      </w:r>
      <w:r>
        <w:rPr>
          <w:rFonts w:ascii="宋体" w:hAnsi="宋体"/>
          <w:b/>
          <w:sz w:val="24"/>
        </w:rPr>
        <w:t xml:space="preserve">   </w:t>
      </w:r>
    </w:p>
    <w:tbl>
      <w:tblPr>
        <w:tblStyle w:val="14"/>
        <w:tblW w:w="146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521"/>
        <w:gridCol w:w="2752"/>
        <w:gridCol w:w="1003"/>
        <w:gridCol w:w="785"/>
        <w:gridCol w:w="786"/>
        <w:gridCol w:w="785"/>
        <w:gridCol w:w="786"/>
        <w:gridCol w:w="1173"/>
        <w:gridCol w:w="1119"/>
        <w:gridCol w:w="1211"/>
        <w:gridCol w:w="1181"/>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72"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编号</w:t>
            </w:r>
          </w:p>
        </w:tc>
        <w:tc>
          <w:tcPr>
            <w:tcW w:w="1521"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产品</w:t>
            </w:r>
            <w:r>
              <w:rPr>
                <w:rFonts w:ascii="宋体" w:hAnsi="宋体"/>
                <w:b/>
                <w:szCs w:val="21"/>
              </w:rPr>
              <w:t>/</w:t>
            </w:r>
            <w:r>
              <w:rPr>
                <w:rFonts w:hint="eastAsia" w:ascii="宋体" w:hAnsi="宋体"/>
                <w:b/>
                <w:szCs w:val="21"/>
              </w:rPr>
              <w:t>服务名称</w:t>
            </w:r>
          </w:p>
        </w:tc>
        <w:tc>
          <w:tcPr>
            <w:tcW w:w="2752"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产品</w:t>
            </w:r>
            <w:r>
              <w:rPr>
                <w:rFonts w:ascii="宋体" w:hAnsi="宋体"/>
                <w:b/>
                <w:szCs w:val="21"/>
              </w:rPr>
              <w:t>/</w:t>
            </w:r>
            <w:r>
              <w:rPr>
                <w:rFonts w:hint="eastAsia" w:ascii="宋体" w:hAnsi="宋体"/>
                <w:b/>
                <w:szCs w:val="21"/>
              </w:rPr>
              <w:t>服务类型</w:t>
            </w:r>
          </w:p>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w:t>
            </w:r>
            <w:r>
              <w:rPr>
                <w:rFonts w:hint="eastAsia" w:ascii="宋体" w:hAnsi="宋体"/>
                <w:b/>
                <w:sz w:val="20"/>
                <w:szCs w:val="21"/>
              </w:rPr>
              <w:t>物资</w:t>
            </w:r>
            <w:r>
              <w:rPr>
                <w:rFonts w:ascii="宋体" w:hAnsi="宋体"/>
                <w:b/>
                <w:sz w:val="20"/>
                <w:szCs w:val="21"/>
              </w:rPr>
              <w:t>/</w:t>
            </w:r>
            <w:r>
              <w:rPr>
                <w:rFonts w:hint="eastAsia" w:ascii="宋体" w:hAnsi="宋体"/>
                <w:b/>
                <w:sz w:val="20"/>
                <w:szCs w:val="21"/>
              </w:rPr>
              <w:t>设备</w:t>
            </w:r>
            <w:r>
              <w:rPr>
                <w:rFonts w:ascii="宋体" w:hAnsi="宋体"/>
                <w:b/>
                <w:sz w:val="20"/>
                <w:szCs w:val="21"/>
              </w:rPr>
              <w:t>/</w:t>
            </w:r>
            <w:r>
              <w:rPr>
                <w:rFonts w:hint="eastAsia" w:ascii="宋体" w:hAnsi="宋体"/>
                <w:b/>
                <w:sz w:val="20"/>
                <w:szCs w:val="21"/>
              </w:rPr>
              <w:t>服务</w:t>
            </w:r>
            <w:r>
              <w:rPr>
                <w:rFonts w:ascii="宋体" w:hAnsi="宋体"/>
                <w:b/>
                <w:sz w:val="20"/>
                <w:szCs w:val="21"/>
              </w:rPr>
              <w:t>/</w:t>
            </w:r>
            <w:r>
              <w:rPr>
                <w:rFonts w:hint="eastAsia" w:ascii="宋体" w:hAnsi="宋体"/>
                <w:b/>
                <w:sz w:val="20"/>
                <w:szCs w:val="21"/>
              </w:rPr>
              <w:t>其它</w:t>
            </w:r>
            <w:r>
              <w:rPr>
                <w:rFonts w:hint="eastAsia" w:ascii="宋体" w:hAnsi="宋体"/>
                <w:b/>
                <w:szCs w:val="21"/>
              </w:rPr>
              <w:t>）</w:t>
            </w:r>
          </w:p>
        </w:tc>
        <w:tc>
          <w:tcPr>
            <w:tcW w:w="1003"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规格</w:t>
            </w:r>
          </w:p>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型号</w:t>
            </w:r>
          </w:p>
        </w:tc>
        <w:tc>
          <w:tcPr>
            <w:tcW w:w="785"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单位</w:t>
            </w:r>
          </w:p>
        </w:tc>
        <w:tc>
          <w:tcPr>
            <w:tcW w:w="786"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数量</w:t>
            </w:r>
          </w:p>
        </w:tc>
        <w:tc>
          <w:tcPr>
            <w:tcW w:w="785"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单价</w:t>
            </w:r>
          </w:p>
        </w:tc>
        <w:tc>
          <w:tcPr>
            <w:tcW w:w="786"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总价</w:t>
            </w:r>
          </w:p>
        </w:tc>
        <w:tc>
          <w:tcPr>
            <w:tcW w:w="1173"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资金来源</w:t>
            </w:r>
          </w:p>
        </w:tc>
        <w:tc>
          <w:tcPr>
            <w:tcW w:w="1119"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需求采购到位日期</w:t>
            </w:r>
          </w:p>
        </w:tc>
        <w:tc>
          <w:tcPr>
            <w:tcW w:w="1211"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部门项目负责人</w:t>
            </w:r>
          </w:p>
        </w:tc>
        <w:tc>
          <w:tcPr>
            <w:tcW w:w="1181"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联系电话</w:t>
            </w:r>
          </w:p>
        </w:tc>
        <w:tc>
          <w:tcPr>
            <w:tcW w:w="802" w:type="dxa"/>
            <w:vAlign w:val="center"/>
          </w:tcPr>
          <w:p>
            <w:pPr>
              <w:pageBreakBefore w:val="0"/>
              <w:kinsoku/>
              <w:wordWrap/>
              <w:overflowPunct/>
              <w:topLinePunct w:val="0"/>
              <w:autoSpaceDE/>
              <w:autoSpaceDN/>
              <w:bidi w:val="0"/>
              <w:snapToGrid w:val="0"/>
              <w:jc w:val="center"/>
              <w:outlineLvl w:val="9"/>
              <w:rPr>
                <w:rFonts w:asci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1</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2</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3</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4</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5</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6</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7</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8</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9</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10</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11</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12</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13</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14</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15</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16</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17</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772" w:type="dxa"/>
            <w:vAlign w:val="center"/>
          </w:tcPr>
          <w:p>
            <w:pPr>
              <w:pageBreakBefore w:val="0"/>
              <w:kinsoku/>
              <w:wordWrap/>
              <w:overflowPunct/>
              <w:topLinePunct w:val="0"/>
              <w:autoSpaceDE/>
              <w:autoSpaceDN/>
              <w:bidi w:val="0"/>
              <w:jc w:val="center"/>
              <w:outlineLvl w:val="9"/>
              <w:rPr>
                <w:rFonts w:ascii="宋体"/>
                <w:szCs w:val="21"/>
              </w:rPr>
            </w:pPr>
            <w:r>
              <w:rPr>
                <w:rFonts w:ascii="宋体" w:hAnsi="宋体"/>
                <w:szCs w:val="21"/>
              </w:rPr>
              <w:t>20</w:t>
            </w:r>
          </w:p>
        </w:tc>
        <w:tc>
          <w:tcPr>
            <w:tcW w:w="1521" w:type="dxa"/>
          </w:tcPr>
          <w:p>
            <w:pPr>
              <w:pageBreakBefore w:val="0"/>
              <w:kinsoku/>
              <w:wordWrap/>
              <w:overflowPunct/>
              <w:topLinePunct w:val="0"/>
              <w:autoSpaceDE/>
              <w:autoSpaceDN/>
              <w:bidi w:val="0"/>
              <w:jc w:val="left"/>
              <w:outlineLvl w:val="9"/>
              <w:rPr>
                <w:rFonts w:ascii="宋体"/>
                <w:szCs w:val="21"/>
              </w:rPr>
            </w:pPr>
          </w:p>
        </w:tc>
        <w:tc>
          <w:tcPr>
            <w:tcW w:w="2752" w:type="dxa"/>
          </w:tcPr>
          <w:p>
            <w:pPr>
              <w:pageBreakBefore w:val="0"/>
              <w:kinsoku/>
              <w:wordWrap/>
              <w:overflowPunct/>
              <w:topLinePunct w:val="0"/>
              <w:autoSpaceDE/>
              <w:autoSpaceDN/>
              <w:bidi w:val="0"/>
              <w:jc w:val="left"/>
              <w:outlineLvl w:val="9"/>
              <w:rPr>
                <w:rFonts w:ascii="宋体"/>
                <w:szCs w:val="21"/>
              </w:rPr>
            </w:pPr>
          </w:p>
        </w:tc>
        <w:tc>
          <w:tcPr>
            <w:tcW w:w="1003"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785" w:type="dxa"/>
          </w:tcPr>
          <w:p>
            <w:pPr>
              <w:pageBreakBefore w:val="0"/>
              <w:kinsoku/>
              <w:wordWrap/>
              <w:overflowPunct/>
              <w:topLinePunct w:val="0"/>
              <w:autoSpaceDE/>
              <w:autoSpaceDN/>
              <w:bidi w:val="0"/>
              <w:jc w:val="left"/>
              <w:outlineLvl w:val="9"/>
              <w:rPr>
                <w:rFonts w:ascii="宋体"/>
                <w:szCs w:val="21"/>
              </w:rPr>
            </w:pPr>
          </w:p>
        </w:tc>
        <w:tc>
          <w:tcPr>
            <w:tcW w:w="786" w:type="dxa"/>
          </w:tcPr>
          <w:p>
            <w:pPr>
              <w:pageBreakBefore w:val="0"/>
              <w:kinsoku/>
              <w:wordWrap/>
              <w:overflowPunct/>
              <w:topLinePunct w:val="0"/>
              <w:autoSpaceDE/>
              <w:autoSpaceDN/>
              <w:bidi w:val="0"/>
              <w:jc w:val="left"/>
              <w:outlineLvl w:val="9"/>
              <w:rPr>
                <w:rFonts w:ascii="宋体"/>
                <w:szCs w:val="21"/>
              </w:rPr>
            </w:pPr>
          </w:p>
        </w:tc>
        <w:tc>
          <w:tcPr>
            <w:tcW w:w="1173" w:type="dxa"/>
            <w:vAlign w:val="center"/>
          </w:tcPr>
          <w:p>
            <w:pPr>
              <w:pageBreakBefore w:val="0"/>
              <w:kinsoku/>
              <w:wordWrap/>
              <w:overflowPunct/>
              <w:topLinePunct w:val="0"/>
              <w:autoSpaceDE/>
              <w:autoSpaceDN/>
              <w:bidi w:val="0"/>
              <w:outlineLvl w:val="9"/>
              <w:rPr>
                <w:rFonts w:ascii="宋体"/>
                <w:szCs w:val="21"/>
              </w:rPr>
            </w:pPr>
          </w:p>
        </w:tc>
        <w:tc>
          <w:tcPr>
            <w:tcW w:w="1119" w:type="dxa"/>
          </w:tcPr>
          <w:p>
            <w:pPr>
              <w:pageBreakBefore w:val="0"/>
              <w:kinsoku/>
              <w:wordWrap/>
              <w:overflowPunct/>
              <w:topLinePunct w:val="0"/>
              <w:autoSpaceDE/>
              <w:autoSpaceDN/>
              <w:bidi w:val="0"/>
              <w:outlineLvl w:val="9"/>
              <w:rPr>
                <w:rFonts w:ascii="宋体"/>
                <w:szCs w:val="21"/>
              </w:rPr>
            </w:pPr>
          </w:p>
        </w:tc>
        <w:tc>
          <w:tcPr>
            <w:tcW w:w="1211" w:type="dxa"/>
            <w:vAlign w:val="center"/>
          </w:tcPr>
          <w:p>
            <w:pPr>
              <w:pageBreakBefore w:val="0"/>
              <w:kinsoku/>
              <w:wordWrap/>
              <w:overflowPunct/>
              <w:topLinePunct w:val="0"/>
              <w:autoSpaceDE/>
              <w:autoSpaceDN/>
              <w:bidi w:val="0"/>
              <w:outlineLvl w:val="9"/>
              <w:rPr>
                <w:rFonts w:ascii="宋体"/>
                <w:szCs w:val="21"/>
              </w:rPr>
            </w:pPr>
          </w:p>
        </w:tc>
        <w:tc>
          <w:tcPr>
            <w:tcW w:w="1181" w:type="dxa"/>
          </w:tcPr>
          <w:p>
            <w:pPr>
              <w:pageBreakBefore w:val="0"/>
              <w:kinsoku/>
              <w:wordWrap/>
              <w:overflowPunct/>
              <w:topLinePunct w:val="0"/>
              <w:autoSpaceDE/>
              <w:autoSpaceDN/>
              <w:bidi w:val="0"/>
              <w:jc w:val="left"/>
              <w:outlineLvl w:val="9"/>
              <w:rPr>
                <w:rFonts w:ascii="宋体"/>
                <w:szCs w:val="21"/>
              </w:rPr>
            </w:pPr>
          </w:p>
        </w:tc>
        <w:tc>
          <w:tcPr>
            <w:tcW w:w="802" w:type="dxa"/>
          </w:tcPr>
          <w:p>
            <w:pPr>
              <w:pageBreakBefore w:val="0"/>
              <w:kinsoku/>
              <w:wordWrap/>
              <w:overflowPunct/>
              <w:topLinePunct w:val="0"/>
              <w:autoSpaceDE/>
              <w:autoSpaceDN/>
              <w:bidi w:val="0"/>
              <w:jc w:val="left"/>
              <w:outlineLvl w:val="9"/>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jc w:val="center"/>
        </w:trPr>
        <w:tc>
          <w:tcPr>
            <w:tcW w:w="5045" w:type="dxa"/>
            <w:gridSpan w:val="3"/>
            <w:vAlign w:val="center"/>
          </w:tcPr>
          <w:p>
            <w:pPr>
              <w:pageBreakBefore w:val="0"/>
              <w:kinsoku/>
              <w:wordWrap/>
              <w:overflowPunct/>
              <w:topLinePunct w:val="0"/>
              <w:autoSpaceDE/>
              <w:autoSpaceDN/>
              <w:bidi w:val="0"/>
              <w:jc w:val="center"/>
              <w:outlineLvl w:val="9"/>
              <w:rPr>
                <w:rFonts w:ascii="宋体"/>
                <w:b/>
                <w:szCs w:val="21"/>
              </w:rPr>
            </w:pPr>
            <w:r>
              <w:rPr>
                <w:rFonts w:hint="eastAsia" w:ascii="宋体" w:hAnsi="宋体"/>
                <w:b/>
                <w:szCs w:val="21"/>
              </w:rPr>
              <w:t>采购费用合计</w:t>
            </w:r>
          </w:p>
        </w:tc>
        <w:tc>
          <w:tcPr>
            <w:tcW w:w="9631" w:type="dxa"/>
            <w:gridSpan w:val="10"/>
          </w:tcPr>
          <w:p>
            <w:pPr>
              <w:pageBreakBefore w:val="0"/>
              <w:kinsoku/>
              <w:wordWrap/>
              <w:overflowPunct/>
              <w:topLinePunct w:val="0"/>
              <w:autoSpaceDE/>
              <w:autoSpaceDN/>
              <w:bidi w:val="0"/>
              <w:jc w:val="left"/>
              <w:outlineLvl w:val="9"/>
              <w:rPr>
                <w:rFonts w:ascii="宋体"/>
                <w:b/>
                <w:szCs w:val="21"/>
              </w:rPr>
            </w:pPr>
          </w:p>
        </w:tc>
      </w:tr>
    </w:tbl>
    <w:p>
      <w:pPr>
        <w:pageBreakBefore w:val="0"/>
        <w:kinsoku/>
        <w:wordWrap/>
        <w:overflowPunct/>
        <w:topLinePunct w:val="0"/>
        <w:autoSpaceDE/>
        <w:autoSpaceDN/>
        <w:bidi w:val="0"/>
        <w:spacing w:before="240"/>
        <w:jc w:val="left"/>
        <w:outlineLvl w:val="9"/>
        <w:rPr>
          <w:rFonts w:ascii="宋体"/>
          <w:sz w:val="24"/>
          <w:u w:val="single"/>
        </w:rPr>
        <w:sectPr>
          <w:pgSz w:w="16838" w:h="11906" w:orient="landscape"/>
          <w:pgMar w:top="1134" w:right="1134" w:bottom="1134" w:left="1134" w:header="851" w:footer="992" w:gutter="0"/>
          <w:pgNumType w:fmt="decimal"/>
          <w:cols w:space="720" w:num="1"/>
          <w:docGrid w:type="linesAndChars" w:linePitch="312" w:charSpace="0"/>
        </w:sectPr>
      </w:pPr>
      <w:r>
        <w:rPr>
          <w:rFonts w:hint="eastAsia" w:ascii="宋体" w:hAnsi="宋体"/>
          <w:sz w:val="24"/>
        </w:rPr>
        <w:t>编制：</w:t>
      </w:r>
      <w:r>
        <w:rPr>
          <w:rFonts w:ascii="宋体" w:hAnsi="宋体"/>
          <w:sz w:val="24"/>
          <w:u w:val="single"/>
        </w:rPr>
        <w:t xml:space="preserve">            </w:t>
      </w:r>
      <w:r>
        <w:rPr>
          <w:rFonts w:hint="eastAsia" w:ascii="宋体" w:hAnsi="宋体"/>
          <w:sz w:val="24"/>
        </w:rPr>
        <w:t>部门论证：</w:t>
      </w:r>
      <w:r>
        <w:rPr>
          <w:rFonts w:ascii="宋体" w:hAnsi="宋体"/>
          <w:sz w:val="24"/>
          <w:u w:val="single"/>
        </w:rPr>
        <w:t xml:space="preserve">                              </w:t>
      </w:r>
      <w:r>
        <w:rPr>
          <w:rFonts w:ascii="宋体" w:hAnsi="宋体"/>
          <w:sz w:val="24"/>
        </w:rPr>
        <w:t xml:space="preserve"> </w:t>
      </w:r>
      <w:r>
        <w:rPr>
          <w:rFonts w:hint="eastAsia" w:ascii="宋体" w:hAnsi="宋体"/>
          <w:sz w:val="24"/>
        </w:rPr>
        <w:t>部门审核：</w:t>
      </w:r>
      <w:r>
        <w:rPr>
          <w:rFonts w:ascii="宋体" w:hAnsi="宋体"/>
          <w:sz w:val="24"/>
          <w:u w:val="single"/>
        </w:rPr>
        <w:t xml:space="preserve">                 </w:t>
      </w:r>
      <w:r>
        <w:rPr>
          <w:rFonts w:hint="eastAsia" w:ascii="宋体" w:hAnsi="宋体"/>
          <w:sz w:val="24"/>
        </w:rPr>
        <w:t>分管校领导批准：</w:t>
      </w:r>
      <w:r>
        <w:rPr>
          <w:rFonts w:ascii="宋体" w:hAnsi="宋体"/>
          <w:sz w:val="24"/>
          <w:u w:val="single"/>
        </w:rPr>
        <w:t xml:space="preserve">               </w:t>
      </w: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64" w:name="_Toc13008_WPSOffice_Level1"/>
      <w:r>
        <w:rPr>
          <w:rFonts w:hint="eastAsia" w:ascii="黑体" w:hAnsi="Calibri" w:eastAsia="黑体"/>
          <w:b/>
          <w:bCs/>
          <w:sz w:val="32"/>
          <w:szCs w:val="32"/>
          <w:lang w:val="ru-RU"/>
        </w:rPr>
        <w:t>附件2</w:t>
      </w:r>
      <w:r>
        <w:rPr>
          <w:rFonts w:hint="eastAsia" w:ascii="黑体" w:eastAsia="黑体"/>
          <w:b/>
          <w:bCs/>
          <w:sz w:val="32"/>
          <w:szCs w:val="32"/>
        </w:rPr>
        <w:t>:</w:t>
      </w:r>
      <w:bookmarkEnd w:id="1664"/>
    </w:p>
    <w:p>
      <w:pPr>
        <w:pageBreakBefore w:val="0"/>
        <w:kinsoku/>
        <w:wordWrap/>
        <w:overflowPunct/>
        <w:topLinePunct w:val="0"/>
        <w:autoSpaceDE/>
        <w:autoSpaceDN/>
        <w:bidi w:val="0"/>
        <w:spacing w:line="596" w:lineRule="exact"/>
        <w:jc w:val="center"/>
        <w:outlineLvl w:val="9"/>
        <w:rPr>
          <w:rFonts w:hint="eastAsia"/>
          <w:b/>
          <w:color w:val="000000"/>
          <w:sz w:val="36"/>
          <w:szCs w:val="36"/>
          <w:lang w:val="ru-RU"/>
        </w:rPr>
      </w:pPr>
      <w:bookmarkStart w:id="1665" w:name="_Toc23332_WPSOffice_Level1"/>
      <w:r>
        <w:rPr>
          <w:rFonts w:hint="eastAsia"/>
          <w:b/>
          <w:color w:val="000000"/>
          <w:sz w:val="36"/>
          <w:szCs w:val="36"/>
          <w:lang w:val="ru-RU"/>
        </w:rPr>
        <w:t>项目初步验收报告</w:t>
      </w:r>
      <w:bookmarkEnd w:id="1665"/>
    </w:p>
    <w:p>
      <w:pPr>
        <w:pageBreakBefore w:val="0"/>
        <w:kinsoku/>
        <w:wordWrap/>
        <w:overflowPunct/>
        <w:topLinePunct w:val="0"/>
        <w:autoSpaceDE/>
        <w:autoSpaceDN/>
        <w:bidi w:val="0"/>
        <w:spacing w:line="596" w:lineRule="exact"/>
        <w:jc w:val="center"/>
        <w:outlineLvl w:val="9"/>
        <w:rPr>
          <w:rFonts w:hint="eastAsia"/>
          <w:b/>
          <w:color w:val="000000"/>
          <w:sz w:val="36"/>
          <w:szCs w:val="36"/>
          <w:lang w:val="ru-RU"/>
        </w:rPr>
      </w:pPr>
    </w:p>
    <w:p>
      <w:pPr>
        <w:pageBreakBefore w:val="0"/>
        <w:kinsoku/>
        <w:wordWrap/>
        <w:overflowPunct/>
        <w:topLinePunct w:val="0"/>
        <w:autoSpaceDE/>
        <w:autoSpaceDN/>
        <w:bidi w:val="0"/>
        <w:spacing w:line="360" w:lineRule="auto"/>
        <w:outlineLvl w:val="9"/>
        <w:rPr>
          <w:sz w:val="24"/>
          <w:lang w:val="ru-RU"/>
        </w:rPr>
      </w:pPr>
      <w:r>
        <w:rPr>
          <w:rFonts w:hint="eastAsia"/>
          <w:sz w:val="24"/>
          <w:lang w:val="ru-RU"/>
        </w:rPr>
        <w:t>项目名称：</w:t>
      </w:r>
      <w:r>
        <w:rPr>
          <w:sz w:val="24"/>
        </w:rPr>
        <w:t>XXXX</w:t>
      </w:r>
      <w:r>
        <w:rPr>
          <w:rFonts w:hint="eastAsia"/>
          <w:sz w:val="24"/>
        </w:rPr>
        <w:t>项目（合同编号：</w:t>
      </w:r>
      <w:r>
        <w:rPr>
          <w:sz w:val="24"/>
        </w:rPr>
        <w:t xml:space="preserve">     </w:t>
      </w:r>
      <w:r>
        <w:rPr>
          <w:rFonts w:hint="eastAsia"/>
          <w:sz w:val="24"/>
        </w:rPr>
        <w:t>）</w:t>
      </w:r>
    </w:p>
    <w:tbl>
      <w:tblPr>
        <w:tblStyle w:val="1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7" w:type="dxa"/>
          </w:tcPr>
          <w:p>
            <w:pPr>
              <w:pageBreakBefore w:val="0"/>
              <w:kinsoku/>
              <w:wordWrap/>
              <w:overflowPunct/>
              <w:topLinePunct w:val="0"/>
              <w:autoSpaceDE/>
              <w:autoSpaceDN/>
              <w:bidi w:val="0"/>
              <w:spacing w:line="360" w:lineRule="auto"/>
              <w:outlineLvl w:val="9"/>
              <w:rPr>
                <w:sz w:val="24"/>
                <w:lang w:val="ru-RU"/>
              </w:rPr>
            </w:pPr>
            <w:r>
              <w:rPr>
                <w:rFonts w:hint="eastAsia"/>
                <w:sz w:val="24"/>
                <w:lang w:val="ru-RU"/>
              </w:rPr>
              <w:t>验收地点：</w:t>
            </w:r>
          </w:p>
        </w:tc>
        <w:tc>
          <w:tcPr>
            <w:tcW w:w="4927" w:type="dxa"/>
          </w:tcPr>
          <w:p>
            <w:pPr>
              <w:pageBreakBefore w:val="0"/>
              <w:kinsoku/>
              <w:wordWrap/>
              <w:overflowPunct/>
              <w:topLinePunct w:val="0"/>
              <w:autoSpaceDE/>
              <w:autoSpaceDN/>
              <w:bidi w:val="0"/>
              <w:spacing w:line="360" w:lineRule="auto"/>
              <w:outlineLvl w:val="9"/>
              <w:rPr>
                <w:sz w:val="24"/>
                <w:lang w:val="ru-RU"/>
              </w:rPr>
            </w:pPr>
            <w:r>
              <w:rPr>
                <w:rFonts w:hint="eastAsia"/>
                <w:sz w:val="24"/>
                <w:lang w:val="ru-RU"/>
              </w:rPr>
              <w:t>验收时间：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gridSpan w:val="2"/>
          </w:tcPr>
          <w:p>
            <w:pPr>
              <w:pageBreakBefore w:val="0"/>
              <w:kinsoku/>
              <w:wordWrap/>
              <w:overflowPunct/>
              <w:topLinePunct w:val="0"/>
              <w:autoSpaceDE/>
              <w:autoSpaceDN/>
              <w:bidi w:val="0"/>
              <w:spacing w:line="360" w:lineRule="auto"/>
              <w:outlineLvl w:val="9"/>
              <w:rPr>
                <w:sz w:val="24"/>
                <w:lang w:val="ru-RU"/>
              </w:rPr>
            </w:pPr>
            <w:r>
              <w:rPr>
                <w:rFonts w:hint="eastAsia"/>
                <w:sz w:val="24"/>
                <w:lang w:val="ru-RU"/>
              </w:rPr>
              <w:t>中标单位：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gridSpan w:val="2"/>
          </w:tcPr>
          <w:p>
            <w:pPr>
              <w:pageBreakBefore w:val="0"/>
              <w:kinsoku/>
              <w:wordWrap/>
              <w:overflowPunct/>
              <w:topLinePunct w:val="0"/>
              <w:autoSpaceDE/>
              <w:autoSpaceDN/>
              <w:bidi w:val="0"/>
              <w:spacing w:line="360" w:lineRule="auto"/>
              <w:outlineLvl w:val="9"/>
              <w:rPr>
                <w:sz w:val="24"/>
                <w:lang w:val="ru-RU"/>
              </w:rPr>
            </w:pPr>
            <w:r>
              <w:rPr>
                <w:rFonts w:hint="eastAsia"/>
                <w:sz w:val="24"/>
                <w:lang w:val="ru-RU"/>
              </w:rPr>
              <w:t>验收意见：</w:t>
            </w: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gridSpan w:val="2"/>
          </w:tcPr>
          <w:p>
            <w:pPr>
              <w:pageBreakBefore w:val="0"/>
              <w:kinsoku/>
              <w:wordWrap/>
              <w:overflowPunct/>
              <w:topLinePunct w:val="0"/>
              <w:autoSpaceDE/>
              <w:autoSpaceDN/>
              <w:bidi w:val="0"/>
              <w:spacing w:line="360" w:lineRule="auto"/>
              <w:outlineLvl w:val="9"/>
              <w:rPr>
                <w:sz w:val="24"/>
                <w:lang w:val="ru-RU"/>
              </w:rPr>
            </w:pPr>
            <w:r>
              <w:rPr>
                <w:rFonts w:hint="eastAsia"/>
                <w:sz w:val="24"/>
                <w:lang w:val="ru-RU"/>
              </w:rPr>
              <w:t>验收结论：□通过</w:t>
            </w:r>
            <w:r>
              <w:rPr>
                <w:sz w:val="24"/>
              </w:rPr>
              <w:t xml:space="preserve">      </w:t>
            </w:r>
            <w:r>
              <w:rPr>
                <w:rFonts w:hint="eastAsia"/>
                <w:sz w:val="24"/>
                <w:lang w:val="ru-RU"/>
              </w:rPr>
              <w:t>□不通过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54" w:type="dxa"/>
            <w:gridSpan w:val="2"/>
          </w:tcPr>
          <w:p>
            <w:pPr>
              <w:pageBreakBefore w:val="0"/>
              <w:kinsoku/>
              <w:wordWrap/>
              <w:overflowPunct/>
              <w:topLinePunct w:val="0"/>
              <w:autoSpaceDE/>
              <w:autoSpaceDN/>
              <w:bidi w:val="0"/>
              <w:spacing w:line="360" w:lineRule="auto"/>
              <w:outlineLvl w:val="9"/>
              <w:rPr>
                <w:sz w:val="24"/>
                <w:lang w:val="ru-RU"/>
              </w:rPr>
            </w:pPr>
            <w:r>
              <w:rPr>
                <w:rFonts w:hint="eastAsia"/>
                <w:sz w:val="24"/>
                <w:lang w:val="ru-RU"/>
              </w:rPr>
              <w:t>验收小组成员（签字并盖章）：</w:t>
            </w: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p>
            <w:pPr>
              <w:pageBreakBefore w:val="0"/>
              <w:kinsoku/>
              <w:wordWrap/>
              <w:overflowPunct/>
              <w:topLinePunct w:val="0"/>
              <w:autoSpaceDE/>
              <w:autoSpaceDN/>
              <w:bidi w:val="0"/>
              <w:spacing w:line="360" w:lineRule="auto"/>
              <w:outlineLvl w:val="9"/>
              <w:rPr>
                <w:sz w:val="24"/>
                <w:lang w:val="ru-RU"/>
              </w:rPr>
            </w:pPr>
          </w:p>
        </w:tc>
      </w:tr>
    </w:tbl>
    <w:p>
      <w:pPr>
        <w:pageBreakBefore w:val="0"/>
        <w:kinsoku/>
        <w:wordWrap/>
        <w:overflowPunct/>
        <w:topLinePunct w:val="0"/>
        <w:autoSpaceDE/>
        <w:autoSpaceDN/>
        <w:bidi w:val="0"/>
        <w:spacing w:line="360" w:lineRule="auto"/>
        <w:outlineLvl w:val="9"/>
        <w:rPr>
          <w:szCs w:val="28"/>
          <w:lang w:val="ru-RU"/>
        </w:rPr>
      </w:pPr>
    </w:p>
    <w:p>
      <w:pPr>
        <w:pageBreakBefore w:val="0"/>
        <w:kinsoku/>
        <w:wordWrap/>
        <w:overflowPunct/>
        <w:topLinePunct w:val="0"/>
        <w:autoSpaceDE/>
        <w:autoSpaceDN/>
        <w:bidi w:val="0"/>
        <w:spacing w:line="360" w:lineRule="auto"/>
        <w:outlineLvl w:val="9"/>
        <w:rPr>
          <w:szCs w:val="28"/>
          <w:lang w:val="ru-RU"/>
        </w:rPr>
      </w:pPr>
    </w:p>
    <w:p>
      <w:pPr>
        <w:pageBreakBefore w:val="0"/>
        <w:kinsoku/>
        <w:wordWrap/>
        <w:overflowPunct/>
        <w:topLinePunct w:val="0"/>
        <w:autoSpaceDE/>
        <w:autoSpaceDN/>
        <w:bidi w:val="0"/>
        <w:spacing w:line="360" w:lineRule="auto"/>
        <w:outlineLvl w:val="9"/>
        <w:rPr>
          <w:szCs w:val="28"/>
          <w:lang w:val="ru-RU"/>
        </w:rPr>
      </w:pP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66" w:name="_Toc22019_WPSOffice_Level1"/>
      <w:r>
        <w:rPr>
          <w:rFonts w:hint="eastAsia" w:ascii="黑体" w:hAnsi="Calibri" w:eastAsia="黑体"/>
          <w:b/>
          <w:bCs/>
          <w:sz w:val="32"/>
          <w:szCs w:val="32"/>
          <w:lang w:val="ru-RU"/>
        </w:rPr>
        <w:t>附件3</w:t>
      </w:r>
      <w:r>
        <w:rPr>
          <w:rFonts w:hint="eastAsia" w:ascii="黑体" w:eastAsia="黑体"/>
          <w:b/>
          <w:bCs/>
          <w:sz w:val="32"/>
          <w:szCs w:val="32"/>
        </w:rPr>
        <w:t>:</w:t>
      </w:r>
      <w:bookmarkEnd w:id="1666"/>
    </w:p>
    <w:p>
      <w:pPr>
        <w:pageBreakBefore w:val="0"/>
        <w:kinsoku/>
        <w:wordWrap/>
        <w:overflowPunct/>
        <w:topLinePunct w:val="0"/>
        <w:autoSpaceDE/>
        <w:autoSpaceDN/>
        <w:bidi w:val="0"/>
        <w:jc w:val="center"/>
        <w:outlineLvl w:val="9"/>
        <w:rPr>
          <w:rFonts w:ascii="宋体" w:cs="华文中宋"/>
          <w:b/>
          <w:bCs/>
          <w:sz w:val="32"/>
          <w:szCs w:val="28"/>
        </w:rPr>
      </w:pPr>
      <w:bookmarkStart w:id="1667" w:name="_Toc26498_WPSOffice_Level1"/>
      <w:r>
        <w:rPr>
          <w:rFonts w:hint="eastAsia"/>
          <w:b/>
          <w:color w:val="000000"/>
          <w:sz w:val="36"/>
          <w:szCs w:val="36"/>
          <w:lang w:val="ru-RU"/>
        </w:rPr>
        <w:t>柳州职业技术学院采购项目验收报告</w:t>
      </w:r>
      <w:bookmarkEnd w:id="1667"/>
      <w:r>
        <w:rPr>
          <w:rFonts w:ascii="宋体" w:hAnsi="宋体" w:cs="华文中宋"/>
          <w:b/>
          <w:bCs/>
          <w:sz w:val="32"/>
          <w:szCs w:val="28"/>
        </w:rPr>
        <w:t xml:space="preserve"> </w:t>
      </w:r>
    </w:p>
    <w:p>
      <w:pPr>
        <w:pageBreakBefore w:val="0"/>
        <w:kinsoku/>
        <w:wordWrap/>
        <w:overflowPunct/>
        <w:topLinePunct w:val="0"/>
        <w:autoSpaceDE/>
        <w:autoSpaceDN/>
        <w:bidi w:val="0"/>
        <w:jc w:val="center"/>
        <w:outlineLvl w:val="9"/>
        <w:rPr>
          <w:rFonts w:ascii="宋体" w:cs="华文中宋"/>
          <w:b/>
          <w:bCs/>
          <w:sz w:val="32"/>
          <w:szCs w:val="28"/>
        </w:rPr>
      </w:pPr>
    </w:p>
    <w:p>
      <w:pPr>
        <w:pageBreakBefore w:val="0"/>
        <w:kinsoku/>
        <w:wordWrap/>
        <w:overflowPunct/>
        <w:topLinePunct w:val="0"/>
        <w:autoSpaceDE/>
        <w:autoSpaceDN/>
        <w:bidi w:val="0"/>
        <w:ind w:left="-619" w:leftChars="-295" w:firstLine="480" w:firstLineChars="200"/>
        <w:outlineLvl w:val="9"/>
        <w:rPr>
          <w:rFonts w:ascii="??_GB2312" w:hAnsi="??_GB2312" w:eastAsia="Times New Roman" w:cs="??_GB2312"/>
          <w:sz w:val="24"/>
        </w:rPr>
      </w:pPr>
      <w:r>
        <w:rPr>
          <w:rFonts w:hint="eastAsia" w:ascii="宋体" w:hAnsi="宋体" w:cs="宋体"/>
          <w:sz w:val="24"/>
        </w:rPr>
        <w:t>根据采购项目（</w:t>
      </w:r>
      <w:r>
        <w:rPr>
          <w:rFonts w:ascii="??_GB2312" w:hAnsi="??_GB2312" w:eastAsia="Times New Roman" w:cs="??_GB2312"/>
          <w:sz w:val="24"/>
          <w:u w:val="single"/>
        </w:rPr>
        <w:t xml:space="preserve">      </w:t>
      </w:r>
      <w:r>
        <w:rPr>
          <w:rFonts w:hint="eastAsia" w:ascii="宋体" w:hAnsi="宋体" w:cs="宋体"/>
          <w:sz w:val="24"/>
        </w:rPr>
        <w:t>）的合同约定，我单位对（</w:t>
      </w:r>
      <w:r>
        <w:rPr>
          <w:rFonts w:ascii="??_GB2312" w:hAnsi="??_GB2312" w:eastAsia="Times New Roman" w:cs="??_GB2312"/>
          <w:sz w:val="24"/>
          <w:u w:val="single"/>
        </w:rPr>
        <w:t xml:space="preserve">         </w:t>
      </w:r>
      <w:r>
        <w:rPr>
          <w:rFonts w:hint="eastAsia" w:ascii="宋体" w:hAnsi="宋体" w:cs="宋体"/>
          <w:sz w:val="24"/>
        </w:rPr>
        <w:t>）采购项目中标（或成交）供应商（</w:t>
      </w:r>
      <w:r>
        <w:rPr>
          <w:rFonts w:ascii="??_GB2312" w:hAnsi="??_GB2312" w:eastAsia="Times New Roman" w:cs="??_GB2312"/>
          <w:sz w:val="24"/>
          <w:u w:val="single"/>
        </w:rPr>
        <w:t xml:space="preserve">                  </w:t>
      </w:r>
      <w:r>
        <w:rPr>
          <w:rFonts w:hint="eastAsia" w:ascii="宋体" w:hAnsi="宋体" w:cs="宋体"/>
          <w:sz w:val="24"/>
        </w:rPr>
        <w:t>）提供的货物（或工程、服务）进行了验收，验收情况如下：</w:t>
      </w:r>
    </w:p>
    <w:tbl>
      <w:tblPr>
        <w:tblStyle w:val="14"/>
        <w:tblpPr w:leftFromText="180" w:rightFromText="180" w:vertAnchor="text" w:horzAnchor="page" w:tblpX="1290" w:tblpY="310"/>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13"/>
        <w:gridCol w:w="1155"/>
        <w:gridCol w:w="3119"/>
        <w:gridCol w:w="708"/>
        <w:gridCol w:w="851"/>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hint="eastAsia" w:ascii="宋体" w:hAnsi="宋体" w:cs="宋体"/>
                <w:sz w:val="24"/>
              </w:rPr>
              <w:t>序号</w:t>
            </w:r>
          </w:p>
        </w:tc>
        <w:tc>
          <w:tcPr>
            <w:tcW w:w="2268" w:type="dxa"/>
            <w:gridSpan w:val="2"/>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hint="eastAsia" w:ascii="宋体" w:hAnsi="宋体" w:cs="宋体"/>
                <w:sz w:val="24"/>
              </w:rPr>
              <w:t>名称</w:t>
            </w:r>
          </w:p>
        </w:tc>
        <w:tc>
          <w:tcPr>
            <w:tcW w:w="3119"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hint="eastAsia" w:ascii="宋体" w:hAnsi="宋体" w:cs="宋体"/>
                <w:sz w:val="24"/>
              </w:rPr>
              <w:t>货物型号规格、标准及配置等（或服务内容、标准）</w:t>
            </w:r>
          </w:p>
        </w:tc>
        <w:tc>
          <w:tcPr>
            <w:tcW w:w="708"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hint="eastAsia" w:ascii="宋体" w:hAnsi="宋体" w:cs="宋体"/>
                <w:sz w:val="24"/>
              </w:rPr>
              <w:t>数量</w:t>
            </w:r>
          </w:p>
        </w:tc>
        <w:tc>
          <w:tcPr>
            <w:tcW w:w="851"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hint="eastAsia" w:ascii="宋体" w:hAnsi="宋体" w:cs="宋体"/>
                <w:sz w:val="24"/>
              </w:rPr>
              <w:t>金额</w:t>
            </w:r>
            <w:r>
              <w:rPr>
                <w:rFonts w:ascii="??_GB2312" w:hAnsi="??_GB2312" w:eastAsia="Times New Roman" w:cs="??_GB2312"/>
                <w:sz w:val="24"/>
              </w:rPr>
              <w:t>(</w:t>
            </w:r>
            <w:r>
              <w:rPr>
                <w:rFonts w:hint="eastAsia" w:ascii="宋体" w:hAnsi="宋体" w:cs="宋体"/>
                <w:sz w:val="24"/>
              </w:rPr>
              <w:t>元</w:t>
            </w:r>
            <w:r>
              <w:rPr>
                <w:rFonts w:ascii="??_GB2312" w:hAnsi="??_GB2312" w:eastAsia="Times New Roman" w:cs="??_GB2312"/>
                <w:sz w:val="24"/>
              </w:rPr>
              <w:t>)</w:t>
            </w:r>
          </w:p>
        </w:tc>
        <w:tc>
          <w:tcPr>
            <w:tcW w:w="850" w:type="dxa"/>
          </w:tcPr>
          <w:p>
            <w:pPr>
              <w:pageBreakBefore w:val="0"/>
              <w:kinsoku/>
              <w:wordWrap/>
              <w:overflowPunct/>
              <w:topLinePunct w:val="0"/>
              <w:autoSpaceDE/>
              <w:autoSpaceDN/>
              <w:bidi w:val="0"/>
              <w:jc w:val="center"/>
              <w:outlineLvl w:val="9"/>
              <w:rPr>
                <w:rFonts w:ascii="??_GB2312" w:hAnsi="??_GB2312" w:eastAsia="Times New Roman" w:cs="??_GB2312"/>
                <w:sz w:val="24"/>
              </w:rPr>
            </w:pPr>
            <w:r>
              <w:rPr>
                <w:rFonts w:hint="eastAsia" w:ascii="宋体" w:hAnsi="宋体" w:cs="宋体"/>
                <w:sz w:val="24"/>
              </w:rPr>
              <w:t>存放场地</w:t>
            </w:r>
          </w:p>
        </w:tc>
        <w:tc>
          <w:tcPr>
            <w:tcW w:w="851" w:type="dxa"/>
          </w:tcPr>
          <w:p>
            <w:pPr>
              <w:pageBreakBefore w:val="0"/>
              <w:kinsoku/>
              <w:wordWrap/>
              <w:overflowPunct/>
              <w:topLinePunct w:val="0"/>
              <w:autoSpaceDE/>
              <w:autoSpaceDN/>
              <w:bidi w:val="0"/>
              <w:jc w:val="center"/>
              <w:outlineLvl w:val="9"/>
              <w:rPr>
                <w:rFonts w:ascii="??_GB2312" w:hAnsi="??_GB2312" w:eastAsia="Times New Roman" w:cs="??_GB2312"/>
                <w:sz w:val="24"/>
              </w:rPr>
            </w:pPr>
            <w:r>
              <w:rPr>
                <w:rFonts w:hint="eastAsia" w:ascii="宋体" w:hAnsi="宋体" w:cs="宋体"/>
                <w:sz w:val="24"/>
              </w:rPr>
              <w:t>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17"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ascii="??_GB2312" w:hAnsi="??_GB2312" w:eastAsia="Times New Roman" w:cs="??_GB2312"/>
                <w:sz w:val="24"/>
              </w:rPr>
              <w:t>1</w:t>
            </w:r>
          </w:p>
        </w:tc>
        <w:tc>
          <w:tcPr>
            <w:tcW w:w="2268" w:type="dxa"/>
            <w:gridSpan w:val="2"/>
            <w:vAlign w:val="center"/>
          </w:tcPr>
          <w:p>
            <w:pPr>
              <w:pageBreakBefore w:val="0"/>
              <w:kinsoku/>
              <w:wordWrap/>
              <w:overflowPunct/>
              <w:topLinePunct w:val="0"/>
              <w:autoSpaceDE/>
              <w:autoSpaceDN/>
              <w:bidi w:val="0"/>
              <w:jc w:val="center"/>
              <w:outlineLvl w:val="9"/>
              <w:rPr>
                <w:rFonts w:ascii="??_GB2312" w:hAnsi="??_GB2312" w:eastAsia="Times New Roman" w:cs="??_GB2312"/>
                <w:color w:val="FF0000"/>
                <w:sz w:val="24"/>
              </w:rPr>
            </w:pPr>
          </w:p>
        </w:tc>
        <w:tc>
          <w:tcPr>
            <w:tcW w:w="3119" w:type="dxa"/>
            <w:vAlign w:val="center"/>
          </w:tcPr>
          <w:p>
            <w:pPr>
              <w:pageBreakBefore w:val="0"/>
              <w:kinsoku/>
              <w:wordWrap/>
              <w:overflowPunct/>
              <w:topLinePunct w:val="0"/>
              <w:autoSpaceDE/>
              <w:autoSpaceDN/>
              <w:bidi w:val="0"/>
              <w:jc w:val="center"/>
              <w:outlineLvl w:val="9"/>
              <w:rPr>
                <w:rFonts w:ascii="??_GB2312" w:hAnsi="??_GB2312" w:eastAsia="Times New Roman" w:cs="??_GB2312"/>
                <w:color w:val="FF0000"/>
                <w:sz w:val="24"/>
              </w:rPr>
            </w:pPr>
          </w:p>
        </w:tc>
        <w:tc>
          <w:tcPr>
            <w:tcW w:w="708" w:type="dxa"/>
            <w:vAlign w:val="center"/>
          </w:tcPr>
          <w:p>
            <w:pPr>
              <w:pageBreakBefore w:val="0"/>
              <w:kinsoku/>
              <w:wordWrap/>
              <w:overflowPunct/>
              <w:topLinePunct w:val="0"/>
              <w:autoSpaceDE/>
              <w:autoSpaceDN/>
              <w:bidi w:val="0"/>
              <w:jc w:val="center"/>
              <w:outlineLvl w:val="9"/>
              <w:rPr>
                <w:rFonts w:ascii="??_GB2312" w:hAnsi="??_GB2312" w:eastAsia="Times New Roman" w:cs="??_GB2312"/>
                <w:color w:val="FF0000"/>
                <w:sz w:val="24"/>
              </w:rPr>
            </w:pPr>
          </w:p>
        </w:tc>
        <w:tc>
          <w:tcPr>
            <w:tcW w:w="851" w:type="dxa"/>
            <w:vAlign w:val="center"/>
          </w:tcPr>
          <w:p>
            <w:pPr>
              <w:pageBreakBefore w:val="0"/>
              <w:kinsoku/>
              <w:wordWrap/>
              <w:overflowPunct/>
              <w:topLinePunct w:val="0"/>
              <w:autoSpaceDE/>
              <w:autoSpaceDN/>
              <w:bidi w:val="0"/>
              <w:jc w:val="center"/>
              <w:outlineLvl w:val="9"/>
              <w:rPr>
                <w:rFonts w:ascii="??_GB2312" w:hAnsi="??_GB2312" w:eastAsia="Times New Roman" w:cs="??_GB2312"/>
                <w:color w:val="FF0000"/>
                <w:sz w:val="24"/>
              </w:rPr>
            </w:pPr>
          </w:p>
        </w:tc>
        <w:tc>
          <w:tcPr>
            <w:tcW w:w="850" w:type="dxa"/>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851" w:type="dxa"/>
          </w:tcPr>
          <w:p>
            <w:pPr>
              <w:pageBreakBefore w:val="0"/>
              <w:kinsoku/>
              <w:wordWrap/>
              <w:overflowPunct/>
              <w:topLinePunct w:val="0"/>
              <w:autoSpaceDE/>
              <w:autoSpaceDN/>
              <w:bidi w:val="0"/>
              <w:jc w:val="center"/>
              <w:outlineLvl w:val="9"/>
              <w:rPr>
                <w:rFonts w:ascii="??_GB2312" w:hAnsi="??_GB2312" w:eastAsia="Times New Roman" w:cs="??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17"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ascii="??_GB2312" w:hAnsi="??_GB2312" w:eastAsia="Times New Roman" w:cs="??_GB2312"/>
                <w:sz w:val="24"/>
              </w:rPr>
              <w:t>2</w:t>
            </w:r>
          </w:p>
        </w:tc>
        <w:tc>
          <w:tcPr>
            <w:tcW w:w="2268" w:type="dxa"/>
            <w:gridSpan w:val="2"/>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3119"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708"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851"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850" w:type="dxa"/>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851" w:type="dxa"/>
          </w:tcPr>
          <w:p>
            <w:pPr>
              <w:pageBreakBefore w:val="0"/>
              <w:kinsoku/>
              <w:wordWrap/>
              <w:overflowPunct/>
              <w:topLinePunct w:val="0"/>
              <w:autoSpaceDE/>
              <w:autoSpaceDN/>
              <w:bidi w:val="0"/>
              <w:jc w:val="center"/>
              <w:outlineLvl w:val="9"/>
              <w:rPr>
                <w:rFonts w:ascii="??_GB2312" w:hAnsi="??_GB2312" w:eastAsia="Times New Roman" w:cs="??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17"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ascii="??_GB2312" w:hAnsi="??_GB2312" w:eastAsia="Times New Roman" w:cs="??_GB2312"/>
                <w:sz w:val="24"/>
              </w:rPr>
              <w:t>3</w:t>
            </w:r>
          </w:p>
        </w:tc>
        <w:tc>
          <w:tcPr>
            <w:tcW w:w="2268" w:type="dxa"/>
            <w:gridSpan w:val="2"/>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3119"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708"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851" w:type="dxa"/>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850" w:type="dxa"/>
          </w:tcPr>
          <w:p>
            <w:pPr>
              <w:pageBreakBefore w:val="0"/>
              <w:kinsoku/>
              <w:wordWrap/>
              <w:overflowPunct/>
              <w:topLinePunct w:val="0"/>
              <w:autoSpaceDE/>
              <w:autoSpaceDN/>
              <w:bidi w:val="0"/>
              <w:jc w:val="center"/>
              <w:outlineLvl w:val="9"/>
              <w:rPr>
                <w:rFonts w:ascii="??_GB2312" w:hAnsi="??_GB2312" w:eastAsia="Times New Roman" w:cs="??_GB2312"/>
                <w:sz w:val="24"/>
              </w:rPr>
            </w:pPr>
          </w:p>
        </w:tc>
        <w:tc>
          <w:tcPr>
            <w:tcW w:w="851" w:type="dxa"/>
          </w:tcPr>
          <w:p>
            <w:pPr>
              <w:pageBreakBefore w:val="0"/>
              <w:kinsoku/>
              <w:wordWrap/>
              <w:overflowPunct/>
              <w:topLinePunct w:val="0"/>
              <w:autoSpaceDE/>
              <w:autoSpaceDN/>
              <w:bidi w:val="0"/>
              <w:jc w:val="center"/>
              <w:outlineLvl w:val="9"/>
              <w:rPr>
                <w:rFonts w:ascii="??_GB2312" w:hAnsi="??_GB2312" w:eastAsia="Times New Roman" w:cs="??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464" w:type="dxa"/>
            <w:gridSpan w:val="8"/>
            <w:vAlign w:val="center"/>
          </w:tcPr>
          <w:p>
            <w:pPr>
              <w:pageBreakBefore w:val="0"/>
              <w:kinsoku/>
              <w:wordWrap/>
              <w:overflowPunct/>
              <w:topLinePunct w:val="0"/>
              <w:autoSpaceDE/>
              <w:autoSpaceDN/>
              <w:bidi w:val="0"/>
              <w:jc w:val="left"/>
              <w:outlineLvl w:val="9"/>
              <w:rPr>
                <w:rFonts w:ascii="??_GB2312" w:hAnsi="??_GB2312" w:eastAsia="Times New Roman" w:cs="??_GB2312"/>
                <w:sz w:val="24"/>
              </w:rPr>
            </w:pPr>
            <w:r>
              <w:rPr>
                <w:rFonts w:hint="eastAsia" w:ascii="宋体" w:hAnsi="宋体" w:cs="宋体"/>
                <w:sz w:val="24"/>
              </w:rPr>
              <w:t>合</w:t>
            </w:r>
            <w:r>
              <w:rPr>
                <w:rFonts w:ascii="??_GB2312" w:hAnsi="??_GB2312" w:eastAsia="Times New Roman" w:cs="??_GB2312"/>
                <w:sz w:val="24"/>
              </w:rPr>
              <w:t xml:space="preserve">        </w:t>
            </w:r>
            <w:r>
              <w:rPr>
                <w:rFonts w:hint="eastAsia" w:ascii="宋体" w:hAnsi="宋体" w:cs="宋体"/>
                <w:sz w:val="24"/>
              </w:rPr>
              <w:t>计：</w:t>
            </w:r>
            <w:r>
              <w:rPr>
                <w:rFonts w:ascii="??_GB2312" w:hAnsi="??_GB2312" w:eastAsia="Times New Roman" w:cs="??_GB2312"/>
                <w:color w:val="FF0000"/>
                <w:sz w:val="24"/>
              </w:rPr>
              <w:t xml:space="preserve">       </w:t>
            </w:r>
            <w:r>
              <w:rPr>
                <w:rFonts w:hint="eastAsia" w:ascii="宋体" w:hAnsi="宋体" w:cs="宋体"/>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464" w:type="dxa"/>
            <w:gridSpan w:val="8"/>
            <w:vAlign w:val="center"/>
          </w:tcPr>
          <w:p>
            <w:pPr>
              <w:pageBreakBefore w:val="0"/>
              <w:kinsoku/>
              <w:wordWrap/>
              <w:overflowPunct/>
              <w:topLinePunct w:val="0"/>
              <w:autoSpaceDE/>
              <w:autoSpaceDN/>
              <w:bidi w:val="0"/>
              <w:jc w:val="left"/>
              <w:outlineLvl w:val="9"/>
              <w:rPr>
                <w:rFonts w:ascii="??_GB2312" w:hAnsi="??_GB2312" w:eastAsia="Times New Roman" w:cs="??_GB2312"/>
                <w:sz w:val="24"/>
              </w:rPr>
            </w:pPr>
            <w:r>
              <w:rPr>
                <w:rFonts w:hint="eastAsia" w:ascii="宋体" w:hAnsi="宋体" w:cs="宋体"/>
                <w:sz w:val="24"/>
              </w:rPr>
              <w:t>合计大写金额：</w:t>
            </w:r>
            <w:r>
              <w:rPr>
                <w:rFonts w:ascii="??_GB2312" w:hAnsi="??_GB2312" w:eastAsia="Times New Roman" w:cs="??_GB2312"/>
                <w:sz w:val="24"/>
              </w:rPr>
              <w:t xml:space="preserve">               </w:t>
            </w:r>
            <w:r>
              <w:rPr>
                <w:rFonts w:hint="eastAsia" w:ascii="宋体" w:hAnsi="宋体" w:cs="宋体"/>
                <w:sz w:val="24"/>
              </w:rPr>
              <w:t>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8" w:hRule="atLeast"/>
        </w:trPr>
        <w:tc>
          <w:tcPr>
            <w:tcW w:w="1930" w:type="dxa"/>
            <w:gridSpan w:val="2"/>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hint="eastAsia" w:ascii="宋体" w:hAnsi="宋体" w:cs="宋体"/>
                <w:sz w:val="24"/>
              </w:rPr>
              <w:t>验收具体内容</w:t>
            </w:r>
          </w:p>
        </w:tc>
        <w:tc>
          <w:tcPr>
            <w:tcW w:w="7534" w:type="dxa"/>
            <w:gridSpan w:val="6"/>
          </w:tcPr>
          <w:p>
            <w:pPr>
              <w:pageBreakBefore w:val="0"/>
              <w:kinsoku/>
              <w:wordWrap/>
              <w:overflowPunct/>
              <w:topLinePunct w:val="0"/>
              <w:autoSpaceDE/>
              <w:autoSpaceDN/>
              <w:bidi w:val="0"/>
              <w:outlineLvl w:val="9"/>
              <w:rPr>
                <w:rFonts w:ascii="??_GB2312" w:hAnsi="??_GB2312" w:eastAsia="Times New Roman" w:cs="??_GB2312"/>
                <w:sz w:val="24"/>
              </w:rPr>
            </w:pPr>
            <w:r>
              <w:rPr>
                <w:rFonts w:hint="eastAsia" w:ascii="宋体" w:hAnsi="宋体" w:cs="宋体"/>
                <w:sz w:val="24"/>
              </w:rPr>
              <w:t>（应按采购合同、采购文件、投标响应文件及验收方案等进行验收；并核对中标或者成交供应商在安装调试等方面是否违反合同约定或服务规范要求、提供的质量保证证明材料是否齐全、应有的配件及附加是否达到合同约定等，可附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930" w:type="dxa"/>
            <w:gridSpan w:val="2"/>
            <w:vAlign w:val="center"/>
          </w:tcPr>
          <w:p>
            <w:pPr>
              <w:pageBreakBefore w:val="0"/>
              <w:kinsoku/>
              <w:wordWrap/>
              <w:overflowPunct/>
              <w:topLinePunct w:val="0"/>
              <w:autoSpaceDE/>
              <w:autoSpaceDN/>
              <w:bidi w:val="0"/>
              <w:jc w:val="center"/>
              <w:outlineLvl w:val="9"/>
              <w:rPr>
                <w:rFonts w:ascii="??_GB2312" w:hAnsi="??_GB2312" w:eastAsia="Times New Roman" w:cs="??_GB2312"/>
                <w:sz w:val="24"/>
              </w:rPr>
            </w:pPr>
            <w:r>
              <w:rPr>
                <w:rFonts w:hint="eastAsia" w:ascii="宋体" w:hAnsi="宋体" w:cs="宋体"/>
                <w:sz w:val="24"/>
              </w:rPr>
              <w:t>验收小组意见</w:t>
            </w:r>
          </w:p>
        </w:tc>
        <w:tc>
          <w:tcPr>
            <w:tcW w:w="7534" w:type="dxa"/>
            <w:gridSpan w:val="6"/>
          </w:tcPr>
          <w:p>
            <w:pPr>
              <w:pageBreakBefore w:val="0"/>
              <w:kinsoku/>
              <w:wordWrap/>
              <w:overflowPunct/>
              <w:topLinePunct w:val="0"/>
              <w:autoSpaceDE/>
              <w:autoSpaceDN/>
              <w:bidi w:val="0"/>
              <w:outlineLvl w:val="9"/>
              <w:rPr>
                <w:rFonts w:ascii="??_GB2312" w:hAnsi="??_GB2312" w:eastAsia="Times New Roman" w:cs="??_GB2312"/>
                <w:sz w:val="24"/>
              </w:rPr>
            </w:pPr>
            <w:r>
              <w:rPr>
                <w:rFonts w:hint="eastAsia" w:ascii="宋体" w:hAnsi="宋体" w:cs="宋体"/>
                <w:sz w:val="24"/>
              </w:rPr>
              <w:t>验收结论性意见：</w:t>
            </w:r>
            <w:r>
              <w:rPr>
                <w:rFonts w:ascii="??_GB2312" w:hAnsi="??_GB2312" w:eastAsia="Times New Roman" w:cs="??_GB2312"/>
                <w:sz w:val="24"/>
              </w:rPr>
              <w:t>□</w:t>
            </w:r>
            <w:r>
              <w:rPr>
                <w:rFonts w:hint="eastAsia" w:ascii="宋体" w:hAnsi="宋体" w:cs="宋体"/>
                <w:sz w:val="24"/>
              </w:rPr>
              <w:t>验收合格，同意办理结算手续</w:t>
            </w:r>
            <w:r>
              <w:rPr>
                <w:rFonts w:ascii="??_GB2312" w:hAnsi="??_GB2312" w:eastAsia="Times New Roman" w:cs="??_GB2312"/>
                <w:sz w:val="24"/>
              </w:rPr>
              <w:t xml:space="preserve">  </w:t>
            </w:r>
          </w:p>
          <w:p>
            <w:pPr>
              <w:pageBreakBefore w:val="0"/>
              <w:kinsoku/>
              <w:wordWrap/>
              <w:overflowPunct/>
              <w:topLinePunct w:val="0"/>
              <w:autoSpaceDE/>
              <w:autoSpaceDN/>
              <w:bidi w:val="0"/>
              <w:outlineLvl w:val="9"/>
              <w:rPr>
                <w:rFonts w:ascii="??_GB2312" w:hAnsi="??_GB2312" w:eastAsia="Times New Roman" w:cs="??_GB2312"/>
                <w:sz w:val="24"/>
              </w:rPr>
            </w:pPr>
            <w:r>
              <w:rPr>
                <w:rFonts w:ascii="??_GB2312" w:hAnsi="??_GB2312" w:eastAsia="Times New Roman" w:cs="??_GB2312"/>
                <w:sz w:val="24"/>
              </w:rPr>
              <w:t xml:space="preserve">      </w:t>
            </w:r>
            <w:bookmarkStart w:id="1668" w:name="_Toc6214_WPSOffice_Level1"/>
            <w:r>
              <w:rPr>
                <w:rFonts w:ascii="??_GB2312" w:hAnsi="??_GB2312" w:eastAsia="Times New Roman" w:cs="??_GB2312"/>
                <w:sz w:val="24"/>
              </w:rPr>
              <w:t xml:space="preserve">    </w:t>
            </w:r>
            <w:bookmarkEnd w:id="1668"/>
            <w:r>
              <w:rPr>
                <w:rFonts w:ascii="??_GB2312" w:hAnsi="??_GB2312" w:eastAsia="Times New Roman" w:cs="??_GB2312"/>
                <w:sz w:val="24"/>
              </w:rPr>
              <w:t xml:space="preserve"> </w:t>
            </w:r>
            <w:bookmarkStart w:id="1669" w:name="_Toc28144_WPSOffice_Level1"/>
            <w:r>
              <w:rPr>
                <w:rFonts w:ascii="??_GB2312" w:hAnsi="??_GB2312" w:eastAsia="Times New Roman" w:cs="??_GB2312"/>
                <w:sz w:val="24"/>
              </w:rPr>
              <w:t xml:space="preserve">     □</w:t>
            </w:r>
            <w:r>
              <w:rPr>
                <w:rFonts w:hint="eastAsia" w:ascii="宋体" w:hAnsi="宋体" w:cs="宋体"/>
                <w:sz w:val="24"/>
              </w:rPr>
              <w:t>验收不合格，待成交供应商整改后再次</w:t>
            </w:r>
            <w:bookmarkEnd w:id="1669"/>
            <w:r>
              <w:rPr>
                <w:rFonts w:hint="eastAsia" w:ascii="宋体" w:hAnsi="宋体" w:cs="宋体"/>
                <w:sz w:val="24"/>
              </w:rPr>
              <w:t>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3" w:hRule="atLeast"/>
        </w:trPr>
        <w:tc>
          <w:tcPr>
            <w:tcW w:w="9464" w:type="dxa"/>
            <w:gridSpan w:val="8"/>
          </w:tcPr>
          <w:p>
            <w:pPr>
              <w:pageBreakBefore w:val="0"/>
              <w:kinsoku/>
              <w:wordWrap/>
              <w:overflowPunct/>
              <w:topLinePunct w:val="0"/>
              <w:autoSpaceDE/>
              <w:autoSpaceDN/>
              <w:bidi w:val="0"/>
              <w:outlineLvl w:val="9"/>
              <w:rPr>
                <w:rFonts w:ascii="??_GB2312" w:hAnsi="??_GB2312" w:eastAsia="Times New Roman" w:cs="??_GB2312"/>
                <w:sz w:val="24"/>
              </w:rPr>
            </w:pPr>
          </w:p>
          <w:p>
            <w:pPr>
              <w:pageBreakBefore w:val="0"/>
              <w:kinsoku/>
              <w:wordWrap/>
              <w:overflowPunct/>
              <w:topLinePunct w:val="0"/>
              <w:autoSpaceDE/>
              <w:autoSpaceDN/>
              <w:bidi w:val="0"/>
              <w:outlineLvl w:val="9"/>
              <w:rPr>
                <w:rFonts w:ascii="??_GB2312" w:hAnsi="??_GB2312" w:eastAsia="Times New Roman" w:cs="??_GB2312"/>
                <w:sz w:val="24"/>
              </w:rPr>
            </w:pPr>
            <w:r>
              <w:rPr>
                <w:rFonts w:hint="eastAsia" w:ascii="宋体" w:hAnsi="宋体" w:cs="宋体"/>
                <w:sz w:val="24"/>
              </w:rPr>
              <w:t>验收小组成员签字：</w:t>
            </w:r>
          </w:p>
          <w:p>
            <w:pPr>
              <w:pageBreakBefore w:val="0"/>
              <w:kinsoku/>
              <w:wordWrap/>
              <w:overflowPunct/>
              <w:topLinePunct w:val="0"/>
              <w:autoSpaceDE/>
              <w:autoSpaceDN/>
              <w:bidi w:val="0"/>
              <w:outlineLvl w:val="9"/>
              <w:rPr>
                <w:rFonts w:ascii="??_GB2312" w:hAnsi="??_GB2312" w:eastAsia="Times New Roman" w:cs="??_GB2312"/>
                <w:sz w:val="24"/>
              </w:rPr>
            </w:pPr>
          </w:p>
          <w:p>
            <w:pPr>
              <w:pageBreakBefore w:val="0"/>
              <w:kinsoku/>
              <w:wordWrap/>
              <w:overflowPunct/>
              <w:topLinePunct w:val="0"/>
              <w:autoSpaceDE/>
              <w:autoSpaceDN/>
              <w:bidi w:val="0"/>
              <w:outlineLvl w:val="9"/>
              <w:rPr>
                <w:rFonts w:ascii="??_GB2312" w:hAnsi="??_GB2312" w:eastAsia="Times New Roman" w:cs="??_GB2312"/>
                <w:sz w:val="24"/>
              </w:rPr>
            </w:pPr>
          </w:p>
          <w:p>
            <w:pPr>
              <w:pageBreakBefore w:val="0"/>
              <w:kinsoku/>
              <w:wordWrap/>
              <w:overflowPunct/>
              <w:topLinePunct w:val="0"/>
              <w:autoSpaceDE/>
              <w:autoSpaceDN/>
              <w:bidi w:val="0"/>
              <w:outlineLvl w:val="9"/>
              <w:rPr>
                <w:rFonts w:ascii="??_GB2312" w:hAnsi="??_GB2312" w:eastAsia="Times New Roman" w:cs="??_GB2312"/>
                <w:sz w:val="24"/>
              </w:rPr>
            </w:pPr>
            <w:r>
              <w:rPr>
                <w:rFonts w:hint="eastAsia" w:ascii="宋体" w:hAnsi="宋体" w:cs="宋体"/>
                <w:sz w:val="24"/>
              </w:rPr>
              <w:t>资产管理处验收人：</w:t>
            </w:r>
            <w:r>
              <w:rPr>
                <w:rFonts w:ascii="??_GB2312" w:hAnsi="??_GB2312" w:eastAsia="Times New Roman" w:cs="??_GB2312"/>
                <w:sz w:val="24"/>
              </w:rPr>
              <w:t xml:space="preserve"> </w:t>
            </w:r>
          </w:p>
          <w:p>
            <w:pPr>
              <w:pageBreakBefore w:val="0"/>
              <w:kinsoku/>
              <w:wordWrap/>
              <w:overflowPunct/>
              <w:topLinePunct w:val="0"/>
              <w:autoSpaceDE/>
              <w:autoSpaceDN/>
              <w:bidi w:val="0"/>
              <w:outlineLvl w:val="9"/>
              <w:rPr>
                <w:rFonts w:ascii="??_GB2312" w:hAnsi="??_GB2312" w:eastAsia="Times New Roman" w:cs="??_GB2312"/>
                <w:sz w:val="24"/>
              </w:rPr>
            </w:pPr>
          </w:p>
          <w:p>
            <w:pPr>
              <w:pageBreakBefore w:val="0"/>
              <w:kinsoku/>
              <w:wordWrap/>
              <w:overflowPunct/>
              <w:topLinePunct w:val="0"/>
              <w:autoSpaceDE/>
              <w:autoSpaceDN/>
              <w:bidi w:val="0"/>
              <w:jc w:val="right"/>
              <w:outlineLvl w:val="9"/>
              <w:rPr>
                <w:rFonts w:ascii="??_GB2312" w:hAnsi="??_GB2312" w:eastAsia="Times New Roman" w:cs="??_GB2312"/>
                <w:sz w:val="24"/>
              </w:rPr>
            </w:pPr>
            <w:r>
              <w:rPr>
                <w:rFonts w:ascii="??_GB2312" w:hAnsi="??_GB2312" w:eastAsia="Times New Roman" w:cs="??_GB2312"/>
                <w:sz w:val="24"/>
              </w:rPr>
              <w:t xml:space="preserve">     </w:t>
            </w:r>
            <w:r>
              <w:rPr>
                <w:rFonts w:hint="eastAsia" w:ascii="宋体" w:hAnsi="宋体" w:cs="宋体"/>
                <w:sz w:val="24"/>
              </w:rPr>
              <w:t>年</w:t>
            </w:r>
            <w:r>
              <w:rPr>
                <w:rFonts w:ascii="??_GB2312" w:hAnsi="??_GB2312" w:eastAsia="Times New Roman" w:cs="??_GB2312"/>
                <w:sz w:val="24"/>
              </w:rPr>
              <w:t xml:space="preserve">    </w:t>
            </w:r>
            <w:r>
              <w:rPr>
                <w:rFonts w:hint="eastAsia" w:ascii="宋体" w:hAnsi="宋体" w:cs="宋体"/>
                <w:sz w:val="24"/>
              </w:rPr>
              <w:t>月</w:t>
            </w:r>
            <w:r>
              <w:rPr>
                <w:rFonts w:ascii="??_GB2312" w:hAnsi="??_GB2312" w:eastAsia="Times New Roman" w:cs="??_GB2312"/>
                <w:sz w:val="24"/>
              </w:rPr>
              <w:t xml:space="preserve">   </w:t>
            </w:r>
            <w:r>
              <w:rPr>
                <w:rFonts w:hint="eastAsia" w:ascii="宋体" w:hAnsi="宋体" w:cs="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pageBreakBefore w:val="0"/>
              <w:kinsoku/>
              <w:wordWrap/>
              <w:overflowPunct/>
              <w:topLinePunct w:val="0"/>
              <w:autoSpaceDE/>
              <w:autoSpaceDN/>
              <w:bidi w:val="0"/>
              <w:jc w:val="left"/>
              <w:outlineLvl w:val="9"/>
              <w:rPr>
                <w:rFonts w:ascii="??_GB2312" w:hAnsi="??_GB2312" w:eastAsia="Times New Roman" w:cs="??_GB2312"/>
                <w:sz w:val="24"/>
              </w:rPr>
            </w:pPr>
          </w:p>
          <w:p>
            <w:pPr>
              <w:pageBreakBefore w:val="0"/>
              <w:kinsoku/>
              <w:wordWrap/>
              <w:overflowPunct/>
              <w:topLinePunct w:val="0"/>
              <w:autoSpaceDE/>
              <w:autoSpaceDN/>
              <w:bidi w:val="0"/>
              <w:jc w:val="left"/>
              <w:outlineLvl w:val="9"/>
              <w:rPr>
                <w:rFonts w:ascii="??_GB2312" w:hAnsi="??_GB2312" w:eastAsia="Times New Roman" w:cs="??_GB2312"/>
                <w:sz w:val="24"/>
              </w:rPr>
            </w:pPr>
            <w:r>
              <w:rPr>
                <w:rFonts w:hint="eastAsia" w:ascii="宋体" w:hAnsi="宋体" w:cs="宋体"/>
                <w:sz w:val="24"/>
              </w:rPr>
              <w:t>审计处人员签字：</w:t>
            </w:r>
          </w:p>
          <w:p>
            <w:pPr>
              <w:pageBreakBefore w:val="0"/>
              <w:kinsoku/>
              <w:wordWrap/>
              <w:overflowPunct/>
              <w:topLinePunct w:val="0"/>
              <w:autoSpaceDE/>
              <w:autoSpaceDN/>
              <w:bidi w:val="0"/>
              <w:jc w:val="left"/>
              <w:outlineLvl w:val="9"/>
              <w:rPr>
                <w:rFonts w:ascii="??_GB2312" w:hAnsi="??_GB2312" w:eastAsia="Times New Roman" w:cs="??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pageBreakBefore w:val="0"/>
              <w:kinsoku/>
              <w:wordWrap/>
              <w:overflowPunct/>
              <w:topLinePunct w:val="0"/>
              <w:autoSpaceDE/>
              <w:autoSpaceDN/>
              <w:bidi w:val="0"/>
              <w:outlineLvl w:val="9"/>
              <w:rPr>
                <w:rFonts w:ascii="??_GB2312" w:hAnsi="??_GB2312" w:eastAsia="Times New Roman" w:cs="??_GB2312"/>
                <w:sz w:val="24"/>
              </w:rPr>
            </w:pPr>
            <w:r>
              <w:rPr>
                <w:rFonts w:hint="eastAsia" w:ascii="宋体" w:hAnsi="宋体" w:cs="宋体"/>
                <w:sz w:val="24"/>
              </w:rPr>
              <w:t>中标或者成交供应商负责人签字或盖章：</w:t>
            </w:r>
            <w:r>
              <w:rPr>
                <w:rFonts w:ascii="??_GB2312" w:hAnsi="??_GB2312" w:eastAsia="Times New Roman" w:cs="??_GB2312"/>
                <w:sz w:val="24"/>
              </w:rPr>
              <w:t xml:space="preserve">        </w:t>
            </w:r>
          </w:p>
          <w:p>
            <w:pPr>
              <w:pageBreakBefore w:val="0"/>
              <w:kinsoku/>
              <w:wordWrap/>
              <w:overflowPunct/>
              <w:topLinePunct w:val="0"/>
              <w:autoSpaceDE/>
              <w:autoSpaceDN/>
              <w:bidi w:val="0"/>
              <w:outlineLvl w:val="9"/>
              <w:rPr>
                <w:rFonts w:ascii="??_GB2312" w:hAnsi="??_GB2312" w:eastAsia="Times New Roman" w:cs="??_GB2312"/>
                <w:sz w:val="24"/>
              </w:rPr>
            </w:pPr>
          </w:p>
          <w:p>
            <w:pPr>
              <w:pageBreakBefore w:val="0"/>
              <w:kinsoku/>
              <w:wordWrap/>
              <w:overflowPunct/>
              <w:topLinePunct w:val="0"/>
              <w:autoSpaceDE/>
              <w:autoSpaceDN/>
              <w:bidi w:val="0"/>
              <w:outlineLvl w:val="9"/>
              <w:rPr>
                <w:rFonts w:ascii="??_GB2312" w:hAnsi="??_GB2312" w:eastAsia="Times New Roman" w:cs="??_GB2312"/>
                <w:sz w:val="24"/>
              </w:rPr>
            </w:pPr>
            <w:r>
              <w:rPr>
                <w:rFonts w:hint="eastAsia" w:ascii="宋体" w:hAnsi="宋体" w:cs="宋体"/>
                <w:sz w:val="24"/>
              </w:rPr>
              <w:t>联系电话：</w:t>
            </w:r>
            <w:r>
              <w:rPr>
                <w:rFonts w:ascii="??_GB2312" w:hAnsi="??_GB2312" w:eastAsia="Times New Roman" w:cs="??_GB2312"/>
                <w:sz w:val="24"/>
              </w:rPr>
              <w:t xml:space="preserve">              </w:t>
            </w:r>
            <w:r>
              <w:rPr>
                <w:rFonts w:hint="eastAsia" w:ascii="宋体" w:hAnsi="宋体" w:cs="宋体"/>
                <w:sz w:val="24"/>
              </w:rPr>
              <w:t>年</w:t>
            </w:r>
            <w:r>
              <w:rPr>
                <w:rFonts w:ascii="??_GB2312" w:hAnsi="??_GB2312" w:eastAsia="Times New Roman" w:cs="??_GB2312"/>
                <w:sz w:val="24"/>
              </w:rPr>
              <w:t xml:space="preserve">   </w:t>
            </w:r>
            <w:r>
              <w:rPr>
                <w:rFonts w:hint="eastAsia" w:ascii="宋体" w:hAnsi="宋体" w:cs="宋体"/>
                <w:sz w:val="24"/>
              </w:rPr>
              <w:t>月</w:t>
            </w:r>
            <w:r>
              <w:rPr>
                <w:rFonts w:ascii="??_GB2312" w:hAnsi="??_GB2312" w:eastAsia="Times New Roman" w:cs="??_GB2312"/>
                <w:sz w:val="24"/>
              </w:rPr>
              <w:t xml:space="preserve">   </w:t>
            </w:r>
            <w:r>
              <w:rPr>
                <w:rFonts w:hint="eastAsia" w:ascii="宋体" w:hAnsi="宋体" w:cs="宋体"/>
                <w:sz w:val="24"/>
              </w:rPr>
              <w:t>日</w:t>
            </w:r>
            <w:r>
              <w:rPr>
                <w:rFonts w:ascii="??_GB2312" w:hAnsi="??_GB2312" w:eastAsia="Times New Roman" w:cs="??_GB2312"/>
                <w:sz w:val="24"/>
              </w:rPr>
              <w:t xml:space="preserve">        </w:t>
            </w:r>
          </w:p>
        </w:tc>
      </w:tr>
    </w:tbl>
    <w:p>
      <w:pPr>
        <w:pageBreakBefore w:val="0"/>
        <w:kinsoku/>
        <w:wordWrap/>
        <w:overflowPunct/>
        <w:topLinePunct w:val="0"/>
        <w:autoSpaceDE/>
        <w:autoSpaceDN/>
        <w:bidi w:val="0"/>
        <w:outlineLvl w:val="9"/>
        <w:rPr>
          <w:rFonts w:ascii="??_GB2312" w:hAnsi="??_GB2312" w:eastAsia="Times New Roman" w:cs="??_GB2312"/>
          <w:sz w:val="24"/>
        </w:rPr>
      </w:pPr>
    </w:p>
    <w:p>
      <w:pPr>
        <w:pageBreakBefore w:val="0"/>
        <w:kinsoku/>
        <w:wordWrap/>
        <w:overflowPunct/>
        <w:topLinePunct w:val="0"/>
        <w:autoSpaceDE/>
        <w:autoSpaceDN/>
        <w:bidi w:val="0"/>
        <w:outlineLvl w:val="9"/>
        <w:rPr>
          <w:rFonts w:ascii="??_GB2312" w:hAnsi="??_GB2312" w:eastAsia="Times New Roman" w:cs="??_GB2312"/>
          <w:b/>
          <w:bCs/>
          <w:sz w:val="24"/>
        </w:rPr>
      </w:pPr>
      <w:r>
        <w:rPr>
          <w:rFonts w:hint="eastAsia" w:ascii="宋体" w:hAnsi="宋体" w:cs="宋体"/>
          <w:b/>
          <w:bCs/>
          <w:sz w:val="24"/>
        </w:rPr>
        <w:t>注：</w:t>
      </w:r>
      <w:r>
        <w:rPr>
          <w:rFonts w:ascii="??_GB2312" w:hAnsi="??_GB2312" w:eastAsia="Times New Roman" w:cs="??_GB2312"/>
          <w:b/>
          <w:bCs/>
          <w:sz w:val="24"/>
        </w:rPr>
        <w:t>1</w:t>
      </w:r>
      <w:r>
        <w:rPr>
          <w:rFonts w:hint="eastAsia" w:ascii="宋体" w:hAnsi="宋体" w:cs="宋体"/>
          <w:b/>
          <w:bCs/>
          <w:sz w:val="24"/>
        </w:rPr>
        <w:t>、本报告由使用部门依照合同填写（如有变更补充手续的将相关资料附后），</w:t>
      </w:r>
      <w:r>
        <w:rPr>
          <w:rFonts w:ascii="??_GB2312" w:hAnsi="??_GB2312" w:eastAsia="Times New Roman" w:cs="??_GB2312"/>
          <w:b/>
          <w:bCs/>
          <w:sz w:val="24"/>
        </w:rPr>
        <w:t xml:space="preserve">  </w:t>
      </w:r>
      <w:r>
        <w:rPr>
          <w:rFonts w:ascii="??_GB2312" w:hAnsi="??_GB2312" w:eastAsia="Times New Roman" w:cs="??_GB2312"/>
          <w:b/>
          <w:bCs/>
          <w:sz w:val="24"/>
        </w:rPr>
        <w:tab/>
      </w:r>
      <w:r>
        <w:rPr>
          <w:rFonts w:ascii="??_GB2312" w:hAnsi="??_GB2312" w:eastAsia="Times New Roman" w:cs="??_GB2312"/>
          <w:b/>
          <w:bCs/>
          <w:sz w:val="24"/>
        </w:rPr>
        <w:tab/>
      </w:r>
      <w:r>
        <w:rPr>
          <w:rFonts w:hint="eastAsia" w:ascii="宋体" w:hAnsi="宋体" w:cs="宋体"/>
          <w:b/>
          <w:bCs/>
          <w:sz w:val="24"/>
        </w:rPr>
        <w:t>核对无误后打印一式两份带到验收现场。</w:t>
      </w:r>
    </w:p>
    <w:p>
      <w:pPr>
        <w:pageBreakBefore w:val="0"/>
        <w:kinsoku/>
        <w:wordWrap/>
        <w:overflowPunct/>
        <w:topLinePunct w:val="0"/>
        <w:autoSpaceDE/>
        <w:autoSpaceDN/>
        <w:bidi w:val="0"/>
        <w:outlineLvl w:val="9"/>
        <w:rPr>
          <w:rFonts w:ascii="??_GB2312" w:hAnsi="??_GB2312" w:eastAsia="Times New Roman" w:cs="??_GB2312"/>
          <w:b/>
          <w:bCs/>
          <w:sz w:val="24"/>
        </w:rPr>
      </w:pPr>
      <w:r>
        <w:rPr>
          <w:rFonts w:ascii="??_GB2312" w:hAnsi="??_GB2312" w:eastAsia="Times New Roman" w:cs="??_GB2312"/>
          <w:b/>
          <w:bCs/>
          <w:sz w:val="24"/>
        </w:rPr>
        <w:t xml:space="preserve">   2</w:t>
      </w:r>
      <w:r>
        <w:rPr>
          <w:rFonts w:hint="eastAsia" w:ascii="宋体" w:hAnsi="宋体" w:cs="宋体"/>
          <w:b/>
          <w:bCs/>
          <w:sz w:val="24"/>
        </w:rPr>
        <w:t>、如合同内容较多，可将清单附后作为验收报告不可分割的一部分。</w:t>
      </w:r>
    </w:p>
    <w:p>
      <w:pPr>
        <w:pageBreakBefore w:val="0"/>
        <w:kinsoku/>
        <w:wordWrap/>
        <w:overflowPunct/>
        <w:topLinePunct w:val="0"/>
        <w:autoSpaceDE/>
        <w:autoSpaceDN/>
        <w:bidi w:val="0"/>
        <w:outlineLvl w:val="9"/>
        <w:rPr>
          <w:rFonts w:ascii="??_GB2312" w:hAnsi="??_GB2312" w:eastAsia="Times New Roman" w:cs="??_GB2312"/>
          <w:sz w:val="24"/>
        </w:rPr>
      </w:pP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70" w:name="_Toc21408_WPSOffice_Level1"/>
      <w:r>
        <w:rPr>
          <w:rFonts w:hint="eastAsia" w:ascii="黑体" w:hAnsi="Calibri" w:eastAsia="黑体"/>
          <w:b/>
          <w:bCs/>
          <w:sz w:val="32"/>
          <w:szCs w:val="32"/>
          <w:lang w:val="ru-RU"/>
        </w:rPr>
        <w:t>附件4</w:t>
      </w:r>
      <w:r>
        <w:rPr>
          <w:rFonts w:hint="eastAsia" w:ascii="黑体" w:eastAsia="黑体"/>
          <w:b/>
          <w:bCs/>
          <w:sz w:val="32"/>
          <w:szCs w:val="32"/>
        </w:rPr>
        <w:t>:</w:t>
      </w:r>
      <w:bookmarkEnd w:id="1670"/>
    </w:p>
    <w:p>
      <w:pPr>
        <w:pageBreakBefore w:val="0"/>
        <w:kinsoku/>
        <w:wordWrap/>
        <w:overflowPunct/>
        <w:topLinePunct w:val="0"/>
        <w:autoSpaceDE/>
        <w:autoSpaceDN/>
        <w:bidi w:val="0"/>
        <w:jc w:val="center"/>
        <w:outlineLvl w:val="9"/>
        <w:rPr>
          <w:rFonts w:hint="eastAsia"/>
          <w:b/>
          <w:color w:val="000000"/>
          <w:sz w:val="36"/>
          <w:szCs w:val="36"/>
          <w:lang w:val="ru-RU"/>
        </w:rPr>
      </w:pPr>
      <w:bookmarkStart w:id="1671" w:name="_Toc30891_WPSOffice_Level1"/>
      <w:r>
        <w:rPr>
          <w:rFonts w:hint="eastAsia"/>
          <w:b/>
          <w:color w:val="000000"/>
          <w:sz w:val="36"/>
          <w:szCs w:val="36"/>
          <w:lang w:val="ru-RU"/>
        </w:rPr>
        <w:t>XX项目立项论证记录</w:t>
      </w:r>
      <w:bookmarkEnd w:id="1671"/>
    </w:p>
    <w:tbl>
      <w:tblPr>
        <w:tblStyle w:val="14"/>
        <w:tblpPr w:leftFromText="180" w:rightFromText="180" w:vertAnchor="page" w:horzAnchor="page" w:tblpX="1128" w:tblpY="2571"/>
        <w:tblW w:w="9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540"/>
        <w:gridCol w:w="4860"/>
        <w:gridCol w:w="11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blHeader/>
        </w:trPr>
        <w:tc>
          <w:tcPr>
            <w:tcW w:w="1455" w:type="dxa"/>
            <w:gridSpan w:val="2"/>
            <w:vAlign w:val="center"/>
          </w:tcPr>
          <w:p>
            <w:pPr>
              <w:pageBreakBefore w:val="0"/>
              <w:kinsoku/>
              <w:wordWrap/>
              <w:overflowPunct/>
              <w:topLinePunct w:val="0"/>
              <w:autoSpaceDE/>
              <w:autoSpaceDN/>
              <w:bidi w:val="0"/>
              <w:spacing w:line="400" w:lineRule="exact"/>
              <w:jc w:val="center"/>
              <w:outlineLvl w:val="9"/>
              <w:rPr>
                <w:rFonts w:ascii="宋体"/>
              </w:rPr>
            </w:pPr>
            <w:r>
              <w:rPr>
                <w:rFonts w:hint="eastAsia" w:ascii="宋体" w:hAnsi="宋体"/>
              </w:rPr>
              <w:t>会议日期</w:t>
            </w:r>
          </w:p>
        </w:tc>
        <w:tc>
          <w:tcPr>
            <w:tcW w:w="4860" w:type="dxa"/>
            <w:vAlign w:val="center"/>
          </w:tcPr>
          <w:p>
            <w:pPr>
              <w:pageBreakBefore w:val="0"/>
              <w:kinsoku/>
              <w:wordWrap/>
              <w:overflowPunct/>
              <w:topLinePunct w:val="0"/>
              <w:autoSpaceDE/>
              <w:autoSpaceDN/>
              <w:bidi w:val="0"/>
              <w:spacing w:line="400" w:lineRule="exact"/>
              <w:jc w:val="center"/>
              <w:outlineLvl w:val="9"/>
              <w:rPr>
                <w:rFonts w:ascii="宋体"/>
              </w:rPr>
            </w:pPr>
          </w:p>
        </w:tc>
        <w:tc>
          <w:tcPr>
            <w:tcW w:w="1100" w:type="dxa"/>
            <w:vAlign w:val="center"/>
          </w:tcPr>
          <w:p>
            <w:pPr>
              <w:pageBreakBefore w:val="0"/>
              <w:kinsoku/>
              <w:wordWrap/>
              <w:overflowPunct/>
              <w:topLinePunct w:val="0"/>
              <w:autoSpaceDE/>
              <w:autoSpaceDN/>
              <w:bidi w:val="0"/>
              <w:spacing w:line="400" w:lineRule="exact"/>
              <w:jc w:val="center"/>
              <w:outlineLvl w:val="9"/>
              <w:rPr>
                <w:rFonts w:ascii="宋体"/>
              </w:rPr>
            </w:pPr>
            <w:r>
              <w:rPr>
                <w:rFonts w:hint="eastAsia" w:ascii="宋体" w:hAnsi="宋体"/>
              </w:rPr>
              <w:t>主持人</w:t>
            </w:r>
          </w:p>
        </w:tc>
        <w:tc>
          <w:tcPr>
            <w:tcW w:w="2080" w:type="dxa"/>
            <w:vAlign w:val="center"/>
          </w:tcPr>
          <w:p>
            <w:pPr>
              <w:pageBreakBefore w:val="0"/>
              <w:kinsoku/>
              <w:wordWrap/>
              <w:overflowPunct/>
              <w:topLinePunct w:val="0"/>
              <w:autoSpaceDE/>
              <w:autoSpaceDN/>
              <w:bidi w:val="0"/>
              <w:spacing w:line="400" w:lineRule="exact"/>
              <w:jc w:val="center"/>
              <w:outlineLvl w:val="9"/>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1455" w:type="dxa"/>
            <w:gridSpan w:val="2"/>
            <w:vAlign w:val="center"/>
          </w:tcPr>
          <w:p>
            <w:pPr>
              <w:pageBreakBefore w:val="0"/>
              <w:kinsoku/>
              <w:wordWrap/>
              <w:overflowPunct/>
              <w:topLinePunct w:val="0"/>
              <w:autoSpaceDE/>
              <w:autoSpaceDN/>
              <w:bidi w:val="0"/>
              <w:spacing w:line="400" w:lineRule="exact"/>
              <w:jc w:val="center"/>
              <w:outlineLvl w:val="9"/>
              <w:rPr>
                <w:rFonts w:ascii="宋体"/>
              </w:rPr>
            </w:pPr>
            <w:r>
              <w:rPr>
                <w:rFonts w:hint="eastAsia" w:ascii="宋体" w:hAnsi="宋体"/>
              </w:rPr>
              <w:t>参加人员</w:t>
            </w:r>
          </w:p>
        </w:tc>
        <w:tc>
          <w:tcPr>
            <w:tcW w:w="8040" w:type="dxa"/>
            <w:gridSpan w:val="3"/>
            <w:vAlign w:val="center"/>
          </w:tcPr>
          <w:p>
            <w:pPr>
              <w:pageBreakBefore w:val="0"/>
              <w:kinsoku/>
              <w:wordWrap/>
              <w:overflowPunct/>
              <w:topLinePunct w:val="0"/>
              <w:autoSpaceDE/>
              <w:autoSpaceDN/>
              <w:bidi w:val="0"/>
              <w:spacing w:line="400" w:lineRule="exact"/>
              <w:outlineLvl w:val="9"/>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455" w:type="dxa"/>
            <w:gridSpan w:val="2"/>
            <w:vAlign w:val="center"/>
          </w:tcPr>
          <w:p>
            <w:pPr>
              <w:pageBreakBefore w:val="0"/>
              <w:kinsoku/>
              <w:wordWrap/>
              <w:overflowPunct/>
              <w:topLinePunct w:val="0"/>
              <w:autoSpaceDE/>
              <w:autoSpaceDN/>
              <w:bidi w:val="0"/>
              <w:spacing w:line="400" w:lineRule="exact"/>
              <w:jc w:val="center"/>
              <w:outlineLvl w:val="9"/>
              <w:rPr>
                <w:rFonts w:ascii="宋体"/>
              </w:rPr>
            </w:pPr>
            <w:r>
              <w:rPr>
                <w:rFonts w:hint="eastAsia" w:ascii="宋体" w:hAnsi="宋体"/>
              </w:rPr>
              <w:t>会议主题</w:t>
            </w:r>
          </w:p>
        </w:tc>
        <w:tc>
          <w:tcPr>
            <w:tcW w:w="8040" w:type="dxa"/>
            <w:gridSpan w:val="3"/>
            <w:vAlign w:val="center"/>
          </w:tcPr>
          <w:p>
            <w:pPr>
              <w:pageBreakBefore w:val="0"/>
              <w:kinsoku/>
              <w:wordWrap/>
              <w:overflowPunct/>
              <w:topLinePunct w:val="0"/>
              <w:autoSpaceDE/>
              <w:autoSpaceDN/>
              <w:bidi w:val="0"/>
              <w:spacing w:line="276" w:lineRule="auto"/>
              <w:outlineLvl w:val="9"/>
              <w:rPr>
                <w:rFonts w:ascii="宋体"/>
                <w:highlight w:val="yellow"/>
              </w:rPr>
            </w:pPr>
            <w:r>
              <w:rPr>
                <w:rFonts w:ascii="宋体" w:hAnsi="宋体"/>
              </w:rPr>
              <w:t>XX</w:t>
            </w:r>
            <w:r>
              <w:rPr>
                <w:rFonts w:hint="eastAsia" w:ascii="宋体" w:hAnsi="宋体"/>
              </w:rPr>
              <w:t>项目立项论证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455" w:type="dxa"/>
            <w:gridSpan w:val="2"/>
            <w:vAlign w:val="center"/>
          </w:tcPr>
          <w:p>
            <w:pPr>
              <w:pageBreakBefore w:val="0"/>
              <w:kinsoku/>
              <w:wordWrap/>
              <w:overflowPunct/>
              <w:topLinePunct w:val="0"/>
              <w:autoSpaceDE/>
              <w:autoSpaceDN/>
              <w:bidi w:val="0"/>
              <w:spacing w:line="400" w:lineRule="exact"/>
              <w:jc w:val="center"/>
              <w:outlineLvl w:val="9"/>
              <w:rPr>
                <w:rFonts w:ascii="宋体" w:hAnsi="宋体"/>
              </w:rPr>
            </w:pPr>
            <w:r>
              <w:rPr>
                <w:rFonts w:hint="eastAsia" w:ascii="宋体" w:hAnsi="宋体"/>
              </w:rPr>
              <w:t>资金来源及金额</w:t>
            </w:r>
          </w:p>
        </w:tc>
        <w:tc>
          <w:tcPr>
            <w:tcW w:w="8040" w:type="dxa"/>
            <w:gridSpan w:val="3"/>
            <w:vAlign w:val="center"/>
          </w:tcPr>
          <w:p>
            <w:pPr>
              <w:pageBreakBefore w:val="0"/>
              <w:kinsoku/>
              <w:wordWrap/>
              <w:overflowPunct/>
              <w:topLinePunct w:val="0"/>
              <w:autoSpaceDE/>
              <w:autoSpaceDN/>
              <w:bidi w:val="0"/>
              <w:spacing w:line="276" w:lineRule="auto"/>
              <w:outlineLvl w:val="9"/>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3" w:hRule="atLeast"/>
          <w:tblHeader/>
        </w:trPr>
        <w:tc>
          <w:tcPr>
            <w:tcW w:w="915" w:type="dxa"/>
            <w:vAlign w:val="center"/>
          </w:tcPr>
          <w:p>
            <w:pPr>
              <w:pageBreakBefore w:val="0"/>
              <w:kinsoku/>
              <w:wordWrap/>
              <w:overflowPunct/>
              <w:topLinePunct w:val="0"/>
              <w:autoSpaceDE/>
              <w:autoSpaceDN/>
              <w:bidi w:val="0"/>
              <w:spacing w:line="400" w:lineRule="exact"/>
              <w:jc w:val="center"/>
              <w:outlineLvl w:val="9"/>
              <w:rPr>
                <w:rFonts w:ascii="宋体"/>
              </w:rPr>
            </w:pPr>
            <w:r>
              <w:rPr>
                <w:rFonts w:hint="eastAsia" w:ascii="宋体" w:hAnsi="宋体"/>
              </w:rPr>
              <w:t>讨</w:t>
            </w:r>
          </w:p>
          <w:p>
            <w:pPr>
              <w:pageBreakBefore w:val="0"/>
              <w:kinsoku/>
              <w:wordWrap/>
              <w:overflowPunct/>
              <w:topLinePunct w:val="0"/>
              <w:autoSpaceDE/>
              <w:autoSpaceDN/>
              <w:bidi w:val="0"/>
              <w:spacing w:line="400" w:lineRule="exact"/>
              <w:jc w:val="center"/>
              <w:outlineLvl w:val="9"/>
              <w:rPr>
                <w:rFonts w:ascii="宋体"/>
              </w:rPr>
            </w:pPr>
            <w:r>
              <w:rPr>
                <w:rFonts w:hint="eastAsia" w:ascii="宋体" w:hAnsi="宋体"/>
              </w:rPr>
              <w:t>论</w:t>
            </w:r>
          </w:p>
          <w:p>
            <w:pPr>
              <w:pageBreakBefore w:val="0"/>
              <w:kinsoku/>
              <w:wordWrap/>
              <w:overflowPunct/>
              <w:topLinePunct w:val="0"/>
              <w:autoSpaceDE/>
              <w:autoSpaceDN/>
              <w:bidi w:val="0"/>
              <w:spacing w:line="400" w:lineRule="exact"/>
              <w:jc w:val="center"/>
              <w:outlineLvl w:val="9"/>
              <w:rPr>
                <w:rFonts w:ascii="宋体"/>
              </w:rPr>
            </w:pPr>
            <w:r>
              <w:rPr>
                <w:rFonts w:hint="eastAsia" w:ascii="宋体" w:hAnsi="宋体"/>
              </w:rPr>
              <w:t>内</w:t>
            </w:r>
          </w:p>
          <w:p>
            <w:pPr>
              <w:pageBreakBefore w:val="0"/>
              <w:kinsoku/>
              <w:wordWrap/>
              <w:overflowPunct/>
              <w:topLinePunct w:val="0"/>
              <w:autoSpaceDE/>
              <w:autoSpaceDN/>
              <w:bidi w:val="0"/>
              <w:spacing w:line="400" w:lineRule="exact"/>
              <w:jc w:val="center"/>
              <w:outlineLvl w:val="9"/>
              <w:rPr>
                <w:rFonts w:ascii="宋体"/>
              </w:rPr>
            </w:pPr>
            <w:r>
              <w:rPr>
                <w:rFonts w:hint="eastAsia" w:ascii="宋体" w:hAnsi="宋体"/>
              </w:rPr>
              <w:t>容</w:t>
            </w:r>
          </w:p>
          <w:p>
            <w:pPr>
              <w:pageBreakBefore w:val="0"/>
              <w:kinsoku/>
              <w:wordWrap/>
              <w:overflowPunct/>
              <w:topLinePunct w:val="0"/>
              <w:autoSpaceDE/>
              <w:autoSpaceDN/>
              <w:bidi w:val="0"/>
              <w:spacing w:line="400" w:lineRule="exact"/>
              <w:jc w:val="center"/>
              <w:outlineLvl w:val="9"/>
              <w:rPr>
                <w:rFonts w:ascii="宋体"/>
              </w:rPr>
            </w:pPr>
          </w:p>
        </w:tc>
        <w:tc>
          <w:tcPr>
            <w:tcW w:w="8580" w:type="dxa"/>
            <w:gridSpan w:val="4"/>
          </w:tcPr>
          <w:p>
            <w:pPr>
              <w:pageBreakBefore w:val="0"/>
              <w:kinsoku/>
              <w:wordWrap/>
              <w:overflowPunct/>
              <w:topLinePunct w:val="0"/>
              <w:autoSpaceDE/>
              <w:autoSpaceDN/>
              <w:bidi w:val="0"/>
              <w:spacing w:line="400" w:lineRule="exact"/>
              <w:outlineLvl w:val="9"/>
              <w:rPr>
                <w:rFonts w:ascii="宋体" w:hAnsi="宋体"/>
                <w:sz w:val="22"/>
              </w:rPr>
            </w:pPr>
            <w:r>
              <w:rPr>
                <w:rFonts w:hint="eastAsia" w:ascii="宋体" w:hAnsi="宋体"/>
                <w:sz w:val="22"/>
              </w:rPr>
              <w:t>论证内容</w:t>
            </w:r>
          </w:p>
          <w:p>
            <w:pPr>
              <w:pageBreakBefore w:val="0"/>
              <w:kinsoku/>
              <w:wordWrap/>
              <w:overflowPunct/>
              <w:topLinePunct w:val="0"/>
              <w:autoSpaceDE/>
              <w:autoSpaceDN/>
              <w:bidi w:val="0"/>
              <w:spacing w:line="400" w:lineRule="exact"/>
              <w:ind w:left="330"/>
              <w:outlineLvl w:val="9"/>
              <w:rPr>
                <w:rFonts w:ascii="宋体"/>
                <w:sz w:val="22"/>
              </w:rPr>
            </w:pPr>
            <w:r>
              <w:rPr>
                <w:rFonts w:ascii="宋体" w:hAnsi="宋体"/>
                <w:sz w:val="22"/>
              </w:rPr>
              <w:t>1.</w:t>
            </w:r>
            <w:r>
              <w:rPr>
                <w:rFonts w:hint="eastAsia" w:ascii="宋体" w:hAnsi="宋体"/>
                <w:sz w:val="22"/>
              </w:rPr>
              <w:t>申报项目的必要性、可行性</w:t>
            </w:r>
          </w:p>
          <w:p>
            <w:pPr>
              <w:pageBreakBefore w:val="0"/>
              <w:kinsoku/>
              <w:wordWrap/>
              <w:overflowPunct/>
              <w:topLinePunct w:val="0"/>
              <w:autoSpaceDE/>
              <w:autoSpaceDN/>
              <w:bidi w:val="0"/>
              <w:spacing w:line="400" w:lineRule="exact"/>
              <w:outlineLvl w:val="9"/>
              <w:rPr>
                <w:rFonts w:ascii="宋体"/>
                <w:sz w:val="22"/>
              </w:rPr>
            </w:pPr>
            <w:r>
              <w:rPr>
                <w:rFonts w:ascii="宋体" w:hAnsi="宋体"/>
                <w:sz w:val="22"/>
              </w:rPr>
              <w:t xml:space="preserve">   2.</w:t>
            </w:r>
            <w:r>
              <w:rPr>
                <w:rFonts w:hint="eastAsia" w:ascii="宋体" w:hAnsi="宋体"/>
                <w:sz w:val="22"/>
              </w:rPr>
              <w:t>采购需求</w:t>
            </w:r>
          </w:p>
          <w:p>
            <w:pPr>
              <w:pageBreakBefore w:val="0"/>
              <w:kinsoku/>
              <w:wordWrap/>
              <w:overflowPunct/>
              <w:topLinePunct w:val="0"/>
              <w:autoSpaceDE/>
              <w:autoSpaceDN/>
              <w:bidi w:val="0"/>
              <w:spacing w:line="400" w:lineRule="exact"/>
              <w:ind w:left="330"/>
              <w:outlineLvl w:val="9"/>
              <w:rPr>
                <w:rFonts w:ascii="宋体"/>
                <w:sz w:val="22"/>
              </w:rPr>
            </w:pPr>
            <w:r>
              <w:rPr>
                <w:rFonts w:ascii="宋体" w:hAnsi="宋体"/>
                <w:sz w:val="22"/>
              </w:rPr>
              <w:t>3.</w:t>
            </w:r>
            <w:r>
              <w:rPr>
                <w:rFonts w:hint="eastAsia" w:ascii="宋体" w:hAnsi="宋体"/>
                <w:sz w:val="22"/>
              </w:rPr>
              <w:t>申报预算金额</w:t>
            </w:r>
          </w:p>
          <w:p>
            <w:pPr>
              <w:pageBreakBefore w:val="0"/>
              <w:kinsoku/>
              <w:wordWrap/>
              <w:overflowPunct/>
              <w:topLinePunct w:val="0"/>
              <w:autoSpaceDE/>
              <w:autoSpaceDN/>
              <w:bidi w:val="0"/>
              <w:spacing w:line="400" w:lineRule="exact"/>
              <w:outlineLvl w:val="9"/>
              <w:rPr>
                <w:rFonts w:ascii="宋体"/>
                <w:sz w:val="22"/>
              </w:rPr>
            </w:pPr>
            <w:r>
              <w:rPr>
                <w:rFonts w:hint="eastAsia" w:ascii="宋体" w:hAnsi="宋体"/>
                <w:sz w:val="22"/>
              </w:rPr>
              <w:t xml:space="preserve">   </w:t>
            </w:r>
            <w:r>
              <w:rPr>
                <w:rFonts w:ascii="宋体" w:hAnsi="宋体"/>
                <w:sz w:val="22"/>
              </w:rPr>
              <w:t>4.</w:t>
            </w:r>
            <w:r>
              <w:rPr>
                <w:rFonts w:hint="eastAsia" w:ascii="宋体" w:hAnsi="宋体"/>
                <w:sz w:val="22"/>
              </w:rPr>
              <w:t>项目实施及管理</w:t>
            </w:r>
          </w:p>
          <w:p>
            <w:pPr>
              <w:pageBreakBefore w:val="0"/>
              <w:kinsoku/>
              <w:wordWrap/>
              <w:overflowPunct/>
              <w:topLinePunct w:val="0"/>
              <w:autoSpaceDE/>
              <w:autoSpaceDN/>
              <w:bidi w:val="0"/>
              <w:spacing w:line="400" w:lineRule="exact"/>
              <w:outlineLvl w:val="9"/>
              <w:rPr>
                <w:rFonts w:ascii="宋体" w:hAnsi="宋体"/>
                <w:sz w:val="22"/>
              </w:rPr>
            </w:pPr>
            <w:r>
              <w:rPr>
                <w:rFonts w:hint="eastAsia" w:ascii="宋体" w:hAnsi="宋体"/>
                <w:sz w:val="22"/>
              </w:rPr>
              <w:t xml:space="preserve">   5.达到效益</w:t>
            </w:r>
          </w:p>
          <w:p>
            <w:pPr>
              <w:pageBreakBefore w:val="0"/>
              <w:kinsoku/>
              <w:wordWrap/>
              <w:overflowPunct/>
              <w:topLinePunct w:val="0"/>
              <w:autoSpaceDE/>
              <w:autoSpaceDN/>
              <w:bidi w:val="0"/>
              <w:spacing w:line="400" w:lineRule="exact"/>
              <w:outlineLvl w:val="9"/>
              <w:rPr>
                <w:rFonts w:hint="eastAsia" w:ascii="宋体" w:hAnsi="宋体"/>
                <w:sz w:val="22"/>
              </w:rPr>
            </w:pPr>
            <w:r>
              <w:rPr>
                <w:rFonts w:hint="eastAsia" w:ascii="宋体" w:hAnsi="宋体"/>
                <w:sz w:val="22"/>
              </w:rPr>
              <w:t>专家反馈意见：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9" w:hRule="atLeast"/>
          <w:tblHeader/>
        </w:trPr>
        <w:tc>
          <w:tcPr>
            <w:tcW w:w="915" w:type="dxa"/>
            <w:vAlign w:val="center"/>
          </w:tcPr>
          <w:p>
            <w:pPr>
              <w:pageBreakBefore w:val="0"/>
              <w:kinsoku/>
              <w:wordWrap/>
              <w:overflowPunct/>
              <w:topLinePunct w:val="0"/>
              <w:autoSpaceDE/>
              <w:autoSpaceDN/>
              <w:bidi w:val="0"/>
              <w:spacing w:line="400" w:lineRule="exact"/>
              <w:jc w:val="center"/>
              <w:outlineLvl w:val="9"/>
              <w:rPr>
                <w:rFonts w:ascii="宋体" w:hAnsi="宋体"/>
                <w:b/>
              </w:rPr>
            </w:pPr>
            <w:r>
              <w:rPr>
                <w:rFonts w:hint="eastAsia" w:ascii="宋体" w:hAnsi="宋体"/>
                <w:b/>
              </w:rPr>
              <w:t>会议结论及签名</w:t>
            </w:r>
          </w:p>
        </w:tc>
        <w:tc>
          <w:tcPr>
            <w:tcW w:w="8580" w:type="dxa"/>
            <w:gridSpan w:val="4"/>
          </w:tcPr>
          <w:p>
            <w:pPr>
              <w:pageBreakBefore w:val="0"/>
              <w:kinsoku/>
              <w:wordWrap/>
              <w:overflowPunct/>
              <w:topLinePunct w:val="0"/>
              <w:autoSpaceDE/>
              <w:autoSpaceDN/>
              <w:bidi w:val="0"/>
              <w:ind w:firstLine="420" w:firstLineChars="200"/>
              <w:outlineLvl w:val="9"/>
              <w:rPr>
                <w:rFonts w:ascii="??_GB2312" w:hAnsi="宋体" w:eastAsia="Times New Roman"/>
                <w:color w:val="FF0000"/>
                <w:szCs w:val="21"/>
              </w:rPr>
            </w:pPr>
            <w:r>
              <w:rPr>
                <w:rFonts w:hint="eastAsia"/>
              </w:rPr>
              <w:t>方案经过我系多方调研，所申购物资（设备）技术参数及数量均为满足教学需求所设定，并无唯一性（排他性）条款，预算价格依照我系与三家供应商询价后综合评估后确认（三家报价附后），集体讨论通过，现申请学院论证。</w:t>
            </w:r>
          </w:p>
          <w:p>
            <w:pPr>
              <w:pageBreakBefore w:val="0"/>
              <w:kinsoku/>
              <w:wordWrap/>
              <w:overflowPunct/>
              <w:topLinePunct w:val="0"/>
              <w:autoSpaceDE/>
              <w:autoSpaceDN/>
              <w:bidi w:val="0"/>
              <w:ind w:firstLine="105" w:firstLineChars="50"/>
              <w:outlineLvl w:val="9"/>
              <w:rPr>
                <w:rFonts w:hint="eastAsia" w:ascii="??_GB2312" w:eastAsia="Times New Roman"/>
                <w:szCs w:val="21"/>
              </w:rPr>
            </w:pPr>
            <w:r>
              <mc:AlternateContent>
                <mc:Choice Requires="wps">
                  <w:drawing>
                    <wp:anchor distT="0" distB="0" distL="114300" distR="114300" simplePos="0" relativeHeight="251935744" behindDoc="0" locked="0" layoutInCell="1" allowOverlap="1">
                      <wp:simplePos x="0" y="0"/>
                      <wp:positionH relativeFrom="column">
                        <wp:posOffset>250190</wp:posOffset>
                      </wp:positionH>
                      <wp:positionV relativeFrom="paragraph">
                        <wp:posOffset>172720</wp:posOffset>
                      </wp:positionV>
                      <wp:extent cx="4927600" cy="25400"/>
                      <wp:effectExtent l="0" t="4445" r="6350" b="8255"/>
                      <wp:wrapNone/>
                      <wp:docPr id="263" name="直线连接符 263"/>
                      <wp:cNvGraphicFramePr/>
                      <a:graphic xmlns:a="http://schemas.openxmlformats.org/drawingml/2006/main">
                        <a:graphicData uri="http://schemas.microsoft.com/office/word/2010/wordprocessingShape">
                          <wps:wsp>
                            <wps:cNvCnPr/>
                            <wps:spPr>
                              <a:xfrm flipV="1">
                                <a:off x="0" y="0"/>
                                <a:ext cx="4927600" cy="2540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线连接符 263" o:spid="_x0000_s1026" o:spt="20" style="position:absolute;left:0pt;flip:y;margin-left:19.7pt;margin-top:13.6pt;height:2pt;width:388pt;z-index:251935744;mso-width-relative:page;mso-height-relative:page;" filled="f" stroked="t" coordsize="21600,21600" o:gfxdata="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oRSZ&#10;1gAAAAgBAAAPAAAAAAAAAAEAIAAAACIAAABkcnMvZG93bnJldi54bWxQSwECFAAUAAAACACHTuJA&#10;fgUjeeoBAAClAwAADgAAAAAAAAABACAAAAAlAQAAZHJzL2Uyb0RvYy54bWxQSwUGAAAAAAYABgBZ&#10;AQAAgQUAAAAA&#10;">
                      <v:fill on="f" focussize="0,0"/>
                      <v:stroke color="#000000" joinstyle="round"/>
                      <v:imagedata o:title=""/>
                      <o:lock v:ext="edit" aspectratio="f"/>
                    </v:line>
                  </w:pict>
                </mc:Fallback>
              </mc:AlternateContent>
            </w:r>
          </w:p>
          <w:p>
            <w:pPr>
              <w:pageBreakBefore w:val="0"/>
              <w:kinsoku/>
              <w:wordWrap/>
              <w:overflowPunct/>
              <w:topLinePunct w:val="0"/>
              <w:autoSpaceDE/>
              <w:autoSpaceDN/>
              <w:bidi w:val="0"/>
              <w:ind w:firstLine="105" w:firstLineChars="50"/>
              <w:outlineLvl w:val="9"/>
              <w:rPr>
                <w:rFonts w:ascii="??_GB2312" w:eastAsia="Times New Roman"/>
                <w:szCs w:val="21"/>
              </w:rPr>
            </w:pPr>
            <w:r>
              <mc:AlternateContent>
                <mc:Choice Requires="wps">
                  <w:drawing>
                    <wp:anchor distT="0" distB="0" distL="114300" distR="114300" simplePos="0" relativeHeight="251936768" behindDoc="0" locked="0" layoutInCell="1" allowOverlap="1">
                      <wp:simplePos x="0" y="0"/>
                      <wp:positionH relativeFrom="column">
                        <wp:posOffset>243840</wp:posOffset>
                      </wp:positionH>
                      <wp:positionV relativeFrom="paragraph">
                        <wp:posOffset>89535</wp:posOffset>
                      </wp:positionV>
                      <wp:extent cx="4959350" cy="38100"/>
                      <wp:effectExtent l="0" t="4445" r="12700" b="14605"/>
                      <wp:wrapNone/>
                      <wp:docPr id="262" name="直线连接符 262"/>
                      <wp:cNvGraphicFramePr/>
                      <a:graphic xmlns:a="http://schemas.openxmlformats.org/drawingml/2006/main">
                        <a:graphicData uri="http://schemas.microsoft.com/office/word/2010/wordprocessingShape">
                          <wps:wsp>
                            <wps:cNvCnPr/>
                            <wps:spPr>
                              <a:xfrm flipV="1">
                                <a:off x="0" y="0"/>
                                <a:ext cx="4959350" cy="3810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线连接符 262" o:spid="_x0000_s1026" o:spt="20" style="position:absolute;left:0pt;flip:y;margin-left:19.2pt;margin-top:7.05pt;height:3pt;width:390.5pt;z-index:251936768;mso-width-relative:page;mso-height-relative:page;" filled="f" stroked="t" coordsize="21600,21600" o:gfxdata="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Dv&#10;eBvWAAAACAEAAA8AAAAAAAAAAQAgAAAAIgAAAGRycy9kb3ducmV2LnhtbFBLAQIUABQAAAAIAIdO&#10;4kAL8zVv7AEAAKUDAAAOAAAAAAAAAAEAIAAAACUBAABkcnMvZTJvRG9jLnhtbFBLBQYAAAAABgAG&#10;AFkBAACDBQAAAAA=&#10;">
                      <v:fill on="f" focussize="0,0"/>
                      <v:stroke color="#000000" joinstyle="round"/>
                      <v:imagedata o:title=""/>
                      <o:lock v:ext="edit" aspectratio="f"/>
                    </v:line>
                  </w:pict>
                </mc:Fallback>
              </mc:AlternateContent>
            </w:r>
          </w:p>
          <w:p>
            <w:pPr>
              <w:pageBreakBefore w:val="0"/>
              <w:kinsoku/>
              <w:wordWrap/>
              <w:overflowPunct/>
              <w:topLinePunct w:val="0"/>
              <w:autoSpaceDE/>
              <w:autoSpaceDN/>
              <w:bidi w:val="0"/>
              <w:ind w:firstLine="105" w:firstLineChars="50"/>
              <w:outlineLvl w:val="9"/>
              <w:rPr>
                <w:rFonts w:ascii="??_GB2312" w:eastAsia="Times New Roman"/>
                <w:szCs w:val="21"/>
              </w:rPr>
            </w:pPr>
            <w:r>
              <w:rPr>
                <w:rFonts w:hint="eastAsia" w:ascii="??_GB2312"/>
                <w:szCs w:val="21"/>
              </w:rPr>
              <w:t xml:space="preserve">   专家签名</w:t>
            </w:r>
            <w:r>
              <w:rPr>
                <w:rFonts w:ascii="??_GB2312" w:eastAsia="Times New Roman"/>
                <w:szCs w:val="21"/>
              </w:rPr>
              <w:t>：</w:t>
            </w:r>
            <w:r>
              <w:rPr>
                <w:rFonts w:hint="eastAsia" w:ascii="??_GB2312"/>
                <w:szCs w:val="21"/>
              </w:rPr>
              <w:t xml:space="preserve">          </w:t>
            </w:r>
            <w:r>
              <w:rPr>
                <w:rFonts w:ascii="??_GB2312" w:eastAsia="Times New Roman"/>
                <w:szCs w:val="21"/>
              </w:rPr>
              <w:t xml:space="preserve">                     </w:t>
            </w:r>
            <w:r>
              <w:rPr>
                <w:rFonts w:hint="eastAsia" w:ascii="??_GB2312"/>
                <w:szCs w:val="21"/>
              </w:rPr>
              <w:t>项目申请人</w:t>
            </w:r>
            <w:r>
              <w:rPr>
                <w:rFonts w:ascii="??_GB2312" w:eastAsia="Times New Roman"/>
                <w:szCs w:val="21"/>
              </w:rPr>
              <w:t>签名：</w:t>
            </w:r>
            <w:r>
              <w:rPr>
                <w:rFonts w:hint="eastAsia" w:ascii="??_GB2312"/>
                <w:szCs w:val="21"/>
              </w:rPr>
              <w:t xml:space="preserve">  </w:t>
            </w:r>
          </w:p>
          <w:p>
            <w:pPr>
              <w:pageBreakBefore w:val="0"/>
              <w:kinsoku/>
              <w:wordWrap/>
              <w:overflowPunct/>
              <w:topLinePunct w:val="0"/>
              <w:autoSpaceDE/>
              <w:autoSpaceDN/>
              <w:bidi w:val="0"/>
              <w:ind w:firstLine="3570" w:firstLineChars="1700"/>
              <w:outlineLvl w:val="9"/>
              <w:rPr>
                <w:rFonts w:ascii="??_GB2312" w:eastAsia="Times New Roman"/>
                <w:szCs w:val="21"/>
              </w:rPr>
            </w:pPr>
            <w:r>
              <w:rPr>
                <w:rFonts w:ascii="??_GB2312" w:eastAsia="Times New Roman"/>
                <w:szCs w:val="21"/>
              </w:rPr>
              <w:t xml:space="preserve">         </w:t>
            </w:r>
          </w:p>
          <w:p>
            <w:pPr>
              <w:pageBreakBefore w:val="0"/>
              <w:kinsoku/>
              <w:wordWrap/>
              <w:overflowPunct/>
              <w:topLinePunct w:val="0"/>
              <w:autoSpaceDE/>
              <w:autoSpaceDN/>
              <w:bidi w:val="0"/>
              <w:ind w:firstLine="3570" w:firstLineChars="1700"/>
              <w:outlineLvl w:val="9"/>
              <w:rPr>
                <w:rFonts w:ascii="??_GB2312" w:eastAsia="Times New Roman"/>
                <w:szCs w:val="21"/>
              </w:rPr>
            </w:pPr>
            <w:r>
              <w:rPr>
                <w:rFonts w:hint="eastAsia" w:ascii="??_GB2312"/>
                <w:szCs w:val="21"/>
              </w:rPr>
              <w:t xml:space="preserve">           申购部门领导</w:t>
            </w:r>
            <w:r>
              <w:rPr>
                <w:rFonts w:ascii="??_GB2312" w:eastAsia="Times New Roman"/>
                <w:szCs w:val="21"/>
              </w:rPr>
              <w:t>签名：</w:t>
            </w:r>
            <w:r>
              <w:rPr>
                <w:rFonts w:hint="eastAsia" w:ascii="??_GB2312"/>
                <w:szCs w:val="21"/>
              </w:rPr>
              <w:t xml:space="preserve"> </w:t>
            </w:r>
          </w:p>
          <w:p>
            <w:pPr>
              <w:pageBreakBefore w:val="0"/>
              <w:kinsoku/>
              <w:wordWrap/>
              <w:overflowPunct/>
              <w:topLinePunct w:val="0"/>
              <w:autoSpaceDE/>
              <w:autoSpaceDN/>
              <w:bidi w:val="0"/>
              <w:ind w:firstLine="420"/>
              <w:outlineLvl w:val="9"/>
              <w:rPr>
                <w:rFonts w:hint="eastAsia"/>
              </w:rPr>
            </w:pPr>
            <w:r>
              <w:rPr>
                <w:rFonts w:hint="eastAsia"/>
              </w:rPr>
              <w:t>参会其他人员签名：</w:t>
            </w:r>
          </w:p>
          <w:p>
            <w:pPr>
              <w:pageBreakBefore w:val="0"/>
              <w:kinsoku/>
              <w:wordWrap/>
              <w:overflowPunct/>
              <w:topLinePunct w:val="0"/>
              <w:autoSpaceDE/>
              <w:autoSpaceDN/>
              <w:bidi w:val="0"/>
              <w:ind w:firstLine="420"/>
              <w:outlineLvl w:val="9"/>
            </w:pPr>
            <w:r>
              <w:rPr>
                <w:rFonts w:hint="eastAsia"/>
              </w:rPr>
              <w:t xml:space="preserve">                                       年    月    日</w:t>
            </w:r>
          </w:p>
        </w:tc>
      </w:tr>
    </w:tbl>
    <w:p>
      <w:pPr>
        <w:pageBreakBefore w:val="0"/>
        <w:kinsoku/>
        <w:wordWrap/>
        <w:overflowPunct/>
        <w:topLinePunct w:val="0"/>
        <w:autoSpaceDE/>
        <w:autoSpaceDN/>
        <w:bidi w:val="0"/>
        <w:outlineLvl w:val="9"/>
        <w:rPr>
          <w:szCs w:val="28"/>
          <w:lang w:val="ru-RU"/>
        </w:rPr>
        <w:sectPr>
          <w:pgSz w:w="11906" w:h="16838"/>
          <w:pgMar w:top="1134" w:right="1134" w:bottom="1134" w:left="1134" w:header="851" w:footer="992" w:gutter="0"/>
          <w:pgNumType w:fmt="decimal"/>
          <w:cols w:space="720" w:num="1"/>
          <w:docGrid w:type="lines" w:linePitch="312" w:charSpace="0"/>
        </w:sectPr>
      </w:pP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72" w:name="_Toc11211_WPSOffice_Level1"/>
      <w:r>
        <w:rPr>
          <w:rFonts w:hint="eastAsia" w:ascii="黑体" w:hAnsi="Calibri" w:eastAsia="黑体"/>
          <w:b/>
          <w:bCs/>
          <w:sz w:val="32"/>
          <w:szCs w:val="32"/>
          <w:lang w:val="ru-RU"/>
        </w:rPr>
        <w:t>附件5：</w:t>
      </w:r>
      <w:bookmarkEnd w:id="1672"/>
    </w:p>
    <w:tbl>
      <w:tblPr>
        <w:tblStyle w:val="14"/>
        <w:tblpPr w:leftFromText="180" w:rightFromText="180" w:vertAnchor="page" w:horzAnchor="page" w:tblpX="1178" w:tblpY="1915"/>
        <w:tblW w:w="9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554"/>
        <w:gridCol w:w="2274"/>
        <w:gridCol w:w="1249"/>
        <w:gridCol w:w="502"/>
        <w:gridCol w:w="952"/>
        <w:gridCol w:w="1311"/>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blHeader/>
        </w:trPr>
        <w:tc>
          <w:tcPr>
            <w:tcW w:w="5241" w:type="dxa"/>
            <w:gridSpan w:val="5"/>
            <w:vMerge w:val="restart"/>
            <w:vAlign w:val="center"/>
          </w:tcPr>
          <w:p>
            <w:pPr>
              <w:pageBreakBefore w:val="0"/>
              <w:kinsoku/>
              <w:wordWrap/>
              <w:overflowPunct/>
              <w:topLinePunct w:val="0"/>
              <w:autoSpaceDE/>
              <w:autoSpaceDN/>
              <w:bidi w:val="0"/>
              <w:spacing w:line="400" w:lineRule="exact"/>
              <w:jc w:val="center"/>
              <w:outlineLvl w:val="9"/>
              <w:rPr>
                <w:rFonts w:hint="eastAsia" w:ascii="宋体" w:hAnsi="宋体"/>
                <w:b/>
              </w:rPr>
            </w:pPr>
            <w:r>
              <w:rPr>
                <w:rFonts w:hint="eastAsia" w:ascii="宋体" w:hAnsi="宋体"/>
                <w:b/>
              </w:rPr>
              <w:t>采购需求论证会议记录</w:t>
            </w:r>
          </w:p>
        </w:tc>
        <w:tc>
          <w:tcPr>
            <w:tcW w:w="4510" w:type="dxa"/>
            <w:gridSpan w:val="3"/>
            <w:vAlign w:val="center"/>
          </w:tcPr>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第  1 页       共  1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blHeader/>
        </w:trPr>
        <w:tc>
          <w:tcPr>
            <w:tcW w:w="5241" w:type="dxa"/>
            <w:gridSpan w:val="5"/>
            <w:vMerge w:val="continue"/>
            <w:vAlign w:val="center"/>
          </w:tcPr>
          <w:p>
            <w:pPr>
              <w:pageBreakBefore w:val="0"/>
              <w:kinsoku/>
              <w:wordWrap/>
              <w:overflowPunct/>
              <w:topLinePunct w:val="0"/>
              <w:autoSpaceDE/>
              <w:autoSpaceDN/>
              <w:bidi w:val="0"/>
              <w:spacing w:line="400" w:lineRule="exact"/>
              <w:jc w:val="center"/>
              <w:outlineLvl w:val="9"/>
              <w:rPr>
                <w:rFonts w:hint="eastAsia" w:ascii="宋体" w:hAnsi="宋体"/>
              </w:rPr>
            </w:pPr>
          </w:p>
        </w:tc>
        <w:tc>
          <w:tcPr>
            <w:tcW w:w="4510" w:type="dxa"/>
            <w:gridSpan w:val="3"/>
            <w:vAlign w:val="center"/>
          </w:tcPr>
          <w:p>
            <w:pPr>
              <w:pageBreakBefore w:val="0"/>
              <w:kinsoku/>
              <w:wordWrap/>
              <w:overflowPunct/>
              <w:topLinePunct w:val="0"/>
              <w:autoSpaceDE/>
              <w:autoSpaceDN/>
              <w:bidi w:val="0"/>
              <w:spacing w:line="400" w:lineRule="exact"/>
              <w:outlineLvl w:val="9"/>
              <w:rPr>
                <w:rFonts w:hint="eastAsia" w:ascii="宋体" w:hAnsi="宋体"/>
              </w:rPr>
            </w:pPr>
            <w:r>
              <w:rPr>
                <w:rFonts w:hint="eastAsia" w:ascii="宋体" w:hAnsi="宋体"/>
              </w:rPr>
              <w:t xml:space="preserve">日期：     </w:t>
            </w:r>
            <w:r>
              <w:rPr>
                <w:rFonts w:ascii="宋体" w:hAnsi="宋体"/>
              </w:rPr>
              <w:t>年</w:t>
            </w:r>
            <w:r>
              <w:rPr>
                <w:rFonts w:hint="eastAsia" w:ascii="宋体" w:hAnsi="宋体"/>
              </w:rPr>
              <w:t xml:space="preserve">   </w:t>
            </w:r>
            <w:r>
              <w:rPr>
                <w:rFonts w:ascii="宋体" w:hAnsi="宋体"/>
              </w:rPr>
              <w:t>月</w:t>
            </w:r>
            <w:r>
              <w:rPr>
                <w:rFonts w:hint="eastAsia" w:ascii="宋体" w:hAnsi="宋体"/>
              </w:rPr>
              <w:t xml:space="preserve">   </w:t>
            </w:r>
            <w:r>
              <w:rPr>
                <w:rFonts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blHeader/>
        </w:trPr>
        <w:tc>
          <w:tcPr>
            <w:tcW w:w="1216" w:type="dxa"/>
            <w:gridSpan w:val="2"/>
            <w:vAlign w:val="center"/>
          </w:tcPr>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会议时间</w:t>
            </w:r>
          </w:p>
        </w:tc>
        <w:tc>
          <w:tcPr>
            <w:tcW w:w="2274" w:type="dxa"/>
            <w:vAlign w:val="center"/>
          </w:tcPr>
          <w:p>
            <w:pPr>
              <w:pageBreakBefore w:val="0"/>
              <w:kinsoku/>
              <w:wordWrap/>
              <w:overflowPunct/>
              <w:topLinePunct w:val="0"/>
              <w:autoSpaceDE/>
              <w:autoSpaceDN/>
              <w:bidi w:val="0"/>
              <w:spacing w:line="400" w:lineRule="exact"/>
              <w:outlineLvl w:val="9"/>
              <w:rPr>
                <w:rFonts w:ascii="宋体" w:hAnsi="宋体"/>
              </w:rPr>
            </w:pPr>
          </w:p>
        </w:tc>
        <w:tc>
          <w:tcPr>
            <w:tcW w:w="1249" w:type="dxa"/>
            <w:vAlign w:val="center"/>
          </w:tcPr>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会议性质</w:t>
            </w:r>
          </w:p>
        </w:tc>
        <w:tc>
          <w:tcPr>
            <w:tcW w:w="1454" w:type="dxa"/>
            <w:gridSpan w:val="2"/>
            <w:vAlign w:val="center"/>
          </w:tcPr>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 xml:space="preserve">例行  </w:t>
            </w:r>
          </w:p>
        </w:tc>
        <w:tc>
          <w:tcPr>
            <w:tcW w:w="1311" w:type="dxa"/>
            <w:vAlign w:val="center"/>
          </w:tcPr>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会议地点</w:t>
            </w:r>
          </w:p>
        </w:tc>
        <w:tc>
          <w:tcPr>
            <w:tcW w:w="2247" w:type="dxa"/>
            <w:vAlign w:val="center"/>
          </w:tcPr>
          <w:p>
            <w:pPr>
              <w:pageBreakBefore w:val="0"/>
              <w:kinsoku/>
              <w:wordWrap/>
              <w:overflowPunct/>
              <w:topLinePunct w:val="0"/>
              <w:autoSpaceDE/>
              <w:autoSpaceDN/>
              <w:bidi w:val="0"/>
              <w:spacing w:line="400" w:lineRule="exact"/>
              <w:jc w:val="center"/>
              <w:outlineLvl w:val="9"/>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blHeader/>
        </w:trPr>
        <w:tc>
          <w:tcPr>
            <w:tcW w:w="9751" w:type="dxa"/>
            <w:gridSpan w:val="8"/>
            <w:vAlign w:val="center"/>
          </w:tcPr>
          <w:p>
            <w:pPr>
              <w:pageBreakBefore w:val="0"/>
              <w:widowControl/>
              <w:kinsoku/>
              <w:wordWrap/>
              <w:overflowPunct/>
              <w:topLinePunct w:val="0"/>
              <w:autoSpaceDE/>
              <w:autoSpaceDN/>
              <w:bidi w:val="0"/>
              <w:spacing w:line="300" w:lineRule="atLeast"/>
              <w:ind w:left="16"/>
              <w:outlineLvl w:val="9"/>
              <w:rPr>
                <w:rFonts w:hint="eastAsia" w:ascii="宋体" w:hAnsi="宋体" w:cs="宋体"/>
                <w:highlight w:val="yellow"/>
              </w:rPr>
            </w:pPr>
            <w:r>
              <w:rPr>
                <w:rFonts w:hint="eastAsia" w:ascii="宋体" w:hAnsi="宋体"/>
              </w:rPr>
              <w:t>会议主题：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3" w:hRule="atLeast"/>
          <w:tblHeader/>
        </w:trPr>
        <w:tc>
          <w:tcPr>
            <w:tcW w:w="662" w:type="dxa"/>
          </w:tcPr>
          <w:p>
            <w:pPr>
              <w:pageBreakBefore w:val="0"/>
              <w:kinsoku/>
              <w:wordWrap/>
              <w:overflowPunct/>
              <w:topLinePunct w:val="0"/>
              <w:autoSpaceDE/>
              <w:autoSpaceDN/>
              <w:bidi w:val="0"/>
              <w:spacing w:line="400" w:lineRule="exact"/>
              <w:jc w:val="center"/>
              <w:outlineLvl w:val="9"/>
              <w:rPr>
                <w:rFonts w:hint="eastAsia" w:ascii="宋体" w:hAnsi="宋体"/>
              </w:rPr>
            </w:pPr>
          </w:p>
          <w:p>
            <w:pPr>
              <w:pageBreakBefore w:val="0"/>
              <w:kinsoku/>
              <w:wordWrap/>
              <w:overflowPunct/>
              <w:topLinePunct w:val="0"/>
              <w:autoSpaceDE/>
              <w:autoSpaceDN/>
              <w:bidi w:val="0"/>
              <w:spacing w:line="400" w:lineRule="exact"/>
              <w:jc w:val="center"/>
              <w:outlineLvl w:val="9"/>
              <w:rPr>
                <w:rFonts w:hint="eastAsia" w:ascii="宋体" w:hAnsi="宋体"/>
              </w:rPr>
            </w:pPr>
          </w:p>
          <w:p>
            <w:pPr>
              <w:pageBreakBefore w:val="0"/>
              <w:kinsoku/>
              <w:wordWrap/>
              <w:overflowPunct/>
              <w:topLinePunct w:val="0"/>
              <w:autoSpaceDE/>
              <w:autoSpaceDN/>
              <w:bidi w:val="0"/>
              <w:spacing w:line="400" w:lineRule="exact"/>
              <w:jc w:val="center"/>
              <w:outlineLvl w:val="9"/>
              <w:rPr>
                <w:rFonts w:hint="eastAsia" w:ascii="宋体" w:hAnsi="宋体"/>
              </w:rPr>
            </w:pPr>
          </w:p>
          <w:p>
            <w:pPr>
              <w:pageBreakBefore w:val="0"/>
              <w:kinsoku/>
              <w:wordWrap/>
              <w:overflowPunct/>
              <w:topLinePunct w:val="0"/>
              <w:autoSpaceDE/>
              <w:autoSpaceDN/>
              <w:bidi w:val="0"/>
              <w:spacing w:line="400" w:lineRule="exact"/>
              <w:jc w:val="center"/>
              <w:outlineLvl w:val="9"/>
              <w:rPr>
                <w:rFonts w:hint="eastAsia" w:ascii="宋体" w:hAnsi="宋体"/>
              </w:rPr>
            </w:pPr>
          </w:p>
          <w:p>
            <w:pPr>
              <w:pageBreakBefore w:val="0"/>
              <w:kinsoku/>
              <w:wordWrap/>
              <w:overflowPunct/>
              <w:topLinePunct w:val="0"/>
              <w:autoSpaceDE/>
              <w:autoSpaceDN/>
              <w:bidi w:val="0"/>
              <w:spacing w:line="400" w:lineRule="exact"/>
              <w:jc w:val="center"/>
              <w:outlineLvl w:val="9"/>
              <w:rPr>
                <w:rFonts w:hint="eastAsia" w:ascii="宋体" w:hAnsi="宋体"/>
              </w:rPr>
            </w:pPr>
          </w:p>
          <w:p>
            <w:pPr>
              <w:pageBreakBefore w:val="0"/>
              <w:kinsoku/>
              <w:wordWrap/>
              <w:overflowPunct/>
              <w:topLinePunct w:val="0"/>
              <w:autoSpaceDE/>
              <w:autoSpaceDN/>
              <w:bidi w:val="0"/>
              <w:spacing w:line="400" w:lineRule="exact"/>
              <w:jc w:val="center"/>
              <w:outlineLvl w:val="9"/>
              <w:rPr>
                <w:rFonts w:hint="eastAsia" w:ascii="宋体" w:hAnsi="宋体"/>
              </w:rPr>
            </w:pPr>
          </w:p>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讨</w:t>
            </w:r>
          </w:p>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论</w:t>
            </w:r>
          </w:p>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内</w:t>
            </w:r>
          </w:p>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容</w:t>
            </w:r>
          </w:p>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及</w:t>
            </w:r>
          </w:p>
          <w:p>
            <w:pPr>
              <w:pageBreakBefore w:val="0"/>
              <w:kinsoku/>
              <w:wordWrap/>
              <w:overflowPunct/>
              <w:topLinePunct w:val="0"/>
              <w:autoSpaceDE/>
              <w:autoSpaceDN/>
              <w:bidi w:val="0"/>
              <w:spacing w:line="400" w:lineRule="exact"/>
              <w:jc w:val="center"/>
              <w:outlineLvl w:val="9"/>
              <w:rPr>
                <w:rFonts w:hint="eastAsia" w:ascii="宋体" w:hAnsi="宋体"/>
              </w:rPr>
            </w:pPr>
            <w:r>
              <w:rPr>
                <w:rFonts w:hint="eastAsia" w:ascii="宋体" w:hAnsi="宋体"/>
              </w:rPr>
              <w:t>形成的决定</w:t>
            </w:r>
          </w:p>
        </w:tc>
        <w:tc>
          <w:tcPr>
            <w:tcW w:w="9089" w:type="dxa"/>
            <w:gridSpan w:val="7"/>
          </w:tcPr>
          <w:p>
            <w:pPr>
              <w:pageBreakBefore w:val="0"/>
              <w:numPr>
                <w:ilvl w:val="0"/>
                <w:numId w:val="14"/>
              </w:numPr>
              <w:kinsoku/>
              <w:wordWrap/>
              <w:overflowPunct/>
              <w:topLinePunct w:val="0"/>
              <w:autoSpaceDE/>
              <w:autoSpaceDN/>
              <w:bidi w:val="0"/>
              <w:spacing w:line="400" w:lineRule="exact"/>
              <w:jc w:val="left"/>
              <w:outlineLvl w:val="9"/>
              <w:rPr>
                <w:rFonts w:hint="eastAsia" w:ascii="Calibri" w:hAnsi="Calibri" w:cs="宋体"/>
                <w:color w:val="000000"/>
                <w:kern w:val="0"/>
                <w:sz w:val="24"/>
                <w:szCs w:val="22"/>
                <w:shd w:val="clear" w:color="auto" w:fill="FFFFFF"/>
              </w:rPr>
            </w:pPr>
            <w:r>
              <w:rPr>
                <w:rFonts w:hint="eastAsia" w:ascii="Calibri" w:hAnsi="Calibri" w:cs="宋体"/>
                <w:color w:val="000000"/>
                <w:kern w:val="0"/>
                <w:sz w:val="24"/>
                <w:szCs w:val="22"/>
                <w:shd w:val="clear" w:color="auto" w:fill="FFFFFF"/>
              </w:rPr>
              <w:t>确定主要设备，关键条款</w:t>
            </w:r>
          </w:p>
          <w:p>
            <w:pPr>
              <w:pStyle w:val="10"/>
              <w:pageBreakBefore w:val="0"/>
              <w:numPr>
                <w:ilvl w:val="0"/>
                <w:numId w:val="14"/>
              </w:numPr>
              <w:shd w:val="clear" w:color="auto" w:fill="FFFFFF"/>
              <w:kinsoku/>
              <w:wordWrap/>
              <w:overflowPunct/>
              <w:topLinePunct w:val="0"/>
              <w:autoSpaceDE/>
              <w:autoSpaceDN/>
              <w:bidi w:val="0"/>
              <w:spacing w:before="0" w:beforeAutospacing="0" w:after="0" w:afterAutospacing="0" w:line="400" w:lineRule="atLeast"/>
              <w:outlineLvl w:val="9"/>
              <w:rPr>
                <w:rFonts w:cs="宋体"/>
                <w:color w:val="000000"/>
                <w:shd w:val="clear" w:color="auto" w:fill="FFFFFF"/>
              </w:rPr>
            </w:pPr>
            <w:r>
              <w:rPr>
                <w:rFonts w:hint="eastAsia" w:cs="宋体"/>
                <w:color w:val="000000"/>
                <w:shd w:val="clear" w:color="auto" w:fill="FFFFFF"/>
              </w:rPr>
              <w:t>是否含有进口产品（</w:t>
            </w:r>
            <w:r>
              <w:rPr>
                <w:rFonts w:cs="宋体"/>
                <w:color w:val="000000"/>
                <w:shd w:val="clear" w:color="auto" w:fill="FFFFFF"/>
              </w:rPr>
              <w:t>本项目不接受进口产品</w:t>
            </w:r>
            <w:r>
              <w:rPr>
                <w:rFonts w:hint="eastAsia" w:cs="宋体"/>
                <w:color w:val="000000"/>
                <w:shd w:val="clear" w:color="auto" w:fill="FFFFFF"/>
              </w:rPr>
              <w:t>：</w:t>
            </w:r>
            <w:r>
              <w:rPr>
                <w:rFonts w:cs="宋体"/>
                <w:color w:val="000000"/>
                <w:shd w:val="clear" w:color="auto" w:fill="FFFFFF"/>
              </w:rPr>
              <w:t>即通过中国海关报关验放进入中国境内且产自关境外的产品</w:t>
            </w:r>
            <w:r>
              <w:rPr>
                <w:rFonts w:hint="eastAsia" w:cs="宋体"/>
                <w:color w:val="000000"/>
                <w:shd w:val="clear" w:color="auto" w:fill="FFFFFF"/>
              </w:rPr>
              <w:t>）</w:t>
            </w:r>
            <w:r>
              <w:rPr>
                <w:rFonts w:cs="宋体"/>
                <w:color w:val="000000"/>
                <w:shd w:val="clear" w:color="auto" w:fill="FFFFFF"/>
              </w:rPr>
              <w:t>参与投标，如有此类产品参与投标的做投标无效处理。</w:t>
            </w:r>
            <w:r>
              <w:rPr>
                <w:rFonts w:hint="eastAsia" w:cs="宋体"/>
                <w:color w:val="000000"/>
                <w:shd w:val="clear" w:color="auto" w:fill="FFFFFF"/>
              </w:rPr>
              <w:t>（     ）</w:t>
            </w:r>
          </w:p>
          <w:p>
            <w:pPr>
              <w:pStyle w:val="10"/>
              <w:pageBreakBefore w:val="0"/>
              <w:numPr>
                <w:ilvl w:val="0"/>
                <w:numId w:val="14"/>
              </w:numPr>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r>
              <w:rPr>
                <w:rFonts w:hint="eastAsia" w:cs="宋体"/>
                <w:color w:val="000000"/>
                <w:shd w:val="clear" w:color="auto" w:fill="FFFFFF"/>
              </w:rPr>
              <w:t>如涉及采购软件，系统供应商必须免费开放系统并免费提供对接服务，免费提供对接技术方面的培训。</w:t>
            </w: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r>
              <w:rPr>
                <w:rFonts w:hint="eastAsia" w:cs="宋体"/>
                <w:color w:val="000000"/>
                <w:shd w:val="clear" w:color="auto" w:fill="FFFFFF"/>
              </w:rPr>
              <w:t>参数是否具有排他性，和教学要求是否相符，是否符合政府采购要求。</w:t>
            </w: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cs="宋体"/>
                <w:color w:val="000000"/>
                <w:shd w:val="clear" w:color="auto" w:fill="FFFFFF"/>
              </w:rPr>
            </w:pPr>
            <w:r>
              <w:rPr>
                <w:rFonts w:hint="eastAsia" w:cs="宋体"/>
                <w:color w:val="000000"/>
                <w:shd w:val="clear" w:color="auto" w:fill="FFFFFF"/>
              </w:rPr>
              <w:t>5.</w:t>
            </w: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r>
              <w:rPr>
                <w:rFonts w:hint="eastAsia" w:cs="宋体"/>
                <w:color w:val="000000"/>
                <w:shd w:val="clear" w:color="auto" w:fill="FFFFFF"/>
              </w:rPr>
              <w:t>6.是否分标 ：</w:t>
            </w: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r>
              <w:rPr>
                <w:rFonts w:hint="eastAsia" w:cs="宋体"/>
                <w:color w:val="000000"/>
                <w:shd w:val="clear" w:color="auto" w:fill="FFFFFF"/>
              </w:rPr>
              <w:t>7.交货时间：</w:t>
            </w: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r>
              <w:rPr>
                <w:rFonts w:hint="eastAsia" w:cs="宋体"/>
                <w:color w:val="000000"/>
                <w:shd w:val="clear" w:color="auto" w:fill="FFFFFF"/>
              </w:rPr>
              <w:t xml:space="preserve">8.售后服务要求： </w:t>
            </w:r>
          </w:p>
          <w:p>
            <w:pPr>
              <w:pStyle w:val="10"/>
              <w:pageBreakBefore w:val="0"/>
              <w:shd w:val="clear" w:color="auto" w:fill="FFFFFF"/>
              <w:kinsoku/>
              <w:wordWrap/>
              <w:overflowPunct/>
              <w:topLinePunct w:val="0"/>
              <w:autoSpaceDE/>
              <w:autoSpaceDN/>
              <w:bidi w:val="0"/>
              <w:spacing w:before="0" w:beforeAutospacing="0" w:after="0" w:afterAutospacing="0" w:line="400" w:lineRule="atLeast"/>
              <w:outlineLvl w:val="9"/>
              <w:rPr>
                <w:rFonts w:hint="eastAsia" w:cs="宋体"/>
                <w:color w:val="000000"/>
                <w:shd w:val="clear" w:color="auto" w:fill="FFFFFF"/>
              </w:rPr>
            </w:pPr>
            <w:r>
              <w:rPr>
                <w:rFonts w:hint="eastAsia" w:cs="宋体"/>
                <w:color w:val="000000"/>
                <w:shd w:val="clear" w:color="auto" w:fill="FFFFFF"/>
              </w:rPr>
              <w:t>9.项目预算：                   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5" w:hRule="atLeast"/>
          <w:tblHeader/>
        </w:trPr>
        <w:tc>
          <w:tcPr>
            <w:tcW w:w="662" w:type="dxa"/>
            <w:vAlign w:val="center"/>
          </w:tcPr>
          <w:p>
            <w:pPr>
              <w:pageBreakBefore w:val="0"/>
              <w:kinsoku/>
              <w:wordWrap/>
              <w:overflowPunct/>
              <w:topLinePunct w:val="0"/>
              <w:autoSpaceDE/>
              <w:autoSpaceDN/>
              <w:bidi w:val="0"/>
              <w:spacing w:line="400" w:lineRule="exact"/>
              <w:jc w:val="center"/>
              <w:outlineLvl w:val="9"/>
              <w:rPr>
                <w:rFonts w:hint="eastAsia" w:ascii="宋体" w:hAnsi="宋体"/>
                <w:b/>
              </w:rPr>
            </w:pPr>
            <w:r>
              <w:rPr>
                <w:rFonts w:hint="eastAsia" w:ascii="宋体" w:hAnsi="宋体"/>
                <w:b/>
              </w:rPr>
              <w:t>签字</w:t>
            </w:r>
          </w:p>
        </w:tc>
        <w:tc>
          <w:tcPr>
            <w:tcW w:w="9089" w:type="dxa"/>
            <w:gridSpan w:val="7"/>
          </w:tcPr>
          <w:p>
            <w:pPr>
              <w:pageBreakBefore w:val="0"/>
              <w:kinsoku/>
              <w:wordWrap/>
              <w:overflowPunct/>
              <w:topLinePunct w:val="0"/>
              <w:autoSpaceDE/>
              <w:autoSpaceDN/>
              <w:bidi w:val="0"/>
              <w:spacing w:line="400" w:lineRule="exact"/>
              <w:jc w:val="left"/>
              <w:outlineLvl w:val="9"/>
              <w:rPr>
                <w:rFonts w:hint="eastAsia" w:ascii="Calibri" w:hAnsi="Calibri" w:cs="宋体"/>
                <w:color w:val="000000"/>
                <w:kern w:val="0"/>
                <w:sz w:val="24"/>
                <w:szCs w:val="22"/>
                <w:shd w:val="clear" w:color="auto" w:fill="FFFFFF"/>
              </w:rPr>
            </w:pPr>
            <w:r>
              <w:rPr>
                <w:rFonts w:hint="eastAsia" w:ascii="Calibri" w:hAnsi="Calibri" w:cs="宋体"/>
                <w:color w:val="000000"/>
                <w:kern w:val="0"/>
                <w:sz w:val="24"/>
                <w:szCs w:val="22"/>
                <w:shd w:val="clear" w:color="auto" w:fill="FFFFFF"/>
              </w:rPr>
              <w:t>专家：</w:t>
            </w:r>
          </w:p>
          <w:p>
            <w:pPr>
              <w:pageBreakBefore w:val="0"/>
              <w:kinsoku/>
              <w:wordWrap/>
              <w:overflowPunct/>
              <w:topLinePunct w:val="0"/>
              <w:autoSpaceDE/>
              <w:autoSpaceDN/>
              <w:bidi w:val="0"/>
              <w:spacing w:line="400" w:lineRule="exact"/>
              <w:jc w:val="left"/>
              <w:outlineLvl w:val="9"/>
              <w:rPr>
                <w:rFonts w:hint="eastAsia" w:ascii="Calibri" w:hAnsi="Calibri" w:cs="宋体"/>
                <w:color w:val="000000"/>
                <w:kern w:val="0"/>
                <w:sz w:val="24"/>
                <w:szCs w:val="22"/>
                <w:shd w:val="clear" w:color="auto" w:fill="FFFFFF"/>
              </w:rPr>
            </w:pPr>
          </w:p>
          <w:p>
            <w:pPr>
              <w:pageBreakBefore w:val="0"/>
              <w:kinsoku/>
              <w:wordWrap/>
              <w:overflowPunct/>
              <w:topLinePunct w:val="0"/>
              <w:autoSpaceDE/>
              <w:autoSpaceDN/>
              <w:bidi w:val="0"/>
              <w:spacing w:line="400" w:lineRule="exact"/>
              <w:jc w:val="left"/>
              <w:outlineLvl w:val="9"/>
              <w:rPr>
                <w:rFonts w:hint="eastAsia" w:ascii="Calibri" w:hAnsi="Calibri" w:cs="宋体"/>
                <w:color w:val="000000"/>
                <w:kern w:val="0"/>
                <w:sz w:val="24"/>
                <w:szCs w:val="22"/>
                <w:shd w:val="clear" w:color="auto" w:fill="FFFFFF"/>
              </w:rPr>
            </w:pPr>
          </w:p>
          <w:p>
            <w:pPr>
              <w:pageBreakBefore w:val="0"/>
              <w:kinsoku/>
              <w:wordWrap/>
              <w:overflowPunct/>
              <w:topLinePunct w:val="0"/>
              <w:autoSpaceDE/>
              <w:autoSpaceDN/>
              <w:bidi w:val="0"/>
              <w:spacing w:line="400" w:lineRule="exact"/>
              <w:jc w:val="left"/>
              <w:outlineLvl w:val="9"/>
              <w:rPr>
                <w:rFonts w:hint="eastAsia" w:ascii="Calibri" w:hAnsi="Calibri" w:cs="宋体"/>
                <w:color w:val="000000"/>
                <w:kern w:val="0"/>
                <w:sz w:val="24"/>
                <w:szCs w:val="22"/>
                <w:shd w:val="clear" w:color="auto" w:fill="FFFFFF"/>
              </w:rPr>
            </w:pPr>
          </w:p>
          <w:p>
            <w:pPr>
              <w:pageBreakBefore w:val="0"/>
              <w:kinsoku/>
              <w:wordWrap/>
              <w:overflowPunct/>
              <w:topLinePunct w:val="0"/>
              <w:autoSpaceDE/>
              <w:autoSpaceDN/>
              <w:bidi w:val="0"/>
              <w:spacing w:line="400" w:lineRule="exact"/>
              <w:jc w:val="left"/>
              <w:outlineLvl w:val="9"/>
              <w:rPr>
                <w:rFonts w:hint="eastAsia" w:ascii="Calibri" w:hAnsi="Calibri" w:cs="宋体"/>
                <w:color w:val="000000"/>
                <w:kern w:val="0"/>
                <w:sz w:val="24"/>
                <w:szCs w:val="22"/>
                <w:shd w:val="clear" w:color="auto" w:fill="FFFFFF"/>
              </w:rPr>
            </w:pPr>
            <w:r>
              <w:rPr>
                <w:rFonts w:hint="eastAsia" w:ascii="Calibri" w:hAnsi="Calibri" w:cs="宋体"/>
                <w:color w:val="000000"/>
                <w:kern w:val="0"/>
                <w:sz w:val="24"/>
                <w:szCs w:val="22"/>
                <w:shd w:val="clear" w:color="auto" w:fill="FFFFFF"/>
              </w:rPr>
              <w:t>资产管理处：</w:t>
            </w:r>
          </w:p>
          <w:p>
            <w:pPr>
              <w:pageBreakBefore w:val="0"/>
              <w:kinsoku/>
              <w:wordWrap/>
              <w:overflowPunct/>
              <w:topLinePunct w:val="0"/>
              <w:autoSpaceDE/>
              <w:autoSpaceDN/>
              <w:bidi w:val="0"/>
              <w:outlineLvl w:val="9"/>
              <w:rPr>
                <w:rFonts w:ascii="Arial" w:hAnsi="Arial" w:eastAsia="Helvetica" w:cs="Arial"/>
                <w:color w:val="333333"/>
                <w:sz w:val="21"/>
                <w:szCs w:val="21"/>
              </w:rPr>
            </w:pPr>
          </w:p>
          <w:p>
            <w:pPr>
              <w:pageBreakBefore w:val="0"/>
              <w:kinsoku/>
              <w:wordWrap/>
              <w:overflowPunct/>
              <w:topLinePunct w:val="0"/>
              <w:autoSpaceDE/>
              <w:autoSpaceDN/>
              <w:bidi w:val="0"/>
              <w:outlineLvl w:val="9"/>
              <w:rPr>
                <w:rFonts w:hint="eastAsia"/>
              </w:rPr>
            </w:pPr>
            <w:r>
              <w:rPr>
                <w:rFonts w:hint="eastAsia"/>
              </w:rPr>
              <w:t xml:space="preserve">                                       </w:t>
            </w:r>
            <w:r>
              <w:rPr>
                <w:rFonts w:hint="eastAsia" w:ascii="Calibri"/>
              </w:rPr>
              <w:t xml:space="preserve">      </w:t>
            </w:r>
            <w:r>
              <w:rPr>
                <w:rFonts w:hint="eastAsia"/>
              </w:rPr>
              <w:t xml:space="preserve">  年     月    日 </w:t>
            </w:r>
          </w:p>
        </w:tc>
      </w:tr>
    </w:tbl>
    <w:p>
      <w:pPr>
        <w:pageBreakBefore w:val="0"/>
        <w:kinsoku/>
        <w:wordWrap/>
        <w:overflowPunct/>
        <w:topLinePunct w:val="0"/>
        <w:autoSpaceDE/>
        <w:autoSpaceDN/>
        <w:bidi w:val="0"/>
        <w:outlineLvl w:val="9"/>
        <w:rPr>
          <w:szCs w:val="28"/>
          <w:lang w:val="ru-RU"/>
        </w:rPr>
        <w:sectPr>
          <w:pgSz w:w="11906" w:h="16838"/>
          <w:pgMar w:top="1134" w:right="1134" w:bottom="1134" w:left="1134" w:header="851" w:footer="992" w:gutter="0"/>
          <w:pgNumType w:fmt="decimal"/>
          <w:cols w:space="720" w:num="1"/>
          <w:docGrid w:type="lines" w:linePitch="312" w:charSpace="0"/>
        </w:sectPr>
      </w:pP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73" w:name="_Toc20565_WPSOffice_Level1"/>
      <w:r>
        <w:rPr>
          <w:rFonts w:hint="eastAsia" w:ascii="黑体" w:hAnsi="Calibri" w:eastAsia="黑体"/>
          <w:b/>
          <w:bCs/>
          <w:sz w:val="32"/>
          <w:szCs w:val="32"/>
          <w:lang w:val="ru-RU"/>
        </w:rPr>
        <w:t>附件6</w:t>
      </w:r>
      <w:r>
        <w:rPr>
          <w:rFonts w:hint="eastAsia" w:ascii="黑体" w:eastAsia="黑体"/>
          <w:b/>
          <w:bCs/>
          <w:sz w:val="32"/>
          <w:szCs w:val="32"/>
        </w:rPr>
        <w:t>:</w:t>
      </w:r>
      <w:bookmarkEnd w:id="1673"/>
    </w:p>
    <w:p>
      <w:pPr>
        <w:pageBreakBefore w:val="0"/>
        <w:kinsoku/>
        <w:wordWrap/>
        <w:overflowPunct/>
        <w:topLinePunct w:val="0"/>
        <w:autoSpaceDE/>
        <w:autoSpaceDN/>
        <w:bidi w:val="0"/>
        <w:outlineLvl w:val="9"/>
        <w:rPr>
          <w:szCs w:val="28"/>
          <w:lang w:val="ru-RU"/>
        </w:rPr>
      </w:pPr>
      <w:r>
        <w:rPr>
          <w:szCs w:val="28"/>
        </w:rPr>
        <w:drawing>
          <wp:inline distT="0" distB="0" distL="0" distR="0">
            <wp:extent cx="9132570" cy="5324475"/>
            <wp:effectExtent l="0" t="0" r="11430" b="9525"/>
            <wp:docPr id="261" name="图片 261" descr="未命名_meit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未命名_meitu_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9132570" cy="5324475"/>
                    </a:xfrm>
                    <a:prstGeom prst="rect">
                      <a:avLst/>
                    </a:prstGeom>
                    <a:noFill/>
                    <a:ln>
                      <a:noFill/>
                    </a:ln>
                  </pic:spPr>
                </pic:pic>
              </a:graphicData>
            </a:graphic>
          </wp:inline>
        </w:drawing>
      </w: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74" w:name="_Toc31461_WPSOffice_Level1"/>
      <w:r>
        <w:rPr>
          <w:rFonts w:hint="eastAsia" w:ascii="黑体" w:hAnsi="Calibri" w:eastAsia="黑体"/>
          <w:b/>
          <w:bCs/>
          <w:sz w:val="32"/>
          <w:szCs w:val="32"/>
          <w:lang w:val="ru-RU"/>
        </w:rPr>
        <w:t>附件7</w:t>
      </w:r>
      <w:r>
        <w:rPr>
          <w:rFonts w:hint="eastAsia" w:ascii="黑体" w:eastAsia="黑体"/>
          <w:b/>
          <w:bCs/>
          <w:sz w:val="32"/>
          <w:szCs w:val="32"/>
        </w:rPr>
        <w:t>:</w:t>
      </w:r>
      <w:bookmarkEnd w:id="1674"/>
    </w:p>
    <w:tbl>
      <w:tblPr>
        <w:tblStyle w:val="14"/>
        <w:tblpPr w:leftFromText="181" w:rightFromText="181" w:vertAnchor="text" w:horzAnchor="margin" w:tblpXSpec="center" w:tblpY="1"/>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17"/>
        <w:gridCol w:w="1418"/>
        <w:gridCol w:w="4819"/>
        <w:gridCol w:w="993"/>
        <w:gridCol w:w="567"/>
        <w:gridCol w:w="1134"/>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4000" w:type="dxa"/>
            <w:gridSpan w:val="8"/>
            <w:vAlign w:val="center"/>
          </w:tcPr>
          <w:p>
            <w:pPr>
              <w:pageBreakBefore w:val="0"/>
              <w:tabs>
                <w:tab w:val="left" w:pos="3920"/>
              </w:tabs>
              <w:kinsoku/>
              <w:wordWrap/>
              <w:overflowPunct/>
              <w:topLinePunct w:val="0"/>
              <w:autoSpaceDE/>
              <w:autoSpaceDN/>
              <w:bidi w:val="0"/>
              <w:jc w:val="center"/>
              <w:outlineLvl w:val="9"/>
              <w:rPr>
                <w:sz w:val="32"/>
                <w:szCs w:val="32"/>
              </w:rPr>
            </w:pPr>
            <w:r>
              <w:rPr>
                <w:rFonts w:hint="eastAsia"/>
                <w:sz w:val="32"/>
                <w:szCs w:val="32"/>
              </w:rPr>
              <w:t>柳州职业技术学院采购方案询价报价表（格式）</w:t>
            </w:r>
          </w:p>
          <w:p>
            <w:pPr>
              <w:pageBreakBefore w:val="0"/>
              <w:tabs>
                <w:tab w:val="left" w:pos="3920"/>
              </w:tabs>
              <w:kinsoku/>
              <w:wordWrap/>
              <w:overflowPunct/>
              <w:topLinePunct w:val="0"/>
              <w:autoSpaceDE/>
              <w:autoSpaceDN/>
              <w:bidi w:val="0"/>
              <w:outlineLvl w:val="9"/>
              <w:rPr>
                <w:szCs w:val="21"/>
              </w:rPr>
            </w:pPr>
            <w:r>
              <w:rPr>
                <w:rFonts w:hint="eastAsia"/>
                <w:szCs w:val="21"/>
              </w:rPr>
              <w:t>填表说明：</w:t>
            </w:r>
          </w:p>
          <w:p>
            <w:pPr>
              <w:pageBreakBefore w:val="0"/>
              <w:tabs>
                <w:tab w:val="left" w:pos="3920"/>
              </w:tabs>
              <w:kinsoku/>
              <w:wordWrap/>
              <w:overflowPunct/>
              <w:topLinePunct w:val="0"/>
              <w:autoSpaceDE/>
              <w:autoSpaceDN/>
              <w:bidi w:val="0"/>
              <w:outlineLvl w:val="9"/>
              <w:rPr>
                <w:szCs w:val="21"/>
              </w:rPr>
            </w:pPr>
            <w:r>
              <w:rPr>
                <w:szCs w:val="21"/>
              </w:rPr>
              <w:t>1</w:t>
            </w:r>
            <w:r>
              <w:rPr>
                <w:rFonts w:hint="eastAsia"/>
                <w:szCs w:val="21"/>
              </w:rPr>
              <w:t>、报价商需填入单价、总价、所供品牌型号、交货期及免费保修期。总报价包括货物价格、运费、安装调试及税费。</w:t>
            </w:r>
          </w:p>
          <w:p>
            <w:pPr>
              <w:pageBreakBefore w:val="0"/>
              <w:tabs>
                <w:tab w:val="left" w:pos="3920"/>
              </w:tabs>
              <w:kinsoku/>
              <w:wordWrap/>
              <w:overflowPunct/>
              <w:topLinePunct w:val="0"/>
              <w:autoSpaceDE/>
              <w:autoSpaceDN/>
              <w:bidi w:val="0"/>
              <w:jc w:val="left"/>
              <w:outlineLvl w:val="9"/>
              <w:rPr>
                <w:szCs w:val="21"/>
              </w:rPr>
            </w:pPr>
            <w:r>
              <w:rPr>
                <w:szCs w:val="21"/>
              </w:rPr>
              <w:t>2</w:t>
            </w:r>
            <w:r>
              <w:rPr>
                <w:rFonts w:hint="eastAsia"/>
                <w:szCs w:val="21"/>
              </w:rPr>
              <w:t>、如报价商所报品牌完全响应我校的功能及技术参数，则填写“参数完全响应”，</w:t>
            </w:r>
            <w:r>
              <w:rPr>
                <w:rFonts w:hint="eastAsia"/>
                <w:b/>
                <w:bCs/>
                <w:szCs w:val="21"/>
              </w:rPr>
              <w:t>如发现本表所列功能及技术参数有唯一性或者指向性的，则填写“除红字部分为</w:t>
            </w:r>
            <w:r>
              <w:rPr>
                <w:b/>
                <w:bCs/>
                <w:szCs w:val="21"/>
              </w:rPr>
              <w:t>XX</w:t>
            </w:r>
            <w:r>
              <w:rPr>
                <w:rFonts w:hint="eastAsia"/>
                <w:b/>
                <w:bCs/>
                <w:szCs w:val="21"/>
              </w:rPr>
              <w:t>品牌独有功能（参数）外均响应”并将唯一性或排他性的内容涂为红色</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675" w:type="dxa"/>
            <w:vAlign w:val="center"/>
          </w:tcPr>
          <w:p>
            <w:pPr>
              <w:pageBreakBefore w:val="0"/>
              <w:kinsoku/>
              <w:wordWrap/>
              <w:overflowPunct/>
              <w:topLinePunct w:val="0"/>
              <w:autoSpaceDE/>
              <w:autoSpaceDN/>
              <w:bidi w:val="0"/>
              <w:jc w:val="center"/>
              <w:outlineLvl w:val="9"/>
              <w:rPr>
                <w:szCs w:val="21"/>
              </w:rPr>
            </w:pPr>
            <w:r>
              <w:rPr>
                <w:rFonts w:hint="eastAsia"/>
                <w:szCs w:val="21"/>
              </w:rPr>
              <w:t>序号</w:t>
            </w:r>
          </w:p>
        </w:tc>
        <w:tc>
          <w:tcPr>
            <w:tcW w:w="1417" w:type="dxa"/>
            <w:vAlign w:val="center"/>
          </w:tcPr>
          <w:p>
            <w:pPr>
              <w:pageBreakBefore w:val="0"/>
              <w:kinsoku/>
              <w:wordWrap/>
              <w:overflowPunct/>
              <w:topLinePunct w:val="0"/>
              <w:autoSpaceDE/>
              <w:autoSpaceDN/>
              <w:bidi w:val="0"/>
              <w:jc w:val="center"/>
              <w:outlineLvl w:val="9"/>
              <w:rPr>
                <w:szCs w:val="21"/>
              </w:rPr>
            </w:pPr>
            <w:r>
              <w:rPr>
                <w:rFonts w:hint="eastAsia"/>
                <w:szCs w:val="21"/>
              </w:rPr>
              <w:t>仪器设备名称</w:t>
            </w:r>
          </w:p>
        </w:tc>
        <w:tc>
          <w:tcPr>
            <w:tcW w:w="1418" w:type="dxa"/>
            <w:vAlign w:val="center"/>
          </w:tcPr>
          <w:p>
            <w:pPr>
              <w:pageBreakBefore w:val="0"/>
              <w:kinsoku/>
              <w:wordWrap/>
              <w:overflowPunct/>
              <w:topLinePunct w:val="0"/>
              <w:autoSpaceDE/>
              <w:autoSpaceDN/>
              <w:bidi w:val="0"/>
              <w:jc w:val="center"/>
              <w:outlineLvl w:val="9"/>
              <w:rPr>
                <w:szCs w:val="21"/>
              </w:rPr>
            </w:pPr>
            <w:r>
              <w:rPr>
                <w:rFonts w:hint="eastAsia"/>
                <w:szCs w:val="21"/>
              </w:rPr>
              <w:t>参考品牌及型号</w:t>
            </w:r>
          </w:p>
        </w:tc>
        <w:tc>
          <w:tcPr>
            <w:tcW w:w="4819" w:type="dxa"/>
            <w:vAlign w:val="center"/>
          </w:tcPr>
          <w:p>
            <w:pPr>
              <w:pageBreakBefore w:val="0"/>
              <w:kinsoku/>
              <w:wordWrap/>
              <w:overflowPunct/>
              <w:topLinePunct w:val="0"/>
              <w:autoSpaceDE/>
              <w:autoSpaceDN/>
              <w:bidi w:val="0"/>
              <w:jc w:val="center"/>
              <w:outlineLvl w:val="9"/>
              <w:rPr>
                <w:szCs w:val="21"/>
              </w:rPr>
            </w:pPr>
            <w:r>
              <w:rPr>
                <w:rFonts w:hint="eastAsia"/>
                <w:szCs w:val="21"/>
              </w:rPr>
              <w:t>功能及技术参数</w:t>
            </w:r>
          </w:p>
        </w:tc>
        <w:tc>
          <w:tcPr>
            <w:tcW w:w="993" w:type="dxa"/>
            <w:vAlign w:val="center"/>
          </w:tcPr>
          <w:p>
            <w:pPr>
              <w:pageBreakBefore w:val="0"/>
              <w:kinsoku/>
              <w:wordWrap/>
              <w:overflowPunct/>
              <w:topLinePunct w:val="0"/>
              <w:autoSpaceDE/>
              <w:autoSpaceDN/>
              <w:bidi w:val="0"/>
              <w:jc w:val="center"/>
              <w:outlineLvl w:val="9"/>
              <w:rPr>
                <w:szCs w:val="21"/>
              </w:rPr>
            </w:pPr>
            <w:r>
              <w:rPr>
                <w:rFonts w:hint="eastAsia"/>
                <w:szCs w:val="21"/>
              </w:rPr>
              <w:t>单价</w:t>
            </w:r>
          </w:p>
        </w:tc>
        <w:tc>
          <w:tcPr>
            <w:tcW w:w="567" w:type="dxa"/>
            <w:vAlign w:val="center"/>
          </w:tcPr>
          <w:p>
            <w:pPr>
              <w:pageBreakBefore w:val="0"/>
              <w:kinsoku/>
              <w:wordWrap/>
              <w:overflowPunct/>
              <w:topLinePunct w:val="0"/>
              <w:autoSpaceDE/>
              <w:autoSpaceDN/>
              <w:bidi w:val="0"/>
              <w:jc w:val="center"/>
              <w:outlineLvl w:val="9"/>
              <w:rPr>
                <w:szCs w:val="21"/>
              </w:rPr>
            </w:pPr>
            <w:r>
              <w:rPr>
                <w:rFonts w:hint="eastAsia"/>
                <w:szCs w:val="21"/>
              </w:rPr>
              <w:t>数量</w:t>
            </w:r>
          </w:p>
        </w:tc>
        <w:tc>
          <w:tcPr>
            <w:tcW w:w="1134" w:type="dxa"/>
            <w:vAlign w:val="center"/>
          </w:tcPr>
          <w:p>
            <w:pPr>
              <w:pageBreakBefore w:val="0"/>
              <w:kinsoku/>
              <w:wordWrap/>
              <w:overflowPunct/>
              <w:topLinePunct w:val="0"/>
              <w:autoSpaceDE/>
              <w:autoSpaceDN/>
              <w:bidi w:val="0"/>
              <w:jc w:val="center"/>
              <w:outlineLvl w:val="9"/>
              <w:rPr>
                <w:szCs w:val="21"/>
              </w:rPr>
            </w:pPr>
            <w:r>
              <w:rPr>
                <w:rFonts w:hint="eastAsia"/>
                <w:szCs w:val="21"/>
              </w:rPr>
              <w:t>报价商</w:t>
            </w:r>
          </w:p>
          <w:p>
            <w:pPr>
              <w:pageBreakBefore w:val="0"/>
              <w:kinsoku/>
              <w:wordWrap/>
              <w:overflowPunct/>
              <w:topLinePunct w:val="0"/>
              <w:autoSpaceDE/>
              <w:autoSpaceDN/>
              <w:bidi w:val="0"/>
              <w:jc w:val="center"/>
              <w:outlineLvl w:val="9"/>
              <w:rPr>
                <w:szCs w:val="21"/>
              </w:rPr>
            </w:pPr>
            <w:r>
              <w:rPr>
                <w:rFonts w:hint="eastAsia"/>
                <w:szCs w:val="21"/>
              </w:rPr>
              <w:t>所供品牌型号</w:t>
            </w:r>
          </w:p>
        </w:tc>
        <w:tc>
          <w:tcPr>
            <w:tcW w:w="2977" w:type="dxa"/>
            <w:vAlign w:val="center"/>
          </w:tcPr>
          <w:p>
            <w:pPr>
              <w:pageBreakBefore w:val="0"/>
              <w:kinsoku/>
              <w:wordWrap/>
              <w:overflowPunct/>
              <w:topLinePunct w:val="0"/>
              <w:autoSpaceDE/>
              <w:autoSpaceDN/>
              <w:bidi w:val="0"/>
              <w:jc w:val="center"/>
              <w:outlineLvl w:val="9"/>
              <w:rPr>
                <w:szCs w:val="21"/>
              </w:rPr>
            </w:pPr>
            <w:r>
              <w:rPr>
                <w:rFonts w:hint="eastAsia"/>
                <w:szCs w:val="21"/>
              </w:rPr>
              <w:t>功能及技术参数响应情况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675" w:type="dxa"/>
            <w:vAlign w:val="center"/>
          </w:tcPr>
          <w:p>
            <w:pPr>
              <w:pageBreakBefore w:val="0"/>
              <w:kinsoku/>
              <w:wordWrap/>
              <w:overflowPunct/>
              <w:topLinePunct w:val="0"/>
              <w:autoSpaceDE/>
              <w:autoSpaceDN/>
              <w:bidi w:val="0"/>
              <w:jc w:val="center"/>
              <w:outlineLvl w:val="9"/>
              <w:rPr>
                <w:rFonts w:ascii="宋体" w:cs="宋体"/>
                <w:sz w:val="20"/>
                <w:szCs w:val="20"/>
              </w:rPr>
            </w:pPr>
            <w:r>
              <w:rPr>
                <w:sz w:val="20"/>
                <w:szCs w:val="20"/>
              </w:rPr>
              <w:t>1</w:t>
            </w:r>
          </w:p>
        </w:tc>
        <w:tc>
          <w:tcPr>
            <w:tcW w:w="1417" w:type="dxa"/>
            <w:vAlign w:val="center"/>
          </w:tcPr>
          <w:p>
            <w:pPr>
              <w:pageBreakBefore w:val="0"/>
              <w:kinsoku/>
              <w:wordWrap/>
              <w:overflowPunct/>
              <w:topLinePunct w:val="0"/>
              <w:autoSpaceDE/>
              <w:autoSpaceDN/>
              <w:bidi w:val="0"/>
              <w:jc w:val="center"/>
              <w:outlineLvl w:val="9"/>
              <w:rPr>
                <w:rFonts w:ascii="宋体" w:cs="宋体"/>
                <w:sz w:val="22"/>
              </w:rPr>
            </w:pPr>
            <w:r>
              <w:rPr>
                <w:rFonts w:hint="eastAsia"/>
                <w:sz w:val="22"/>
              </w:rPr>
              <w:t>桌椅</w:t>
            </w:r>
          </w:p>
        </w:tc>
        <w:tc>
          <w:tcPr>
            <w:tcW w:w="1418" w:type="dxa"/>
            <w:vAlign w:val="center"/>
          </w:tcPr>
          <w:p>
            <w:pPr>
              <w:pageBreakBefore w:val="0"/>
              <w:widowControl/>
              <w:kinsoku/>
              <w:wordWrap/>
              <w:overflowPunct/>
              <w:topLinePunct w:val="0"/>
              <w:autoSpaceDE/>
              <w:autoSpaceDN/>
              <w:bidi w:val="0"/>
              <w:jc w:val="left"/>
              <w:outlineLvl w:val="9"/>
              <w:rPr>
                <w:rFonts w:ascii="宋体" w:cs="宋体"/>
                <w:color w:val="000000"/>
                <w:kern w:val="0"/>
                <w:szCs w:val="21"/>
              </w:rPr>
            </w:pPr>
            <w:r>
              <w:rPr>
                <w:rFonts w:hint="eastAsia" w:ascii="宋体" w:hAnsi="宋体" w:cs="宋体"/>
                <w:color w:val="000000"/>
                <w:kern w:val="0"/>
                <w:szCs w:val="21"/>
              </w:rPr>
              <w:t>定制</w:t>
            </w:r>
          </w:p>
        </w:tc>
        <w:tc>
          <w:tcPr>
            <w:tcW w:w="4819" w:type="dxa"/>
            <w:vAlign w:val="center"/>
          </w:tcPr>
          <w:p>
            <w:pPr>
              <w:pageBreakBefore w:val="0"/>
              <w:kinsoku/>
              <w:wordWrap/>
              <w:overflowPunct/>
              <w:topLinePunct w:val="0"/>
              <w:autoSpaceDE/>
              <w:autoSpaceDN/>
              <w:bidi w:val="0"/>
              <w:outlineLvl w:val="9"/>
              <w:rPr>
                <w:rFonts w:ascii="宋体" w:cs="宋体"/>
                <w:szCs w:val="21"/>
              </w:rPr>
            </w:pPr>
            <w:r>
              <w:rPr>
                <w:rFonts w:hint="eastAsia"/>
                <w:szCs w:val="21"/>
              </w:rPr>
              <w:t>规格：</w:t>
            </w:r>
            <w:r>
              <w:rPr>
                <w:szCs w:val="21"/>
              </w:rPr>
              <w:t>3800W*1600D*760H</w:t>
            </w:r>
            <w:r>
              <w:rPr>
                <w:rFonts w:hint="eastAsia"/>
                <w:szCs w:val="21"/>
              </w:rPr>
              <w:t>，三聚氰胺纤维板，防火耐磨板贴面，</w:t>
            </w:r>
            <w:r>
              <w:rPr>
                <w:szCs w:val="21"/>
              </w:rPr>
              <w:t>50*50</w:t>
            </w:r>
            <w:r>
              <w:rPr>
                <w:rFonts w:hint="eastAsia"/>
                <w:szCs w:val="21"/>
              </w:rPr>
              <w:t>方管，喷涂处理，</w:t>
            </w:r>
            <w:r>
              <w:rPr>
                <w:szCs w:val="21"/>
              </w:rPr>
              <w:t>6</w:t>
            </w:r>
            <w:r>
              <w:rPr>
                <w:rFonts w:hint="eastAsia"/>
                <w:szCs w:val="21"/>
              </w:rPr>
              <w:t>条连杆</w:t>
            </w:r>
            <w:r>
              <w:rPr>
                <w:szCs w:val="21"/>
              </w:rPr>
              <w:t>3</w:t>
            </w:r>
            <w:r>
              <w:rPr>
                <w:rFonts w:hint="eastAsia"/>
                <w:szCs w:val="21"/>
              </w:rPr>
              <w:t>只脚，面板为</w:t>
            </w:r>
            <w:r>
              <w:rPr>
                <w:szCs w:val="21"/>
              </w:rPr>
              <w:t>25mm</w:t>
            </w:r>
            <w:r>
              <w:rPr>
                <w:rFonts w:hint="eastAsia"/>
                <w:szCs w:val="21"/>
              </w:rPr>
              <w:t>板。</w:t>
            </w:r>
            <w:r>
              <w:rPr>
                <w:szCs w:val="21"/>
              </w:rPr>
              <w:t>1</w:t>
            </w:r>
            <w:r>
              <w:rPr>
                <w:rFonts w:hint="eastAsia"/>
                <w:szCs w:val="21"/>
              </w:rPr>
              <w:t>套含</w:t>
            </w:r>
            <w:r>
              <w:rPr>
                <w:szCs w:val="21"/>
              </w:rPr>
              <w:t>1</w:t>
            </w:r>
            <w:r>
              <w:rPr>
                <w:rFonts w:hint="eastAsia"/>
                <w:szCs w:val="21"/>
              </w:rPr>
              <w:t>张桌子配</w:t>
            </w:r>
            <w:r>
              <w:rPr>
                <w:szCs w:val="21"/>
              </w:rPr>
              <w:t>12</w:t>
            </w:r>
            <w:r>
              <w:rPr>
                <w:rFonts w:hint="eastAsia"/>
                <w:szCs w:val="21"/>
              </w:rPr>
              <w:t>张椅子（电镀架、靠背为蓝色工程塑料）</w:t>
            </w:r>
          </w:p>
        </w:tc>
        <w:tc>
          <w:tcPr>
            <w:tcW w:w="993" w:type="dxa"/>
            <w:vAlign w:val="center"/>
          </w:tcPr>
          <w:p>
            <w:pPr>
              <w:pageBreakBefore w:val="0"/>
              <w:widowControl/>
              <w:kinsoku/>
              <w:wordWrap/>
              <w:overflowPunct/>
              <w:topLinePunct w:val="0"/>
              <w:autoSpaceDE/>
              <w:autoSpaceDN/>
              <w:bidi w:val="0"/>
              <w:jc w:val="center"/>
              <w:outlineLvl w:val="9"/>
              <w:rPr>
                <w:rFonts w:ascii="宋体" w:hAnsi="宋体" w:cs="宋体"/>
                <w:kern w:val="0"/>
                <w:szCs w:val="21"/>
              </w:rPr>
            </w:pPr>
            <w:r>
              <w:rPr>
                <w:rFonts w:ascii="宋体" w:hAnsi="宋体" w:cs="宋体"/>
                <w:kern w:val="0"/>
                <w:szCs w:val="21"/>
              </w:rPr>
              <w:t>2500</w:t>
            </w:r>
          </w:p>
        </w:tc>
        <w:tc>
          <w:tcPr>
            <w:tcW w:w="567" w:type="dxa"/>
            <w:vAlign w:val="center"/>
          </w:tcPr>
          <w:p>
            <w:pPr>
              <w:pageBreakBefore w:val="0"/>
              <w:kinsoku/>
              <w:wordWrap/>
              <w:overflowPunct/>
              <w:topLinePunct w:val="0"/>
              <w:autoSpaceDE/>
              <w:autoSpaceDN/>
              <w:bidi w:val="0"/>
              <w:jc w:val="center"/>
              <w:outlineLvl w:val="9"/>
              <w:rPr>
                <w:rFonts w:ascii="宋体" w:cs="宋体"/>
                <w:szCs w:val="21"/>
              </w:rPr>
            </w:pPr>
            <w:r>
              <w:rPr>
                <w:szCs w:val="21"/>
              </w:rPr>
              <w:t>1</w:t>
            </w:r>
          </w:p>
        </w:tc>
        <w:tc>
          <w:tcPr>
            <w:tcW w:w="1134" w:type="dxa"/>
            <w:vAlign w:val="center"/>
          </w:tcPr>
          <w:p>
            <w:pPr>
              <w:pageBreakBefore w:val="0"/>
              <w:kinsoku/>
              <w:wordWrap/>
              <w:overflowPunct/>
              <w:topLinePunct w:val="0"/>
              <w:autoSpaceDE/>
              <w:autoSpaceDN/>
              <w:bidi w:val="0"/>
              <w:outlineLvl w:val="9"/>
              <w:rPr>
                <w:szCs w:val="21"/>
              </w:rPr>
            </w:pPr>
            <w:r>
              <w:rPr>
                <w:rFonts w:hint="eastAsia"/>
                <w:szCs w:val="21"/>
              </w:rPr>
              <w:t>志光</w:t>
            </w:r>
            <w:r>
              <w:rPr>
                <w:szCs w:val="21"/>
              </w:rPr>
              <w:t>ZG1102</w:t>
            </w:r>
          </w:p>
        </w:tc>
        <w:tc>
          <w:tcPr>
            <w:tcW w:w="2977" w:type="dxa"/>
            <w:vAlign w:val="center"/>
          </w:tcPr>
          <w:p>
            <w:pPr>
              <w:pageBreakBefore w:val="0"/>
              <w:kinsoku/>
              <w:wordWrap/>
              <w:overflowPunct/>
              <w:topLinePunct w:val="0"/>
              <w:autoSpaceDE/>
              <w:autoSpaceDN/>
              <w:bidi w:val="0"/>
              <w:outlineLvl w:val="9"/>
              <w:rPr>
                <w:szCs w:val="21"/>
              </w:rPr>
            </w:pPr>
            <w:r>
              <w:rPr>
                <w:rFonts w:hint="eastAsia"/>
                <w:szCs w:val="21"/>
              </w:rPr>
              <w:t>参数完全响应。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0" w:hRule="atLeast"/>
        </w:trPr>
        <w:tc>
          <w:tcPr>
            <w:tcW w:w="675" w:type="dxa"/>
            <w:vAlign w:val="center"/>
          </w:tcPr>
          <w:p>
            <w:pPr>
              <w:pageBreakBefore w:val="0"/>
              <w:kinsoku/>
              <w:wordWrap/>
              <w:overflowPunct/>
              <w:topLinePunct w:val="0"/>
              <w:autoSpaceDE/>
              <w:autoSpaceDN/>
              <w:bidi w:val="0"/>
              <w:jc w:val="center"/>
              <w:outlineLvl w:val="9"/>
              <w:rPr>
                <w:rFonts w:ascii="宋体" w:cs="宋体"/>
                <w:sz w:val="20"/>
                <w:szCs w:val="20"/>
              </w:rPr>
            </w:pPr>
            <w:r>
              <w:rPr>
                <w:sz w:val="20"/>
                <w:szCs w:val="20"/>
              </w:rPr>
              <w:t>2</w:t>
            </w:r>
          </w:p>
        </w:tc>
        <w:tc>
          <w:tcPr>
            <w:tcW w:w="1417" w:type="dxa"/>
            <w:vAlign w:val="center"/>
          </w:tcPr>
          <w:p>
            <w:pPr>
              <w:pageBreakBefore w:val="0"/>
              <w:kinsoku/>
              <w:wordWrap/>
              <w:overflowPunct/>
              <w:topLinePunct w:val="0"/>
              <w:autoSpaceDE/>
              <w:autoSpaceDN/>
              <w:bidi w:val="0"/>
              <w:jc w:val="center"/>
              <w:outlineLvl w:val="9"/>
              <w:rPr>
                <w:rFonts w:ascii="宋体" w:cs="宋体"/>
                <w:sz w:val="22"/>
              </w:rPr>
            </w:pPr>
            <w:r>
              <w:rPr>
                <w:rFonts w:hint="eastAsia"/>
                <w:sz w:val="22"/>
              </w:rPr>
              <w:t>台式计算机</w:t>
            </w:r>
          </w:p>
        </w:tc>
        <w:tc>
          <w:tcPr>
            <w:tcW w:w="1418" w:type="dxa"/>
            <w:vAlign w:val="center"/>
          </w:tcPr>
          <w:p>
            <w:pPr>
              <w:pageBreakBefore w:val="0"/>
              <w:widowControl/>
              <w:kinsoku/>
              <w:wordWrap/>
              <w:overflowPunct/>
              <w:topLinePunct w:val="0"/>
              <w:autoSpaceDE/>
              <w:autoSpaceDN/>
              <w:bidi w:val="0"/>
              <w:jc w:val="left"/>
              <w:outlineLvl w:val="9"/>
              <w:rPr>
                <w:rFonts w:ascii="宋体" w:cs="宋体"/>
                <w:color w:val="000000"/>
                <w:kern w:val="0"/>
                <w:szCs w:val="21"/>
              </w:rPr>
            </w:pPr>
            <w:r>
              <w:rPr>
                <w:rFonts w:hint="eastAsia" w:ascii="宋体" w:hAnsi="宋体" w:cs="宋体"/>
                <w:color w:val="000000"/>
                <w:kern w:val="0"/>
                <w:szCs w:val="21"/>
              </w:rPr>
              <w:t>联想、惠普、戴尔</w:t>
            </w:r>
          </w:p>
        </w:tc>
        <w:tc>
          <w:tcPr>
            <w:tcW w:w="4819" w:type="dxa"/>
            <w:vAlign w:val="center"/>
          </w:tcPr>
          <w:p>
            <w:pPr>
              <w:pageBreakBefore w:val="0"/>
              <w:kinsoku/>
              <w:wordWrap/>
              <w:overflowPunct/>
              <w:topLinePunct w:val="0"/>
              <w:autoSpaceDE/>
              <w:autoSpaceDN/>
              <w:bidi w:val="0"/>
              <w:outlineLvl w:val="9"/>
              <w:rPr>
                <w:rFonts w:ascii="宋体" w:cs="宋体"/>
                <w:szCs w:val="21"/>
              </w:rPr>
            </w:pPr>
            <w:r>
              <w:rPr>
                <w:rFonts w:ascii="宋体" w:hAnsi="宋体" w:cs="宋体"/>
                <w:sz w:val="24"/>
              </w:rPr>
              <w:t>i5-6400 (CORE I5 2.7G 6M</w:t>
            </w:r>
            <w:r>
              <w:rPr>
                <w:rFonts w:hint="eastAsia" w:ascii="宋体" w:hAnsi="宋体" w:cs="宋体"/>
                <w:sz w:val="24"/>
              </w:rPr>
              <w:t>缓存</w:t>
            </w:r>
            <w:r>
              <w:rPr>
                <w:rFonts w:ascii="宋体" w:hAnsi="宋体" w:cs="宋体"/>
                <w:sz w:val="24"/>
              </w:rPr>
              <w:t>)/MATX H110 PCI</w:t>
            </w:r>
            <w:r>
              <w:rPr>
                <w:rFonts w:hint="eastAsia" w:ascii="宋体" w:hAnsi="宋体" w:cs="宋体"/>
                <w:sz w:val="24"/>
              </w:rPr>
              <w:t>主板</w:t>
            </w:r>
            <w:r>
              <w:rPr>
                <w:rFonts w:ascii="宋体" w:hAnsi="宋体" w:cs="宋体"/>
                <w:sz w:val="24"/>
              </w:rPr>
              <w:t xml:space="preserve">/1*4G DDRIII2133/1T </w:t>
            </w:r>
            <w:r>
              <w:rPr>
                <w:rFonts w:hint="eastAsia" w:ascii="宋体" w:hAnsi="宋体" w:cs="宋体"/>
                <w:sz w:val="24"/>
              </w:rPr>
              <w:t>硬盘</w:t>
            </w:r>
            <w:r>
              <w:rPr>
                <w:rFonts w:ascii="宋体" w:hAnsi="宋体" w:cs="宋体"/>
                <w:sz w:val="24"/>
              </w:rPr>
              <w:t>/SATA DVDRW/</w:t>
            </w:r>
            <w:r>
              <w:rPr>
                <w:rFonts w:hint="eastAsia" w:ascii="宋体" w:hAnsi="宋体" w:cs="宋体"/>
                <w:sz w:val="24"/>
              </w:rPr>
              <w:t>集成千兆网卡</w:t>
            </w:r>
            <w:r>
              <w:rPr>
                <w:rFonts w:ascii="宋体" w:hAnsi="宋体" w:cs="宋体"/>
                <w:sz w:val="24"/>
              </w:rPr>
              <w:t>/</w:t>
            </w:r>
            <w:r>
              <w:rPr>
                <w:rFonts w:hint="eastAsia" w:ascii="宋体" w:hAnsi="宋体" w:cs="宋体"/>
                <w:sz w:val="24"/>
              </w:rPr>
              <w:t>集成显卡</w:t>
            </w:r>
            <w:r>
              <w:rPr>
                <w:rFonts w:ascii="宋体" w:hAnsi="宋体" w:cs="宋体"/>
                <w:sz w:val="24"/>
              </w:rPr>
              <w:t xml:space="preserve"> /</w:t>
            </w:r>
            <w:r>
              <w:rPr>
                <w:rFonts w:hint="eastAsia" w:ascii="宋体" w:hAnsi="宋体" w:cs="宋体"/>
                <w:sz w:val="24"/>
              </w:rPr>
              <w:t>防水抗菌键盘</w:t>
            </w:r>
            <w:r>
              <w:rPr>
                <w:rFonts w:ascii="宋体" w:hAnsi="宋体" w:cs="宋体"/>
                <w:sz w:val="24"/>
              </w:rPr>
              <w:t>/ USB</w:t>
            </w:r>
            <w:r>
              <w:rPr>
                <w:rFonts w:hint="eastAsia" w:ascii="宋体" w:hAnsi="宋体" w:cs="宋体"/>
                <w:sz w:val="24"/>
              </w:rPr>
              <w:t>光电鼠标</w:t>
            </w:r>
            <w:r>
              <w:rPr>
                <w:rFonts w:ascii="宋体" w:hAnsi="宋体" w:cs="宋体"/>
                <w:sz w:val="24"/>
              </w:rPr>
              <w:t>1000DPI /</w:t>
            </w:r>
            <w:r>
              <w:rPr>
                <w:rFonts w:hint="eastAsia" w:ascii="宋体" w:hAnsi="宋体" w:cs="宋体"/>
                <w:sz w:val="24"/>
              </w:rPr>
              <w:t>无耳麦</w:t>
            </w:r>
            <w:r>
              <w:rPr>
                <w:rFonts w:ascii="宋体" w:hAnsi="宋体" w:cs="宋体"/>
                <w:sz w:val="24"/>
              </w:rPr>
              <w:t xml:space="preserve">/WIN7 HOME </w:t>
            </w:r>
            <w:r>
              <w:rPr>
                <w:rFonts w:hint="eastAsia" w:ascii="宋体" w:hAnsi="宋体" w:cs="宋体"/>
                <w:sz w:val="24"/>
              </w:rPr>
              <w:t>三年有限保修及上门</w:t>
            </w:r>
            <w:r>
              <w:rPr>
                <w:rFonts w:ascii="宋体" w:hAnsi="宋体" w:cs="宋体"/>
                <w:sz w:val="24"/>
              </w:rPr>
              <w:t>/</w:t>
            </w:r>
            <w:r>
              <w:rPr>
                <w:rFonts w:hint="eastAsia" w:ascii="宋体" w:hAnsi="宋体" w:cs="宋体"/>
                <w:sz w:val="24"/>
              </w:rPr>
              <w:t>门到桌安装验机</w:t>
            </w:r>
            <w:r>
              <w:rPr>
                <w:rFonts w:ascii="宋体" w:hAnsi="宋体" w:cs="宋体"/>
                <w:sz w:val="24"/>
              </w:rPr>
              <w:t>/EDU/</w:t>
            </w:r>
            <w:r>
              <w:rPr>
                <w:rFonts w:hint="eastAsia" w:ascii="宋体" w:hAnsi="宋体" w:cs="宋体"/>
                <w:sz w:val="24"/>
              </w:rPr>
              <w:t>前</w:t>
            </w:r>
            <w:r>
              <w:rPr>
                <w:rFonts w:ascii="宋体" w:hAnsi="宋体" w:cs="宋体"/>
                <w:sz w:val="24"/>
              </w:rPr>
              <w:t>2</w:t>
            </w:r>
            <w:r>
              <w:rPr>
                <w:rFonts w:hint="eastAsia" w:ascii="宋体" w:hAnsi="宋体" w:cs="宋体"/>
                <w:sz w:val="24"/>
              </w:rPr>
              <w:t>后</w:t>
            </w:r>
            <w:r>
              <w:rPr>
                <w:rFonts w:ascii="宋体" w:hAnsi="宋体" w:cs="宋体"/>
                <w:sz w:val="24"/>
              </w:rPr>
              <w:t>4 USB/180W/ES/85PLUS(SO)/</w:t>
            </w:r>
            <w:r>
              <w:rPr>
                <w:rFonts w:hint="eastAsia" w:ascii="宋体" w:hAnsi="宋体" w:cs="宋体"/>
                <w:sz w:val="24"/>
              </w:rPr>
              <w:t>系统风扇</w:t>
            </w:r>
            <w:r>
              <w:rPr>
                <w:rFonts w:ascii="宋体" w:hAnsi="宋体" w:cs="宋体"/>
                <w:sz w:val="24"/>
              </w:rPr>
              <w:t>/</w:t>
            </w:r>
            <w:r>
              <w:rPr>
                <w:rFonts w:hint="eastAsia" w:ascii="宋体" w:hAnsi="宋体" w:cs="宋体"/>
                <w:sz w:val="24"/>
              </w:rPr>
              <w:t>无报警开关</w:t>
            </w:r>
            <w:r>
              <w:rPr>
                <w:rFonts w:ascii="宋体" w:hAnsi="宋体" w:cs="宋体"/>
                <w:sz w:val="24"/>
              </w:rPr>
              <w:t>/20L</w:t>
            </w:r>
            <w:r>
              <w:rPr>
                <w:rFonts w:hint="eastAsia" w:ascii="宋体" w:hAnsi="宋体" w:cs="宋体"/>
                <w:sz w:val="24"/>
              </w:rPr>
              <w:t>机箱</w:t>
            </w:r>
            <w:r>
              <w:rPr>
                <w:rFonts w:ascii="宋体" w:hAnsi="宋体" w:cs="宋体"/>
                <w:sz w:val="24"/>
              </w:rPr>
              <w:t>/</w:t>
            </w:r>
            <w:r>
              <w:rPr>
                <w:rFonts w:hint="eastAsia" w:ascii="宋体" w:hAnsi="宋体" w:cs="宋体"/>
                <w:sz w:val="24"/>
              </w:rPr>
              <w:t>无并口</w:t>
            </w:r>
            <w:r>
              <w:rPr>
                <w:rFonts w:ascii="宋体" w:hAnsi="宋体" w:cs="宋体"/>
                <w:sz w:val="24"/>
              </w:rPr>
              <w:t>/19.5W</w:t>
            </w:r>
          </w:p>
        </w:tc>
        <w:tc>
          <w:tcPr>
            <w:tcW w:w="993" w:type="dxa"/>
            <w:vAlign w:val="center"/>
          </w:tcPr>
          <w:p>
            <w:pPr>
              <w:pageBreakBefore w:val="0"/>
              <w:widowControl/>
              <w:kinsoku/>
              <w:wordWrap/>
              <w:overflowPunct/>
              <w:topLinePunct w:val="0"/>
              <w:autoSpaceDE/>
              <w:autoSpaceDN/>
              <w:bidi w:val="0"/>
              <w:jc w:val="center"/>
              <w:outlineLvl w:val="9"/>
              <w:rPr>
                <w:rFonts w:ascii="宋体" w:cs="宋体"/>
                <w:kern w:val="0"/>
                <w:szCs w:val="21"/>
              </w:rPr>
            </w:pPr>
            <w:r>
              <w:rPr>
                <w:rFonts w:ascii="宋体" w:hAnsi="宋体" w:cs="宋体"/>
                <w:kern w:val="0"/>
                <w:szCs w:val="21"/>
              </w:rPr>
              <w:t>4300</w:t>
            </w:r>
          </w:p>
        </w:tc>
        <w:tc>
          <w:tcPr>
            <w:tcW w:w="567" w:type="dxa"/>
            <w:vAlign w:val="center"/>
          </w:tcPr>
          <w:p>
            <w:pPr>
              <w:pageBreakBefore w:val="0"/>
              <w:kinsoku/>
              <w:wordWrap/>
              <w:overflowPunct/>
              <w:topLinePunct w:val="0"/>
              <w:autoSpaceDE/>
              <w:autoSpaceDN/>
              <w:bidi w:val="0"/>
              <w:jc w:val="center"/>
              <w:outlineLvl w:val="9"/>
              <w:rPr>
                <w:rFonts w:ascii="宋体" w:cs="宋体"/>
                <w:szCs w:val="21"/>
              </w:rPr>
            </w:pPr>
            <w:r>
              <w:rPr>
                <w:szCs w:val="21"/>
              </w:rPr>
              <w:t>30</w:t>
            </w:r>
          </w:p>
        </w:tc>
        <w:tc>
          <w:tcPr>
            <w:tcW w:w="1134" w:type="dxa"/>
            <w:vAlign w:val="center"/>
          </w:tcPr>
          <w:p>
            <w:pPr>
              <w:pageBreakBefore w:val="0"/>
              <w:kinsoku/>
              <w:wordWrap/>
              <w:overflowPunct/>
              <w:topLinePunct w:val="0"/>
              <w:autoSpaceDE/>
              <w:autoSpaceDN/>
              <w:bidi w:val="0"/>
              <w:outlineLvl w:val="9"/>
              <w:rPr>
                <w:szCs w:val="21"/>
              </w:rPr>
            </w:pPr>
            <w:r>
              <w:rPr>
                <w:rFonts w:hint="eastAsia"/>
                <w:szCs w:val="21"/>
              </w:rPr>
              <w:t>惠普</w:t>
            </w:r>
            <w:r>
              <w:rPr>
                <w:szCs w:val="21"/>
              </w:rPr>
              <w:t>MT1122</w:t>
            </w:r>
          </w:p>
        </w:tc>
        <w:tc>
          <w:tcPr>
            <w:tcW w:w="2977" w:type="dxa"/>
            <w:vAlign w:val="center"/>
          </w:tcPr>
          <w:p>
            <w:pPr>
              <w:pageBreakBefore w:val="0"/>
              <w:kinsoku/>
              <w:wordWrap/>
              <w:overflowPunct/>
              <w:topLinePunct w:val="0"/>
              <w:autoSpaceDE/>
              <w:autoSpaceDN/>
              <w:bidi w:val="0"/>
              <w:outlineLvl w:val="9"/>
              <w:rPr>
                <w:szCs w:val="21"/>
              </w:rPr>
            </w:pPr>
            <w:r>
              <w:rPr>
                <w:rFonts w:hint="eastAsia"/>
                <w:szCs w:val="21"/>
              </w:rPr>
              <w:t>红字部分全部满足就有唯一性，其余参数及功能均满足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75" w:type="dxa"/>
            <w:vAlign w:val="center"/>
          </w:tcPr>
          <w:p>
            <w:pPr>
              <w:pageBreakBefore w:val="0"/>
              <w:kinsoku/>
              <w:wordWrap/>
              <w:overflowPunct/>
              <w:topLinePunct w:val="0"/>
              <w:autoSpaceDE/>
              <w:autoSpaceDN/>
              <w:bidi w:val="0"/>
              <w:jc w:val="center"/>
              <w:outlineLvl w:val="9"/>
              <w:rPr>
                <w:rFonts w:ascii="宋体" w:cs="宋体"/>
                <w:sz w:val="20"/>
                <w:szCs w:val="20"/>
              </w:rPr>
            </w:pPr>
            <w:r>
              <w:rPr>
                <w:sz w:val="20"/>
                <w:szCs w:val="20"/>
              </w:rPr>
              <w:t>3</w:t>
            </w:r>
          </w:p>
        </w:tc>
        <w:tc>
          <w:tcPr>
            <w:tcW w:w="1417" w:type="dxa"/>
            <w:vAlign w:val="center"/>
          </w:tcPr>
          <w:p>
            <w:pPr>
              <w:pageBreakBefore w:val="0"/>
              <w:kinsoku/>
              <w:wordWrap/>
              <w:overflowPunct/>
              <w:topLinePunct w:val="0"/>
              <w:autoSpaceDE/>
              <w:autoSpaceDN/>
              <w:bidi w:val="0"/>
              <w:jc w:val="center"/>
              <w:outlineLvl w:val="9"/>
              <w:rPr>
                <w:rFonts w:ascii="宋体" w:cs="宋体"/>
                <w:sz w:val="22"/>
              </w:rPr>
            </w:pPr>
            <w:r>
              <w:rPr>
                <w:rFonts w:ascii="宋体" w:hAnsi="宋体" w:cs="宋体"/>
                <w:sz w:val="22"/>
              </w:rPr>
              <w:t>....</w:t>
            </w:r>
          </w:p>
        </w:tc>
        <w:tc>
          <w:tcPr>
            <w:tcW w:w="1418" w:type="dxa"/>
            <w:vAlign w:val="center"/>
          </w:tcPr>
          <w:p>
            <w:pPr>
              <w:pageBreakBefore w:val="0"/>
              <w:widowControl/>
              <w:kinsoku/>
              <w:wordWrap/>
              <w:overflowPunct/>
              <w:topLinePunct w:val="0"/>
              <w:autoSpaceDE/>
              <w:autoSpaceDN/>
              <w:bidi w:val="0"/>
              <w:jc w:val="left"/>
              <w:outlineLvl w:val="9"/>
              <w:rPr>
                <w:rFonts w:ascii="宋体" w:cs="宋体"/>
                <w:kern w:val="0"/>
                <w:szCs w:val="21"/>
              </w:rPr>
            </w:pPr>
            <w:r>
              <w:rPr>
                <w:rFonts w:ascii="宋体" w:hAnsi="宋体" w:cs="宋体"/>
                <w:kern w:val="0"/>
                <w:szCs w:val="21"/>
              </w:rPr>
              <w:t>...</w:t>
            </w:r>
          </w:p>
        </w:tc>
        <w:tc>
          <w:tcPr>
            <w:tcW w:w="4819" w:type="dxa"/>
            <w:vAlign w:val="center"/>
          </w:tcPr>
          <w:p>
            <w:pPr>
              <w:pageBreakBefore w:val="0"/>
              <w:kinsoku/>
              <w:wordWrap/>
              <w:overflowPunct/>
              <w:topLinePunct w:val="0"/>
              <w:autoSpaceDE/>
              <w:autoSpaceDN/>
              <w:bidi w:val="0"/>
              <w:outlineLvl w:val="9"/>
              <w:rPr>
                <w:rFonts w:ascii="方正仿宋简体" w:hAnsi="宋体" w:eastAsia="方正仿宋简体" w:cs="宋体"/>
                <w:szCs w:val="21"/>
              </w:rPr>
            </w:pPr>
            <w:r>
              <w:rPr>
                <w:rFonts w:ascii="方正仿宋简体" w:hAnsi="宋体" w:eastAsia="方正仿宋简体" w:cs="宋体"/>
                <w:szCs w:val="21"/>
              </w:rPr>
              <w:t>...</w:t>
            </w:r>
          </w:p>
        </w:tc>
        <w:tc>
          <w:tcPr>
            <w:tcW w:w="993" w:type="dxa"/>
            <w:vAlign w:val="center"/>
          </w:tcPr>
          <w:p>
            <w:pPr>
              <w:pageBreakBefore w:val="0"/>
              <w:widowControl/>
              <w:kinsoku/>
              <w:wordWrap/>
              <w:overflowPunct/>
              <w:topLinePunct w:val="0"/>
              <w:autoSpaceDE/>
              <w:autoSpaceDN/>
              <w:bidi w:val="0"/>
              <w:jc w:val="center"/>
              <w:outlineLvl w:val="9"/>
              <w:rPr>
                <w:rFonts w:ascii="宋体" w:cs="宋体"/>
                <w:kern w:val="0"/>
                <w:szCs w:val="21"/>
              </w:rPr>
            </w:pPr>
            <w:r>
              <w:rPr>
                <w:rFonts w:ascii="宋体" w:hAnsi="宋体" w:cs="宋体"/>
                <w:kern w:val="0"/>
                <w:szCs w:val="21"/>
              </w:rPr>
              <w:t>...</w:t>
            </w:r>
          </w:p>
        </w:tc>
        <w:tc>
          <w:tcPr>
            <w:tcW w:w="567" w:type="dxa"/>
            <w:vAlign w:val="center"/>
          </w:tcPr>
          <w:p>
            <w:pPr>
              <w:pageBreakBefore w:val="0"/>
              <w:kinsoku/>
              <w:wordWrap/>
              <w:overflowPunct/>
              <w:topLinePunct w:val="0"/>
              <w:autoSpaceDE/>
              <w:autoSpaceDN/>
              <w:bidi w:val="0"/>
              <w:jc w:val="center"/>
              <w:outlineLvl w:val="9"/>
              <w:rPr>
                <w:rFonts w:ascii="宋体" w:cs="宋体"/>
                <w:szCs w:val="21"/>
              </w:rPr>
            </w:pPr>
            <w:r>
              <w:rPr>
                <w:szCs w:val="21"/>
              </w:rPr>
              <w:t>1</w:t>
            </w:r>
          </w:p>
        </w:tc>
        <w:tc>
          <w:tcPr>
            <w:tcW w:w="1134" w:type="dxa"/>
            <w:vAlign w:val="center"/>
          </w:tcPr>
          <w:p>
            <w:pPr>
              <w:pageBreakBefore w:val="0"/>
              <w:kinsoku/>
              <w:wordWrap/>
              <w:overflowPunct/>
              <w:topLinePunct w:val="0"/>
              <w:autoSpaceDE/>
              <w:autoSpaceDN/>
              <w:bidi w:val="0"/>
              <w:outlineLvl w:val="9"/>
              <w:rPr>
                <w:rFonts w:ascii="宋体" w:cs="宋体"/>
                <w:kern w:val="0"/>
                <w:szCs w:val="21"/>
              </w:rPr>
            </w:pPr>
          </w:p>
        </w:tc>
        <w:tc>
          <w:tcPr>
            <w:tcW w:w="2977" w:type="dxa"/>
            <w:vAlign w:val="center"/>
          </w:tcPr>
          <w:p>
            <w:pPr>
              <w:pageBreakBefore w:val="0"/>
              <w:kinsoku/>
              <w:wordWrap/>
              <w:overflowPunct/>
              <w:topLinePunct w:val="0"/>
              <w:autoSpaceDE/>
              <w:autoSpaceDN/>
              <w:bidi w:val="0"/>
              <w:outlineLvl w:val="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4000" w:type="dxa"/>
            <w:gridSpan w:val="8"/>
            <w:vAlign w:val="center"/>
          </w:tcPr>
          <w:p>
            <w:pPr>
              <w:pageBreakBefore w:val="0"/>
              <w:kinsoku/>
              <w:wordWrap/>
              <w:overflowPunct/>
              <w:topLinePunct w:val="0"/>
              <w:autoSpaceDE/>
              <w:autoSpaceDN/>
              <w:bidi w:val="0"/>
              <w:outlineLvl w:val="9"/>
              <w:rPr>
                <w:szCs w:val="21"/>
              </w:rPr>
            </w:pPr>
            <w:r>
              <w:rPr>
                <w:rFonts w:hint="eastAsia"/>
                <w:szCs w:val="21"/>
              </w:rPr>
              <w:t>总报价：</w:t>
            </w:r>
            <w:r>
              <w:rPr>
                <w:szCs w:val="21"/>
              </w:rPr>
              <w:t>XXXXX</w:t>
            </w:r>
            <w:r>
              <w:rPr>
                <w:rFonts w:hint="eastAsia"/>
                <w:szCs w:val="21"/>
              </w:rPr>
              <w:t>元。</w:t>
            </w:r>
            <w:r>
              <w:rPr>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4000" w:type="dxa"/>
            <w:gridSpan w:val="8"/>
            <w:vAlign w:val="center"/>
          </w:tcPr>
          <w:p>
            <w:pPr>
              <w:pageBreakBefore w:val="0"/>
              <w:kinsoku/>
              <w:wordWrap/>
              <w:overflowPunct/>
              <w:topLinePunct w:val="0"/>
              <w:autoSpaceDE/>
              <w:autoSpaceDN/>
              <w:bidi w:val="0"/>
              <w:outlineLvl w:val="9"/>
              <w:rPr>
                <w:szCs w:val="21"/>
              </w:rPr>
            </w:pPr>
            <w:r>
              <w:rPr>
                <w:rFonts w:hint="eastAsia"/>
                <w:szCs w:val="21"/>
              </w:rPr>
              <w:t>交货期：自合同签订之日起</w:t>
            </w:r>
            <w:r>
              <w:rPr>
                <w:szCs w:val="21"/>
              </w:rPr>
              <w:t xml:space="preserve"> </w:t>
            </w:r>
            <w:r>
              <w:rPr>
                <w:rFonts w:hint="eastAsia"/>
                <w:szCs w:val="21"/>
              </w:rPr>
              <w:t>三个月内安装调试</w:t>
            </w:r>
            <w:bookmarkStart w:id="1675" w:name="_Toc19840_WPSOffice_Level1"/>
            <w:r>
              <w:rPr>
                <w:rFonts w:hint="eastAsia"/>
                <w:szCs w:val="21"/>
              </w:rPr>
              <w:t>完毕交付</w:t>
            </w:r>
            <w:bookmarkEnd w:id="1675"/>
            <w:r>
              <w:rPr>
                <w:rFonts w:hint="eastAsia"/>
                <w:szCs w:val="21"/>
              </w:rPr>
              <w:t>使</w:t>
            </w:r>
            <w:bookmarkStart w:id="1676" w:name="_Toc17689_WPSOffice_Level1"/>
            <w:r>
              <w:rPr>
                <w:rFonts w:hint="eastAsia"/>
                <w:szCs w:val="21"/>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4000" w:type="dxa"/>
            <w:gridSpan w:val="8"/>
            <w:vAlign w:val="center"/>
          </w:tcPr>
          <w:p>
            <w:pPr>
              <w:pageBreakBefore w:val="0"/>
              <w:kinsoku/>
              <w:wordWrap/>
              <w:overflowPunct/>
              <w:topLinePunct w:val="0"/>
              <w:autoSpaceDE/>
              <w:autoSpaceDN/>
              <w:bidi w:val="0"/>
              <w:outlineLvl w:val="9"/>
              <w:rPr>
                <w:szCs w:val="21"/>
              </w:rPr>
            </w:pPr>
            <w:r>
              <w:rPr>
                <w:rFonts w:hint="eastAsia"/>
                <w:szCs w:val="21"/>
              </w:rPr>
              <w:t>免费保修期：自验收之日起三年内全免费</w:t>
            </w:r>
            <w:bookmarkEnd w:id="1676"/>
            <w:r>
              <w:rPr>
                <w:rFonts w:hint="eastAsia"/>
                <w:szCs w:val="21"/>
              </w:rPr>
              <w:t>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000" w:type="dxa"/>
            <w:gridSpan w:val="8"/>
            <w:vAlign w:val="center"/>
          </w:tcPr>
          <w:p>
            <w:pPr>
              <w:pageBreakBefore w:val="0"/>
              <w:kinsoku/>
              <w:wordWrap/>
              <w:overflowPunct/>
              <w:topLinePunct w:val="0"/>
              <w:autoSpaceDE/>
              <w:autoSpaceDN/>
              <w:bidi w:val="0"/>
              <w:outlineLvl w:val="9"/>
              <w:rPr>
                <w:szCs w:val="21"/>
              </w:rPr>
            </w:pPr>
            <w:r>
              <w:rPr>
                <w:rFonts w:hint="eastAsia"/>
                <w:szCs w:val="21"/>
              </w:rPr>
              <w:t>报价商名称：（加盖公章）</w:t>
            </w:r>
          </w:p>
          <w:p>
            <w:pPr>
              <w:pageBreakBefore w:val="0"/>
              <w:kinsoku/>
              <w:wordWrap/>
              <w:overflowPunct/>
              <w:topLinePunct w:val="0"/>
              <w:autoSpaceDE/>
              <w:autoSpaceDN/>
              <w:bidi w:val="0"/>
              <w:outlineLvl w:val="9"/>
              <w:rPr>
                <w:szCs w:val="21"/>
              </w:rPr>
            </w:pPr>
            <w:r>
              <w:rPr>
                <w:rFonts w:hint="eastAsia"/>
                <w:szCs w:val="21"/>
              </w:rPr>
              <w:t>联系人：</w:t>
            </w:r>
            <w:r>
              <w:rPr>
                <w:szCs w:val="21"/>
              </w:rPr>
              <w:t xml:space="preserve">                                                   </w:t>
            </w:r>
            <w:r>
              <w:rPr>
                <w:rFonts w:hint="eastAsia"/>
                <w:szCs w:val="21"/>
              </w:rPr>
              <w:t>联系方式：</w:t>
            </w:r>
          </w:p>
        </w:tc>
      </w:tr>
    </w:tbl>
    <w:p>
      <w:pPr>
        <w:pageBreakBefore w:val="0"/>
        <w:kinsoku/>
        <w:wordWrap/>
        <w:overflowPunct/>
        <w:topLinePunct w:val="0"/>
        <w:autoSpaceDE/>
        <w:autoSpaceDN/>
        <w:bidi w:val="0"/>
        <w:outlineLvl w:val="9"/>
        <w:rPr>
          <w:szCs w:val="28"/>
          <w:lang w:val="ru-RU"/>
        </w:rPr>
        <w:sectPr>
          <w:pgSz w:w="16838" w:h="11906" w:orient="landscape"/>
          <w:pgMar w:top="1134" w:right="1134" w:bottom="1134" w:left="1134" w:header="851" w:footer="992" w:gutter="0"/>
          <w:pgNumType w:fmt="decimal"/>
          <w:cols w:space="720" w:num="1"/>
          <w:docGrid w:type="lines" w:linePitch="321" w:charSpace="0"/>
        </w:sectPr>
      </w:pP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77" w:name="_Toc31967_WPSOffice_Level1"/>
      <w:r>
        <w:rPr>
          <w:rFonts w:hint="eastAsia" w:ascii="黑体" w:hAnsi="Calibri" w:eastAsia="黑体"/>
          <w:b/>
          <w:bCs/>
          <w:sz w:val="32"/>
          <w:szCs w:val="32"/>
          <w:lang w:val="ru-RU"/>
        </w:rPr>
        <w:t>附件8</w:t>
      </w:r>
      <w:r>
        <w:rPr>
          <w:rFonts w:hint="eastAsia" w:ascii="黑体" w:eastAsia="黑体"/>
          <w:b/>
          <w:bCs/>
          <w:sz w:val="32"/>
          <w:szCs w:val="32"/>
        </w:rPr>
        <w:t>:</w:t>
      </w:r>
      <w:bookmarkEnd w:id="1677"/>
    </w:p>
    <w:p>
      <w:pPr>
        <w:pageBreakBefore w:val="0"/>
        <w:kinsoku/>
        <w:wordWrap/>
        <w:overflowPunct/>
        <w:topLinePunct w:val="0"/>
        <w:autoSpaceDE/>
        <w:autoSpaceDN/>
        <w:bidi w:val="0"/>
        <w:spacing w:line="596" w:lineRule="exact"/>
        <w:jc w:val="center"/>
        <w:outlineLvl w:val="9"/>
        <w:rPr>
          <w:rFonts w:hint="eastAsia"/>
          <w:szCs w:val="28"/>
          <w:lang w:val="ru-RU"/>
        </w:rPr>
      </w:pPr>
      <w:bookmarkStart w:id="1678" w:name="_Toc21347_WPSOffice_Level1"/>
      <w:r>
        <w:rPr>
          <w:rFonts w:hint="eastAsia"/>
          <w:b/>
          <w:color w:val="000000"/>
          <w:sz w:val="36"/>
          <w:szCs w:val="36"/>
          <w:lang w:val="ru-RU"/>
        </w:rPr>
        <w:t>评标责任承诺书</w:t>
      </w:r>
      <w:bookmarkEnd w:id="1678"/>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lang w:val="ru-RU"/>
        </w:rPr>
        <w:t>受柳州职业技术学院指派，本人参加</w:t>
      </w:r>
      <w:r>
        <w:rPr>
          <w:rFonts w:hint="eastAsia" w:ascii="仿宋_GB2312" w:eastAsia="仿宋_GB2312"/>
          <w:sz w:val="32"/>
          <w:szCs w:val="32"/>
        </w:rPr>
        <w:t>XXX项目</w:t>
      </w:r>
      <w:r>
        <w:rPr>
          <w:rFonts w:hint="eastAsia" w:ascii="仿宋_GB2312" w:eastAsia="仿宋_GB2312"/>
          <w:sz w:val="32"/>
          <w:szCs w:val="32"/>
          <w:lang w:val="ru-RU"/>
        </w:rPr>
        <w:t>采购（采购编号：</w:t>
      </w:r>
      <w:r>
        <w:rPr>
          <w:rFonts w:hint="eastAsia" w:ascii="仿宋_GB2312" w:eastAsia="仿宋_GB2312"/>
          <w:sz w:val="32"/>
          <w:szCs w:val="32"/>
        </w:rPr>
        <w:t xml:space="preserve">   </w:t>
      </w:r>
      <w:r>
        <w:rPr>
          <w:rFonts w:hint="eastAsia" w:ascii="仿宋_GB2312" w:eastAsia="仿宋_GB2312"/>
          <w:sz w:val="32"/>
          <w:szCs w:val="32"/>
          <w:lang w:val="ru-RU"/>
        </w:rPr>
        <w:t>）的评标工作。</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lang w:val="ru-RU"/>
        </w:rPr>
        <w:t>在评标期间，本人承诺严格遵守以下规定：</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lang w:val="ru-RU"/>
        </w:rPr>
        <w:t xml:space="preserve">严格遵守有关保密的法律、法规和规定，严格自律，自觉接受监督。 </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lang w:val="ru-RU"/>
        </w:rPr>
        <w:t xml:space="preserve">有下列情形之一的，应主动提出回避： </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rPr>
        <w:t>（1）</w:t>
      </w:r>
      <w:r>
        <w:rPr>
          <w:rFonts w:hint="eastAsia" w:ascii="仿宋_GB2312" w:eastAsia="仿宋_GB2312"/>
          <w:sz w:val="32"/>
          <w:szCs w:val="32"/>
          <w:lang w:val="ru-RU"/>
        </w:rPr>
        <w:t>投标人或其代理人的近亲属；（</w:t>
      </w:r>
      <w:r>
        <w:rPr>
          <w:rFonts w:hint="eastAsia" w:ascii="仿宋_GB2312" w:eastAsia="仿宋_GB2312"/>
          <w:sz w:val="32"/>
          <w:szCs w:val="32"/>
        </w:rPr>
        <w:t>2</w:t>
      </w:r>
      <w:r>
        <w:rPr>
          <w:rFonts w:hint="eastAsia" w:ascii="仿宋_GB2312" w:eastAsia="仿宋_GB2312"/>
          <w:sz w:val="32"/>
          <w:szCs w:val="32"/>
          <w:lang w:val="ru-RU"/>
        </w:rPr>
        <w:t>）与投标人有经济利益关系，可能影响投标公正评审的；（</w:t>
      </w:r>
      <w:r>
        <w:rPr>
          <w:rFonts w:hint="eastAsia" w:ascii="仿宋_GB2312" w:eastAsia="仿宋_GB2312"/>
          <w:sz w:val="32"/>
          <w:szCs w:val="32"/>
        </w:rPr>
        <w:t>3</w:t>
      </w:r>
      <w:r>
        <w:rPr>
          <w:rFonts w:hint="eastAsia" w:ascii="仿宋_GB2312" w:eastAsia="仿宋_GB2312"/>
          <w:sz w:val="32"/>
          <w:szCs w:val="32"/>
          <w:lang w:val="ru-RU"/>
        </w:rPr>
        <w:t>）曾因在招标、评标及其他与招标投标有关活动中从事违法违纪行为而受过行政处罚或刑事处罚的。</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lang w:val="ru-RU"/>
        </w:rPr>
        <w:t xml:space="preserve">3．不向任何人泄露评标专家、工作人员名单。  </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lang w:val="ru-RU"/>
        </w:rPr>
        <w:t xml:space="preserve">4．遵守评标作息时间规定，未经批准不得离开评标场所，严禁个人与投标人单独联系和接触。  </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lang w:val="ru-RU"/>
        </w:rPr>
        <w:t>5．客观、公正地履行职责，遵守职业道德，实事求是，不得有主观偏见。严格按照招标文件和评标大纲的要求对投标文件进行客观的分析和评价，对所提出的评审意见承担个人责任。</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lang w:val="ru-RU"/>
        </w:rPr>
        <w:t xml:space="preserve">6．不得接受投标人馈赠的礼品、礼金、礼物、各种有价证券和宴请；不得参加投标人组织的文化、娱乐和体育活动；不得要求投标人报销应当由个人支付的各种费用或者索要钱物等。  </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lang w:val="ru-RU"/>
        </w:rPr>
        <w:t xml:space="preserve">7．从投标截止日期到签订合同时止，有关投标文件的审查、澄清、评议以及有关合同的意向等相关情况均不得对外透露。  </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rPr>
        <w:t>8</w:t>
      </w:r>
      <w:r>
        <w:rPr>
          <w:rFonts w:hint="eastAsia" w:ascii="仿宋_GB2312" w:eastAsia="仿宋_GB2312"/>
          <w:sz w:val="32"/>
          <w:szCs w:val="32"/>
          <w:lang w:val="ru-RU"/>
        </w:rPr>
        <w:t>．发现违纪违规行为，有义务及时向现场监督人员或学校纪检监察室举报，举报电话：</w:t>
      </w:r>
      <w:r>
        <w:rPr>
          <w:rFonts w:hint="eastAsia" w:ascii="仿宋_GB2312" w:eastAsia="仿宋_GB2312"/>
          <w:sz w:val="32"/>
          <w:szCs w:val="32"/>
        </w:rPr>
        <w:t>3156485。</w:t>
      </w:r>
      <w:r>
        <w:rPr>
          <w:rFonts w:hint="eastAsia" w:ascii="仿宋_GB2312" w:eastAsia="仿宋_GB2312"/>
          <w:sz w:val="32"/>
          <w:szCs w:val="32"/>
          <w:lang w:val="ru-RU"/>
        </w:rPr>
        <w:t xml:space="preserve">  </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lang w:val="ru-RU"/>
        </w:rPr>
      </w:pPr>
      <w:r>
        <w:rPr>
          <w:rFonts w:hint="eastAsia" w:ascii="仿宋_GB2312" w:eastAsia="仿宋_GB2312"/>
          <w:sz w:val="32"/>
          <w:szCs w:val="32"/>
        </w:rPr>
        <w:t xml:space="preserve">                             </w:t>
      </w:r>
      <w:r>
        <w:rPr>
          <w:rFonts w:hint="eastAsia" w:ascii="仿宋_GB2312" w:eastAsia="仿宋_GB2312"/>
          <w:sz w:val="32"/>
          <w:szCs w:val="32"/>
          <w:lang w:val="ru-RU"/>
        </w:rPr>
        <w:t xml:space="preserve">承诺人（签字）： </w:t>
      </w:r>
    </w:p>
    <w:p>
      <w:pPr>
        <w:pageBreakBefore w:val="0"/>
        <w:kinsoku/>
        <w:wordWrap/>
        <w:overflowPunct/>
        <w:topLinePunct w:val="0"/>
        <w:autoSpaceDE/>
        <w:autoSpaceDN/>
        <w:bidi w:val="0"/>
        <w:spacing w:line="540" w:lineRule="exact"/>
        <w:ind w:firstLine="640" w:firstLineChars="200"/>
        <w:outlineLvl w:val="9"/>
        <w:rPr>
          <w:szCs w:val="28"/>
          <w:lang w:val="ru-RU"/>
        </w:rPr>
        <w:sectPr>
          <w:pgSz w:w="11906" w:h="16838"/>
          <w:pgMar w:top="1134" w:right="1134" w:bottom="1134" w:left="1134" w:header="851" w:footer="992" w:gutter="0"/>
          <w:pgNumType w:fmt="decimal"/>
          <w:cols w:space="720" w:num="1"/>
          <w:docGrid w:type="lines" w:linePitch="321" w:charSpace="0"/>
        </w:sectPr>
      </w:pPr>
      <w:r>
        <w:rPr>
          <w:rFonts w:hint="eastAsia" w:ascii="仿宋_GB2312" w:eastAsia="仿宋_GB2312"/>
          <w:sz w:val="32"/>
          <w:szCs w:val="32"/>
        </w:rPr>
        <w:t xml:space="preserve">                                       </w:t>
      </w:r>
      <w:r>
        <w:rPr>
          <w:rFonts w:hint="eastAsia" w:ascii="仿宋_GB2312" w:eastAsia="仿宋_GB2312"/>
          <w:sz w:val="32"/>
          <w:szCs w:val="32"/>
          <w:lang w:val="ru-RU"/>
        </w:rPr>
        <w:t xml:space="preserve">年    月    日 </w:t>
      </w: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79" w:name="_Toc10173_WPSOffice_Level1"/>
      <w:r>
        <w:rPr>
          <w:rFonts w:hint="eastAsia" w:ascii="黑体" w:hAnsi="Calibri" w:eastAsia="黑体"/>
          <w:b/>
          <w:bCs/>
          <w:sz w:val="32"/>
          <w:szCs w:val="32"/>
          <w:lang w:val="ru-RU"/>
        </w:rPr>
        <w:t>附件9</w:t>
      </w:r>
      <w:r>
        <w:rPr>
          <w:rFonts w:hint="eastAsia" w:ascii="黑体" w:eastAsia="黑体"/>
          <w:b/>
          <w:bCs/>
          <w:sz w:val="32"/>
          <w:szCs w:val="32"/>
        </w:rPr>
        <w:t>:</w:t>
      </w:r>
      <w:bookmarkEnd w:id="1679"/>
    </w:p>
    <w:p>
      <w:pPr>
        <w:pageBreakBefore w:val="0"/>
        <w:kinsoku/>
        <w:wordWrap/>
        <w:overflowPunct/>
        <w:topLinePunct w:val="0"/>
        <w:autoSpaceDE/>
        <w:autoSpaceDN/>
        <w:bidi w:val="0"/>
        <w:spacing w:line="596" w:lineRule="exact"/>
        <w:jc w:val="center"/>
        <w:outlineLvl w:val="9"/>
        <w:rPr>
          <w:rFonts w:hint="eastAsia"/>
          <w:b/>
          <w:color w:val="000000"/>
          <w:sz w:val="36"/>
          <w:szCs w:val="36"/>
          <w:lang w:val="ru-RU"/>
        </w:rPr>
      </w:pPr>
      <w:bookmarkStart w:id="1680" w:name="_Toc7800_WPSOffice_Level1"/>
      <w:r>
        <w:rPr>
          <w:rFonts w:hint="eastAsia"/>
          <w:b/>
          <w:color w:val="000000"/>
          <w:sz w:val="36"/>
          <w:szCs w:val="36"/>
          <w:lang w:val="ru-RU"/>
        </w:rPr>
        <w:t>柳州职业技术学院采购项目变更申请表</w:t>
      </w:r>
      <w:bookmarkEnd w:id="1680"/>
    </w:p>
    <w:tbl>
      <w:tblPr>
        <w:tblStyle w:val="14"/>
        <w:tblW w:w="141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7"/>
        <w:gridCol w:w="56"/>
        <w:gridCol w:w="3456"/>
        <w:gridCol w:w="344"/>
        <w:gridCol w:w="1732"/>
        <w:gridCol w:w="447"/>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53" w:type="dxa"/>
            <w:gridSpan w:val="2"/>
            <w:vAlign w:val="center"/>
          </w:tcPr>
          <w:p>
            <w:pPr>
              <w:pageBreakBefore w:val="0"/>
              <w:kinsoku/>
              <w:wordWrap/>
              <w:overflowPunct/>
              <w:topLinePunct w:val="0"/>
              <w:autoSpaceDE/>
              <w:autoSpaceDN/>
              <w:bidi w:val="0"/>
              <w:jc w:val="center"/>
              <w:outlineLvl w:val="9"/>
              <w:rPr>
                <w:rFonts w:ascii="宋体"/>
                <w:szCs w:val="21"/>
              </w:rPr>
            </w:pPr>
            <w:r>
              <w:rPr>
                <w:rFonts w:hint="eastAsia" w:ascii="宋体" w:hAnsi="宋体"/>
                <w:szCs w:val="21"/>
              </w:rPr>
              <w:t>申购部门</w:t>
            </w:r>
          </w:p>
        </w:tc>
        <w:tc>
          <w:tcPr>
            <w:tcW w:w="3800" w:type="dxa"/>
            <w:gridSpan w:val="2"/>
            <w:vAlign w:val="center"/>
          </w:tcPr>
          <w:p>
            <w:pPr>
              <w:pageBreakBefore w:val="0"/>
              <w:kinsoku/>
              <w:wordWrap/>
              <w:overflowPunct/>
              <w:topLinePunct w:val="0"/>
              <w:autoSpaceDE/>
              <w:autoSpaceDN/>
              <w:bidi w:val="0"/>
              <w:outlineLvl w:val="9"/>
              <w:rPr>
                <w:rFonts w:ascii="宋体"/>
                <w:szCs w:val="21"/>
              </w:rPr>
            </w:pPr>
            <w:r>
              <w:rPr>
                <w:rFonts w:hint="eastAsia" w:ascii="宋体" w:hAnsi="宋体"/>
                <w:szCs w:val="21"/>
              </w:rPr>
              <w:t>柳州职业技术学院</w:t>
            </w:r>
            <w:r>
              <w:rPr>
                <w:rFonts w:ascii="宋体" w:hAnsi="宋体"/>
                <w:szCs w:val="21"/>
              </w:rPr>
              <w:t>XXXX</w:t>
            </w:r>
            <w:r>
              <w:rPr>
                <w:rFonts w:hint="eastAsia" w:ascii="宋体" w:hAnsi="宋体"/>
                <w:szCs w:val="21"/>
              </w:rPr>
              <w:t>部门</w:t>
            </w:r>
          </w:p>
        </w:tc>
        <w:tc>
          <w:tcPr>
            <w:tcW w:w="2179" w:type="dxa"/>
            <w:gridSpan w:val="2"/>
            <w:vAlign w:val="center"/>
          </w:tcPr>
          <w:p>
            <w:pPr>
              <w:pageBreakBefore w:val="0"/>
              <w:kinsoku/>
              <w:wordWrap/>
              <w:overflowPunct/>
              <w:topLinePunct w:val="0"/>
              <w:autoSpaceDE/>
              <w:autoSpaceDN/>
              <w:bidi w:val="0"/>
              <w:jc w:val="center"/>
              <w:outlineLvl w:val="9"/>
              <w:rPr>
                <w:rFonts w:ascii="宋体"/>
                <w:szCs w:val="21"/>
              </w:rPr>
            </w:pPr>
            <w:r>
              <w:rPr>
                <w:rFonts w:hint="eastAsia" w:ascii="宋体" w:hAnsi="宋体"/>
                <w:szCs w:val="21"/>
              </w:rPr>
              <w:t>项目负责人</w:t>
            </w:r>
          </w:p>
        </w:tc>
        <w:tc>
          <w:tcPr>
            <w:tcW w:w="2599" w:type="dxa"/>
            <w:vAlign w:val="center"/>
          </w:tcPr>
          <w:p>
            <w:pPr>
              <w:pageBreakBefore w:val="0"/>
              <w:kinsoku/>
              <w:wordWrap/>
              <w:overflowPunct/>
              <w:topLinePunct w:val="0"/>
              <w:autoSpaceDE/>
              <w:autoSpaceDN/>
              <w:bidi w:val="0"/>
              <w:outlineLvl w:val="9"/>
              <w:rPr>
                <w:rFonts w:ascii="宋体"/>
                <w:szCs w:val="21"/>
              </w:rPr>
            </w:pPr>
            <w:r>
              <w:rPr>
                <w:rFonts w:ascii="??" w:hAnsi="??" w:cs="宋体"/>
                <w:color w:val="000000"/>
                <w:kern w:val="0"/>
                <w:sz w:val="18"/>
                <w:szCs w:val="18"/>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53" w:type="dxa"/>
            <w:gridSpan w:val="2"/>
            <w:vAlign w:val="center"/>
          </w:tcPr>
          <w:p>
            <w:pPr>
              <w:pageBreakBefore w:val="0"/>
              <w:kinsoku/>
              <w:wordWrap/>
              <w:overflowPunct/>
              <w:topLinePunct w:val="0"/>
              <w:autoSpaceDE/>
              <w:autoSpaceDN/>
              <w:bidi w:val="0"/>
              <w:ind w:right="-107" w:rightChars="-51" w:firstLine="205" w:firstLineChars="98"/>
              <w:outlineLvl w:val="9"/>
              <w:rPr>
                <w:rFonts w:ascii="宋体"/>
                <w:szCs w:val="21"/>
              </w:rPr>
            </w:pPr>
            <w:r>
              <w:rPr>
                <w:rFonts w:hint="eastAsia" w:ascii="宋体" w:hAnsi="宋体"/>
                <w:szCs w:val="21"/>
              </w:rPr>
              <w:t>项目名称</w:t>
            </w:r>
          </w:p>
        </w:tc>
        <w:tc>
          <w:tcPr>
            <w:tcW w:w="3800" w:type="dxa"/>
            <w:gridSpan w:val="2"/>
          </w:tcPr>
          <w:p>
            <w:pPr>
              <w:pageBreakBefore w:val="0"/>
              <w:kinsoku/>
              <w:wordWrap/>
              <w:overflowPunct/>
              <w:topLinePunct w:val="0"/>
              <w:autoSpaceDE/>
              <w:autoSpaceDN/>
              <w:bidi w:val="0"/>
              <w:outlineLvl w:val="9"/>
              <w:rPr>
                <w:szCs w:val="21"/>
              </w:rPr>
            </w:pPr>
            <w:r>
              <w:rPr>
                <w:szCs w:val="21"/>
              </w:rPr>
              <w:t xml:space="preserve">XXXX </w:t>
            </w:r>
          </w:p>
        </w:tc>
        <w:tc>
          <w:tcPr>
            <w:tcW w:w="2179" w:type="dxa"/>
            <w:gridSpan w:val="2"/>
            <w:vAlign w:val="center"/>
          </w:tcPr>
          <w:p>
            <w:pPr>
              <w:pageBreakBefore w:val="0"/>
              <w:kinsoku/>
              <w:wordWrap/>
              <w:overflowPunct/>
              <w:topLinePunct w:val="0"/>
              <w:autoSpaceDE/>
              <w:autoSpaceDN/>
              <w:bidi w:val="0"/>
              <w:jc w:val="center"/>
              <w:outlineLvl w:val="9"/>
              <w:rPr>
                <w:rFonts w:ascii="宋体"/>
                <w:szCs w:val="21"/>
              </w:rPr>
            </w:pPr>
            <w:r>
              <w:rPr>
                <w:rFonts w:hint="eastAsia" w:ascii="宋体" w:hAnsi="宋体"/>
                <w:szCs w:val="21"/>
              </w:rPr>
              <w:t>项目合同总金额（元）</w:t>
            </w:r>
          </w:p>
        </w:tc>
        <w:tc>
          <w:tcPr>
            <w:tcW w:w="2599" w:type="dxa"/>
          </w:tcPr>
          <w:p>
            <w:pPr>
              <w:pageBreakBefore w:val="0"/>
              <w:kinsoku/>
              <w:wordWrap/>
              <w:overflowPunct/>
              <w:topLinePunct w:val="0"/>
              <w:autoSpaceDE/>
              <w:autoSpaceDN/>
              <w:bidi w:val="0"/>
              <w:outlineLvl w:val="9"/>
              <w:rPr>
                <w:szCs w:val="21"/>
              </w:rPr>
            </w:pPr>
            <w:r>
              <w:rPr>
                <w:sz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9" w:hRule="atLeast"/>
          <w:jc w:val="center"/>
        </w:trPr>
        <w:tc>
          <w:tcPr>
            <w:tcW w:w="14131" w:type="dxa"/>
            <w:gridSpan w:val="7"/>
          </w:tcPr>
          <w:p>
            <w:pPr>
              <w:pageBreakBefore w:val="0"/>
              <w:kinsoku/>
              <w:wordWrap/>
              <w:overflowPunct/>
              <w:topLinePunct w:val="0"/>
              <w:autoSpaceDE/>
              <w:autoSpaceDN/>
              <w:bidi w:val="0"/>
              <w:spacing w:line="440" w:lineRule="exact"/>
              <w:outlineLvl w:val="9"/>
            </w:pPr>
            <w:r>
              <w:rPr>
                <w:rFonts w:hint="eastAsia"/>
                <w:color w:val="000000"/>
                <w:sz w:val="24"/>
              </w:rPr>
              <w:t>我部门于</w:t>
            </w:r>
            <w:r>
              <w:rPr>
                <w:color w:val="000000"/>
                <w:sz w:val="24"/>
              </w:rPr>
              <w:t>X</w:t>
            </w:r>
            <w:r>
              <w:rPr>
                <w:rFonts w:hint="eastAsia"/>
                <w:color w:val="000000"/>
                <w:sz w:val="24"/>
              </w:rPr>
              <w:t>年</w:t>
            </w:r>
            <w:r>
              <w:rPr>
                <w:color w:val="000000"/>
                <w:sz w:val="24"/>
              </w:rPr>
              <w:t>X</w:t>
            </w:r>
            <w:r>
              <w:rPr>
                <w:rFonts w:hint="eastAsia"/>
                <w:color w:val="000000"/>
                <w:sz w:val="24"/>
              </w:rPr>
              <w:t>月</w:t>
            </w:r>
            <w:r>
              <w:rPr>
                <w:color w:val="000000"/>
                <w:sz w:val="24"/>
              </w:rPr>
              <w:t>X</w:t>
            </w:r>
            <w:r>
              <w:rPr>
                <w:rFonts w:hint="eastAsia"/>
                <w:color w:val="000000"/>
                <w:sz w:val="24"/>
              </w:rPr>
              <w:t>日通过</w:t>
            </w:r>
            <w:r>
              <w:rPr>
                <w:rFonts w:hint="eastAsia"/>
              </w:rPr>
              <w:t>学校询价或政府采购的</w:t>
            </w:r>
            <w:r>
              <w:t>XXXX</w:t>
            </w:r>
            <w:r>
              <w:rPr>
                <w:rFonts w:hint="eastAsia"/>
              </w:rPr>
              <w:t>项目，中标总金额</w:t>
            </w:r>
            <w:r>
              <w:t>XXXX</w:t>
            </w:r>
            <w:r>
              <w:rPr>
                <w:rFonts w:hint="eastAsia"/>
              </w:rPr>
              <w:t>元，中标商为</w:t>
            </w:r>
            <w:r>
              <w:t>XXXX</w:t>
            </w:r>
            <w:r>
              <w:rPr>
                <w:rFonts w:hint="eastAsia"/>
              </w:rPr>
              <w:t>。合同履行期间，因</w:t>
            </w:r>
            <w:r>
              <w:t>XXXX</w:t>
            </w:r>
            <w:r>
              <w:rPr>
                <w:rFonts w:hint="eastAsia"/>
              </w:rPr>
              <w:t>原因（必须详细说明原因），在保持合同总金额、售后服务保持不变的前提下，申请对其中的</w:t>
            </w:r>
            <w:r>
              <w:t>XX</w:t>
            </w:r>
            <w:r>
              <w:rPr>
                <w:rFonts w:hint="eastAsia"/>
              </w:rPr>
              <w:t>设备进行修改。具体为：</w:t>
            </w:r>
          </w:p>
          <w:tbl>
            <w:tblPr>
              <w:tblStyle w:val="14"/>
              <w:tblW w:w="13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776"/>
              <w:gridCol w:w="1390"/>
              <w:gridCol w:w="1694"/>
              <w:gridCol w:w="852"/>
              <w:gridCol w:w="1582"/>
              <w:gridCol w:w="1618"/>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65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序号</w:t>
                  </w:r>
                </w:p>
              </w:tc>
              <w:tc>
                <w:tcPr>
                  <w:tcW w:w="1776"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名称</w:t>
                  </w:r>
                </w:p>
              </w:tc>
              <w:tc>
                <w:tcPr>
                  <w:tcW w:w="139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原品牌型号</w:t>
                  </w:r>
                </w:p>
              </w:tc>
              <w:tc>
                <w:tcPr>
                  <w:tcW w:w="169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原技术参数</w:t>
                  </w:r>
                </w:p>
              </w:tc>
              <w:tc>
                <w:tcPr>
                  <w:tcW w:w="85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原单价</w:t>
                  </w:r>
                </w:p>
              </w:tc>
              <w:tc>
                <w:tcPr>
                  <w:tcW w:w="158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 w:val="18"/>
                      <w:szCs w:val="18"/>
                    </w:rPr>
                  </w:pPr>
                  <w:r>
                    <w:rPr>
                      <w:rFonts w:hint="eastAsia"/>
                      <w:color w:val="000000"/>
                      <w:kern w:val="0"/>
                      <w:sz w:val="18"/>
                      <w:szCs w:val="18"/>
                    </w:rPr>
                    <w:t>变更后品牌型号</w:t>
                  </w:r>
                </w:p>
              </w:tc>
              <w:tc>
                <w:tcPr>
                  <w:tcW w:w="161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 w:val="18"/>
                      <w:szCs w:val="18"/>
                    </w:rPr>
                  </w:pPr>
                  <w:r>
                    <w:rPr>
                      <w:rFonts w:hint="eastAsia"/>
                      <w:color w:val="000000"/>
                      <w:kern w:val="0"/>
                      <w:sz w:val="18"/>
                      <w:szCs w:val="18"/>
                    </w:rPr>
                    <w:t>变更后技术参数</w:t>
                  </w:r>
                </w:p>
              </w:tc>
              <w:tc>
                <w:tcPr>
                  <w:tcW w:w="4116"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2" w:hRule="atLeast"/>
              </w:trPr>
              <w:tc>
                <w:tcPr>
                  <w:tcW w:w="65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color w:val="000000"/>
                      <w:kern w:val="0"/>
                      <w:szCs w:val="21"/>
                    </w:rPr>
                    <w:t>1</w:t>
                  </w:r>
                </w:p>
              </w:tc>
              <w:tc>
                <w:tcPr>
                  <w:tcW w:w="1776"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ascii="??_GB2312" w:hAnsi="宋体" w:eastAsia="Times New Roman" w:cs="宋体"/>
                      <w:kern w:val="0"/>
                      <w:sz w:val="20"/>
                      <w:szCs w:val="20"/>
                    </w:rPr>
                    <w:t>数显鼓风干燥箱</w:t>
                  </w:r>
                </w:p>
              </w:tc>
              <w:tc>
                <w:tcPr>
                  <w:tcW w:w="139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崂山</w:t>
                  </w:r>
                  <w:r>
                    <w:rPr>
                      <w:color w:val="000000"/>
                      <w:kern w:val="0"/>
                      <w:szCs w:val="21"/>
                    </w:rPr>
                    <w:t>M20</w:t>
                  </w:r>
                </w:p>
              </w:tc>
              <w:tc>
                <w:tcPr>
                  <w:tcW w:w="169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ascii="??_GB2312" w:hAnsi="宋体" w:eastAsia="Times New Roman" w:cs="宋体"/>
                      <w:kern w:val="0"/>
                      <w:sz w:val="20"/>
                      <w:szCs w:val="20"/>
                    </w:rPr>
                    <w:t>内胆规格:</w:t>
                  </w:r>
                  <w:r>
                    <w:rPr>
                      <w:rFonts w:ascii="??_GB2312" w:hAnsi="宋体" w:eastAsia="Times New Roman" w:cs="宋体"/>
                      <w:b/>
                      <w:kern w:val="0"/>
                      <w:sz w:val="20"/>
                      <w:szCs w:val="20"/>
                    </w:rPr>
                    <w:t xml:space="preserve"> 450×450×350mm</w:t>
                  </w:r>
                  <w:r>
                    <w:rPr>
                      <w:rFonts w:ascii="??_GB2312" w:hAnsi="宋体" w:eastAsia="Times New Roman" w:cs="宋体"/>
                      <w:kern w:val="0"/>
                      <w:sz w:val="20"/>
                      <w:szCs w:val="20"/>
                    </w:rPr>
                    <w:t>，功率：</w:t>
                  </w:r>
                  <w:r>
                    <w:rPr>
                      <w:rFonts w:ascii="??_GB2312" w:hAnsi="宋体" w:eastAsia="Times New Roman" w:cs="宋体"/>
                      <w:b/>
                      <w:kern w:val="0"/>
                      <w:sz w:val="20"/>
                      <w:szCs w:val="20"/>
                    </w:rPr>
                    <w:t>0.8～1.6KW</w:t>
                  </w:r>
                  <w:r>
                    <w:rPr>
                      <w:rFonts w:ascii="??_GB2312" w:hAnsi="宋体" w:eastAsia="Times New Roman" w:cs="宋体"/>
                      <w:kern w:val="0"/>
                      <w:sz w:val="20"/>
                      <w:szCs w:val="20"/>
                    </w:rPr>
                    <w:t>，</w:t>
                  </w:r>
                </w:p>
              </w:tc>
              <w:tc>
                <w:tcPr>
                  <w:tcW w:w="85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color w:val="000000"/>
                      <w:kern w:val="0"/>
                      <w:szCs w:val="21"/>
                    </w:rPr>
                    <w:t>1200</w:t>
                  </w:r>
                </w:p>
              </w:tc>
              <w:tc>
                <w:tcPr>
                  <w:tcW w:w="158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崂山</w:t>
                  </w:r>
                  <w:r>
                    <w:rPr>
                      <w:color w:val="000000"/>
                      <w:kern w:val="0"/>
                      <w:szCs w:val="21"/>
                    </w:rPr>
                    <w:t>M21</w:t>
                  </w:r>
                </w:p>
              </w:tc>
              <w:tc>
                <w:tcPr>
                  <w:tcW w:w="161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ascii="??_GB2312" w:hAnsi="宋体" w:eastAsia="Times New Roman" w:cs="宋体"/>
                      <w:kern w:val="0"/>
                      <w:sz w:val="20"/>
                      <w:szCs w:val="20"/>
                    </w:rPr>
                    <w:t xml:space="preserve">内胆规格: </w:t>
                  </w:r>
                  <w:r>
                    <w:rPr>
                      <w:rFonts w:ascii="??_GB2312" w:hAnsi="宋体" w:eastAsia="Times New Roman" w:cs="宋体"/>
                      <w:b/>
                      <w:kern w:val="0"/>
                      <w:sz w:val="20"/>
                      <w:szCs w:val="20"/>
                    </w:rPr>
                    <w:t>550×550×350mm</w:t>
                  </w:r>
                  <w:r>
                    <w:rPr>
                      <w:rFonts w:ascii="??_GB2312" w:hAnsi="宋体" w:eastAsia="Times New Roman" w:cs="宋体"/>
                      <w:kern w:val="0"/>
                      <w:sz w:val="20"/>
                      <w:szCs w:val="20"/>
                    </w:rPr>
                    <w:t>，功率：</w:t>
                  </w:r>
                  <w:r>
                    <w:rPr>
                      <w:rFonts w:ascii="??_GB2312" w:hAnsi="宋体" w:eastAsia="Times New Roman" w:cs="宋体"/>
                      <w:b/>
                      <w:kern w:val="0"/>
                      <w:sz w:val="20"/>
                      <w:szCs w:val="20"/>
                    </w:rPr>
                    <w:t>1～2.5KW</w:t>
                  </w:r>
                  <w:r>
                    <w:rPr>
                      <w:rFonts w:ascii="??_GB2312" w:hAnsi="宋体" w:eastAsia="Times New Roman" w:cs="宋体"/>
                      <w:kern w:val="0"/>
                      <w:sz w:val="20"/>
                      <w:szCs w:val="20"/>
                    </w:rPr>
                    <w:t>，</w:t>
                  </w:r>
                </w:p>
              </w:tc>
              <w:tc>
                <w:tcPr>
                  <w:tcW w:w="4116"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单价不变、型</w:t>
                  </w:r>
                  <w:bookmarkStart w:id="1681" w:name="_Toc13219_WPSOffice_Level1"/>
                  <w:r>
                    <w:rPr>
                      <w:rFonts w:hint="eastAsia"/>
                      <w:color w:val="000000"/>
                      <w:kern w:val="0"/>
                      <w:szCs w:val="21"/>
                    </w:rPr>
                    <w:t>号升级技</w:t>
                  </w:r>
                  <w:bookmarkEnd w:id="1681"/>
                  <w:r>
                    <w:rPr>
                      <w:rFonts w:hint="eastAsia"/>
                      <w:color w:val="000000"/>
                      <w:kern w:val="0"/>
                      <w:szCs w:val="21"/>
                    </w:rPr>
                    <w:t>术</w:t>
                  </w:r>
                  <w:bookmarkStart w:id="1682" w:name="_Toc24433_WPSOffice_Level1"/>
                  <w:r>
                    <w:rPr>
                      <w:rFonts w:hint="eastAsia"/>
                      <w:color w:val="000000"/>
                      <w:kern w:val="0"/>
                      <w:szCs w:val="21"/>
                    </w:rPr>
                    <w:t>参数更高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color w:val="000000"/>
                      <w:kern w:val="0"/>
                      <w:szCs w:val="21"/>
                    </w:rPr>
                    <w:t>2</w:t>
                  </w:r>
                </w:p>
                <w:bookmarkEnd w:id="1682"/>
              </w:tc>
              <w:tc>
                <w:tcPr>
                  <w:tcW w:w="1776"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台</w:t>
                  </w:r>
                  <w:bookmarkStart w:id="1683" w:name="_Toc20343_WPSOffice_Level1"/>
                  <w:r>
                    <w:rPr>
                      <w:rFonts w:hint="eastAsia"/>
                      <w:color w:val="000000"/>
                      <w:kern w:val="0"/>
                      <w:szCs w:val="21"/>
                    </w:rPr>
                    <w:t>式计算机</w:t>
                  </w:r>
                </w:p>
              </w:tc>
              <w:tc>
                <w:tcPr>
                  <w:tcW w:w="139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清华同方</w:t>
                  </w:r>
                  <w:r>
                    <w:rPr>
                      <w:color w:val="000000"/>
                      <w:kern w:val="0"/>
                      <w:szCs w:val="21"/>
                    </w:rPr>
                    <w:t>T25</w:t>
                  </w:r>
                </w:p>
              </w:tc>
              <w:tc>
                <w:tcPr>
                  <w:tcW w:w="169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color w:val="000000"/>
                      <w:kern w:val="0"/>
                      <w:szCs w:val="21"/>
                    </w:rPr>
                    <w:t>I3/4G/50</w:t>
                  </w:r>
                  <w:bookmarkEnd w:id="1683"/>
                  <w:r>
                    <w:rPr>
                      <w:color w:val="000000"/>
                      <w:kern w:val="0"/>
                      <w:szCs w:val="21"/>
                    </w:rPr>
                    <w:t>0G/2G</w:t>
                  </w:r>
                  <w:r>
                    <w:rPr>
                      <w:rFonts w:hint="eastAsia"/>
                      <w:color w:val="000000"/>
                      <w:kern w:val="0"/>
                      <w:szCs w:val="21"/>
                    </w:rPr>
                    <w:t>独显</w:t>
                  </w:r>
                  <w:r>
                    <w:rPr>
                      <w:color w:val="000000"/>
                      <w:kern w:val="0"/>
                      <w:szCs w:val="21"/>
                    </w:rPr>
                    <w:t>/21’</w:t>
                  </w:r>
                  <w:r>
                    <w:rPr>
                      <w:rFonts w:hint="eastAsia"/>
                      <w:color w:val="000000"/>
                      <w:kern w:val="0"/>
                      <w:szCs w:val="21"/>
                    </w:rPr>
                    <w:t>显示器</w:t>
                  </w:r>
                </w:p>
              </w:tc>
              <w:tc>
                <w:tcPr>
                  <w:tcW w:w="85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color w:val="000000"/>
                      <w:kern w:val="0"/>
                      <w:szCs w:val="21"/>
                    </w:rPr>
                    <w:t>4100</w:t>
                  </w:r>
                </w:p>
              </w:tc>
              <w:tc>
                <w:tcPr>
                  <w:tcW w:w="158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联想启天</w:t>
                  </w:r>
                </w:p>
                <w:p>
                  <w:pPr>
                    <w:pageBreakBefore w:val="0"/>
                    <w:kinsoku/>
                    <w:wordWrap/>
                    <w:overflowPunct/>
                    <w:topLinePunct w:val="0"/>
                    <w:autoSpaceDE/>
                    <w:autoSpaceDN/>
                    <w:bidi w:val="0"/>
                    <w:spacing w:line="440" w:lineRule="exact"/>
                    <w:jc w:val="center"/>
                    <w:outlineLvl w:val="9"/>
                    <w:rPr>
                      <w:color w:val="000000"/>
                      <w:kern w:val="0"/>
                      <w:szCs w:val="21"/>
                    </w:rPr>
                  </w:pPr>
                  <w:r>
                    <w:rPr>
                      <w:color w:val="000000"/>
                      <w:kern w:val="0"/>
                      <w:szCs w:val="21"/>
                    </w:rPr>
                    <w:t>M360</w:t>
                  </w:r>
                </w:p>
              </w:tc>
              <w:tc>
                <w:tcPr>
                  <w:tcW w:w="161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color w:val="000000"/>
                      <w:kern w:val="0"/>
                      <w:szCs w:val="21"/>
                    </w:rPr>
                    <w:t>I3/4G/500G/2G</w:t>
                  </w:r>
                  <w:r>
                    <w:rPr>
                      <w:rFonts w:hint="eastAsia"/>
                      <w:color w:val="000000"/>
                      <w:kern w:val="0"/>
                      <w:szCs w:val="21"/>
                    </w:rPr>
                    <w:t>独显</w:t>
                  </w:r>
                  <w:r>
                    <w:rPr>
                      <w:color w:val="000000"/>
                      <w:kern w:val="0"/>
                      <w:szCs w:val="21"/>
                    </w:rPr>
                    <w:t>/21’</w:t>
                  </w:r>
                  <w:r>
                    <w:rPr>
                      <w:rFonts w:hint="eastAsia"/>
                      <w:color w:val="000000"/>
                      <w:kern w:val="0"/>
                      <w:szCs w:val="21"/>
                    </w:rPr>
                    <w:t>显示器</w:t>
                  </w:r>
                </w:p>
              </w:tc>
              <w:tc>
                <w:tcPr>
                  <w:tcW w:w="4116"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color w:val="000000"/>
                      <w:kern w:val="0"/>
                      <w:szCs w:val="21"/>
                    </w:rPr>
                  </w:pPr>
                  <w:r>
                    <w:rPr>
                      <w:rFonts w:hint="eastAsia"/>
                      <w:color w:val="000000"/>
                      <w:kern w:val="0"/>
                      <w:szCs w:val="21"/>
                    </w:rPr>
                    <w:t>单价及参数不变，品质更好</w:t>
                  </w:r>
                </w:p>
              </w:tc>
            </w:tr>
          </w:tbl>
          <w:p>
            <w:pPr>
              <w:pageBreakBefore w:val="0"/>
              <w:kinsoku/>
              <w:wordWrap/>
              <w:overflowPunct/>
              <w:topLinePunct w:val="0"/>
              <w:autoSpaceDE/>
              <w:autoSpaceDN/>
              <w:bidi w:val="0"/>
              <w:spacing w:line="440" w:lineRule="exact"/>
              <w:outlineLvl w:val="9"/>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3" w:hRule="atLeast"/>
          <w:jc w:val="center"/>
        </w:trPr>
        <w:tc>
          <w:tcPr>
            <w:tcW w:w="5497" w:type="dxa"/>
            <w:vAlign w:val="center"/>
          </w:tcPr>
          <w:p>
            <w:pPr>
              <w:pageBreakBefore w:val="0"/>
              <w:kinsoku/>
              <w:wordWrap/>
              <w:overflowPunct/>
              <w:topLinePunct w:val="0"/>
              <w:autoSpaceDE/>
              <w:autoSpaceDN/>
              <w:bidi w:val="0"/>
              <w:spacing w:line="440" w:lineRule="exact"/>
              <w:jc w:val="center"/>
              <w:outlineLvl w:val="9"/>
              <w:rPr>
                <w:rFonts w:ascii="宋体"/>
                <w:szCs w:val="21"/>
              </w:rPr>
            </w:pPr>
            <w:r>
              <w:rPr>
                <w:rFonts w:hint="eastAsia" w:ascii="宋体" w:hAnsi="宋体"/>
                <w:szCs w:val="21"/>
              </w:rPr>
              <w:t>申购部门</w:t>
            </w:r>
          </w:p>
          <w:p>
            <w:pPr>
              <w:pageBreakBefore w:val="0"/>
              <w:kinsoku/>
              <w:wordWrap/>
              <w:overflowPunct/>
              <w:topLinePunct w:val="0"/>
              <w:autoSpaceDE/>
              <w:autoSpaceDN/>
              <w:bidi w:val="0"/>
              <w:spacing w:line="440" w:lineRule="exact"/>
              <w:jc w:val="center"/>
              <w:outlineLvl w:val="9"/>
              <w:rPr>
                <w:rFonts w:ascii="宋体"/>
                <w:szCs w:val="21"/>
              </w:rPr>
            </w:pPr>
            <w:r>
              <w:rPr>
                <w:rFonts w:hint="eastAsia" w:ascii="宋体" w:hAnsi="宋体"/>
                <w:szCs w:val="21"/>
              </w:rPr>
              <w:t>意</w:t>
            </w:r>
            <w:r>
              <w:rPr>
                <w:rFonts w:ascii="宋体" w:hAnsi="宋体"/>
                <w:szCs w:val="21"/>
              </w:rPr>
              <w:t xml:space="preserve">    </w:t>
            </w:r>
            <w:r>
              <w:rPr>
                <w:rFonts w:hint="eastAsia" w:ascii="宋体" w:hAnsi="宋体"/>
                <w:szCs w:val="21"/>
              </w:rPr>
              <w:t>见</w:t>
            </w:r>
          </w:p>
          <w:p>
            <w:pPr>
              <w:pageBreakBefore w:val="0"/>
              <w:kinsoku/>
              <w:wordWrap/>
              <w:overflowPunct/>
              <w:topLinePunct w:val="0"/>
              <w:autoSpaceDE/>
              <w:autoSpaceDN/>
              <w:bidi w:val="0"/>
              <w:spacing w:line="440" w:lineRule="exact"/>
              <w:jc w:val="center"/>
              <w:outlineLvl w:val="9"/>
              <w:rPr>
                <w:rFonts w:ascii="宋体"/>
                <w:szCs w:val="21"/>
              </w:rPr>
            </w:pPr>
            <w:r>
              <w:rPr>
                <w:rFonts w:hint="eastAsia" w:ascii="宋体" w:hAnsi="宋体"/>
                <w:szCs w:val="21"/>
              </w:rPr>
              <w:t>（公章）</w:t>
            </w:r>
          </w:p>
        </w:tc>
        <w:tc>
          <w:tcPr>
            <w:tcW w:w="5588" w:type="dxa"/>
            <w:gridSpan w:val="4"/>
          </w:tcPr>
          <w:p>
            <w:pPr>
              <w:pageBreakBefore w:val="0"/>
              <w:kinsoku/>
              <w:wordWrap/>
              <w:overflowPunct/>
              <w:topLinePunct w:val="0"/>
              <w:autoSpaceDE/>
              <w:autoSpaceDN/>
              <w:bidi w:val="0"/>
              <w:spacing w:line="440" w:lineRule="exact"/>
              <w:outlineLvl w:val="9"/>
              <w:rPr>
                <w:rFonts w:ascii="宋体"/>
                <w:szCs w:val="21"/>
              </w:rPr>
            </w:pPr>
            <w:r>
              <w:rPr>
                <w:rFonts w:ascii="宋体" w:hAnsi="宋体"/>
                <w:szCs w:val="21"/>
              </w:rPr>
              <w:t xml:space="preserve"> </w:t>
            </w:r>
            <w:r>
              <w:rPr>
                <w:rFonts w:hint="eastAsia" w:ascii="宋体" w:hAnsi="宋体"/>
                <w:szCs w:val="21"/>
              </w:rPr>
              <w:t>经部门专业团队讨论，一致同意上述变更，请领导批准。</w:t>
            </w:r>
          </w:p>
          <w:p>
            <w:pPr>
              <w:pageBreakBefore w:val="0"/>
              <w:kinsoku/>
              <w:wordWrap/>
              <w:overflowPunct/>
              <w:topLinePunct w:val="0"/>
              <w:autoSpaceDE/>
              <w:autoSpaceDN/>
              <w:bidi w:val="0"/>
              <w:spacing w:line="440" w:lineRule="exact"/>
              <w:outlineLvl w:val="9"/>
              <w:rPr>
                <w:rFonts w:ascii="宋体"/>
                <w:szCs w:val="21"/>
              </w:rPr>
            </w:pPr>
            <w:r>
              <w:rPr>
                <w:rFonts w:hint="eastAsia" w:ascii="宋体" w:hAnsi="宋体"/>
                <w:szCs w:val="21"/>
              </w:rPr>
              <w:t>专业团队：</w:t>
            </w:r>
            <w:r>
              <w:rPr>
                <w:rFonts w:ascii="宋体" w:hAnsi="宋体"/>
                <w:szCs w:val="21"/>
              </w:rPr>
              <w:t xml:space="preserve">                     </w:t>
            </w:r>
            <w:r>
              <w:rPr>
                <w:rFonts w:hint="eastAsia" w:ascii="宋体" w:hAnsi="宋体"/>
                <w:szCs w:val="21"/>
              </w:rPr>
              <w:t>团队负责人：</w:t>
            </w:r>
            <w:r>
              <w:rPr>
                <w:rFonts w:ascii="宋体" w:hAnsi="宋体"/>
                <w:szCs w:val="21"/>
              </w:rPr>
              <w:t xml:space="preserve">     </w:t>
            </w:r>
          </w:p>
          <w:p>
            <w:pPr>
              <w:pageBreakBefore w:val="0"/>
              <w:kinsoku/>
              <w:wordWrap/>
              <w:overflowPunct/>
              <w:topLinePunct w:val="0"/>
              <w:autoSpaceDE/>
              <w:autoSpaceDN/>
              <w:bidi w:val="0"/>
              <w:spacing w:line="440" w:lineRule="exact"/>
              <w:outlineLvl w:val="9"/>
              <w:rPr>
                <w:rFonts w:ascii="宋体"/>
                <w:szCs w:val="21"/>
              </w:rPr>
            </w:pPr>
            <w:r>
              <w:rPr>
                <w:rFonts w:hint="eastAsia" w:ascii="宋体" w:hAnsi="宋体"/>
                <w:szCs w:val="21"/>
              </w:rPr>
              <w:t>（签字）</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c>
          <w:tcPr>
            <w:tcW w:w="3046" w:type="dxa"/>
            <w:gridSpan w:val="2"/>
            <w:vAlign w:val="center"/>
          </w:tcPr>
          <w:p>
            <w:pPr>
              <w:pageBreakBefore w:val="0"/>
              <w:kinsoku/>
              <w:wordWrap/>
              <w:overflowPunct/>
              <w:topLinePunct w:val="0"/>
              <w:autoSpaceDE/>
              <w:autoSpaceDN/>
              <w:bidi w:val="0"/>
              <w:spacing w:line="440" w:lineRule="exact"/>
              <w:outlineLvl w:val="9"/>
              <w:rPr>
                <w:rFonts w:ascii="宋体"/>
                <w:szCs w:val="21"/>
              </w:rPr>
            </w:pPr>
          </w:p>
          <w:p>
            <w:pPr>
              <w:pageBreakBefore w:val="0"/>
              <w:kinsoku/>
              <w:wordWrap/>
              <w:overflowPunct/>
              <w:topLinePunct w:val="0"/>
              <w:autoSpaceDE/>
              <w:autoSpaceDN/>
              <w:bidi w:val="0"/>
              <w:spacing w:line="440" w:lineRule="exact"/>
              <w:outlineLvl w:val="9"/>
              <w:rPr>
                <w:rFonts w:ascii="宋体"/>
                <w:szCs w:val="21"/>
              </w:rPr>
            </w:pPr>
            <w:r>
              <w:rPr>
                <w:rFonts w:hint="eastAsia" w:ascii="宋体" w:hAnsi="宋体"/>
                <w:szCs w:val="21"/>
              </w:rPr>
              <w:t>申购部门领导：</w:t>
            </w:r>
            <w:r>
              <w:rPr>
                <w:rFonts w:ascii="宋体" w:hAnsi="宋体"/>
                <w:szCs w:val="21"/>
              </w:rPr>
              <w:t xml:space="preserve">                  </w:t>
            </w:r>
          </w:p>
          <w:p>
            <w:pPr>
              <w:pageBreakBefore w:val="0"/>
              <w:kinsoku/>
              <w:wordWrap/>
              <w:overflowPunct/>
              <w:topLinePunct w:val="0"/>
              <w:autoSpaceDE/>
              <w:autoSpaceDN/>
              <w:bidi w:val="0"/>
              <w:spacing w:line="440" w:lineRule="exact"/>
              <w:outlineLvl w:val="9"/>
              <w:rPr>
                <w:rFonts w:ascii="宋体"/>
                <w:szCs w:val="21"/>
              </w:rPr>
            </w:pPr>
            <w:r>
              <w:rPr>
                <w:rFonts w:hint="eastAsia" w:ascii="宋体" w:hAnsi="宋体"/>
                <w:szCs w:val="21"/>
              </w:rPr>
              <w:t>（签字）</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jc w:val="center"/>
        </w:trPr>
        <w:tc>
          <w:tcPr>
            <w:tcW w:w="5497" w:type="dxa"/>
            <w:vAlign w:val="center"/>
          </w:tcPr>
          <w:p>
            <w:pPr>
              <w:pageBreakBefore w:val="0"/>
              <w:kinsoku/>
              <w:wordWrap/>
              <w:overflowPunct/>
              <w:topLinePunct w:val="0"/>
              <w:autoSpaceDE/>
              <w:autoSpaceDN/>
              <w:bidi w:val="0"/>
              <w:spacing w:line="440" w:lineRule="exact"/>
              <w:jc w:val="center"/>
              <w:outlineLvl w:val="9"/>
              <w:rPr>
                <w:rFonts w:ascii="宋体"/>
                <w:szCs w:val="21"/>
              </w:rPr>
            </w:pPr>
            <w:r>
              <w:rPr>
                <w:rFonts w:hint="eastAsia" w:ascii="宋体" w:hAnsi="宋体"/>
                <w:szCs w:val="21"/>
              </w:rPr>
              <w:t>归口管理部门审批（公章）</w:t>
            </w:r>
          </w:p>
        </w:tc>
        <w:tc>
          <w:tcPr>
            <w:tcW w:w="3512" w:type="dxa"/>
            <w:gridSpan w:val="2"/>
          </w:tcPr>
          <w:p>
            <w:pPr>
              <w:pageBreakBefore w:val="0"/>
              <w:kinsoku/>
              <w:wordWrap/>
              <w:overflowPunct/>
              <w:topLinePunct w:val="0"/>
              <w:autoSpaceDE/>
              <w:autoSpaceDN/>
              <w:bidi w:val="0"/>
              <w:spacing w:line="440" w:lineRule="exact"/>
              <w:outlineLvl w:val="9"/>
              <w:rPr>
                <w:rFonts w:ascii="宋体"/>
                <w:szCs w:val="21"/>
              </w:rPr>
            </w:pPr>
          </w:p>
          <w:p>
            <w:pPr>
              <w:pageBreakBefore w:val="0"/>
              <w:kinsoku/>
              <w:wordWrap/>
              <w:overflowPunct/>
              <w:topLinePunct w:val="0"/>
              <w:autoSpaceDE/>
              <w:autoSpaceDN/>
              <w:bidi w:val="0"/>
              <w:spacing w:line="440" w:lineRule="exact"/>
              <w:outlineLvl w:val="9"/>
              <w:rPr>
                <w:rFonts w:ascii="宋体"/>
                <w:szCs w:val="21"/>
              </w:rPr>
            </w:pPr>
            <w:r>
              <w:rPr>
                <w:rFonts w:ascii="宋体" w:hAnsi="宋体"/>
                <w:szCs w:val="21"/>
              </w:rPr>
              <w:t xml:space="preserve">             </w:t>
            </w:r>
            <w:r>
              <w:rPr>
                <w:rFonts w:hint="eastAsia" w:ascii="宋体" w:hAnsi="宋体"/>
                <w:szCs w:val="21"/>
              </w:rPr>
              <w:t>处领导：</w:t>
            </w:r>
            <w:r>
              <w:rPr>
                <w:rFonts w:ascii="宋体" w:hAnsi="宋体"/>
                <w:szCs w:val="21"/>
              </w:rPr>
              <w:t xml:space="preserve">    </w:t>
            </w:r>
          </w:p>
          <w:p>
            <w:pPr>
              <w:pageBreakBefore w:val="0"/>
              <w:kinsoku/>
              <w:wordWrap/>
              <w:overflowPunct/>
              <w:topLinePunct w:val="0"/>
              <w:autoSpaceDE/>
              <w:autoSpaceDN/>
              <w:bidi w:val="0"/>
              <w:spacing w:line="440" w:lineRule="exact"/>
              <w:outlineLvl w:val="9"/>
              <w:rPr>
                <w:rFonts w:ascii="宋体"/>
                <w:szCs w:val="21"/>
              </w:rPr>
            </w:pPr>
            <w:r>
              <w:rPr>
                <w:rFonts w:ascii="宋体" w:hAnsi="宋体"/>
                <w:szCs w:val="21"/>
              </w:rPr>
              <w:t xml:space="preserve">   </w:t>
            </w:r>
            <w:bookmarkStart w:id="1684" w:name="_Toc22531_WPSOffice_Level1"/>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bookmarkEnd w:id="1684"/>
          </w:p>
        </w:tc>
        <w:tc>
          <w:tcPr>
            <w:tcW w:w="2076" w:type="dxa"/>
            <w:gridSpan w:val="2"/>
          </w:tcPr>
          <w:p>
            <w:pPr>
              <w:pageBreakBefore w:val="0"/>
              <w:kinsoku/>
              <w:wordWrap/>
              <w:overflowPunct/>
              <w:topLinePunct w:val="0"/>
              <w:autoSpaceDE/>
              <w:autoSpaceDN/>
              <w:bidi w:val="0"/>
              <w:spacing w:line="440" w:lineRule="exact"/>
              <w:jc w:val="center"/>
              <w:outlineLvl w:val="9"/>
              <w:rPr>
                <w:rFonts w:ascii="宋体"/>
                <w:szCs w:val="21"/>
              </w:rPr>
            </w:pPr>
          </w:p>
          <w:p>
            <w:pPr>
              <w:pageBreakBefore w:val="0"/>
              <w:kinsoku/>
              <w:wordWrap/>
              <w:overflowPunct/>
              <w:topLinePunct w:val="0"/>
              <w:autoSpaceDE/>
              <w:autoSpaceDN/>
              <w:bidi w:val="0"/>
              <w:spacing w:line="440" w:lineRule="exact"/>
              <w:jc w:val="center"/>
              <w:outlineLvl w:val="9"/>
              <w:rPr>
                <w:rFonts w:ascii="宋体"/>
                <w:szCs w:val="21"/>
              </w:rPr>
            </w:pPr>
            <w:r>
              <w:rPr>
                <w:rFonts w:hint="eastAsia" w:ascii="宋体" w:hAnsi="宋体"/>
                <w:szCs w:val="21"/>
              </w:rPr>
              <w:t>资产管理处审批（公章）</w:t>
            </w:r>
          </w:p>
          <w:p>
            <w:pPr>
              <w:pageBreakBefore w:val="0"/>
              <w:kinsoku/>
              <w:wordWrap/>
              <w:overflowPunct/>
              <w:topLinePunct w:val="0"/>
              <w:autoSpaceDE/>
              <w:autoSpaceDN/>
              <w:bidi w:val="0"/>
              <w:spacing w:line="440" w:lineRule="exact"/>
              <w:ind w:firstLine="5040" w:firstLineChars="2400"/>
              <w:jc w:val="left"/>
              <w:outlineLvl w:val="9"/>
              <w:rPr>
                <w:rFonts w:ascii="宋体"/>
                <w:szCs w:val="21"/>
              </w:rPr>
            </w:pPr>
          </w:p>
        </w:tc>
        <w:tc>
          <w:tcPr>
            <w:tcW w:w="3046" w:type="dxa"/>
            <w:gridSpan w:val="2"/>
          </w:tcPr>
          <w:p>
            <w:pPr>
              <w:pageBreakBefore w:val="0"/>
              <w:kinsoku/>
              <w:wordWrap/>
              <w:overflowPunct/>
              <w:topLinePunct w:val="0"/>
              <w:autoSpaceDE/>
              <w:autoSpaceDN/>
              <w:bidi w:val="0"/>
              <w:spacing w:line="440" w:lineRule="exact"/>
              <w:outlineLvl w:val="9"/>
              <w:rPr>
                <w:rFonts w:ascii="宋体"/>
                <w:szCs w:val="21"/>
              </w:rPr>
            </w:pPr>
          </w:p>
          <w:p>
            <w:pPr>
              <w:pageBreakBefore w:val="0"/>
              <w:kinsoku/>
              <w:wordWrap/>
              <w:overflowPunct/>
              <w:topLinePunct w:val="0"/>
              <w:autoSpaceDE/>
              <w:autoSpaceDN/>
              <w:bidi w:val="0"/>
              <w:spacing w:line="440" w:lineRule="exact"/>
              <w:outlineLvl w:val="9"/>
              <w:rPr>
                <w:rFonts w:ascii="宋体"/>
                <w:szCs w:val="21"/>
              </w:rPr>
            </w:pPr>
            <w:r>
              <w:rPr>
                <w:rFonts w:ascii="宋体" w:hAnsi="宋体"/>
                <w:szCs w:val="21"/>
              </w:rPr>
              <w:t xml:space="preserve">         </w:t>
            </w:r>
            <w:r>
              <w:rPr>
                <w:rFonts w:hint="eastAsia" w:ascii="宋体" w:hAnsi="宋体"/>
                <w:szCs w:val="21"/>
              </w:rPr>
              <w:t>处领导：</w:t>
            </w:r>
            <w:r>
              <w:rPr>
                <w:rFonts w:ascii="宋体" w:hAnsi="宋体"/>
                <w:szCs w:val="21"/>
              </w:rPr>
              <w:t xml:space="preserve">   </w:t>
            </w:r>
          </w:p>
          <w:p>
            <w:pPr>
              <w:pageBreakBefore w:val="0"/>
              <w:kinsoku/>
              <w:wordWrap/>
              <w:overflowPunct/>
              <w:topLinePunct w:val="0"/>
              <w:autoSpaceDE/>
              <w:autoSpaceDN/>
              <w:bidi w:val="0"/>
              <w:spacing w:line="440" w:lineRule="exact"/>
              <w:outlineLvl w:val="9"/>
              <w:rPr>
                <w:rFonts w:ascii="宋体"/>
                <w:szCs w:val="21"/>
              </w:rPr>
            </w:pP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r>
    </w:tbl>
    <w:p>
      <w:pPr>
        <w:pageBreakBefore w:val="0"/>
        <w:kinsoku/>
        <w:wordWrap/>
        <w:overflowPunct/>
        <w:topLinePunct w:val="0"/>
        <w:autoSpaceDE/>
        <w:autoSpaceDN/>
        <w:bidi w:val="0"/>
        <w:outlineLvl w:val="9"/>
        <w:rPr>
          <w:szCs w:val="28"/>
          <w:lang w:val="ru-RU"/>
        </w:rPr>
        <w:sectPr>
          <w:pgSz w:w="16838" w:h="11906" w:orient="landscape"/>
          <w:pgMar w:top="1134" w:right="1134" w:bottom="1134" w:left="1134" w:header="851" w:footer="992" w:gutter="0"/>
          <w:pgNumType w:fmt="decimal"/>
          <w:cols w:space="720" w:num="1"/>
          <w:docGrid w:type="lines" w:linePitch="321" w:charSpace="0"/>
        </w:sectPr>
      </w:pPr>
    </w:p>
    <w:p>
      <w:pPr>
        <w:pageBreakBefore w:val="0"/>
        <w:kinsoku/>
        <w:wordWrap/>
        <w:overflowPunct/>
        <w:topLinePunct w:val="0"/>
        <w:autoSpaceDE/>
        <w:autoSpaceDN/>
        <w:bidi w:val="0"/>
        <w:spacing w:line="720" w:lineRule="exact"/>
        <w:jc w:val="left"/>
        <w:outlineLvl w:val="9"/>
        <w:rPr>
          <w:rFonts w:hint="eastAsia" w:ascii="黑体" w:hAnsi="Calibri" w:eastAsia="黑体"/>
          <w:b/>
          <w:bCs/>
          <w:sz w:val="32"/>
          <w:szCs w:val="32"/>
        </w:rPr>
      </w:pPr>
      <w:bookmarkStart w:id="1685" w:name="_Toc19575_WPSOffice_Level1"/>
      <w:r>
        <w:rPr>
          <w:rFonts w:hint="eastAsia" w:ascii="黑体" w:hAnsi="Calibri" w:eastAsia="黑体"/>
          <w:b/>
          <w:bCs/>
          <w:sz w:val="32"/>
          <w:szCs w:val="32"/>
          <w:lang w:val="ru-RU"/>
        </w:rPr>
        <w:t>附件10</w:t>
      </w:r>
      <w:r>
        <w:rPr>
          <w:rFonts w:hint="eastAsia" w:ascii="黑体" w:eastAsia="黑体"/>
          <w:b/>
          <w:bCs/>
          <w:sz w:val="32"/>
          <w:szCs w:val="32"/>
        </w:rPr>
        <w:t>:</w:t>
      </w:r>
      <w:bookmarkEnd w:id="1685"/>
    </w:p>
    <w:tbl>
      <w:tblPr>
        <w:tblStyle w:val="14"/>
        <w:tblW w:w="9547" w:type="dxa"/>
        <w:tblInd w:w="0" w:type="dxa"/>
        <w:tblLayout w:type="fixed"/>
        <w:tblCellMar>
          <w:top w:w="0" w:type="dxa"/>
          <w:left w:w="0" w:type="dxa"/>
          <w:bottom w:w="0" w:type="dxa"/>
          <w:right w:w="0" w:type="dxa"/>
        </w:tblCellMar>
      </w:tblPr>
      <w:tblGrid>
        <w:gridCol w:w="2627"/>
        <w:gridCol w:w="6920"/>
      </w:tblGrid>
      <w:tr>
        <w:tblPrEx>
          <w:tblLayout w:type="fixed"/>
          <w:tblCellMar>
            <w:top w:w="0" w:type="dxa"/>
            <w:left w:w="0" w:type="dxa"/>
            <w:bottom w:w="0" w:type="dxa"/>
            <w:right w:w="0" w:type="dxa"/>
          </w:tblCellMar>
        </w:tblPrEx>
        <w:trPr>
          <w:trHeight w:val="566" w:hRule="atLeast"/>
        </w:trPr>
        <w:tc>
          <w:tcPr>
            <w:tcW w:w="9547" w:type="dxa"/>
            <w:gridSpan w:val="2"/>
            <w:tcBorders>
              <w:top w:val="nil"/>
              <w:left w:val="nil"/>
              <w:bottom w:val="nil"/>
              <w:right w:val="nil"/>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sz w:val="36"/>
                <w:szCs w:val="36"/>
              </w:rPr>
            </w:pPr>
            <w:r>
              <w:rPr>
                <w:rFonts w:hint="eastAsia"/>
                <w:b/>
                <w:color w:val="000000"/>
                <w:sz w:val="36"/>
                <w:szCs w:val="36"/>
                <w:lang w:val="ru-RU"/>
              </w:rPr>
              <w:t>政府采购合同款、履约保证金支付意见表</w:t>
            </w:r>
          </w:p>
        </w:tc>
      </w:tr>
      <w:tr>
        <w:tblPrEx>
          <w:tblLayout w:type="fixed"/>
          <w:tblCellMar>
            <w:top w:w="0" w:type="dxa"/>
            <w:left w:w="0" w:type="dxa"/>
            <w:bottom w:w="0" w:type="dxa"/>
            <w:right w:w="0" w:type="dxa"/>
          </w:tblCellMar>
        </w:tblPrEx>
        <w:trPr>
          <w:trHeight w:val="516" w:hRule="atLeast"/>
        </w:trPr>
        <w:tc>
          <w:tcPr>
            <w:tcW w:w="2627"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color w:val="000000"/>
                <w:kern w:val="0"/>
                <w:sz w:val="24"/>
              </w:rPr>
              <w:t>合同编号</w:t>
            </w:r>
          </w:p>
        </w:tc>
        <w:tc>
          <w:tcPr>
            <w:tcW w:w="69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sz w:val="24"/>
              </w:rPr>
            </w:pPr>
            <w:r>
              <w:rPr>
                <w:rFonts w:ascii="宋体" w:hAnsi="宋体" w:cs="宋体"/>
                <w:kern w:val="0"/>
                <w:sz w:val="24"/>
              </w:rPr>
              <w:t>LZG16-201-001</w:t>
            </w:r>
            <w:r>
              <w:rPr>
                <w:rFonts w:hint="eastAsia" w:ascii="宋体" w:hAnsi="宋体" w:cs="宋体"/>
                <w:kern w:val="0"/>
                <w:sz w:val="24"/>
              </w:rPr>
              <w:t>　</w:t>
            </w:r>
          </w:p>
        </w:tc>
      </w:tr>
      <w:tr>
        <w:tblPrEx>
          <w:tblLayout w:type="fixed"/>
          <w:tblCellMar>
            <w:top w:w="0" w:type="dxa"/>
            <w:left w:w="0" w:type="dxa"/>
            <w:bottom w:w="0" w:type="dxa"/>
            <w:right w:w="0" w:type="dxa"/>
          </w:tblCellMar>
        </w:tblPrEx>
        <w:trPr>
          <w:trHeight w:val="581"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color w:val="000000"/>
                <w:kern w:val="0"/>
                <w:sz w:val="24"/>
              </w:rPr>
              <w:t>政府采购项目名称</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sz w:val="24"/>
              </w:rPr>
            </w:pPr>
            <w:r>
              <w:rPr>
                <w:rFonts w:hint="eastAsia" w:ascii="宋体" w:hAnsi="宋体" w:cs="宋体"/>
                <w:kern w:val="0"/>
                <w:sz w:val="24"/>
              </w:rPr>
              <w:t>新校区宿舍家具　</w:t>
            </w:r>
          </w:p>
        </w:tc>
      </w:tr>
      <w:tr>
        <w:tblPrEx>
          <w:tblLayout w:type="fixed"/>
          <w:tblCellMar>
            <w:top w:w="0" w:type="dxa"/>
            <w:left w:w="0" w:type="dxa"/>
            <w:bottom w:w="0" w:type="dxa"/>
            <w:right w:w="0" w:type="dxa"/>
          </w:tblCellMar>
        </w:tblPrEx>
        <w:trPr>
          <w:trHeight w:val="589"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color w:val="000000"/>
                <w:kern w:val="0"/>
                <w:sz w:val="24"/>
              </w:rPr>
              <w:t>供应商名称</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sz w:val="24"/>
              </w:rPr>
            </w:pPr>
            <w:r>
              <w:rPr>
                <w:rFonts w:hint="eastAsia" w:ascii="宋体" w:hAnsi="宋体" w:cs="宋体"/>
                <w:kern w:val="0"/>
                <w:sz w:val="24"/>
              </w:rPr>
              <w:t>柳州市浩诚办公家具有限公司　</w:t>
            </w:r>
          </w:p>
        </w:tc>
      </w:tr>
      <w:tr>
        <w:tblPrEx>
          <w:tblLayout w:type="fixed"/>
          <w:tblCellMar>
            <w:top w:w="0" w:type="dxa"/>
            <w:left w:w="0" w:type="dxa"/>
            <w:bottom w:w="0" w:type="dxa"/>
            <w:right w:w="0" w:type="dxa"/>
          </w:tblCellMar>
        </w:tblPrEx>
        <w:trPr>
          <w:trHeight w:val="589"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hint="eastAsia" w:ascii="宋体" w:hAnsi="宋体" w:cs="宋体"/>
                <w:color w:val="000000"/>
                <w:kern w:val="0"/>
                <w:sz w:val="24"/>
              </w:rPr>
              <w:t>合同金额</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kern w:val="0"/>
                <w:sz w:val="24"/>
              </w:rPr>
            </w:pPr>
            <w:r>
              <w:rPr>
                <w:rFonts w:ascii="宋体" w:hAnsi="宋体" w:cs="宋体"/>
                <w:kern w:val="0"/>
                <w:sz w:val="24"/>
              </w:rPr>
              <w:t>567600.00</w:t>
            </w:r>
            <w:r>
              <w:rPr>
                <w:rFonts w:hint="eastAsia" w:ascii="宋体" w:hAnsi="宋体" w:cs="宋体"/>
                <w:kern w:val="0"/>
                <w:sz w:val="24"/>
              </w:rPr>
              <w:t>元</w:t>
            </w:r>
          </w:p>
        </w:tc>
      </w:tr>
      <w:tr>
        <w:tblPrEx>
          <w:tblLayout w:type="fixed"/>
          <w:tblCellMar>
            <w:top w:w="0" w:type="dxa"/>
            <w:left w:w="0" w:type="dxa"/>
            <w:bottom w:w="0" w:type="dxa"/>
            <w:right w:w="0" w:type="dxa"/>
          </w:tblCellMar>
        </w:tblPrEx>
        <w:trPr>
          <w:trHeight w:val="765"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hint="eastAsia" w:ascii="宋体" w:hAnsi="宋体" w:cs="宋体"/>
                <w:color w:val="000000"/>
                <w:kern w:val="0"/>
                <w:sz w:val="24"/>
              </w:rPr>
              <w:t>□验收日期</w:t>
            </w:r>
          </w:p>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color w:val="000000"/>
                <w:kern w:val="0"/>
                <w:sz w:val="24"/>
              </w:rPr>
              <w:t>□到货日期</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sz w:val="24"/>
              </w:rPr>
            </w:pP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p>
        </w:tc>
      </w:tr>
      <w:tr>
        <w:tblPrEx>
          <w:tblLayout w:type="fixed"/>
          <w:tblCellMar>
            <w:top w:w="0" w:type="dxa"/>
            <w:left w:w="0" w:type="dxa"/>
            <w:bottom w:w="0" w:type="dxa"/>
            <w:right w:w="0" w:type="dxa"/>
          </w:tblCellMar>
        </w:tblPrEx>
        <w:trPr>
          <w:trHeight w:val="1338"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color w:val="000000"/>
                <w:kern w:val="0"/>
                <w:sz w:val="24"/>
              </w:rPr>
              <w:t>支付项目</w:t>
            </w:r>
          </w:p>
        </w:tc>
        <w:tc>
          <w:tcPr>
            <w:tcW w:w="6920" w:type="dxa"/>
            <w:tcBorders>
              <w:top w:val="nil"/>
              <w:left w:val="nil"/>
              <w:bottom w:val="nil"/>
              <w:right w:val="single" w:color="000000" w:sz="4" w:space="0"/>
            </w:tcBorders>
            <w:vAlign w:val="bottom"/>
          </w:tcPr>
          <w:p>
            <w:pPr>
              <w:pageBreakBefore w:val="0"/>
              <w:widowControl/>
              <w:kinsoku/>
              <w:wordWrap/>
              <w:overflowPunct/>
              <w:topLinePunct w:val="0"/>
              <w:autoSpaceDE/>
              <w:autoSpaceDN/>
              <w:bidi w:val="0"/>
              <w:jc w:val="left"/>
              <w:textAlignment w:val="bottom"/>
              <w:outlineLvl w:val="9"/>
              <w:rPr>
                <w:rFonts w:ascii="宋体" w:cs="宋体"/>
                <w:kern w:val="0"/>
                <w:sz w:val="24"/>
              </w:rPr>
            </w:pPr>
            <w:r>
              <w:rPr>
                <w:rFonts w:hint="eastAsia" w:ascii="宋体" w:hAnsi="宋体" w:cs="宋体"/>
                <w:kern w:val="0"/>
                <w:sz w:val="24"/>
              </w:rPr>
              <w:t>合同进度款</w:t>
            </w:r>
            <w:r>
              <w:rPr>
                <w:rFonts w:ascii="宋体" w:hAnsi="宋体" w:cs="宋体"/>
                <w:kern w:val="0"/>
                <w:sz w:val="24"/>
              </w:rPr>
              <w:t xml:space="preserve"> </w:t>
            </w:r>
            <w:r>
              <w:rPr>
                <w:rFonts w:hint="eastAsia" w:ascii="宋体" w:hAnsi="宋体" w:cs="宋体"/>
                <w:kern w:val="0"/>
                <w:sz w:val="24"/>
              </w:rPr>
              <w:t>：</w:t>
            </w:r>
          </w:p>
          <w:p>
            <w:pPr>
              <w:pageBreakBefore w:val="0"/>
              <w:widowControl/>
              <w:kinsoku/>
              <w:wordWrap/>
              <w:overflowPunct/>
              <w:topLinePunct w:val="0"/>
              <w:autoSpaceDE/>
              <w:autoSpaceDN/>
              <w:bidi w:val="0"/>
              <w:ind w:firstLine="1176" w:firstLineChars="490"/>
              <w:jc w:val="left"/>
              <w:textAlignment w:val="bottom"/>
              <w:outlineLvl w:val="9"/>
              <w:rPr>
                <w:rFonts w:ascii="宋体" w:cs="宋体"/>
                <w:kern w:val="0"/>
                <w:sz w:val="24"/>
              </w:rPr>
            </w:pPr>
            <w:r>
              <w:rPr>
                <w:rFonts w:hint="eastAsia" w:ascii="宋体" w:hAnsi="宋体" w:cs="宋体"/>
                <w:kern w:val="0"/>
                <w:sz w:val="24"/>
              </w:rPr>
              <w:t>□第</w:t>
            </w:r>
            <w:r>
              <w:rPr>
                <w:rFonts w:ascii="宋体" w:hAnsi="宋体" w:cs="宋体"/>
                <w:kern w:val="0"/>
                <w:sz w:val="24"/>
              </w:rPr>
              <w:t>1</w:t>
            </w:r>
            <w:r>
              <w:rPr>
                <w:rFonts w:hint="eastAsia" w:ascii="宋体" w:hAnsi="宋体" w:cs="宋体"/>
                <w:kern w:val="0"/>
                <w:sz w:val="24"/>
              </w:rPr>
              <w:t>次</w:t>
            </w:r>
            <w:r>
              <w:rPr>
                <w:rFonts w:ascii="宋体" w:hAnsi="宋体" w:cs="宋体"/>
                <w:kern w:val="0"/>
                <w:sz w:val="24"/>
                <w:u w:val="single"/>
              </w:rPr>
              <w:t xml:space="preserve">  30% </w:t>
            </w:r>
            <w:r>
              <w:rPr>
                <w:rFonts w:ascii="宋体" w:cs="宋体"/>
                <w:kern w:val="0"/>
                <w:sz w:val="24"/>
              </w:rPr>
              <w:t>,</w:t>
            </w:r>
            <w:r>
              <w:rPr>
                <w:rFonts w:hint="eastAsia" w:ascii="宋体" w:hAnsi="宋体" w:cs="宋体"/>
                <w:kern w:val="0"/>
                <w:sz w:val="24"/>
              </w:rPr>
              <w:t>金额</w:t>
            </w:r>
            <w:r>
              <w:rPr>
                <w:rFonts w:ascii="宋体" w:hAnsi="宋体" w:cs="宋体"/>
                <w:kern w:val="0"/>
                <w:sz w:val="24"/>
                <w:u w:val="single"/>
              </w:rPr>
              <w:t>170280.00</w:t>
            </w:r>
            <w:r>
              <w:rPr>
                <w:rFonts w:hint="eastAsia" w:ascii="宋体" w:hAnsi="宋体" w:cs="宋体"/>
                <w:kern w:val="0"/>
                <w:sz w:val="24"/>
                <w:u w:val="single"/>
              </w:rPr>
              <w:t>元</w:t>
            </w:r>
            <w:r>
              <w:rPr>
                <w:rFonts w:ascii="宋体" w:hAnsi="宋体" w:cs="宋体"/>
                <w:kern w:val="0"/>
                <w:sz w:val="24"/>
                <w:u w:val="single"/>
              </w:rPr>
              <w:t xml:space="preserve">    </w:t>
            </w:r>
            <w:r>
              <w:rPr>
                <w:rFonts w:hint="eastAsia" w:ascii="宋体" w:hAnsi="宋体" w:cs="宋体"/>
                <w:kern w:val="0"/>
                <w:sz w:val="24"/>
              </w:rPr>
              <w:t>；</w:t>
            </w:r>
          </w:p>
          <w:p>
            <w:pPr>
              <w:pageBreakBefore w:val="0"/>
              <w:widowControl/>
              <w:kinsoku/>
              <w:wordWrap/>
              <w:overflowPunct/>
              <w:topLinePunct w:val="0"/>
              <w:autoSpaceDE/>
              <w:autoSpaceDN/>
              <w:bidi w:val="0"/>
              <w:ind w:firstLine="1176" w:firstLineChars="490"/>
              <w:jc w:val="left"/>
              <w:textAlignment w:val="bottom"/>
              <w:outlineLvl w:val="9"/>
              <w:rPr>
                <w:rFonts w:ascii="宋体" w:cs="宋体"/>
                <w:kern w:val="0"/>
                <w:sz w:val="24"/>
              </w:rPr>
            </w:pPr>
            <w:r>
              <w:rPr>
                <w:rFonts w:hint="eastAsia" w:ascii="宋体" w:hAnsi="宋体" w:cs="宋体"/>
                <w:kern w:val="0"/>
                <w:sz w:val="24"/>
              </w:rPr>
              <w:t>□第</w:t>
            </w:r>
            <w:r>
              <w:rPr>
                <w:rFonts w:ascii="宋体" w:hAnsi="宋体" w:cs="宋体"/>
                <w:kern w:val="0"/>
                <w:sz w:val="24"/>
              </w:rPr>
              <w:t>2</w:t>
            </w:r>
            <w:r>
              <w:rPr>
                <w:rFonts w:hint="eastAsia" w:ascii="宋体" w:hAnsi="宋体" w:cs="宋体"/>
                <w:kern w:val="0"/>
                <w:sz w:val="24"/>
              </w:rPr>
              <w:t>次</w:t>
            </w:r>
            <w:r>
              <w:rPr>
                <w:rFonts w:ascii="宋体" w:hAnsi="宋体" w:cs="宋体"/>
                <w:kern w:val="0"/>
                <w:sz w:val="24"/>
                <w:u w:val="single"/>
              </w:rPr>
              <w:t xml:space="preserve">     %</w:t>
            </w:r>
            <w:r>
              <w:rPr>
                <w:rFonts w:ascii="宋体" w:cs="宋体"/>
                <w:kern w:val="0"/>
                <w:sz w:val="24"/>
              </w:rPr>
              <w:t>,</w:t>
            </w:r>
            <w:r>
              <w:rPr>
                <w:rFonts w:hint="eastAsia" w:ascii="宋体" w:hAnsi="宋体" w:cs="宋体"/>
                <w:kern w:val="0"/>
                <w:sz w:val="24"/>
              </w:rPr>
              <w:t>金额</w:t>
            </w:r>
            <w:r>
              <w:rPr>
                <w:rFonts w:ascii="宋体" w:hAnsi="宋体" w:cs="宋体"/>
                <w:kern w:val="0"/>
                <w:sz w:val="24"/>
                <w:u w:val="single"/>
              </w:rPr>
              <w:t xml:space="preserve">                </w:t>
            </w:r>
            <w:r>
              <w:rPr>
                <w:rFonts w:hint="eastAsia" w:ascii="宋体" w:hAnsi="宋体" w:cs="宋体"/>
                <w:kern w:val="0"/>
                <w:sz w:val="24"/>
              </w:rPr>
              <w:t>；</w:t>
            </w:r>
          </w:p>
          <w:p>
            <w:pPr>
              <w:pageBreakBefore w:val="0"/>
              <w:widowControl/>
              <w:kinsoku/>
              <w:wordWrap/>
              <w:overflowPunct/>
              <w:topLinePunct w:val="0"/>
              <w:autoSpaceDE/>
              <w:autoSpaceDN/>
              <w:bidi w:val="0"/>
              <w:jc w:val="left"/>
              <w:textAlignment w:val="bottom"/>
              <w:outlineLvl w:val="9"/>
              <w:rPr>
                <w:rFonts w:ascii="宋体" w:cs="宋体"/>
                <w:kern w:val="0"/>
                <w:sz w:val="24"/>
              </w:rPr>
            </w:pPr>
          </w:p>
          <w:p>
            <w:pPr>
              <w:pageBreakBefore w:val="0"/>
              <w:widowControl/>
              <w:kinsoku/>
              <w:wordWrap/>
              <w:overflowPunct/>
              <w:topLinePunct w:val="0"/>
              <w:autoSpaceDE/>
              <w:autoSpaceDN/>
              <w:bidi w:val="0"/>
              <w:jc w:val="left"/>
              <w:textAlignment w:val="bottom"/>
              <w:outlineLvl w:val="9"/>
              <w:rPr>
                <w:rFonts w:ascii="宋体" w:cs="宋体"/>
                <w:kern w:val="0"/>
                <w:sz w:val="24"/>
              </w:rPr>
            </w:pPr>
            <w:r>
              <w:rPr>
                <w:rFonts w:hint="eastAsia" w:ascii="宋体" w:hAnsi="宋体" w:cs="宋体"/>
                <w:kern w:val="0"/>
                <w:sz w:val="24"/>
              </w:rPr>
              <w:t>合同尾款：□比例</w:t>
            </w:r>
            <w:r>
              <w:rPr>
                <w:rFonts w:ascii="宋体" w:hAnsi="宋体" w:cs="宋体"/>
                <w:kern w:val="0"/>
                <w:sz w:val="24"/>
                <w:u w:val="single"/>
              </w:rPr>
              <w:t xml:space="preserve">     70%</w:t>
            </w:r>
            <w:r>
              <w:rPr>
                <w:rFonts w:ascii="宋体" w:cs="宋体"/>
                <w:kern w:val="0"/>
                <w:sz w:val="24"/>
              </w:rPr>
              <w:t>,</w:t>
            </w:r>
            <w:r>
              <w:rPr>
                <w:rFonts w:hint="eastAsia" w:ascii="宋体" w:hAnsi="宋体" w:cs="宋体"/>
                <w:kern w:val="0"/>
                <w:sz w:val="24"/>
              </w:rPr>
              <w:t>金额</w:t>
            </w:r>
            <w:r>
              <w:rPr>
                <w:rFonts w:ascii="宋体" w:hAnsi="宋体" w:cs="宋体"/>
                <w:kern w:val="0"/>
                <w:sz w:val="24"/>
                <w:u w:val="single"/>
              </w:rPr>
              <w:t>397320.00</w:t>
            </w:r>
            <w:r>
              <w:rPr>
                <w:rFonts w:hint="eastAsia" w:ascii="宋体" w:hAnsi="宋体" w:cs="宋体"/>
                <w:kern w:val="0"/>
                <w:sz w:val="24"/>
                <w:u w:val="single"/>
              </w:rPr>
              <w:t>元</w:t>
            </w:r>
            <w:r>
              <w:rPr>
                <w:rFonts w:ascii="宋体" w:hAnsi="宋体" w:cs="宋体"/>
                <w:kern w:val="0"/>
                <w:sz w:val="24"/>
                <w:u w:val="single"/>
              </w:rPr>
              <w:t xml:space="preserve">    </w:t>
            </w:r>
            <w:r>
              <w:rPr>
                <w:rFonts w:hint="eastAsia" w:ascii="宋体" w:hAnsi="宋体" w:cs="宋体"/>
                <w:kern w:val="0"/>
                <w:sz w:val="24"/>
                <w:u w:val="single"/>
              </w:rPr>
              <w:t>。</w:t>
            </w:r>
          </w:p>
          <w:p>
            <w:pPr>
              <w:pageBreakBefore w:val="0"/>
              <w:widowControl/>
              <w:kinsoku/>
              <w:wordWrap/>
              <w:overflowPunct/>
              <w:topLinePunct w:val="0"/>
              <w:autoSpaceDE/>
              <w:autoSpaceDN/>
              <w:bidi w:val="0"/>
              <w:jc w:val="left"/>
              <w:textAlignment w:val="bottom"/>
              <w:outlineLvl w:val="9"/>
              <w:rPr>
                <w:rFonts w:ascii="宋体" w:cs="宋体"/>
                <w:kern w:val="0"/>
                <w:sz w:val="24"/>
              </w:rPr>
            </w:pPr>
          </w:p>
          <w:p>
            <w:pPr>
              <w:pageBreakBefore w:val="0"/>
              <w:widowControl/>
              <w:kinsoku/>
              <w:wordWrap/>
              <w:overflowPunct/>
              <w:topLinePunct w:val="0"/>
              <w:autoSpaceDE/>
              <w:autoSpaceDN/>
              <w:bidi w:val="0"/>
              <w:jc w:val="left"/>
              <w:textAlignment w:val="bottom"/>
              <w:outlineLvl w:val="9"/>
              <w:rPr>
                <w:rFonts w:ascii="宋体" w:cs="宋体"/>
                <w:kern w:val="0"/>
                <w:sz w:val="24"/>
              </w:rPr>
            </w:pPr>
            <w:r>
              <w:rPr>
                <w:rFonts w:hint="eastAsia" w:ascii="宋体" w:hAnsi="宋体" w:cs="宋体"/>
                <w:kern w:val="0"/>
                <w:sz w:val="24"/>
              </w:rPr>
              <w:t>合同履约保证金：□</w:t>
            </w:r>
          </w:p>
          <w:p>
            <w:pPr>
              <w:pageBreakBefore w:val="0"/>
              <w:widowControl/>
              <w:kinsoku/>
              <w:wordWrap/>
              <w:overflowPunct/>
              <w:topLinePunct w:val="0"/>
              <w:autoSpaceDE/>
              <w:autoSpaceDN/>
              <w:bidi w:val="0"/>
              <w:jc w:val="left"/>
              <w:textAlignment w:val="bottom"/>
              <w:outlineLvl w:val="9"/>
              <w:rPr>
                <w:rFonts w:ascii="宋体" w:cs="宋体"/>
                <w:kern w:val="0"/>
                <w:sz w:val="24"/>
              </w:rPr>
            </w:pPr>
          </w:p>
        </w:tc>
      </w:tr>
      <w:tr>
        <w:tblPrEx>
          <w:tblLayout w:type="fixed"/>
          <w:tblCellMar>
            <w:top w:w="0" w:type="dxa"/>
            <w:left w:w="0" w:type="dxa"/>
            <w:bottom w:w="0" w:type="dxa"/>
            <w:right w:w="0" w:type="dxa"/>
          </w:tblCellMar>
        </w:tblPrEx>
        <w:trPr>
          <w:trHeight w:val="866"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color w:val="000000"/>
                <w:kern w:val="0"/>
                <w:sz w:val="24"/>
              </w:rPr>
              <w:t>支付依据</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jc w:val="left"/>
              <w:textAlignment w:val="center"/>
              <w:outlineLvl w:val="9"/>
              <w:rPr>
                <w:rFonts w:ascii="宋体" w:cs="宋体"/>
                <w:color w:val="000000"/>
                <w:kern w:val="0"/>
                <w:sz w:val="24"/>
              </w:rPr>
            </w:pPr>
            <w:r>
              <w:rPr>
                <w:rFonts w:hint="eastAsia" w:ascii="宋体" w:hAnsi="宋体" w:cs="宋体"/>
                <w:color w:val="000000"/>
                <w:kern w:val="0"/>
                <w:sz w:val="24"/>
              </w:rPr>
              <w:t>□合同条款：第二条　付款方式</w:t>
            </w:r>
            <w:r>
              <w:rPr>
                <w:rFonts w:ascii="宋体" w:hAnsi="宋体" w:cs="宋体"/>
                <w:color w:val="000000"/>
                <w:kern w:val="0"/>
                <w:sz w:val="24"/>
              </w:rPr>
              <w:t xml:space="preserve">  </w:t>
            </w:r>
            <w:r>
              <w:rPr>
                <w:rFonts w:hint="eastAsia" w:ascii="宋体" w:hAnsi="宋体" w:cs="宋体"/>
                <w:color w:val="000000"/>
                <w:kern w:val="0"/>
                <w:sz w:val="24"/>
              </w:rPr>
              <w:t>之约定</w:t>
            </w:r>
          </w:p>
          <w:p>
            <w:pPr>
              <w:pageBreakBefore w:val="0"/>
              <w:widowControl/>
              <w:kinsoku/>
              <w:wordWrap/>
              <w:overflowPunct/>
              <w:topLinePunct w:val="0"/>
              <w:autoSpaceDE/>
              <w:autoSpaceDN/>
              <w:bidi w:val="0"/>
              <w:jc w:val="left"/>
              <w:textAlignment w:val="center"/>
              <w:outlineLvl w:val="9"/>
              <w:rPr>
                <w:rFonts w:ascii="宋体" w:cs="宋体"/>
                <w:color w:val="000000"/>
                <w:kern w:val="0"/>
                <w:sz w:val="24"/>
              </w:rPr>
            </w:pPr>
          </w:p>
          <w:p>
            <w:pPr>
              <w:pageBreakBefore w:val="0"/>
              <w:widowControl/>
              <w:kinsoku/>
              <w:wordWrap/>
              <w:overflowPunct/>
              <w:topLinePunct w:val="0"/>
              <w:autoSpaceDE/>
              <w:autoSpaceDN/>
              <w:bidi w:val="0"/>
              <w:jc w:val="left"/>
              <w:textAlignment w:val="center"/>
              <w:outlineLvl w:val="9"/>
              <w:rPr>
                <w:rFonts w:ascii="宋体" w:cs="宋体"/>
                <w:color w:val="000000"/>
                <w:sz w:val="24"/>
              </w:rPr>
            </w:pPr>
            <w:r>
              <w:rPr>
                <w:rFonts w:hint="eastAsia" w:ascii="宋体" w:hAnsi="宋体" w:cs="宋体"/>
                <w:color w:val="000000"/>
                <w:kern w:val="0"/>
                <w:sz w:val="24"/>
              </w:rPr>
              <w:t>□合同条款：第九条</w:t>
            </w:r>
            <w:r>
              <w:rPr>
                <w:rFonts w:ascii="宋体" w:hAnsi="宋体" w:cs="宋体"/>
                <w:color w:val="000000"/>
                <w:kern w:val="0"/>
                <w:sz w:val="24"/>
              </w:rPr>
              <w:t xml:space="preserve">  </w:t>
            </w:r>
            <w:r>
              <w:rPr>
                <w:rFonts w:hint="eastAsia" w:ascii="宋体" w:hAnsi="宋体" w:cs="宋体"/>
                <w:color w:val="000000"/>
                <w:kern w:val="0"/>
                <w:sz w:val="24"/>
              </w:rPr>
              <w:t>履约保证金</w:t>
            </w:r>
            <w:r>
              <w:rPr>
                <w:rFonts w:ascii="宋体" w:hAnsi="宋体" w:cs="宋体"/>
                <w:color w:val="000000"/>
                <w:kern w:val="0"/>
                <w:sz w:val="24"/>
              </w:rPr>
              <w:t xml:space="preserve"> </w:t>
            </w:r>
            <w:r>
              <w:rPr>
                <w:rFonts w:hint="eastAsia" w:ascii="宋体" w:hAnsi="宋体" w:cs="宋体"/>
                <w:color w:val="000000"/>
                <w:kern w:val="0"/>
                <w:sz w:val="24"/>
              </w:rPr>
              <w:t>之约定（期满</w:t>
            </w:r>
            <w:r>
              <w:rPr>
                <w:rFonts w:ascii="宋体" w:hAnsi="宋体" w:cs="宋体"/>
                <w:color w:val="000000"/>
                <w:kern w:val="0"/>
                <w:sz w:val="24"/>
                <w:u w:val="single"/>
              </w:rPr>
              <w:t xml:space="preserve">     </w:t>
            </w:r>
            <w:r>
              <w:rPr>
                <w:rFonts w:hint="eastAsia" w:ascii="宋体" w:hAnsi="宋体" w:cs="宋体"/>
                <w:color w:val="000000"/>
                <w:kern w:val="0"/>
                <w:sz w:val="24"/>
                <w:u w:val="single"/>
              </w:rPr>
              <w:t>年</w:t>
            </w:r>
            <w:r>
              <w:rPr>
                <w:rFonts w:hint="eastAsia" w:ascii="宋体" w:hAnsi="宋体" w:cs="宋体"/>
                <w:color w:val="000000"/>
                <w:kern w:val="0"/>
                <w:sz w:val="24"/>
              </w:rPr>
              <w:t>）　</w:t>
            </w:r>
          </w:p>
        </w:tc>
      </w:tr>
      <w:tr>
        <w:tblPrEx>
          <w:tblLayout w:type="fixed"/>
          <w:tblCellMar>
            <w:top w:w="0" w:type="dxa"/>
            <w:left w:w="0" w:type="dxa"/>
            <w:bottom w:w="0" w:type="dxa"/>
            <w:right w:w="0" w:type="dxa"/>
          </w:tblCellMar>
        </w:tblPrEx>
        <w:trPr>
          <w:trHeight w:val="626"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color w:val="000000"/>
                <w:kern w:val="0"/>
                <w:sz w:val="24"/>
              </w:rPr>
              <w:t>支付金额</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ascii="宋体" w:hAnsi="宋体" w:cs="宋体"/>
                <w:color w:val="000000"/>
                <w:kern w:val="0"/>
                <w:sz w:val="24"/>
              </w:rPr>
              <w:t>397320.00</w:t>
            </w:r>
            <w:r>
              <w:rPr>
                <w:rFonts w:hint="eastAsia" w:ascii="宋体" w:hAnsi="宋体" w:cs="宋体"/>
                <w:color w:val="000000"/>
                <w:kern w:val="0"/>
                <w:sz w:val="24"/>
              </w:rPr>
              <w:t>元　</w:t>
            </w:r>
          </w:p>
        </w:tc>
      </w:tr>
      <w:tr>
        <w:tblPrEx>
          <w:tblLayout w:type="fixed"/>
          <w:tblCellMar>
            <w:top w:w="0" w:type="dxa"/>
            <w:left w:w="0" w:type="dxa"/>
            <w:bottom w:w="0" w:type="dxa"/>
            <w:right w:w="0" w:type="dxa"/>
          </w:tblCellMar>
        </w:tblPrEx>
        <w:trPr>
          <w:trHeight w:val="1883"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color w:val="000000"/>
                <w:kern w:val="0"/>
                <w:sz w:val="24"/>
              </w:rPr>
              <w:t>使用部门意见</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textAlignment w:val="center"/>
              <w:outlineLvl w:val="9"/>
              <w:rPr>
                <w:rFonts w:ascii="宋体" w:cs="宋体"/>
                <w:color w:val="000000"/>
                <w:kern w:val="0"/>
                <w:sz w:val="24"/>
              </w:rPr>
            </w:pPr>
            <w:r>
              <w:rPr>
                <w:rFonts w:hint="eastAsia" w:ascii="宋体" w:hAnsi="宋体" w:cs="宋体"/>
                <w:color w:val="000000"/>
                <w:kern w:val="0"/>
                <w:sz w:val="24"/>
              </w:rPr>
              <w:t>□符合合同约定，同意支付合同进度款</w:t>
            </w: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p>
          <w:p>
            <w:pPr>
              <w:pageBreakBefore w:val="0"/>
              <w:widowControl/>
              <w:kinsoku/>
              <w:wordWrap/>
              <w:overflowPunct/>
              <w:topLinePunct w:val="0"/>
              <w:autoSpaceDE/>
              <w:autoSpaceDN/>
              <w:bidi w:val="0"/>
              <w:textAlignment w:val="center"/>
              <w:outlineLvl w:val="9"/>
              <w:rPr>
                <w:rFonts w:ascii="宋体" w:cs="宋体"/>
                <w:color w:val="000000"/>
                <w:kern w:val="0"/>
                <w:sz w:val="24"/>
              </w:rPr>
            </w:pPr>
            <w:r>
              <w:rPr>
                <w:rFonts w:hint="eastAsia" w:ascii="宋体" w:hAnsi="宋体" w:cs="宋体"/>
                <w:color w:val="000000"/>
                <w:kern w:val="0"/>
                <w:sz w:val="24"/>
              </w:rPr>
              <w:t>□符合合同约定，同意支付合同尾款</w:t>
            </w:r>
            <w:r>
              <w:rPr>
                <w:rFonts w:ascii="宋体" w:hAnsi="宋体" w:cs="宋体"/>
                <w:color w:val="000000"/>
                <w:kern w:val="0"/>
                <w:sz w:val="24"/>
              </w:rPr>
              <w:t xml:space="preserve"> </w:t>
            </w: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p>
          <w:p>
            <w:pPr>
              <w:pageBreakBefore w:val="0"/>
              <w:widowControl/>
              <w:kinsoku/>
              <w:wordWrap/>
              <w:overflowPunct/>
              <w:topLinePunct w:val="0"/>
              <w:autoSpaceDE/>
              <w:autoSpaceDN/>
              <w:bidi w:val="0"/>
              <w:textAlignment w:val="center"/>
              <w:outlineLvl w:val="9"/>
              <w:rPr>
                <w:rFonts w:ascii="宋体" w:cs="宋体"/>
                <w:color w:val="000000"/>
                <w:kern w:val="0"/>
                <w:sz w:val="24"/>
              </w:rPr>
            </w:pPr>
            <w:r>
              <w:rPr>
                <w:rFonts w:hint="eastAsia" w:ascii="宋体" w:hAnsi="宋体" w:cs="宋体"/>
                <w:color w:val="000000"/>
                <w:kern w:val="0"/>
                <w:sz w:val="24"/>
              </w:rPr>
              <w:t>□符合合同约定，同意退还合同履约保证金　</w:t>
            </w:r>
          </w:p>
        </w:tc>
      </w:tr>
      <w:tr>
        <w:tblPrEx>
          <w:tblLayout w:type="fixed"/>
          <w:tblCellMar>
            <w:top w:w="0" w:type="dxa"/>
            <w:left w:w="0" w:type="dxa"/>
            <w:bottom w:w="0" w:type="dxa"/>
            <w:right w:w="0" w:type="dxa"/>
          </w:tblCellMar>
        </w:tblPrEx>
        <w:trPr>
          <w:trHeight w:val="544"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hint="eastAsia" w:ascii="宋体" w:hAnsi="宋体" w:cs="宋体"/>
                <w:color w:val="000000"/>
                <w:kern w:val="0"/>
                <w:sz w:val="24"/>
              </w:rPr>
              <w:t>使用部门资产管理员</w:t>
            </w:r>
          </w:p>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color w:val="000000"/>
                <w:kern w:val="0"/>
                <w:sz w:val="24"/>
              </w:rPr>
              <w:t>（签名）</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hint="eastAsia" w:ascii="宋体" w:hAnsi="宋体" w:cs="宋体"/>
                <w:color w:val="000000"/>
                <w:kern w:val="0"/>
                <w:sz w:val="24"/>
              </w:rPr>
              <w:t>　</w:t>
            </w: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ascii="宋体" w:hAnsi="宋体" w:cs="宋体"/>
                <w:color w:val="000000"/>
                <w:kern w:val="0"/>
                <w:sz w:val="24"/>
              </w:rPr>
              <w:t xml:space="preserve">                         </w:t>
            </w:r>
            <w:r>
              <w:rPr>
                <w:rFonts w:hint="eastAsia" w:ascii="宋体" w:hAnsi="宋体" w:cs="宋体"/>
                <w:color w:val="000000"/>
                <w:kern w:val="0"/>
                <w:sz w:val="24"/>
              </w:rPr>
              <w:t>年</w:t>
            </w:r>
            <w:r>
              <w:rPr>
                <w:rFonts w:ascii="宋体" w:hAnsi="宋体" w:cs="宋体"/>
                <w:color w:val="000000"/>
                <w:kern w:val="0"/>
                <w:sz w:val="24"/>
              </w:rPr>
              <w:t xml:space="preserve">   </w:t>
            </w:r>
            <w:r>
              <w:rPr>
                <w:rFonts w:hint="eastAsia" w:ascii="宋体" w:hAnsi="宋体" w:cs="宋体"/>
                <w:color w:val="000000"/>
                <w:kern w:val="0"/>
                <w:sz w:val="24"/>
              </w:rPr>
              <w:t>月</w:t>
            </w:r>
            <w:r>
              <w:rPr>
                <w:rFonts w:ascii="宋体" w:hAnsi="宋体" w:cs="宋体"/>
                <w:color w:val="000000"/>
                <w:kern w:val="0"/>
                <w:sz w:val="24"/>
              </w:rPr>
              <w:t xml:space="preserve">   </w:t>
            </w:r>
            <w:r>
              <w:rPr>
                <w:rFonts w:hint="eastAsia" w:ascii="宋体" w:hAnsi="宋体" w:cs="宋体"/>
                <w:color w:val="000000"/>
                <w:kern w:val="0"/>
                <w:sz w:val="24"/>
              </w:rPr>
              <w:t>日</w:t>
            </w:r>
          </w:p>
        </w:tc>
      </w:tr>
      <w:tr>
        <w:tblPrEx>
          <w:tblLayout w:type="fixed"/>
          <w:tblCellMar>
            <w:top w:w="0" w:type="dxa"/>
            <w:left w:w="0" w:type="dxa"/>
            <w:bottom w:w="0" w:type="dxa"/>
            <w:right w:w="0" w:type="dxa"/>
          </w:tblCellMar>
        </w:tblPrEx>
        <w:trPr>
          <w:trHeight w:val="1128"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hint="eastAsia" w:ascii="宋体" w:hAnsi="宋体" w:cs="宋体"/>
                <w:color w:val="000000"/>
                <w:kern w:val="0"/>
                <w:sz w:val="24"/>
              </w:rPr>
              <w:t>使用部门负责人</w:t>
            </w: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hint="eastAsia" w:ascii="宋体" w:hAnsi="宋体" w:cs="宋体"/>
                <w:color w:val="000000"/>
                <w:kern w:val="0"/>
                <w:sz w:val="24"/>
              </w:rPr>
              <w:t>（签名及公章）</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ascii="宋体" w:hAnsi="宋体" w:cs="宋体"/>
                <w:color w:val="000000"/>
                <w:kern w:val="0"/>
                <w:sz w:val="24"/>
              </w:rPr>
              <w:t xml:space="preserve">                         </w:t>
            </w:r>
            <w:r>
              <w:rPr>
                <w:rFonts w:hint="eastAsia" w:ascii="宋体" w:hAnsi="宋体" w:cs="宋体"/>
                <w:color w:val="000000"/>
                <w:kern w:val="0"/>
                <w:sz w:val="24"/>
              </w:rPr>
              <w:t>年</w:t>
            </w:r>
            <w:r>
              <w:rPr>
                <w:rFonts w:ascii="宋体" w:hAnsi="宋体" w:cs="宋体"/>
                <w:color w:val="000000"/>
                <w:kern w:val="0"/>
                <w:sz w:val="24"/>
              </w:rPr>
              <w:t xml:space="preserve">   </w:t>
            </w:r>
            <w:r>
              <w:rPr>
                <w:rFonts w:hint="eastAsia" w:ascii="宋体" w:hAnsi="宋体" w:cs="宋体"/>
                <w:color w:val="000000"/>
                <w:kern w:val="0"/>
                <w:sz w:val="24"/>
              </w:rPr>
              <w:t>月</w:t>
            </w:r>
            <w:r>
              <w:rPr>
                <w:rFonts w:ascii="宋体" w:hAnsi="宋体" w:cs="宋体"/>
                <w:color w:val="000000"/>
                <w:kern w:val="0"/>
                <w:sz w:val="24"/>
              </w:rPr>
              <w:t xml:space="preserve">   </w:t>
            </w:r>
            <w:r>
              <w:rPr>
                <w:rFonts w:hint="eastAsia" w:ascii="宋体" w:hAnsi="宋体" w:cs="宋体"/>
                <w:color w:val="000000"/>
                <w:kern w:val="0"/>
                <w:sz w:val="24"/>
              </w:rPr>
              <w:t>日</w:t>
            </w:r>
          </w:p>
        </w:tc>
      </w:tr>
      <w:tr>
        <w:tblPrEx>
          <w:tblLayout w:type="fixed"/>
          <w:tblCellMar>
            <w:top w:w="0" w:type="dxa"/>
            <w:left w:w="0" w:type="dxa"/>
            <w:bottom w:w="0" w:type="dxa"/>
            <w:right w:w="0" w:type="dxa"/>
          </w:tblCellMar>
        </w:tblPrEx>
        <w:trPr>
          <w:trHeight w:val="960" w:hRule="atLeast"/>
        </w:trPr>
        <w:tc>
          <w:tcPr>
            <w:tcW w:w="262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kern w:val="0"/>
                <w:sz w:val="24"/>
              </w:rPr>
            </w:pPr>
            <w:r>
              <w:rPr>
                <w:rFonts w:hint="eastAsia" w:ascii="宋体" w:hAnsi="宋体" w:cs="宋体"/>
                <w:kern w:val="0"/>
                <w:sz w:val="24"/>
              </w:rPr>
              <w:t>资产管理处</w:t>
            </w:r>
          </w:p>
          <w:p>
            <w:pPr>
              <w:pageBreakBefore w:val="0"/>
              <w:widowControl/>
              <w:kinsoku/>
              <w:wordWrap/>
              <w:overflowPunct/>
              <w:topLinePunct w:val="0"/>
              <w:autoSpaceDE/>
              <w:autoSpaceDN/>
              <w:bidi w:val="0"/>
              <w:jc w:val="center"/>
              <w:textAlignment w:val="center"/>
              <w:outlineLvl w:val="9"/>
              <w:rPr>
                <w:rFonts w:ascii="宋体" w:cs="宋体"/>
                <w:color w:val="000000"/>
                <w:sz w:val="24"/>
              </w:rPr>
            </w:pPr>
            <w:r>
              <w:rPr>
                <w:rFonts w:hint="eastAsia" w:ascii="宋体" w:hAnsi="宋体" w:cs="宋体"/>
                <w:kern w:val="0"/>
                <w:sz w:val="24"/>
              </w:rPr>
              <w:t>（备案签名）</w:t>
            </w:r>
          </w:p>
        </w:tc>
        <w:tc>
          <w:tcPr>
            <w:tcW w:w="6920" w:type="dxa"/>
            <w:tcBorders>
              <w:top w:val="single" w:color="auto" w:sz="4" w:space="0"/>
              <w:left w:val="nil"/>
              <w:bottom w:val="single" w:color="auto" w:sz="4" w:space="0"/>
              <w:right w:val="single" w:color="000000" w:sz="4" w:space="0"/>
            </w:tcBorders>
            <w:vAlign w:val="center"/>
          </w:tcPr>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hint="eastAsia" w:ascii="宋体" w:hAnsi="宋体" w:cs="宋体"/>
                <w:color w:val="000000"/>
                <w:kern w:val="0"/>
                <w:sz w:val="24"/>
              </w:rPr>
              <w:t>　</w:t>
            </w: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p>
          <w:p>
            <w:pPr>
              <w:pageBreakBefore w:val="0"/>
              <w:widowControl/>
              <w:kinsoku/>
              <w:wordWrap/>
              <w:overflowPunct/>
              <w:topLinePunct w:val="0"/>
              <w:autoSpaceDE/>
              <w:autoSpaceDN/>
              <w:bidi w:val="0"/>
              <w:jc w:val="center"/>
              <w:textAlignment w:val="center"/>
              <w:outlineLvl w:val="9"/>
              <w:rPr>
                <w:rFonts w:ascii="宋体" w:cs="宋体"/>
                <w:color w:val="000000"/>
                <w:kern w:val="0"/>
                <w:sz w:val="24"/>
              </w:rPr>
            </w:pPr>
            <w:r>
              <w:rPr>
                <w:rFonts w:ascii="宋体" w:hAnsi="宋体" w:cs="宋体"/>
                <w:color w:val="000000"/>
                <w:kern w:val="0"/>
                <w:sz w:val="24"/>
              </w:rPr>
              <w:t xml:space="preserve">                         </w:t>
            </w:r>
            <w:r>
              <w:rPr>
                <w:rFonts w:hint="eastAsia" w:ascii="宋体" w:hAnsi="宋体" w:cs="宋体"/>
                <w:color w:val="000000"/>
                <w:kern w:val="0"/>
                <w:sz w:val="24"/>
              </w:rPr>
              <w:t>年</w:t>
            </w:r>
            <w:r>
              <w:rPr>
                <w:rFonts w:ascii="宋体" w:hAnsi="宋体" w:cs="宋体"/>
                <w:color w:val="000000"/>
                <w:kern w:val="0"/>
                <w:sz w:val="24"/>
              </w:rPr>
              <w:t xml:space="preserve">   </w:t>
            </w:r>
            <w:r>
              <w:rPr>
                <w:rFonts w:hint="eastAsia" w:ascii="宋体" w:hAnsi="宋体" w:cs="宋体"/>
                <w:color w:val="000000"/>
                <w:kern w:val="0"/>
                <w:sz w:val="24"/>
              </w:rPr>
              <w:t>月</w:t>
            </w:r>
            <w:r>
              <w:rPr>
                <w:rFonts w:ascii="宋体" w:hAnsi="宋体" w:cs="宋体"/>
                <w:color w:val="000000"/>
                <w:kern w:val="0"/>
                <w:sz w:val="24"/>
              </w:rPr>
              <w:t xml:space="preserve">   </w:t>
            </w:r>
            <w:r>
              <w:rPr>
                <w:rFonts w:hint="eastAsia" w:ascii="宋体" w:hAnsi="宋体" w:cs="宋体"/>
                <w:color w:val="000000"/>
                <w:kern w:val="0"/>
                <w:sz w:val="24"/>
              </w:rPr>
              <w:t>日</w:t>
            </w:r>
          </w:p>
        </w:tc>
      </w:tr>
    </w:tbl>
    <w:p>
      <w:pPr>
        <w:pageBreakBefore w:val="0"/>
        <w:kinsoku/>
        <w:wordWrap/>
        <w:overflowPunct/>
        <w:topLinePunct w:val="0"/>
        <w:autoSpaceDE/>
        <w:autoSpaceDN/>
        <w:bidi w:val="0"/>
        <w:outlineLvl w:val="9"/>
      </w:pPr>
    </w:p>
    <w:p>
      <w:pPr>
        <w:keepNext w:val="0"/>
        <w:keepLines w:val="0"/>
        <w:pageBreakBefore w:val="0"/>
        <w:widowControl w:val="0"/>
        <w:kinsoku/>
        <w:wordWrap/>
        <w:overflowPunct/>
        <w:topLinePunct w:val="0"/>
        <w:autoSpaceDE/>
        <w:autoSpaceDN/>
        <w:bidi w:val="0"/>
        <w:adjustRightInd/>
        <w:snapToGrid/>
        <w:spacing w:line="580" w:lineRule="exact"/>
        <w:ind w:firstLine="361" w:firstLineChars="100"/>
        <w:jc w:val="both"/>
        <w:textAlignment w:val="auto"/>
        <w:outlineLvl w:val="9"/>
        <w:rPr>
          <w:rFonts w:hint="eastAsia"/>
          <w:b/>
          <w:color w:val="000000"/>
          <w:sz w:val="36"/>
          <w:szCs w:val="36"/>
        </w:rPr>
      </w:pPr>
      <w:bookmarkStart w:id="1686" w:name="_Toc26687"/>
      <w:bookmarkStart w:id="1687" w:name="_Toc13598"/>
      <w:bookmarkStart w:id="1688" w:name="_Toc18464"/>
    </w:p>
    <w:p>
      <w:pPr>
        <w:keepNext w:val="0"/>
        <w:keepLines w:val="0"/>
        <w:pageBreakBefore w:val="0"/>
        <w:widowControl w:val="0"/>
        <w:kinsoku/>
        <w:wordWrap/>
        <w:overflowPunct/>
        <w:topLinePunct w:val="0"/>
        <w:autoSpaceDE/>
        <w:autoSpaceDN/>
        <w:bidi w:val="0"/>
        <w:adjustRightInd/>
        <w:snapToGrid/>
        <w:spacing w:line="580" w:lineRule="exact"/>
        <w:ind w:firstLine="361" w:firstLineChars="100"/>
        <w:jc w:val="both"/>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80" w:lineRule="exact"/>
        <w:ind w:firstLine="361" w:firstLineChars="100"/>
        <w:jc w:val="both"/>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80" w:lineRule="exact"/>
        <w:ind w:firstLine="361" w:firstLineChars="100"/>
        <w:jc w:val="both"/>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80" w:lineRule="exact"/>
        <w:ind w:firstLine="361" w:firstLineChars="100"/>
        <w:jc w:val="both"/>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80" w:lineRule="exact"/>
        <w:ind w:firstLine="361" w:firstLineChars="100"/>
        <w:jc w:val="both"/>
        <w:textAlignment w:val="auto"/>
        <w:outlineLvl w:val="9"/>
        <w:rPr>
          <w:rFonts w:hint="eastAsia"/>
          <w:b/>
          <w:color w:val="000000"/>
          <w:sz w:val="36"/>
          <w:szCs w:val="36"/>
        </w:rPr>
        <w:sectPr>
          <w:headerReference r:id="rId40" w:type="default"/>
          <w:footerReference r:id="rId42" w:type="default"/>
          <w:headerReference r:id="rId41" w:type="even"/>
          <w:footerReference r:id="rId43" w:type="even"/>
          <w:pgSz w:w="11906" w:h="16838"/>
          <w:pgMar w:top="2098" w:right="1474" w:bottom="1985" w:left="1588" w:header="851" w:footer="1559" w:gutter="0"/>
          <w:pgNumType w:fmt="decimal"/>
          <w:cols w:space="720" w:num="1"/>
          <w:docGrid w:type="lines" w:linePitch="595"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color w:val="000000"/>
          <w:sz w:val="36"/>
          <w:szCs w:val="36"/>
        </w:rPr>
      </w:pPr>
      <w:bookmarkStart w:id="1689" w:name="_Toc9240"/>
      <w:bookmarkStart w:id="1690" w:name="_Toc18255"/>
      <w:bookmarkStart w:id="1691" w:name="_Toc31803"/>
      <w:bookmarkStart w:id="1692" w:name="_Toc24341"/>
      <w:bookmarkStart w:id="1693" w:name="_Toc7122_WPSOffice_Level1"/>
      <w:r>
        <w:rPr>
          <w:rFonts w:hint="eastAsia"/>
          <w:b/>
          <w:color w:val="000000"/>
          <w:sz w:val="36"/>
          <w:szCs w:val="36"/>
        </w:rPr>
        <w:t>柳州职业技术学院经济责任审计实施办法（试行）</w:t>
      </w:r>
      <w:bookmarkEnd w:id="1689"/>
      <w:bookmarkEnd w:id="1690"/>
      <w:bookmarkEnd w:id="1691"/>
      <w:bookmarkEnd w:id="1692"/>
      <w:bookmarkEnd w:id="1693"/>
    </w:p>
    <w:p>
      <w:pPr>
        <w:pageBreakBefore w:val="0"/>
        <w:kinsoku/>
        <w:wordWrap/>
        <w:overflowPunct/>
        <w:topLinePunct w:val="0"/>
        <w:autoSpaceDE/>
        <w:autoSpaceDN/>
        <w:bidi w:val="0"/>
        <w:adjustRightInd w:val="0"/>
        <w:snapToGrid w:val="0"/>
        <w:spacing w:line="360" w:lineRule="auto"/>
        <w:jc w:val="center"/>
        <w:outlineLvl w:val="9"/>
        <w:rPr>
          <w:rFonts w:hint="eastAsia" w:ascii="仿宋_GB2312" w:eastAsia="仿宋_GB2312"/>
          <w:sz w:val="32"/>
          <w:szCs w:val="32"/>
        </w:rPr>
      </w:pPr>
      <w:r>
        <w:rPr>
          <w:rFonts w:hint="eastAsia" w:ascii="仿宋_GB2312" w:eastAsia="仿宋_GB2312"/>
          <w:sz w:val="32"/>
          <w:szCs w:val="32"/>
        </w:rPr>
        <w:t xml:space="preserve"> (柳职院字〔2021〕51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694" w:name="_Toc20394_WPSOffice_Level1"/>
      <w:r>
        <w:rPr>
          <w:rFonts w:hint="eastAsia" w:ascii="黑体" w:hAnsi="黑体" w:eastAsia="黑体"/>
          <w:b/>
          <w:sz w:val="32"/>
          <w:szCs w:val="32"/>
        </w:rPr>
        <w:t>第一章   总  则</w:t>
      </w:r>
      <w:bookmarkEnd w:id="1694"/>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规范学校经济责任审计工作，加强对学校中层领导干部的管理监督，根据《党政主要领导干部和国有企事业部门主要领导人员经济责任审计规定》《审计署关于内部审计工作的规定》（审计署令第11号）、《内部审计基本准则》及相关内部审计具体准则，结合学校实际，制定本实施办法。</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本办法所称经济责任，是指审计对象对其管辖范围内贯彻执行党和国家经济、教育方针政策及学校决策部署，推动本部门事业发展，管理公共资金、国有资产、防控经济风险等有关经济活动应当履行的职责。</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本办法所称经济责任审计，是指学校审计处依据国家法律、法规和有关制度规定，组织对审计对象任职期间履行经济责任情况进行的监督、评价和建议。</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本实施办法的经济责任审计主要以内部审计为主，如有必要，经学校决定，可委托社会专业审计机构进行外部审计。</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经济责任审计以促进领导干部推进本部门可持续发展为目标，以领导干部任职期间本部门财务收支以及有关经济活动的真实、合法和绩效为基础，重点检查领导干部守法、守纪、守规、尽责情况，加强对领导干部行使权力的制约和监督，推进领导干部经济责任履行和党风廉政建设主体责任，推进学校治理体系和治理能力现代化。</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695" w:name="_Toc20790_WPSOffice_Level1"/>
      <w:r>
        <w:rPr>
          <w:rFonts w:hint="eastAsia" w:ascii="黑体" w:hAnsi="黑体" w:eastAsia="黑体"/>
          <w:b/>
          <w:sz w:val="32"/>
          <w:szCs w:val="32"/>
        </w:rPr>
        <w:t>第二章   审计对象</w:t>
      </w:r>
      <w:bookmarkEnd w:id="1695"/>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第六条 </w:t>
      </w:r>
      <w:r>
        <w:rPr>
          <w:rFonts w:hint="eastAsia" w:ascii="仿宋_GB2312" w:eastAsia="仿宋_GB2312"/>
          <w:sz w:val="32"/>
          <w:szCs w:val="32"/>
        </w:rPr>
        <w:t xml:space="preserve"> 经济责任审计对象包括：</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（一）学校中层主要领导干部；</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（二）学校党委认为需要审计的其他重要岗位人员。</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有下列情况之一的实施经济责任审计：</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（一）任期过半、届满或在任期内办理调离、调任、转任、免职、辞职、辞退、退休等离任事项；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（二）任期内所在部门撤销、合并等。</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经济责任审计工作应突出重点。对资金使用或资产占用量较大的重点部门，以及掌握重要人、财、物执行权和管理权等关键岗位的中层正职经济责任履行情况应当进行重点审计。</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696" w:name="_Toc2946_WPSOffice_Level1"/>
      <w:r>
        <w:rPr>
          <w:rFonts w:hint="eastAsia" w:ascii="黑体" w:hAnsi="黑体" w:eastAsia="黑体"/>
          <w:b/>
          <w:sz w:val="32"/>
          <w:szCs w:val="32"/>
        </w:rPr>
        <w:t>第三章   审计内容</w:t>
      </w:r>
      <w:bookmarkEnd w:id="1696"/>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第九条 </w:t>
      </w:r>
      <w:r>
        <w:rPr>
          <w:rFonts w:hint="eastAsia" w:ascii="仿宋_GB2312" w:eastAsia="仿宋_GB2312"/>
          <w:sz w:val="32"/>
          <w:szCs w:val="32"/>
        </w:rPr>
        <w:t xml:space="preserve">  审计处应根据审计对象所在部门性质、岗位职责以及委托部门的要求，结合学校干部管理监督的需要，严格界定经济责任审计内容。   </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第十条 </w:t>
      </w:r>
      <w:r>
        <w:rPr>
          <w:rFonts w:hint="eastAsia" w:ascii="仿宋_GB2312" w:eastAsia="仿宋_GB2312"/>
          <w:sz w:val="32"/>
          <w:szCs w:val="32"/>
        </w:rPr>
        <w:t xml:space="preserve"> 学校经济责任审计的主要内容：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（一）任职期间履行有关职责，推动所在部门事业发展情况；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（二）贯彻执行上级文件规定及学校决策决议，遵守有关法律法规和财经纪律情况；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（三）重大经济事项执行情况；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（四）部门预算的编制申报、执行以及财务收支的真实、合法和绩效情况；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（五）政府采购和国有资产管理情况；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（六）重要项目的申报、建设、管理及效益情况；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（七）部门重大管理制度建立与完善情况，特别是内部控制制度的制定和执行情况，厉行节约反对浪费等情况；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（八）有关目标责任完成情况；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（九）在经济活动中落实有关党风廉政建设责任和遵守廉洁从业规定情况；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（十）对以往审计、其他监督管理部门检查中发现问题的整改情况；</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（十一）其它需要审计的内容。</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697" w:name="_Toc1790_WPSOffice_Level1"/>
      <w:r>
        <w:rPr>
          <w:rFonts w:hint="eastAsia" w:ascii="黑体" w:hAnsi="黑体" w:eastAsia="黑体"/>
          <w:b/>
          <w:sz w:val="32"/>
          <w:szCs w:val="32"/>
        </w:rPr>
        <w:t>第四章   审计实施</w:t>
      </w:r>
      <w:bookmarkEnd w:id="1697"/>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每年年底前，由组织部会同人事处、审计处提出下一年度经济责任审计建议名单，提交学校党委会审核批准后，由组织部办理内部审计申请流程，审计处负责组织实施。如遇特殊或紧急情况，可由组织部根据实际随时提出审计申请，提交学校党委会审核批准后，按规定流程办理实施。</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审计处根据经济责任审计工作计划情况成立审计组。审计组成员由审计处根据审计工作需要从相关部门抽调或外聘。</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审计组应在实施审计3个工作日前，向审计对象送达审计通知书并进行审计公示。特殊情况，可在实施审计时送达审计通知书。</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审计对象应提供任职期间经济职责履行情况报告及有关资料，并于审计通知书送达后10个工作日内送交审计组。审计需要的其他资料，审计对象所在部门及其他有关部门应及时提供。</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第十五条 </w:t>
      </w:r>
      <w:r>
        <w:rPr>
          <w:rFonts w:hint="eastAsia" w:ascii="仿宋_GB2312" w:eastAsia="仿宋_GB2312"/>
          <w:sz w:val="32"/>
          <w:szCs w:val="32"/>
        </w:rPr>
        <w:t xml:space="preserve"> 审计对象及其所在部门应对所提供书面材料和其他资料的真实性、完整性负责，并予以书面承诺。</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审计处实施经济责任审计时，应当召开审计进点会，安排与审计工作有关的事项。审计组主要成员、审计对象及其原所在部门主要负责人等应参加会议。</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审计组实施审计后，应当出具审计报告。提交审计报告前，审计组应当征求审计对象及其所在部门的意见。审计对象及其所在部门自接到审计报告之日起，可于10个工作日内提出书面意见，逾期未提出意见的，视同无异议。审计组应认真处理被审计部门或被审计人员的反馈意见，并将反馈意见的处理情况通知对方。</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审计处对审计报告进行审核后报学校审定。经审定后的审计报告由审计处送达审计对象及组织部。</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第十九条 </w:t>
      </w:r>
      <w:r>
        <w:rPr>
          <w:rFonts w:hint="eastAsia" w:ascii="仿宋_GB2312" w:eastAsia="仿宋_GB2312"/>
          <w:sz w:val="32"/>
          <w:szCs w:val="32"/>
        </w:rPr>
        <w:t xml:space="preserve"> 审计对象遇有被国家机关采取强制措施、纪律审查、监察调查或者死亡等特殊情况，以及存在其他不宜继续进行经济责任审计情形的，审计处应及时与组织部协商，由组织部报学校党委会批准后终止审计程序。</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698" w:name="_Toc8155_WPSOffice_Level1"/>
      <w:r>
        <w:rPr>
          <w:rFonts w:hint="eastAsia" w:ascii="黑体" w:hAnsi="黑体" w:eastAsia="黑体"/>
          <w:b/>
          <w:sz w:val="32"/>
          <w:szCs w:val="32"/>
        </w:rPr>
        <w:t>第五章   审计评价</w:t>
      </w:r>
      <w:bookmarkEnd w:id="1698"/>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审计处应当根据审计查证或者认定的事实，依据党内法规、法律法规、政策规定、责任制考核目标等，在规定职权范围内，对审计对象履行经济责任情况作出客观公正、实事求是的评价。审计评价应当与审计内容相一致，审计评价事项应当有充分的审计证据支持，一般包括审计对象任职期间履行经济责任的主要业绩、主要问题以及应当承担的责任。   </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审计评价的依据一般包括：</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（一）党内法规、法律、法规、规章、规范性文件；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（二）国家和教育行业的有关标准；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（三）上级有关部门和学校发布或者认可的统计数据、考核结果和评价意见；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（四）学校章程、发展规划、年度计划和责任制考核目标；</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（五）审计对象所在部门的主要职责、内设机构和人员编制等规定以及有关领导的职责分工文件，有关会议记录、纪要、决议和决定，有关预算、决算和合同，有关内部管理制度和绩效目标；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（六）其他依据。   </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对审计对象履行经济责任过程中存在的问题，按照权责一致原则，根据职责分工及相关问题的历史背景、决策过程、性质、后果和领导干部实际发挥的作用等情况，界定其应当承担的直接责任或者领导责任。</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对审计对象应当承担责任的问题或者事项，可以提出责任追究建议。</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第二十三条</w:t>
      </w:r>
      <w:r>
        <w:rPr>
          <w:rFonts w:hint="eastAsia" w:ascii="仿宋_GB2312" w:eastAsia="仿宋_GB2312"/>
          <w:sz w:val="32"/>
          <w:szCs w:val="32"/>
        </w:rPr>
        <w:t xml:space="preserve">  审计对象对履行经济责任过程中的下列</w:t>
      </w:r>
      <w:bookmarkStart w:id="1699" w:name="_Toc23471_WPSOffice_Level1"/>
      <w:r>
        <w:rPr>
          <w:rFonts w:hint="eastAsia" w:ascii="仿宋_GB2312" w:eastAsia="仿宋_GB2312"/>
          <w:sz w:val="32"/>
          <w:szCs w:val="32"/>
        </w:rPr>
        <w:t>行为应当承担直接责任：</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（一）直接违反有关党内</w:t>
      </w:r>
      <w:bookmarkEnd w:id="1699"/>
      <w:r>
        <w:rPr>
          <w:rFonts w:hint="eastAsia" w:ascii="仿宋_GB2312" w:eastAsia="仿宋_GB2312"/>
          <w:sz w:val="32"/>
          <w:szCs w:val="32"/>
        </w:rPr>
        <w:t>法规、法律法规、政策规定、学校内部管理规定的；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（二）授意、指使、强令、纵容、包庇下属人员违反有关党内法规、法律法规、政策规定、学校内部管理规定的；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（三）贯彻学校决策部署不坚决不全面不到位，造成公共资金、国有资产损失浪费、生态环境破坏，公共利益损害等后果的；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（四）未完成有关目标责任书等规定的领导干部作为第一责任人（负总责）事项，造成公共资金、国有资产损失浪费、生态环境破坏，公共利益损害等后果的；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（五）未经民主决策或者民主决策时在多数人不同意的情况下，直接决定、批准、组织实施重大经济事项，造成公共资金、国有资产损失浪费、生态环境破坏，公共利益损害等后果的；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（六）不履行或者不正确履行职责，对造成的后果起决定性作用的其他行为。</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第二十四条</w:t>
      </w:r>
      <w:r>
        <w:rPr>
          <w:rFonts w:hint="eastAsia" w:ascii="仿宋_GB2312" w:eastAsia="仿宋_GB2312"/>
          <w:sz w:val="32"/>
          <w:szCs w:val="32"/>
        </w:rPr>
        <w:t xml:space="preserve">  审计对象对履行经济责任过程中的下列行为应当承担领导责任：</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（一）民主决策时，在多数人同意的情况下，决定、批准、组织实施重大经济事项，由于决策失误造成公共资金、国有资产损失浪费等后果的；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（二）违反部门内部管理规定造成公共资金、国有资产损失浪费等后果的；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（三）参与相关决策和工作时，没有发表明确的反对意见，相关决策和工作违反有关党内法规、法律法规、政策规定、或者造成公共资金、国有资产损失浪费等后果的；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（四）疏于监管，未及时发现和处理所管辖范围内本级违反有关党内法规、法律法规、政策规定或者造成公共资金、国有资产损失浪费等后果的；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（五）除直接责任外，不履行或者不正确履行职责，对造成的后果应当承担责任的其他情形。</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第二十五条</w:t>
      </w:r>
      <w:r>
        <w:rPr>
          <w:rFonts w:hint="eastAsia" w:ascii="仿宋_GB2312" w:eastAsia="仿宋_GB2312"/>
          <w:sz w:val="32"/>
          <w:szCs w:val="32"/>
        </w:rPr>
        <w:t xml:space="preserve">  审计评价时，应当把领导干部在推进改革中因缺乏经验、先行先试出现的失误和错误，同明知故犯的违纪违法行为区分开来；把上级尚无明确限制的探索性试验中的失误和错误，同上级明令禁止后依然我行我素的违纪违法行为区分开来；把为推动发展的无意过失，同为谋取私利的违纪违法行为区分开来。正确把握事业为上、实事求是、依纪依法、容纠并举等原则，经综合分析研判，可以免责或者从轻定责，鼓励探索创新，支持担当作为，保护领导干部干事创业的积极性、主动性、创造性。</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第二十六条</w:t>
      </w:r>
      <w:r>
        <w:rPr>
          <w:rFonts w:hint="eastAsia" w:ascii="仿宋_GB2312" w:eastAsia="仿宋_GB2312"/>
          <w:sz w:val="32"/>
          <w:szCs w:val="32"/>
        </w:rPr>
        <w:t xml:space="preserve">  被审计领导干部以外的其他人员对有关问题应当承担的责任，审计处可以以适当方式向纪委、组织人事部门等提供相关情况。</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700" w:name="_Toc21508_WPSOffice_Level1"/>
      <w:r>
        <w:rPr>
          <w:rFonts w:hint="eastAsia" w:ascii="黑体" w:hAnsi="黑体" w:eastAsia="黑体"/>
          <w:b/>
          <w:sz w:val="32"/>
          <w:szCs w:val="32"/>
        </w:rPr>
        <w:t>第六章    审计报告</w:t>
      </w:r>
      <w:bookmarkEnd w:id="1700"/>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第二十七条</w:t>
      </w:r>
      <w:r>
        <w:rPr>
          <w:rFonts w:hint="eastAsia" w:ascii="仿宋_GB2312" w:eastAsia="仿宋_GB2312"/>
          <w:sz w:val="32"/>
          <w:szCs w:val="32"/>
        </w:rPr>
        <w:t xml:space="preserve">  经济责任审计报告的内容主要包括：</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（一）基本情况，包括审计依据、实施审计的基本情况、被审计领导干部所任职部门的基本情况、被审计领导干部的任职及分工情况等；</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（二）被审计领导干部履行经济责任的总体评价；</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（三）被审计领导干部履行经济责任的总体业绩；</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（四）审计发现的主要问题和责任认定；</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（五）审计处理意见和建议；</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（六）以往审计发现问题的整改情况；</w:t>
      </w:r>
    </w:p>
    <w:p>
      <w:pPr>
        <w:pageBreakBefore w:val="0"/>
        <w:kinsoku/>
        <w:wordWrap/>
        <w:overflowPunct/>
        <w:topLinePunct w:val="0"/>
        <w:autoSpaceDE/>
        <w:autoSpaceDN/>
        <w:bidi w:val="0"/>
        <w:spacing w:line="596" w:lineRule="exact"/>
        <w:ind w:firstLine="640" w:firstLineChars="200"/>
        <w:outlineLvl w:val="9"/>
        <w:rPr>
          <w:rFonts w:hint="eastAsia" w:ascii="黑体" w:hAnsi="黑体" w:eastAsia="黑体"/>
          <w:b/>
          <w:sz w:val="32"/>
          <w:szCs w:val="32"/>
        </w:rPr>
      </w:pPr>
      <w:r>
        <w:rPr>
          <w:rFonts w:hint="eastAsia" w:ascii="仿宋_GB2312" w:eastAsia="仿宋_GB2312"/>
          <w:sz w:val="32"/>
          <w:szCs w:val="32"/>
        </w:rPr>
        <w:t>（七）其它必要的内容。</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701" w:name="_Toc6462_WPSOffice_Level1"/>
      <w:r>
        <w:rPr>
          <w:rFonts w:hint="eastAsia" w:ascii="黑体" w:hAnsi="黑体" w:eastAsia="黑体"/>
          <w:b/>
          <w:sz w:val="32"/>
          <w:szCs w:val="32"/>
        </w:rPr>
        <w:t>第七章   审计结果运用</w:t>
      </w:r>
      <w:bookmarkEnd w:id="1701"/>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第二十八条</w:t>
      </w:r>
      <w:r>
        <w:rPr>
          <w:rFonts w:hint="eastAsia" w:ascii="仿宋_GB2312" w:eastAsia="仿宋_GB2312"/>
          <w:sz w:val="32"/>
          <w:szCs w:val="32"/>
        </w:rPr>
        <w:t xml:space="preserve">  审计结果应当作为干部考核、任免和奖惩的重要依据。审计对象及其所在部门应将审计结果及整改情况纳入所在部门领导班子党风廉政建设责任考核的内容，作为领导班子民主生活会以及领导班子成员述职述廉的重要内容。</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第二十九条</w:t>
      </w:r>
      <w:r>
        <w:rPr>
          <w:rFonts w:hint="eastAsia" w:ascii="仿宋_GB2312" w:eastAsia="仿宋_GB2312"/>
          <w:sz w:val="32"/>
          <w:szCs w:val="32"/>
        </w:rPr>
        <w:t xml:space="preserve">  对于经济责任审计报告披露的业务问题，由审计处督促相关部门进行整改；对于违反党内法规、法律法规和规章制度、涉嫌违法、违纪的问题，由审计处移送纪委依法依规处理。</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第三十条</w:t>
      </w:r>
      <w:r>
        <w:rPr>
          <w:rFonts w:hint="eastAsia" w:ascii="仿宋_GB2312" w:eastAsia="仿宋_GB2312"/>
          <w:sz w:val="32"/>
          <w:szCs w:val="32"/>
        </w:rPr>
        <w:t xml:space="preserve">  审计处应及时跟踪、了解、核实审计对象及其所在部门对于审计发现问题和审计建议的整改落实情况，审计对象应及时将审计整改情况书面报告审计处。</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第三十一条</w:t>
      </w:r>
      <w:r>
        <w:rPr>
          <w:rFonts w:hint="eastAsia" w:ascii="仿宋_GB2312" w:eastAsia="仿宋_GB2312"/>
          <w:sz w:val="32"/>
          <w:szCs w:val="32"/>
        </w:rPr>
        <w:t xml:space="preserve">  对于审计发现的典型性、普遍性、倾向性问题和有关建议，审计处以综合报告、专题报告等形式报送学校领导。</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第三十二条</w:t>
      </w:r>
      <w:r>
        <w:rPr>
          <w:rFonts w:hint="eastAsia" w:ascii="仿宋_GB2312" w:eastAsia="仿宋_GB2312"/>
          <w:sz w:val="32"/>
          <w:szCs w:val="32"/>
        </w:rPr>
        <w:t xml:space="preserve">  经济责任审计报告应当按照规定归入被审计领导干部本人档案。</w:t>
      </w: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bookmarkStart w:id="1702" w:name="_Toc19107_WPSOffice_Level1"/>
      <w:r>
        <w:rPr>
          <w:rFonts w:hint="eastAsia" w:ascii="黑体" w:hAnsi="黑体" w:eastAsia="黑体"/>
          <w:b/>
          <w:sz w:val="32"/>
          <w:szCs w:val="32"/>
        </w:rPr>
        <w:t>第八章     附  则</w:t>
      </w:r>
      <w:bookmarkEnd w:id="1702"/>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bookmarkStart w:id="1703" w:name="_Toc167_WPSOffice_Level1"/>
      <w:r>
        <w:rPr>
          <w:rFonts w:hint="eastAsia" w:ascii="仿宋_GB2312" w:eastAsia="仿宋_GB2312"/>
          <w:b/>
          <w:bCs/>
          <w:sz w:val="32"/>
          <w:szCs w:val="32"/>
        </w:rPr>
        <w:t>第三十三条</w:t>
      </w:r>
      <w:r>
        <w:rPr>
          <w:rFonts w:hint="eastAsia" w:ascii="仿宋_GB2312" w:eastAsia="仿宋_GB2312"/>
          <w:sz w:val="32"/>
          <w:szCs w:val="32"/>
        </w:rPr>
        <w:t xml:space="preserve">  本办法由学校审计处负责解释。</w:t>
      </w:r>
      <w:bookmarkEnd w:id="1703"/>
    </w:p>
    <w:p>
      <w:pPr>
        <w:pageBreakBefore w:val="0"/>
        <w:kinsoku/>
        <w:wordWrap/>
        <w:overflowPunct/>
        <w:topLinePunct w:val="0"/>
        <w:autoSpaceDE/>
        <w:autoSpaceDN/>
        <w:bidi w:val="0"/>
        <w:spacing w:line="596" w:lineRule="exact"/>
        <w:ind w:firstLine="643" w:firstLineChars="200"/>
        <w:outlineLvl w:val="9"/>
        <w:rPr>
          <w:rFonts w:hint="eastAsia" w:eastAsia="黑体"/>
          <w:color w:val="000000"/>
          <w:sz w:val="32"/>
          <w:szCs w:val="32"/>
        </w:rPr>
      </w:pPr>
      <w:bookmarkStart w:id="1704" w:name="_Toc22452_WPSOffice_Level1"/>
      <w:r>
        <w:rPr>
          <w:rFonts w:hint="eastAsia" w:ascii="仿宋_GB2312" w:eastAsia="仿宋_GB2312"/>
          <w:b/>
          <w:bCs/>
          <w:sz w:val="32"/>
          <w:szCs w:val="32"/>
        </w:rPr>
        <w:t xml:space="preserve">第三十四条 </w:t>
      </w:r>
      <w:r>
        <w:rPr>
          <w:rFonts w:hint="eastAsia" w:ascii="仿宋_GB2312" w:eastAsia="仿宋_GB2312"/>
          <w:sz w:val="32"/>
          <w:szCs w:val="32"/>
        </w:rPr>
        <w:t xml:space="preserve"> 本办法自印发之日起施行。</w:t>
      </w:r>
      <w:bookmarkEnd w:id="1704"/>
    </w:p>
    <w:p>
      <w:pPr>
        <w:pStyle w:val="3"/>
        <w:outlineLvl w:val="9"/>
        <w:rPr>
          <w:rFonts w:hint="eastAsia"/>
          <w:lang w:eastAsia="zh-CN"/>
        </w:rPr>
      </w:pPr>
    </w:p>
    <w:p>
      <w:pPr>
        <w:pStyle w:val="3"/>
        <w:outlineLvl w:val="9"/>
      </w:pPr>
    </w:p>
    <w:p>
      <w:pPr>
        <w:keepNext w:val="0"/>
        <w:keepLines w:val="0"/>
        <w:pageBreakBefore w:val="0"/>
        <w:widowControl w:val="0"/>
        <w:kinsoku/>
        <w:wordWrap/>
        <w:overflowPunct/>
        <w:topLinePunct w:val="0"/>
        <w:autoSpaceDE/>
        <w:autoSpaceDN/>
        <w:bidi w:val="0"/>
        <w:adjustRightInd/>
        <w:snapToGrid/>
        <w:spacing w:line="580" w:lineRule="exact"/>
        <w:ind w:firstLine="361" w:firstLineChars="100"/>
        <w:jc w:val="both"/>
        <w:textAlignment w:val="auto"/>
        <w:outlineLvl w:val="9"/>
        <w:rPr>
          <w:rFonts w:hint="eastAsia"/>
          <w:b/>
          <w:color w:val="000000"/>
          <w:sz w:val="36"/>
          <w:szCs w:val="36"/>
        </w:rPr>
        <w:sectPr>
          <w:pgSz w:w="11906" w:h="16838"/>
          <w:pgMar w:top="2098" w:right="1474" w:bottom="1985" w:left="1588" w:header="851" w:footer="1559" w:gutter="0"/>
          <w:pgNumType w:fmt="decimal"/>
          <w:cols w:space="720" w:num="1"/>
          <w:docGrid w:type="lines" w:linePitch="595" w:charSpace="0"/>
        </w:sectPr>
      </w:pPr>
    </w:p>
    <w:p>
      <w:pPr>
        <w:keepNext w:val="0"/>
        <w:keepLines w:val="0"/>
        <w:pageBreakBefore w:val="0"/>
        <w:widowControl w:val="0"/>
        <w:kinsoku/>
        <w:wordWrap/>
        <w:overflowPunct/>
        <w:topLinePunct w:val="0"/>
        <w:autoSpaceDE/>
        <w:autoSpaceDN/>
        <w:bidi w:val="0"/>
        <w:adjustRightInd/>
        <w:snapToGrid/>
        <w:spacing w:line="580" w:lineRule="exact"/>
        <w:ind w:firstLine="361" w:firstLineChars="100"/>
        <w:jc w:val="both"/>
        <w:textAlignment w:val="auto"/>
        <w:outlineLvl w:val="9"/>
        <w:rPr>
          <w:rFonts w:hint="eastAsia"/>
          <w:b/>
          <w:color w:val="000000"/>
          <w:sz w:val="36"/>
          <w:szCs w:val="36"/>
        </w:rPr>
      </w:pPr>
      <w:bookmarkStart w:id="1705" w:name="_Toc8240_WPSOffice_Level1"/>
      <w:r>
        <w:rPr>
          <w:rFonts w:hint="eastAsia"/>
          <w:b/>
          <w:color w:val="000000"/>
          <w:sz w:val="36"/>
          <w:szCs w:val="36"/>
        </w:rPr>
        <w:t>柳州职业技术学院关于举办国际会议管理办法（试行）</w:t>
      </w:r>
      <w:bookmarkEnd w:id="1686"/>
      <w:bookmarkEnd w:id="1687"/>
      <w:bookmarkEnd w:id="1688"/>
      <w:bookmarkEnd w:id="1705"/>
    </w:p>
    <w:p>
      <w:pPr>
        <w:pageBreakBefore w:val="0"/>
        <w:widowControl/>
        <w:kinsoku/>
        <w:overflowPunct/>
        <w:topLinePunct w:val="0"/>
        <w:autoSpaceDE/>
        <w:autoSpaceDN/>
        <w:bidi w:val="0"/>
        <w:jc w:val="center"/>
        <w:outlineLvl w:val="9"/>
        <w:rPr>
          <w:rFonts w:hint="eastAsia" w:ascii="仿宋_GB2312" w:eastAsia="仿宋_GB2312"/>
          <w:b w:val="0"/>
          <w:bCs/>
          <w:sz w:val="32"/>
          <w:szCs w:val="32"/>
        </w:rPr>
      </w:pPr>
      <w:r>
        <w:rPr>
          <w:rFonts w:hint="eastAsia" w:ascii="仿宋_GB2312" w:eastAsia="仿宋_GB2312"/>
          <w:b w:val="0"/>
          <w:bCs/>
          <w:sz w:val="32"/>
          <w:szCs w:val="32"/>
        </w:rPr>
        <w:t>（柳职院党字〔2021〕53号）</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706" w:name="_Toc29441_WPSOffice_Level1"/>
      <w:r>
        <w:rPr>
          <w:rFonts w:hint="eastAsia" w:ascii="黑体" w:hAnsi="黑体" w:eastAsia="黑体"/>
          <w:b/>
          <w:sz w:val="32"/>
          <w:szCs w:val="32"/>
        </w:rPr>
        <w:t>第一章 总  则</w:t>
      </w:r>
      <w:bookmarkEnd w:id="1706"/>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第一条 </w:t>
      </w:r>
      <w:r>
        <w:rPr>
          <w:rFonts w:hint="eastAsia" w:ascii="仿宋_GB2312" w:eastAsia="仿宋_GB2312"/>
          <w:sz w:val="32"/>
          <w:szCs w:val="32"/>
        </w:rPr>
        <w:t>为加强我校举办国际会议的管理，规范国际会议申办程序、会议过程管理、经费管理和会议总结等工作，根据中共中央办公厅、国务院《关于在华举办国际会议的管理办法》（中办发〔2006〕10 号）、教育部《在华举办国际会议管理办法的实施细则》（教外际〔2006〕105 号）、财政部《在华举办国际会议经费管理办法》（财行〔2015〕371 号）、《柳州市本级外宾接待经费管理办法》（柳财行〔2014〕9号）等文件精神，结合我校实际，特制定本办法。</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707" w:name="_Toc30255_WPSOffice_Level1"/>
      <w:r>
        <w:rPr>
          <w:rFonts w:hint="eastAsia" w:ascii="黑体" w:hAnsi="黑体" w:eastAsia="黑体"/>
          <w:b/>
          <w:sz w:val="32"/>
          <w:szCs w:val="32"/>
        </w:rPr>
        <w:t>第二章 条件和要求</w:t>
      </w:r>
      <w:bookmarkEnd w:id="1707"/>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本办法适用的国际会议包括学校各部门在我国境内（不含港、澳、台地区）举办的有国（境）外代表出席的年会、学术会议、论坛、研讨会、报告会和交流会等。线上国际会议参照执行。</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按照“谁举办，谁负责”的原则，会议举办部门应认真做好各项会议的准备工作。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按照会议正式代表（不含工作人员，下同）的人数，在华举办国际会议分为三类： </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会议正式代表在300人以上的，为大型国际会议；</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会议正式代表在100人以上、300人以下（含300人）的，为中型国际会议；</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会议正式代表在100人以下（含100人）的，为小型国际会议。</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国际会议与会者应至少来自3个或3个以上国家和地区（不含港、澳、台地区）；出席会议的国（境）外人员比例应不低于会议代表总人数的 20%，与会总人数一般不少于 50 人。</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举办国际会议必须坚持以我为主，办会目的明确。国际会议应符合学校专业发展方向，具有较高的专业水平。不得举办涉及领土主权、意识形态、民族、宗教、人权等敏感问题的相关会议。</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会议经费应有保障，原则上以会养会，可按照有关规定收取适当的会务费和资料费等。</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708" w:name="_Toc14453_WPSOffice_Level1"/>
      <w:r>
        <w:rPr>
          <w:rFonts w:hint="eastAsia" w:ascii="黑体" w:hAnsi="黑体" w:eastAsia="黑体"/>
          <w:b/>
          <w:sz w:val="32"/>
          <w:szCs w:val="32"/>
        </w:rPr>
        <w:t>第三章 申办程序</w:t>
      </w:r>
      <w:bookmarkEnd w:id="1708"/>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国际交流处是申办国际会议的归口管理单位。根据相关规定，会议举办部门应在每年9月份前就第二年将举办的国际会议进行申报，填写《柳州职业技术学院国际会议申报表》交国际交流处，待校内审批通过后，由国际交流处报送上级主管部门审批。确有需要临时召开国际会议的，应至少提前4个月以上申请，获得批准后方能召开。</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举办部门提交的申请材料应包括以下内容：</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1.会议中、英文全称及简称，举办日期、会期、地点，主办部门、合办部门、协办部门、委托承办部门名称，与会人员范围、会议规模和外宾人数；</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2.会议的主题、议题和主要内容；</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w:t>
      </w:r>
      <w:bookmarkStart w:id="1709" w:name="_Toc17196_WPSOffice_Level1"/>
      <w:r>
        <w:rPr>
          <w:rFonts w:hint="eastAsia" w:ascii="仿宋_GB2312" w:eastAsia="仿宋_GB2312"/>
          <w:sz w:val="32"/>
          <w:szCs w:val="32"/>
        </w:rPr>
        <w:t>.会议经费预算；</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4.举办国际会议的必要性、预期目</w:t>
      </w:r>
      <w:bookmarkEnd w:id="1709"/>
      <w:r>
        <w:rPr>
          <w:rFonts w:hint="eastAsia" w:ascii="仿宋_GB2312" w:eastAsia="仿宋_GB2312"/>
          <w:sz w:val="32"/>
          <w:szCs w:val="32"/>
        </w:rPr>
        <w:t>的</w:t>
      </w:r>
      <w:bookmarkStart w:id="1710" w:name="_Toc5605_WPSOffice_Level1"/>
      <w:r>
        <w:rPr>
          <w:rFonts w:hint="eastAsia" w:ascii="仿宋_GB2312" w:eastAsia="仿宋_GB2312"/>
          <w:sz w:val="32"/>
          <w:szCs w:val="32"/>
        </w:rPr>
        <w:t>以及已具备的条件；</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bookmarkStart w:id="1711" w:name="5.拟邀请的主要中、外方人员姓名、单位和职务；"/>
      <w:bookmarkEnd w:id="1711"/>
      <w:r>
        <w:rPr>
          <w:rFonts w:hint="eastAsia" w:ascii="仿宋_GB2312" w:eastAsia="仿宋_GB2312"/>
          <w:sz w:val="32"/>
          <w:szCs w:val="32"/>
        </w:rPr>
        <w:t>5.拟邀请的主要中、外方人员</w:t>
      </w:r>
      <w:bookmarkEnd w:id="1710"/>
      <w:r>
        <w:rPr>
          <w:rFonts w:hint="eastAsia" w:ascii="仿宋_GB2312" w:eastAsia="仿宋_GB2312"/>
          <w:sz w:val="32"/>
          <w:szCs w:val="32"/>
        </w:rPr>
        <w:t>姓名</w:t>
      </w:r>
      <w:bookmarkStart w:id="1712" w:name="_Toc8222_WPSOffice_Level1"/>
      <w:r>
        <w:rPr>
          <w:rFonts w:hint="eastAsia" w:ascii="仿宋_GB2312" w:eastAsia="仿宋_GB2312"/>
          <w:sz w:val="32"/>
          <w:szCs w:val="32"/>
        </w:rPr>
        <w:t>、单位和</w:t>
      </w:r>
      <w:bookmarkEnd w:id="1712"/>
      <w:r>
        <w:rPr>
          <w:rFonts w:hint="eastAsia" w:ascii="仿宋_GB2312" w:eastAsia="仿宋_GB2312"/>
          <w:sz w:val="32"/>
          <w:szCs w:val="32"/>
        </w:rPr>
        <w:t>职务；</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6.会议主席和组织机构的主要成员、会议联系人及联系方式；</w:t>
      </w:r>
    </w:p>
    <w:p>
      <w:pPr>
        <w:pageBreakBefore w:val="0"/>
        <w:kinsoku/>
        <w:overflowPunct/>
        <w:topLinePunct w:val="0"/>
        <w:autoSpaceDE/>
        <w:autoSpaceDN/>
        <w:bidi w:val="0"/>
        <w:spacing w:line="596" w:lineRule="exact"/>
        <w:outlineLvl w:val="9"/>
        <w:rPr>
          <w:rFonts w:hint="eastAsia" w:ascii="仿宋_GB2312" w:eastAsia="仿宋_GB2312"/>
          <w:sz w:val="32"/>
          <w:szCs w:val="32"/>
        </w:rPr>
      </w:pPr>
      <w:r>
        <w:rPr>
          <w:rFonts w:hint="eastAsia" w:ascii="仿宋_GB2312" w:eastAsia="仿宋_GB2312"/>
          <w:sz w:val="32"/>
          <w:szCs w:val="32"/>
        </w:rPr>
        <w:t>主办、合办、协办、委托承办单位及经费资助单位为境外组织的背景材料（名称须中英文、内容包括该国际组织的章程、组织机构、政治背景、对华态度、历次活动及成员有无“一中一台”等敏感政治倾向问题）；</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7.其它需要特别说明的情况。</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国际会议申请通过上级主管部门的批准后方可召开。计划内会议的筹办部门应将与会的国外代表和港澳台代表的详细资料于会议召开前4个月交至国际交流处，临时召开的国际会议在获得上级部门审批后，立即将相关资料提交国际交流处，由国际交流处办理入境签证所需的有关文件。</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会议筹备部门在会议前应做好必要的准备工作，应会同学校办公室、党委宣传部、国际交流处和保卫处等有关部门就会议的议程、食宿、交通等方面做出周密妥善的安排。举办国际会议原则上不邀请地方党政领导出席开幕式、宴请等活动，如确需邀请省市级领导到会，需提前2个月向国际交流处申报，由国际交流处报学校办公室，向上级相关单位联系商定邀请事宜。</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713" w:name="_Toc4641_WPSOffice_Level1"/>
      <w:r>
        <w:rPr>
          <w:rFonts w:hint="eastAsia" w:ascii="黑体" w:hAnsi="黑体" w:eastAsia="黑体"/>
          <w:b/>
          <w:sz w:val="32"/>
          <w:szCs w:val="32"/>
        </w:rPr>
        <w:t>第四章 经费管理</w:t>
      </w:r>
      <w:bookmarkEnd w:id="1713"/>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经费原则</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1.举办国际会议经费由我方全额负担或由与会各方分担的，应按会议统一标准制定经费预算，我方负担的经费应纳入部门预算管理。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2.会议经费未经落实，不得申请办会。会议举办部门应严格执行学校有关经费的管理规定，坚持厉行节约，收支平衡，以会养会的原则。</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国际会议收入管理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国际会议收入包括: 会议注册费收入、国际组织专项资助、赞助收入和其他收入。</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1.会议注册费：根据国际惯例，由会议举办部门向参会代表收取的用于会议支出的费用；</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2.国际组织专项资助：国际组织拨付给会议举办部门的专项经费，会议举办部门应积极向国际组织申请专项资助；</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3.赞助收入：指境内外机构或单位、企业、个人出于自愿，无偿向国际会议提供资金或物资赞助形成的收入；</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4.其他收入：召开国际会议时举办展览、展示、广告等收入。</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会议各项收入必须统一纳入学校财务处管理，单独核算，专款专用。举办大型国际会议应设有专门为会议服务的临时财务机构，举办中型、小型国际会议也应配备专职的财务人员。</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ab/>
      </w:r>
      <w:r>
        <w:rPr>
          <w:rFonts w:hint="eastAsia" w:ascii="仿宋_GB2312" w:eastAsia="仿宋_GB2312"/>
          <w:sz w:val="32"/>
          <w:szCs w:val="32"/>
        </w:rPr>
        <w:t>国际会议支出管理</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zh-CN"/>
        </w:rPr>
        <w:t>国际会议支出</w:t>
      </w:r>
      <w:r>
        <w:rPr>
          <w:rFonts w:hint="eastAsia" w:ascii="仿宋_GB2312" w:eastAsia="仿宋_GB2312"/>
          <w:sz w:val="32"/>
          <w:szCs w:val="32"/>
        </w:rPr>
        <w:t>按照国家相关管理规定执行；</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lang w:val="zh-CN"/>
        </w:rPr>
      </w:pPr>
      <w:r>
        <w:rPr>
          <w:rFonts w:hint="eastAsia" w:ascii="仿宋_GB2312" w:eastAsia="仿宋_GB2312"/>
          <w:sz w:val="32"/>
          <w:szCs w:val="32"/>
          <w:lang w:val="zh-CN"/>
        </w:rPr>
        <w:t>2.不得使用会议经费购买设备；</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lang w:val="zh-CN"/>
        </w:rPr>
      </w:pPr>
      <w:r>
        <w:rPr>
          <w:rFonts w:hint="eastAsia" w:ascii="仿宋_GB2312" w:eastAsia="仿宋_GB2312"/>
          <w:sz w:val="32"/>
          <w:szCs w:val="32"/>
        </w:rPr>
        <w:t>3.根据国际惯例，不为会议代表配备生活用品，不组织公款游览、参观等，不得借举办国际会议的名义向地方政府或企业强行摊派或变相摊派会议费用；</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lang w:val="zh-CN"/>
        </w:rPr>
      </w:pPr>
      <w:r>
        <w:rPr>
          <w:rFonts w:hint="eastAsia" w:ascii="仿宋_GB2312" w:eastAsia="仿宋_GB2312"/>
          <w:sz w:val="32"/>
          <w:szCs w:val="32"/>
        </w:rPr>
        <w:t>4.</w:t>
      </w:r>
      <w:r>
        <w:rPr>
          <w:rFonts w:hint="eastAsia" w:ascii="仿宋_GB2312" w:eastAsia="仿宋_GB2312"/>
          <w:sz w:val="32"/>
          <w:szCs w:val="32"/>
          <w:lang w:val="zh-CN"/>
        </w:rPr>
        <w:t>举办国际会议得到的赞助物资及会议期间购买的办公用品、消耗材料等应严格管理。财产物资的取得、保管、领用应有严格的报批程序；</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lang w:val="zh-CN"/>
        </w:rPr>
      </w:pPr>
      <w:r>
        <w:rPr>
          <w:rFonts w:hint="eastAsia" w:ascii="仿宋_GB2312" w:eastAsia="仿宋_GB2312"/>
          <w:sz w:val="32"/>
          <w:szCs w:val="32"/>
        </w:rPr>
        <w:t>5.</w:t>
      </w:r>
      <w:r>
        <w:rPr>
          <w:rFonts w:hint="eastAsia" w:ascii="仿宋_GB2312" w:eastAsia="仿宋_GB2312"/>
          <w:sz w:val="32"/>
          <w:szCs w:val="32"/>
          <w:lang w:val="zh-CN"/>
        </w:rPr>
        <w:t>购置或赞助取得的各项财产物资应当在会议结束后</w:t>
      </w:r>
      <w:r>
        <w:rPr>
          <w:rFonts w:hint="eastAsia" w:ascii="仿宋_GB2312" w:eastAsia="仿宋_GB2312"/>
          <w:sz w:val="32"/>
          <w:szCs w:val="32"/>
        </w:rPr>
        <w:t>3</w:t>
      </w:r>
      <w:r>
        <w:rPr>
          <w:rFonts w:hint="eastAsia" w:ascii="仿宋_GB2312" w:eastAsia="仿宋_GB2312"/>
          <w:sz w:val="32"/>
          <w:szCs w:val="32"/>
          <w:lang w:val="zh-CN"/>
        </w:rPr>
        <w:t>个月内处理完毕；</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lang w:val="zh-CN"/>
        </w:rPr>
      </w:pPr>
      <w:r>
        <w:rPr>
          <w:rFonts w:hint="eastAsia" w:ascii="仿宋_GB2312" w:eastAsia="仿宋_GB2312"/>
          <w:sz w:val="32"/>
          <w:szCs w:val="32"/>
        </w:rPr>
        <w:t>6.</w:t>
      </w:r>
      <w:r>
        <w:rPr>
          <w:rFonts w:hint="eastAsia" w:ascii="仿宋_GB2312" w:eastAsia="仿宋_GB2312"/>
          <w:sz w:val="32"/>
          <w:szCs w:val="32"/>
          <w:lang w:val="zh-CN"/>
        </w:rPr>
        <w:t>国际会议所有支出必须</w:t>
      </w:r>
      <w:r>
        <w:rPr>
          <w:rFonts w:hint="eastAsia" w:ascii="仿宋_GB2312" w:eastAsia="仿宋_GB2312"/>
          <w:sz w:val="32"/>
          <w:szCs w:val="32"/>
        </w:rPr>
        <w:t>按照学校财务管理规定在相关负责人审批</w:t>
      </w:r>
      <w:r>
        <w:rPr>
          <w:rFonts w:hint="eastAsia" w:ascii="仿宋_GB2312" w:eastAsia="仿宋_GB2312"/>
          <w:sz w:val="32"/>
          <w:szCs w:val="32"/>
          <w:lang w:val="zh-CN"/>
        </w:rPr>
        <w:t>同意方能报销。</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第十五条</w:t>
      </w:r>
      <w:r>
        <w:rPr>
          <w:rFonts w:hint="eastAsia" w:ascii="仿宋_GB2312" w:eastAsia="仿宋_GB2312"/>
          <w:sz w:val="32"/>
          <w:szCs w:val="32"/>
        </w:rPr>
        <w:tab/>
      </w:r>
      <w:r>
        <w:rPr>
          <w:rFonts w:hint="eastAsia" w:ascii="仿宋_GB2312" w:eastAsia="仿宋_GB2312"/>
          <w:sz w:val="32"/>
          <w:szCs w:val="32"/>
        </w:rPr>
        <w:t>报销要求</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1.国际会议结束后，需在二个月内办理报销手续；</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2.报销时须提供会议事前审批流程及会议代表签到表。</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714" w:name="_Toc22481_WPSOffice_Level1"/>
      <w:r>
        <w:rPr>
          <w:rFonts w:hint="eastAsia" w:ascii="黑体" w:hAnsi="黑体" w:eastAsia="黑体"/>
          <w:b/>
          <w:sz w:val="32"/>
          <w:szCs w:val="32"/>
        </w:rPr>
        <w:t>第五章 会议总结</w:t>
      </w:r>
      <w:bookmarkEnd w:id="1714"/>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第十六条 </w:t>
      </w:r>
      <w:r>
        <w:rPr>
          <w:rFonts w:hint="eastAsia" w:ascii="仿宋_GB2312" w:eastAsia="仿宋_GB2312"/>
          <w:sz w:val="32"/>
          <w:szCs w:val="32"/>
        </w:rPr>
        <w:t>会议举行后，会议举办部门应在30天内将会议全套材料（包括会议通知、名册、论文、批文、照片、会标、光盘、录音、录相、会议报道和会议总结等）送交国际交流处， 由国际交流处审定后，报送上级主管部门。</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715" w:name="_Toc12827_WPSOffice_Level1"/>
      <w:r>
        <w:rPr>
          <w:rFonts w:hint="eastAsia" w:ascii="黑体" w:hAnsi="黑体" w:eastAsia="黑体"/>
          <w:b/>
          <w:sz w:val="32"/>
          <w:szCs w:val="32"/>
        </w:rPr>
        <w:t>第六章 注意事项</w:t>
      </w:r>
      <w:bookmarkEnd w:id="1715"/>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会议期间，我方与会代表应严格遵守保密制度， 不得携带涉密文件、资料参加会议活动。我方与会代表发表的演讲、论文及提供的资料、数据及其内容均需符合可以公开的口径，不得泄露秘密。</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会议期间应尊重国（境）外人员的风俗习惯和宗教信仰。同时参会国（境）外人员不得在任何场所，以任何方式， 散布攻击我国政府和政策法令的言论，干涉我国内政；不得以任何形式在校内或校外非宗教场所宣传、传播宗教，不得在校内或校外非宗教场所举行宗教仪式或进行宗教活动，不得以任何名义在我校师生中散发宗教书籍或材料，一经发现，邀请举办部门应立刻制止，同时通报给学校党委办公室、党委宣传部、保卫处、国际交流处。对违反上述规定者，应根据我国有关法律法规进行处理。</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第十九条</w:t>
      </w:r>
      <w:r>
        <w:rPr>
          <w:rFonts w:hint="eastAsia" w:ascii="仿宋_GB2312" w:eastAsia="仿宋_GB2312"/>
          <w:sz w:val="32"/>
          <w:szCs w:val="32"/>
        </w:rPr>
        <w:t xml:space="preserve"> 国（境）外人员在参会期间，不得以任何形式向我校师生开展涉及政治思想、社会状况、经济或科技秘密等违反我国法律、我校规定的调查。</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其它未尽涉外事宜，均应事先与国际交流处沟通，以便及时请示汇报，妥善处理。</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716" w:name="_Toc30431_WPSOffice_Level1"/>
      <w:r>
        <w:rPr>
          <w:rFonts w:hint="eastAsia" w:ascii="黑体" w:hAnsi="黑体" w:eastAsia="黑体"/>
          <w:b/>
          <w:sz w:val="32"/>
          <w:szCs w:val="32"/>
        </w:rPr>
        <w:t>第七章 附</w:t>
      </w:r>
      <w:r>
        <w:rPr>
          <w:rFonts w:hint="eastAsia" w:ascii="黑体" w:hAnsi="黑体" w:eastAsia="黑体"/>
          <w:b/>
          <w:sz w:val="32"/>
          <w:szCs w:val="32"/>
        </w:rPr>
        <w:tab/>
      </w:r>
      <w:r>
        <w:rPr>
          <w:rFonts w:hint="eastAsia" w:ascii="黑体" w:hAnsi="黑体" w:eastAsia="黑体"/>
          <w:b/>
          <w:sz w:val="32"/>
          <w:szCs w:val="32"/>
        </w:rPr>
        <w:t>则</w:t>
      </w:r>
      <w:bookmarkEnd w:id="1716"/>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本办法由国际交流处负责解释。</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第二十三条</w:t>
      </w:r>
      <w:r>
        <w:rPr>
          <w:rFonts w:hint="eastAsia" w:ascii="仿宋_GB2312" w:eastAsia="仿宋_GB2312"/>
          <w:sz w:val="32"/>
          <w:szCs w:val="32"/>
        </w:rPr>
        <w:t xml:space="preserve"> 本办法自发文之日起施行。</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附件：1.柳州职业技术学院举办国际会议申请表</w:t>
      </w:r>
    </w:p>
    <w:p>
      <w:pPr>
        <w:pageBreakBefore w:val="0"/>
        <w:kinsoku/>
        <w:overflowPunct/>
        <w:topLinePunct w:val="0"/>
        <w:autoSpaceDE/>
        <w:autoSpaceDN/>
        <w:bidi w:val="0"/>
        <w:spacing w:line="596" w:lineRule="exact"/>
        <w:ind w:firstLine="1600" w:firstLineChars="500"/>
        <w:outlineLvl w:val="9"/>
        <w:rPr>
          <w:rFonts w:ascii="仿宋_GB2312" w:eastAsia="仿宋_GB2312"/>
          <w:sz w:val="32"/>
          <w:szCs w:val="32"/>
        </w:rPr>
      </w:pPr>
      <w:r>
        <w:rPr>
          <w:rFonts w:hint="eastAsia" w:ascii="仿宋_GB2312" w:eastAsia="仿宋_GB2312"/>
          <w:sz w:val="32"/>
          <w:szCs w:val="32"/>
        </w:rPr>
        <w:t>2.柳州职业技术学院举办国际会议审批流程</w:t>
      </w:r>
    </w:p>
    <w:p>
      <w:pPr>
        <w:pageBreakBefore w:val="0"/>
        <w:kinsoku/>
        <w:overflowPunct/>
        <w:topLinePunct w:val="0"/>
        <w:autoSpaceDE/>
        <w:autoSpaceDN/>
        <w:bidi w:val="0"/>
        <w:spacing w:line="596" w:lineRule="exact"/>
        <w:ind w:firstLine="1600" w:firstLineChars="500"/>
        <w:outlineLvl w:val="9"/>
        <w:rPr>
          <w:rFonts w:hint="eastAsia" w:ascii="仿宋_GB2312" w:eastAsia="仿宋_GB2312"/>
          <w:sz w:val="32"/>
          <w:szCs w:val="32"/>
        </w:rPr>
      </w:pPr>
      <w:r>
        <w:rPr>
          <w:rFonts w:hint="eastAsia" w:ascii="仿宋_GB2312" w:eastAsia="仿宋_GB2312"/>
          <w:sz w:val="32"/>
          <w:szCs w:val="32"/>
        </w:rPr>
        <w:t>3.柳州职业技术学院举办国际会议经费预算表</w:t>
      </w:r>
    </w:p>
    <w:p>
      <w:pPr>
        <w:pageBreakBefore w:val="0"/>
        <w:kinsoku/>
        <w:overflowPunct/>
        <w:topLinePunct w:val="0"/>
        <w:autoSpaceDE/>
        <w:autoSpaceDN/>
        <w:bidi w:val="0"/>
        <w:spacing w:line="596" w:lineRule="exact"/>
        <w:ind w:firstLine="1600" w:firstLineChars="500"/>
        <w:outlineLvl w:val="9"/>
        <w:rPr>
          <w:rFonts w:hint="eastAsia" w:ascii="仿宋_GB2312" w:eastAsia="仿宋_GB2312"/>
          <w:sz w:val="32"/>
          <w:szCs w:val="32"/>
        </w:rPr>
      </w:pPr>
      <w:r>
        <w:rPr>
          <w:rFonts w:hint="eastAsia" w:ascii="仿宋_GB2312" w:eastAsia="仿宋_GB2312"/>
          <w:sz w:val="32"/>
          <w:szCs w:val="32"/>
        </w:rPr>
        <w:t>4.参会国（境）外人员名单表</w:t>
      </w:r>
    </w:p>
    <w:p>
      <w:pPr>
        <w:pageBreakBefore w:val="0"/>
        <w:kinsoku/>
        <w:overflowPunct/>
        <w:topLinePunct w:val="0"/>
        <w:autoSpaceDE/>
        <w:autoSpaceDN/>
        <w:bidi w:val="0"/>
        <w:spacing w:line="360" w:lineRule="auto"/>
        <w:outlineLvl w:val="9"/>
        <w:rPr>
          <w:rFonts w:hint="eastAsia"/>
          <w:szCs w:val="28"/>
        </w:rPr>
      </w:pPr>
    </w:p>
    <w:p>
      <w:pPr>
        <w:pageBreakBefore w:val="0"/>
        <w:kinsoku/>
        <w:overflowPunct/>
        <w:topLinePunct w:val="0"/>
        <w:autoSpaceDE/>
        <w:autoSpaceDN/>
        <w:bidi w:val="0"/>
        <w:spacing w:line="360" w:lineRule="auto"/>
        <w:outlineLvl w:val="9"/>
        <w:rPr>
          <w:rFonts w:hint="eastAsia"/>
          <w:szCs w:val="28"/>
        </w:rPr>
      </w:pPr>
    </w:p>
    <w:p>
      <w:pPr>
        <w:pageBreakBefore w:val="0"/>
        <w:kinsoku/>
        <w:overflowPunct/>
        <w:topLinePunct w:val="0"/>
        <w:autoSpaceDE/>
        <w:autoSpaceDN/>
        <w:bidi w:val="0"/>
        <w:outlineLvl w:val="9"/>
        <w:rPr>
          <w:rFonts w:hint="eastAsia" w:ascii="宋体" w:hAnsi="宋体" w:cs="宋体"/>
          <w:szCs w:val="28"/>
        </w:rPr>
      </w:pPr>
    </w:p>
    <w:p>
      <w:pPr>
        <w:pageBreakBefore w:val="0"/>
        <w:kinsoku/>
        <w:overflowPunct/>
        <w:topLinePunct w:val="0"/>
        <w:autoSpaceDE/>
        <w:autoSpaceDN/>
        <w:bidi w:val="0"/>
        <w:outlineLvl w:val="9"/>
        <w:rPr>
          <w:rFonts w:hint="eastAsia" w:ascii="宋体" w:hAnsi="宋体" w:cs="宋体"/>
          <w:szCs w:val="28"/>
        </w:rPr>
      </w:pPr>
    </w:p>
    <w:p>
      <w:pPr>
        <w:pageBreakBefore w:val="0"/>
        <w:kinsoku/>
        <w:overflowPunct/>
        <w:topLinePunct w:val="0"/>
        <w:autoSpaceDE/>
        <w:autoSpaceDN/>
        <w:bidi w:val="0"/>
        <w:outlineLvl w:val="9"/>
        <w:rPr>
          <w:rFonts w:hint="eastAsia" w:ascii="宋体" w:hAnsi="宋体" w:cs="宋体"/>
          <w:szCs w:val="28"/>
        </w:rPr>
      </w:pPr>
    </w:p>
    <w:p>
      <w:pPr>
        <w:pageBreakBefore w:val="0"/>
        <w:kinsoku/>
        <w:overflowPunct/>
        <w:topLinePunct w:val="0"/>
        <w:autoSpaceDE/>
        <w:autoSpaceDN/>
        <w:bidi w:val="0"/>
        <w:outlineLvl w:val="9"/>
        <w:rPr>
          <w:rFonts w:hint="eastAsia" w:ascii="宋体" w:hAnsi="宋体" w:cs="宋体"/>
          <w:szCs w:val="28"/>
        </w:rPr>
      </w:pPr>
    </w:p>
    <w:p>
      <w:pPr>
        <w:pageBreakBefore w:val="0"/>
        <w:kinsoku/>
        <w:overflowPunct/>
        <w:topLinePunct w:val="0"/>
        <w:autoSpaceDE/>
        <w:autoSpaceDN/>
        <w:bidi w:val="0"/>
        <w:outlineLvl w:val="9"/>
        <w:rPr>
          <w:rFonts w:hint="eastAsia" w:ascii="宋体" w:hAnsi="宋体" w:cs="宋体"/>
          <w:szCs w:val="28"/>
        </w:rPr>
      </w:pPr>
    </w:p>
    <w:p>
      <w:pPr>
        <w:pageBreakBefore w:val="0"/>
        <w:kinsoku/>
        <w:overflowPunct/>
        <w:topLinePunct w:val="0"/>
        <w:autoSpaceDE/>
        <w:autoSpaceDN/>
        <w:bidi w:val="0"/>
        <w:outlineLvl w:val="9"/>
        <w:rPr>
          <w:rFonts w:hint="eastAsia" w:ascii="宋体" w:hAnsi="宋体" w:cs="宋体"/>
          <w:szCs w:val="28"/>
        </w:rPr>
      </w:pPr>
    </w:p>
    <w:p>
      <w:pPr>
        <w:pageBreakBefore w:val="0"/>
        <w:kinsoku/>
        <w:overflowPunct/>
        <w:topLinePunct w:val="0"/>
        <w:autoSpaceDE/>
        <w:autoSpaceDN/>
        <w:bidi w:val="0"/>
        <w:outlineLvl w:val="9"/>
        <w:rPr>
          <w:rFonts w:hint="eastAsia" w:ascii="宋体" w:hAnsi="宋体" w:cs="宋体"/>
          <w:szCs w:val="28"/>
        </w:rPr>
      </w:pPr>
    </w:p>
    <w:p>
      <w:pPr>
        <w:pageBreakBefore w:val="0"/>
        <w:kinsoku/>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附件1：</w:t>
      </w:r>
    </w:p>
    <w:p>
      <w:pPr>
        <w:pageBreakBefore w:val="0"/>
        <w:kinsoku/>
        <w:overflowPunct/>
        <w:topLinePunct w:val="0"/>
        <w:autoSpaceDE/>
        <w:autoSpaceDN/>
        <w:bidi w:val="0"/>
        <w:spacing w:line="596" w:lineRule="exact"/>
        <w:jc w:val="center"/>
        <w:outlineLvl w:val="9"/>
        <w:rPr>
          <w:rFonts w:hint="eastAsia"/>
          <w:b/>
          <w:color w:val="000000"/>
          <w:sz w:val="36"/>
          <w:szCs w:val="36"/>
        </w:rPr>
      </w:pPr>
      <w:bookmarkStart w:id="1717" w:name="_Toc27801_WPSOffice_Level1"/>
      <w:r>
        <w:rPr>
          <w:rFonts w:hint="eastAsia"/>
          <w:b/>
          <w:color w:val="000000"/>
          <w:sz w:val="36"/>
          <w:szCs w:val="36"/>
        </w:rPr>
        <w:t>柳州职业技术学院举办国际会议申请表</w:t>
      </w:r>
      <w:bookmarkEnd w:id="1717"/>
    </w:p>
    <w:tbl>
      <w:tblPr>
        <w:tblStyle w:val="15"/>
        <w:tblW w:w="88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855"/>
        <w:gridCol w:w="1271"/>
        <w:gridCol w:w="690"/>
        <w:gridCol w:w="1264"/>
        <w:gridCol w:w="1080"/>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1444"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申请部门</w:t>
            </w:r>
          </w:p>
        </w:tc>
        <w:tc>
          <w:tcPr>
            <w:tcW w:w="2816" w:type="dxa"/>
            <w:gridSpan w:val="3"/>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c>
          <w:tcPr>
            <w:tcW w:w="1264" w:type="dxa"/>
            <w:vAlign w:val="center"/>
          </w:tcPr>
          <w:p>
            <w:pPr>
              <w:pageBreakBefore w:val="0"/>
              <w:widowControl/>
              <w:kinsoku/>
              <w:overflowPunct/>
              <w:topLinePunct w:val="0"/>
              <w:autoSpaceDE/>
              <w:autoSpaceDN/>
              <w:bidi w:val="0"/>
              <w:spacing w:line="260" w:lineRule="exact"/>
              <w:ind w:firstLine="240" w:firstLineChars="100"/>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w:t>
            </w:r>
          </w:p>
        </w:tc>
        <w:tc>
          <w:tcPr>
            <w:tcW w:w="3360"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229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会议名称（中文）</w:t>
            </w:r>
          </w:p>
        </w:tc>
        <w:tc>
          <w:tcPr>
            <w:tcW w:w="6585" w:type="dxa"/>
            <w:gridSpan w:val="5"/>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229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会议名称（英文）</w:t>
            </w:r>
          </w:p>
        </w:tc>
        <w:tc>
          <w:tcPr>
            <w:tcW w:w="6585" w:type="dxa"/>
            <w:gridSpan w:val="5"/>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1444"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会议地点</w:t>
            </w:r>
          </w:p>
        </w:tc>
        <w:tc>
          <w:tcPr>
            <w:tcW w:w="2816" w:type="dxa"/>
            <w:gridSpan w:val="3"/>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c>
          <w:tcPr>
            <w:tcW w:w="1264"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举办时间</w:t>
            </w:r>
          </w:p>
        </w:tc>
        <w:tc>
          <w:tcPr>
            <w:tcW w:w="3360"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229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主办单位（中英文）</w:t>
            </w:r>
          </w:p>
        </w:tc>
        <w:tc>
          <w:tcPr>
            <w:tcW w:w="6585" w:type="dxa"/>
            <w:gridSpan w:val="5"/>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229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承办单位（中英文）</w:t>
            </w:r>
          </w:p>
        </w:tc>
        <w:tc>
          <w:tcPr>
            <w:tcW w:w="6585" w:type="dxa"/>
            <w:gridSpan w:val="5"/>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229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协办单位（中英文）</w:t>
            </w:r>
          </w:p>
        </w:tc>
        <w:tc>
          <w:tcPr>
            <w:tcW w:w="6585" w:type="dxa"/>
            <w:gridSpan w:val="5"/>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229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与会人员总数</w:t>
            </w:r>
          </w:p>
        </w:tc>
        <w:tc>
          <w:tcPr>
            <w:tcW w:w="1271"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c>
          <w:tcPr>
            <w:tcW w:w="3034" w:type="dxa"/>
            <w:gridSpan w:val="3"/>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国（境）外人员总数及国别</w:t>
            </w:r>
          </w:p>
        </w:tc>
        <w:tc>
          <w:tcPr>
            <w:tcW w:w="2280"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5" w:hRule="atLeast"/>
        </w:trPr>
        <w:tc>
          <w:tcPr>
            <w:tcW w:w="8884" w:type="dxa"/>
            <w:gridSpan w:val="7"/>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举办国际会议的必要性：</w:t>
            </w:r>
          </w:p>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5" w:hRule="atLeast"/>
        </w:trPr>
        <w:tc>
          <w:tcPr>
            <w:tcW w:w="8884" w:type="dxa"/>
            <w:gridSpan w:val="7"/>
          </w:tcPr>
          <w:p>
            <w:pPr>
              <w:pageBreakBefore w:val="0"/>
              <w:widowControl/>
              <w:kinsoku/>
              <w:overflowPunct/>
              <w:topLinePunct w:val="0"/>
              <w:autoSpaceDE/>
              <w:autoSpaceDN/>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会议概况及申办理由（包括背景、主题、内容、组织机构、意义、预期目标；拟邀请国（境）外人员名单、日程安排、经费预算具体另附，此表写概况）</w:t>
            </w:r>
          </w:p>
          <w:p>
            <w:pPr>
              <w:pageBreakBefore w:val="0"/>
              <w:widowControl/>
              <w:kinsoku/>
              <w:overflowPunct/>
              <w:topLinePunct w:val="0"/>
              <w:autoSpaceDE/>
              <w:autoSpaceDN/>
              <w:bidi w:val="0"/>
              <w:spacing w:line="260" w:lineRule="exact"/>
              <w:jc w:val="left"/>
              <w:textAlignment w:val="center"/>
              <w:outlineLvl w:val="9"/>
              <w:rPr>
                <w:rFonts w:hint="eastAsia" w:ascii="仿宋_GB2312" w:hAnsi="宋体" w:eastAsia="仿宋_GB2312" w:cs="宋体"/>
                <w:color w:val="000000"/>
                <w:kern w:val="0"/>
                <w:sz w:val="24"/>
                <w:lang w:bidi="ar"/>
              </w:rPr>
            </w:pPr>
          </w:p>
          <w:p>
            <w:pPr>
              <w:pageBreakBefore w:val="0"/>
              <w:widowControl/>
              <w:kinsoku/>
              <w:overflowPunct/>
              <w:topLinePunct w:val="0"/>
              <w:autoSpaceDE/>
              <w:autoSpaceDN/>
              <w:bidi w:val="0"/>
              <w:spacing w:line="260" w:lineRule="exact"/>
              <w:jc w:val="left"/>
              <w:textAlignment w:val="center"/>
              <w:outlineLvl w:val="9"/>
              <w:rPr>
                <w:rFonts w:hint="eastAsia" w:ascii="仿宋_GB2312" w:hAnsi="宋体" w:eastAsia="仿宋_GB2312" w:cs="宋体"/>
                <w:color w:val="000000"/>
                <w:kern w:val="0"/>
                <w:sz w:val="24"/>
                <w:lang w:bidi="ar"/>
              </w:rPr>
            </w:pPr>
          </w:p>
          <w:p>
            <w:pPr>
              <w:pageBreakBefore w:val="0"/>
              <w:widowControl/>
              <w:kinsoku/>
              <w:overflowPunct/>
              <w:topLinePunct w:val="0"/>
              <w:autoSpaceDE/>
              <w:autoSpaceDN/>
              <w:bidi w:val="0"/>
              <w:spacing w:line="260" w:lineRule="exact"/>
              <w:jc w:val="left"/>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5" w:hRule="atLeast"/>
        </w:trPr>
        <w:tc>
          <w:tcPr>
            <w:tcW w:w="4260" w:type="dxa"/>
            <w:gridSpan w:val="4"/>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会议负责人：</w:t>
            </w:r>
          </w:p>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电话：</w:t>
            </w:r>
          </w:p>
        </w:tc>
        <w:tc>
          <w:tcPr>
            <w:tcW w:w="4624" w:type="dxa"/>
            <w:gridSpan w:val="3"/>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会议经办人：</w:t>
            </w:r>
          </w:p>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电话：</w:t>
            </w:r>
          </w:p>
        </w:tc>
      </w:tr>
    </w:tbl>
    <w:p>
      <w:pPr>
        <w:pageBreakBefore w:val="0"/>
        <w:kinsoku/>
        <w:overflowPunct/>
        <w:topLinePunct w:val="0"/>
        <w:autoSpaceDE/>
        <w:autoSpaceDN/>
        <w:bidi w:val="0"/>
        <w:spacing w:line="590" w:lineRule="exact"/>
        <w:outlineLvl w:val="9"/>
        <w:rPr>
          <w:rFonts w:hint="eastAsia" w:ascii="仿宋_GB2312" w:eastAsia="仿宋_GB2312"/>
          <w:szCs w:val="28"/>
        </w:rPr>
      </w:pPr>
    </w:p>
    <w:p>
      <w:pPr>
        <w:pageBreakBefore w:val="0"/>
        <w:kinsoku/>
        <w:overflowPunct/>
        <w:topLinePunct w:val="0"/>
        <w:autoSpaceDE/>
        <w:autoSpaceDN/>
        <w:bidi w:val="0"/>
        <w:spacing w:line="590" w:lineRule="exact"/>
        <w:outlineLvl w:val="9"/>
        <w:rPr>
          <w:rFonts w:hint="eastAsia" w:ascii="仿宋_GB2312" w:eastAsia="仿宋_GB2312"/>
          <w:szCs w:val="28"/>
        </w:rPr>
        <w:sectPr>
          <w:pgSz w:w="11906" w:h="16838"/>
          <w:pgMar w:top="2098" w:right="1474" w:bottom="1985" w:left="1588" w:header="851" w:footer="1559" w:gutter="0"/>
          <w:pgNumType w:fmt="decimal"/>
          <w:cols w:space="720" w:num="1"/>
          <w:docGrid w:type="lines" w:linePitch="595" w:charSpace="0"/>
        </w:sectPr>
      </w:pPr>
    </w:p>
    <w:p>
      <w:pPr>
        <w:pageBreakBefore w:val="0"/>
        <w:kinsoku/>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附件2：</w:t>
      </w:r>
    </w:p>
    <w:p>
      <w:pPr>
        <w:pageBreakBefore w:val="0"/>
        <w:kinsoku/>
        <w:overflowPunct/>
        <w:topLinePunct w:val="0"/>
        <w:autoSpaceDE/>
        <w:autoSpaceDN/>
        <w:bidi w:val="0"/>
        <w:spacing w:line="596" w:lineRule="exact"/>
        <w:jc w:val="center"/>
        <w:outlineLvl w:val="9"/>
        <w:rPr>
          <w:rFonts w:hint="eastAsia"/>
          <w:b/>
          <w:color w:val="000000"/>
          <w:sz w:val="36"/>
          <w:szCs w:val="36"/>
        </w:rPr>
      </w:pPr>
      <w:bookmarkStart w:id="1718" w:name="_Toc17030_WPSOffice_Level1"/>
      <w:r>
        <w:rPr>
          <w:rFonts w:hint="eastAsia"/>
          <w:b/>
          <w:color w:val="000000"/>
          <w:sz w:val="36"/>
          <w:szCs w:val="36"/>
        </w:rPr>
        <w:t>柳州职业技术学院举办国际会议申请流程</w:t>
      </w:r>
      <w:bookmarkEnd w:id="1718"/>
    </w:p>
    <w:tbl>
      <w:tblPr>
        <w:tblStyle w:val="14"/>
        <w:tblW w:w="111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276"/>
        <w:gridCol w:w="1417"/>
        <w:gridCol w:w="4092"/>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2244" w:type="dxa"/>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2"/>
                <w:szCs w:val="22"/>
                <w:lang w:bidi="ar"/>
              </w:rPr>
            </w:pPr>
            <w:r>
              <w:rPr>
                <w:rFonts w:hint="eastAsia" w:ascii="仿宋_GB2312" w:hAnsi="宋体" w:eastAsia="仿宋_GB2312" w:cs="宋体"/>
                <w:b/>
                <w:bCs/>
                <w:color w:val="000000"/>
                <w:kern w:val="0"/>
                <w:sz w:val="22"/>
                <w:szCs w:val="22"/>
                <w:lang w:bidi="ar"/>
              </w:rPr>
              <w:t>流程图</w:t>
            </w:r>
          </w:p>
        </w:tc>
        <w:tc>
          <w:tcPr>
            <w:tcW w:w="1276" w:type="dxa"/>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2"/>
                <w:szCs w:val="22"/>
                <w:lang w:bidi="ar"/>
              </w:rPr>
            </w:pPr>
            <w:r>
              <w:rPr>
                <w:rFonts w:hint="eastAsia" w:ascii="仿宋_GB2312" w:hAnsi="宋体" w:eastAsia="仿宋_GB2312" w:cs="宋体"/>
                <w:b/>
                <w:bCs/>
                <w:color w:val="000000"/>
                <w:kern w:val="0"/>
                <w:sz w:val="22"/>
                <w:szCs w:val="22"/>
                <w:lang w:bidi="ar"/>
              </w:rPr>
              <w:t>责任人</w:t>
            </w:r>
          </w:p>
        </w:tc>
        <w:tc>
          <w:tcPr>
            <w:tcW w:w="1417" w:type="dxa"/>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2"/>
                <w:szCs w:val="22"/>
                <w:lang w:bidi="ar"/>
              </w:rPr>
            </w:pPr>
            <w:r>
              <w:rPr>
                <w:rFonts w:hint="eastAsia" w:ascii="仿宋_GB2312" w:hAnsi="宋体" w:eastAsia="仿宋_GB2312" w:cs="宋体"/>
                <w:b/>
                <w:bCs/>
                <w:color w:val="000000"/>
                <w:kern w:val="0"/>
                <w:sz w:val="22"/>
                <w:szCs w:val="22"/>
                <w:lang w:bidi="ar"/>
              </w:rPr>
              <w:t>实施部门</w:t>
            </w:r>
          </w:p>
        </w:tc>
        <w:tc>
          <w:tcPr>
            <w:tcW w:w="4092" w:type="dxa"/>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2"/>
                <w:szCs w:val="22"/>
                <w:lang w:bidi="ar"/>
              </w:rPr>
            </w:pPr>
            <w:r>
              <w:rPr>
                <w:rFonts w:hint="eastAsia" w:ascii="仿宋_GB2312" w:hAnsi="宋体" w:eastAsia="仿宋_GB2312" w:cs="宋体"/>
                <w:b/>
                <w:bCs/>
                <w:color w:val="000000"/>
                <w:kern w:val="0"/>
                <w:sz w:val="22"/>
                <w:szCs w:val="22"/>
                <w:lang w:bidi="ar"/>
              </w:rPr>
              <w:t>过程描述及注意事项</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b/>
                <w:bCs/>
                <w:color w:val="000000"/>
                <w:kern w:val="0"/>
                <w:sz w:val="22"/>
                <w:szCs w:val="22"/>
                <w:lang w:bidi="ar"/>
              </w:rPr>
            </w:pPr>
            <w:r>
              <w:rPr>
                <w:rFonts w:hint="eastAsia" w:ascii="仿宋_GB2312" w:hAnsi="宋体" w:eastAsia="仿宋_GB2312" w:cs="宋体"/>
                <w:b/>
                <w:bCs/>
                <w:color w:val="000000"/>
                <w:kern w:val="0"/>
                <w:sz w:val="22"/>
                <w:szCs w:val="22"/>
                <w:lang w:bidi="ar"/>
              </w:rPr>
              <w:t>支持性文件及记录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0" w:hRule="atLeast"/>
          <w:jc w:val="center"/>
        </w:trPr>
        <w:tc>
          <w:tcPr>
            <w:tcW w:w="2244" w:type="dxa"/>
            <w:vMerge w:val="restart"/>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mc:AlternateContent>
                <mc:Choice Requires="wps">
                  <w:drawing>
                    <wp:anchor distT="0" distB="0" distL="114300" distR="114300" simplePos="0" relativeHeight="251943936" behindDoc="0" locked="0" layoutInCell="1" allowOverlap="1">
                      <wp:simplePos x="0" y="0"/>
                      <wp:positionH relativeFrom="column">
                        <wp:posOffset>-55245</wp:posOffset>
                      </wp:positionH>
                      <wp:positionV relativeFrom="paragraph">
                        <wp:posOffset>6120765</wp:posOffset>
                      </wp:positionV>
                      <wp:extent cx="1332230" cy="943610"/>
                      <wp:effectExtent l="4445" t="5080" r="15875" b="22860"/>
                      <wp:wrapNone/>
                      <wp:docPr id="172" name="矩形 1"/>
                      <wp:cNvGraphicFramePr/>
                      <a:graphic xmlns:a="http://schemas.openxmlformats.org/drawingml/2006/main">
                        <a:graphicData uri="http://schemas.microsoft.com/office/word/2010/wordprocessingShape">
                          <wps:wsp>
                            <wps:cNvSpPr>
                              <a:spLocks noChangeArrowheads="1"/>
                            </wps:cNvSpPr>
                            <wps:spPr bwMode="auto">
                              <a:xfrm>
                                <a:off x="0" y="0"/>
                                <a:ext cx="1332045" cy="943514"/>
                              </a:xfrm>
                              <a:prstGeom prst="rect">
                                <a:avLst/>
                              </a:prstGeom>
                              <a:solidFill>
                                <a:srgbClr val="FFFFFF"/>
                              </a:solidFill>
                              <a:ln w="9525">
                                <a:solidFill>
                                  <a:srgbClr val="000000"/>
                                </a:solidFill>
                                <a:miter lim="800000"/>
                              </a:ln>
                              <a:effectLst/>
                            </wps:spPr>
                            <wps:txb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国际交流处根据上级部门指示通知相关部门/二级学院审核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4.35pt;margin-top:481.95pt;height:74.3pt;width:104.9pt;z-index:251943936;mso-width-relative:page;mso-height-relative:page;" fillcolor="#FFFFFF" filled="t" stroked="t" coordsize="21600,21600" o:gfxdata="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v2&#10;UU7ZAAAACwEAAA8AAAAAAAAAAQAgAAAAIgAAAGRycy9kb3ducmV2LnhtbFBLAQIUABQAAAAIAIdO&#10;4kDRuXYxIgIAADwEAAAOAAAAAAAAAAEAIAAAACgBAABkcnMvZTJvRG9jLnhtbFBLBQYAAAAABgAG&#10;AFkBAAC8BQAAAAA=&#10;">
                      <v:fill on="t" focussize="0,0"/>
                      <v:stroke color="#000000" miterlimit="8" joinstyle="miter"/>
                      <v:imagedata o:title=""/>
                      <o:lock v:ext="edit" aspectratio="f"/>
                      <v:textbo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国际交流处根据上级部门指示通知相关部门/二级学院审核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txbxContent>
                      </v:textbox>
                    </v:rect>
                  </w:pict>
                </mc:Fallback>
              </mc:AlternateContent>
            </w:r>
            <w:r>
              <w:rPr>
                <w:sz w:val="22"/>
                <w:szCs w:val="22"/>
              </w:rPr>
              <mc:AlternateContent>
                <mc:Choice Requires="wpg">
                  <w:drawing>
                    <wp:anchor distT="0" distB="0" distL="114300" distR="114300" simplePos="0" relativeHeight="251940864" behindDoc="0" locked="0" layoutInCell="1" allowOverlap="1">
                      <wp:simplePos x="0" y="0"/>
                      <wp:positionH relativeFrom="column">
                        <wp:posOffset>-60325</wp:posOffset>
                      </wp:positionH>
                      <wp:positionV relativeFrom="paragraph">
                        <wp:posOffset>-635</wp:posOffset>
                      </wp:positionV>
                      <wp:extent cx="1607820" cy="6847205"/>
                      <wp:effectExtent l="0" t="4445" r="0" b="0"/>
                      <wp:wrapSquare wrapText="bothSides"/>
                      <wp:docPr id="150" name="组 1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07820" cy="6847205"/>
                                <a:chOff x="0" y="0"/>
                                <a:chExt cx="1607820" cy="6602094"/>
                              </a:xfrm>
                            </wpg:grpSpPr>
                            <wps:wsp>
                              <wps:cNvPr id="151" name="Rectangle 148"/>
                              <wps:cNvSpPr>
                                <a:spLocks noChangeAspect="1" noChangeArrowheads="1"/>
                              </wps:cNvSpPr>
                              <wps:spPr bwMode="auto">
                                <a:xfrm>
                                  <a:off x="0" y="0"/>
                                  <a:ext cx="1607820" cy="6602094"/>
                                </a:xfrm>
                                <a:prstGeom prst="rect">
                                  <a:avLst/>
                                </a:prstGeom>
                                <a:noFill/>
                                <a:ln>
                                  <a:noFill/>
                                </a:ln>
                                <a:effectLst/>
                              </wps:spPr>
                              <wps:txbx>
                                <w:txbxContent>
                                  <w:p>
                                    <w:pPr>
                                      <w:jc w:val="center"/>
                                    </w:pPr>
                                  </w:p>
                                </w:txbxContent>
                              </wps:txbx>
                              <wps:bodyPr rot="0" vert="horz" wrap="square" lIns="91440" tIns="45720" rIns="91440" bIns="45720" anchor="t" anchorCtr="0" upright="1">
                                <a:noAutofit/>
                              </wps:bodyPr>
                            </wps:wsp>
                            <wps:wsp>
                              <wps:cNvPr id="152" name="矩形 1"/>
                              <wps:cNvSpPr>
                                <a:spLocks noChangeArrowheads="1"/>
                              </wps:cNvSpPr>
                              <wps:spPr bwMode="auto">
                                <a:xfrm>
                                  <a:off x="140335" y="0"/>
                                  <a:ext cx="1201420" cy="441325"/>
                                </a:xfrm>
                                <a:prstGeom prst="rect">
                                  <a:avLst/>
                                </a:prstGeom>
                                <a:solidFill>
                                  <a:srgbClr val="FFFFFF"/>
                                </a:solidFill>
                                <a:ln w="9525">
                                  <a:solidFill>
                                    <a:srgbClr val="000000"/>
                                  </a:solidFill>
                                  <a:miter lim="800000"/>
                                </a:ln>
                                <a:effectLst/>
                              </wps:spPr>
                              <wps:txb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txbxContent>
                              </wps:txbx>
                              <wps:bodyPr rot="0" vert="horz" wrap="square" lIns="91440" tIns="45720" rIns="91440" bIns="45720" anchor="t" anchorCtr="0" upright="1">
                                <a:noAutofit/>
                              </wps:bodyPr>
                            </wps:wsp>
                            <wps:wsp>
                              <wps:cNvPr id="153" name="直接箭头连接符 3"/>
                              <wps:cNvCnPr>
                                <a:cxnSpLocks noChangeShapeType="1"/>
                              </wps:cNvCnPr>
                              <wps:spPr bwMode="auto">
                                <a:xfrm>
                                  <a:off x="692150" y="433070"/>
                                  <a:ext cx="1905" cy="344805"/>
                                </a:xfrm>
                                <a:prstGeom prst="straightConnector1">
                                  <a:avLst/>
                                </a:prstGeom>
                                <a:noFill/>
                                <a:ln w="9525">
                                  <a:solidFill>
                                    <a:srgbClr val="000000"/>
                                  </a:solidFill>
                                  <a:round/>
                                  <a:tailEnd type="triangle" w="med" len="med"/>
                                </a:ln>
                                <a:effectLst/>
                              </wps:spPr>
                              <wps:bodyPr/>
                            </wps:wsp>
                            <wps:wsp>
                              <wps:cNvPr id="154" name="矩形 14"/>
                              <wps:cNvSpPr>
                                <a:spLocks noChangeArrowheads="1"/>
                              </wps:cNvSpPr>
                              <wps:spPr bwMode="auto">
                                <a:xfrm>
                                  <a:off x="62230" y="5219064"/>
                                  <a:ext cx="1287145" cy="450850"/>
                                </a:xfrm>
                                <a:prstGeom prst="rect">
                                  <a:avLst/>
                                </a:prstGeom>
                                <a:solidFill>
                                  <a:srgbClr val="FFFFFF"/>
                                </a:solidFill>
                                <a:ln w="9525">
                                  <a:solidFill>
                                    <a:srgbClr val="000000"/>
                                  </a:solidFill>
                                  <a:miter lim="800000"/>
                                </a:ln>
                                <a:effectLst/>
                              </wps:spPr>
                              <wps:txbx>
                                <w:txbxContent>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txbxContent>
                              </wps:txbx>
                              <wps:bodyPr rot="0" vert="horz" wrap="square" lIns="91440" tIns="45720" rIns="91440" bIns="45720" anchor="t" anchorCtr="0" upright="1">
                                <a:noAutofit/>
                              </wps:bodyPr>
                            </wps:wsp>
                            <wps:wsp>
                              <wps:cNvPr id="155" name="直接箭头连接符 16"/>
                              <wps:cNvCnPr>
                                <a:cxnSpLocks noChangeShapeType="1"/>
                              </wps:cNvCnPr>
                              <wps:spPr bwMode="auto">
                                <a:xfrm flipH="1">
                                  <a:off x="685165" y="1360170"/>
                                  <a:ext cx="6350" cy="254635"/>
                                </a:xfrm>
                                <a:prstGeom prst="straightConnector1">
                                  <a:avLst/>
                                </a:prstGeom>
                                <a:noFill/>
                                <a:ln w="9525">
                                  <a:solidFill>
                                    <a:srgbClr val="000000"/>
                                  </a:solidFill>
                                  <a:round/>
                                  <a:tailEnd type="triangle" w="med" len="med"/>
                                </a:ln>
                                <a:effectLst/>
                              </wps:spPr>
                              <wps:bodyPr/>
                            </wps:wsp>
                            <wps:wsp>
                              <wps:cNvPr id="156" name="菱形 17"/>
                              <wps:cNvSpPr>
                                <a:spLocks noChangeArrowheads="1"/>
                              </wps:cNvSpPr>
                              <wps:spPr bwMode="auto">
                                <a:xfrm>
                                  <a:off x="193675" y="777875"/>
                                  <a:ext cx="1000760" cy="579120"/>
                                </a:xfrm>
                                <a:prstGeom prst="diamond">
                                  <a:avLst/>
                                </a:prstGeom>
                                <a:solidFill>
                                  <a:srgbClr val="FFFFFF"/>
                                </a:solidFill>
                                <a:ln w="9525">
                                  <a:solidFill>
                                    <a:srgbClr val="000000"/>
                                  </a:solidFill>
                                  <a:miter lim="800000"/>
                                </a:ln>
                                <a:effectLst/>
                              </wps:spPr>
                              <wps:txb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wps:txbx>
                              <wps:bodyPr rot="0" vert="horz" wrap="square" lIns="91440" tIns="45720" rIns="91440" bIns="45720" anchor="t" anchorCtr="0" upright="1">
                                <a:noAutofit/>
                              </wps:bodyPr>
                            </wps:wsp>
                            <wps:wsp>
                              <wps:cNvPr id="157" name="矩形 18"/>
                              <wps:cNvSpPr>
                                <a:spLocks noChangeArrowheads="1"/>
                              </wps:cNvSpPr>
                              <wps:spPr bwMode="auto">
                                <a:xfrm>
                                  <a:off x="41275" y="1639570"/>
                                  <a:ext cx="1321435" cy="595630"/>
                                </a:xfrm>
                                <a:prstGeom prst="rect">
                                  <a:avLst/>
                                </a:prstGeom>
                                <a:solidFill>
                                  <a:srgbClr val="FFFFFF"/>
                                </a:solidFill>
                                <a:ln w="9525">
                                  <a:solidFill>
                                    <a:srgbClr val="000000"/>
                                  </a:solidFill>
                                  <a:miter lim="800000"/>
                                </a:ln>
                                <a:effectLst/>
                              </wps:spPr>
                              <wps:txbx>
                                <w:txbxContent>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txbxContent>
                              </wps:txbx>
                              <wps:bodyPr rot="0" vert="horz" wrap="square" lIns="91440" tIns="45720" rIns="91440" bIns="45720" anchor="t" anchorCtr="0" upright="1">
                                <a:noAutofit/>
                              </wps:bodyPr>
                            </wps:wsp>
                            <wps:wsp>
                              <wps:cNvPr id="158" name="直接箭头连接符 21"/>
                              <wps:cNvCnPr>
                                <a:cxnSpLocks noChangeShapeType="1"/>
                              </wps:cNvCnPr>
                              <wps:spPr bwMode="auto">
                                <a:xfrm>
                                  <a:off x="694055" y="2243455"/>
                                  <a:ext cx="635" cy="196215"/>
                                </a:xfrm>
                                <a:prstGeom prst="straightConnector1">
                                  <a:avLst/>
                                </a:prstGeom>
                                <a:noFill/>
                                <a:ln w="9525">
                                  <a:solidFill>
                                    <a:srgbClr val="000000"/>
                                  </a:solidFill>
                                  <a:round/>
                                  <a:tailEnd type="triangle" w="med" len="med"/>
                                </a:ln>
                                <a:effectLst/>
                              </wps:spPr>
                              <wps:bodyPr/>
                            </wps:wsp>
                            <wps:wsp>
                              <wps:cNvPr id="159" name="直接箭头连接符 22"/>
                              <wps:cNvCnPr>
                                <a:cxnSpLocks noChangeShapeType="1"/>
                              </wps:cNvCnPr>
                              <wps:spPr bwMode="auto">
                                <a:xfrm flipH="1">
                                  <a:off x="666115" y="2991485"/>
                                  <a:ext cx="16510" cy="172085"/>
                                </a:xfrm>
                                <a:prstGeom prst="straightConnector1">
                                  <a:avLst/>
                                </a:prstGeom>
                                <a:noFill/>
                                <a:ln w="9525">
                                  <a:solidFill>
                                    <a:srgbClr val="000000"/>
                                  </a:solidFill>
                                  <a:round/>
                                  <a:tailEnd type="triangle" w="med" len="med"/>
                                </a:ln>
                                <a:effectLst/>
                              </wps:spPr>
                              <wps:bodyPr/>
                            </wps:wsp>
                            <wps:wsp>
                              <wps:cNvPr id="160" name="矩形 25"/>
                              <wps:cNvSpPr>
                                <a:spLocks noChangeArrowheads="1"/>
                              </wps:cNvSpPr>
                              <wps:spPr bwMode="auto">
                                <a:xfrm>
                                  <a:off x="50165" y="3141345"/>
                                  <a:ext cx="1393825" cy="424179"/>
                                </a:xfrm>
                                <a:prstGeom prst="rect">
                                  <a:avLst/>
                                </a:prstGeom>
                                <a:solidFill>
                                  <a:srgbClr val="FFFFFF"/>
                                </a:solidFill>
                                <a:ln w="9525">
                                  <a:solidFill>
                                    <a:srgbClr val="000000"/>
                                  </a:solidFill>
                                  <a:miter lim="800000"/>
                                </a:ln>
                                <a:effectLst/>
                              </wps:spPr>
                              <wps:txbx>
                                <w:txbxContent>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txbxContent>
                              </wps:txbx>
                              <wps:bodyPr rot="0" vert="horz" wrap="square" lIns="91440" tIns="45720" rIns="91440" bIns="45720" anchor="t" anchorCtr="0" upright="1">
                                <a:noAutofit/>
                              </wps:bodyPr>
                            </wps:wsp>
                            <wps:wsp>
                              <wps:cNvPr id="161" name="直接箭头连接符 26"/>
                              <wps:cNvCnPr>
                                <a:cxnSpLocks noChangeShapeType="1"/>
                              </wps:cNvCnPr>
                              <wps:spPr bwMode="auto">
                                <a:xfrm flipH="1">
                                  <a:off x="685165" y="3562349"/>
                                  <a:ext cx="8255" cy="208280"/>
                                </a:xfrm>
                                <a:prstGeom prst="straightConnector1">
                                  <a:avLst/>
                                </a:prstGeom>
                                <a:noFill/>
                                <a:ln w="9525">
                                  <a:solidFill>
                                    <a:srgbClr val="000000"/>
                                  </a:solidFill>
                                  <a:round/>
                                  <a:tailEnd type="triangle" w="med" len="med"/>
                                </a:ln>
                                <a:effectLst/>
                              </wps:spPr>
                              <wps:bodyPr/>
                            </wps:wsp>
                            <wps:wsp>
                              <wps:cNvPr id="162" name="直接箭头连接符 27"/>
                              <wps:cNvCnPr>
                                <a:cxnSpLocks noChangeShapeType="1"/>
                              </wps:cNvCnPr>
                              <wps:spPr bwMode="auto">
                                <a:xfrm>
                                  <a:off x="693420" y="4259579"/>
                                  <a:ext cx="8255" cy="236855"/>
                                </a:xfrm>
                                <a:prstGeom prst="straightConnector1">
                                  <a:avLst/>
                                </a:prstGeom>
                                <a:noFill/>
                                <a:ln w="9525">
                                  <a:solidFill>
                                    <a:srgbClr val="000000"/>
                                  </a:solidFill>
                                  <a:round/>
                                  <a:tailEnd type="triangle" w="med" len="med"/>
                                </a:ln>
                                <a:effectLst/>
                              </wps:spPr>
                              <wps:bodyPr/>
                            </wps:wsp>
                            <wps:wsp>
                              <wps:cNvPr id="163" name="直接箭头连接符 28"/>
                              <wps:cNvCnPr>
                                <a:cxnSpLocks noChangeShapeType="1"/>
                              </wps:cNvCnPr>
                              <wps:spPr bwMode="auto">
                                <a:xfrm flipH="1">
                                  <a:off x="696595" y="5081269"/>
                                  <a:ext cx="5080" cy="161925"/>
                                </a:xfrm>
                                <a:prstGeom prst="straightConnector1">
                                  <a:avLst/>
                                </a:prstGeom>
                                <a:noFill/>
                                <a:ln w="9525">
                                  <a:solidFill>
                                    <a:srgbClr val="000000"/>
                                  </a:solidFill>
                                  <a:round/>
                                  <a:tailEnd type="triangle" w="med" len="med"/>
                                </a:ln>
                                <a:effectLst/>
                              </wps:spPr>
                              <wps:bodyPr/>
                            </wps:wsp>
                            <wps:wsp>
                              <wps:cNvPr id="164" name="直接箭头连接符 29"/>
                              <wps:cNvCnPr>
                                <a:cxnSpLocks noChangeShapeType="1"/>
                              </wps:cNvCnPr>
                              <wps:spPr bwMode="auto">
                                <a:xfrm flipH="1">
                                  <a:off x="681990" y="5679439"/>
                                  <a:ext cx="5080" cy="220345"/>
                                </a:xfrm>
                                <a:prstGeom prst="straightConnector1">
                                  <a:avLst/>
                                </a:prstGeom>
                                <a:noFill/>
                                <a:ln w="9525">
                                  <a:solidFill>
                                    <a:srgbClr val="000000"/>
                                  </a:solidFill>
                                  <a:round/>
                                  <a:tailEnd type="triangle" w="med" len="med"/>
                                </a:ln>
                                <a:effectLst/>
                              </wps:spPr>
                              <wps:bodyPr/>
                            </wps:wsp>
                            <wps:wsp>
                              <wps:cNvPr id="165" name="菱形 17"/>
                              <wps:cNvSpPr>
                                <a:spLocks noChangeArrowheads="1"/>
                              </wps:cNvSpPr>
                              <wps:spPr bwMode="auto">
                                <a:xfrm>
                                  <a:off x="102235" y="2427605"/>
                                  <a:ext cx="1136988" cy="571500"/>
                                </a:xfrm>
                                <a:prstGeom prst="diamond">
                                  <a:avLst/>
                                </a:prstGeom>
                                <a:solidFill>
                                  <a:srgbClr val="FFFFFF"/>
                                </a:solidFill>
                                <a:ln w="9525">
                                  <a:solidFill>
                                    <a:srgbClr val="000000"/>
                                  </a:solidFill>
                                  <a:miter lim="800000"/>
                                </a:ln>
                                <a:effectLst/>
                              </wps:spPr>
                              <wps:txb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wps:txbx>
                              <wps:bodyPr rot="0" vert="horz" wrap="square" lIns="91440" tIns="45720" rIns="91440" bIns="45720" anchor="t" anchorCtr="0" upright="1">
                                <a:noAutofit/>
                              </wps:bodyPr>
                            </wps:wsp>
                            <wps:wsp>
                              <wps:cNvPr id="166" name="菱形 17"/>
                              <wps:cNvSpPr>
                                <a:spLocks noChangeArrowheads="1"/>
                              </wps:cNvSpPr>
                              <wps:spPr bwMode="auto">
                                <a:xfrm>
                                  <a:off x="111422" y="3751579"/>
                                  <a:ext cx="1235413" cy="571500"/>
                                </a:xfrm>
                                <a:prstGeom prst="diamond">
                                  <a:avLst/>
                                </a:prstGeom>
                                <a:solidFill>
                                  <a:srgbClr val="FFFFFF"/>
                                </a:solidFill>
                                <a:ln w="9525">
                                  <a:solidFill>
                                    <a:srgbClr val="000000"/>
                                  </a:solidFill>
                                  <a:miter lim="800000"/>
                                </a:ln>
                                <a:effectLst/>
                              </wps:spPr>
                              <wps:txb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wps:txbx>
                              <wps:bodyPr rot="0" vert="horz" wrap="square" lIns="91440" tIns="45720" rIns="91440" bIns="45720" anchor="t" anchorCtr="0" upright="1">
                                <a:noAutofit/>
                              </wps:bodyPr>
                            </wps:wsp>
                            <wps:wsp>
                              <wps:cNvPr id="167" name="菱形 17"/>
                              <wps:cNvSpPr>
                                <a:spLocks noChangeArrowheads="1"/>
                              </wps:cNvSpPr>
                              <wps:spPr bwMode="auto">
                                <a:xfrm>
                                  <a:off x="102235" y="4504054"/>
                                  <a:ext cx="1225888" cy="571500"/>
                                </a:xfrm>
                                <a:prstGeom prst="diamond">
                                  <a:avLst/>
                                </a:prstGeom>
                                <a:solidFill>
                                  <a:srgbClr val="FFFFFF"/>
                                </a:solidFill>
                                <a:ln w="9525">
                                  <a:solidFill>
                                    <a:srgbClr val="000000"/>
                                  </a:solidFill>
                                  <a:miter lim="800000"/>
                                </a:ln>
                                <a:effectLst/>
                              </wps:spPr>
                              <wps:txb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wps:txbx>
                              <wps:bodyPr rot="0" vert="horz" wrap="square" lIns="91440" tIns="45720" rIns="91440" bIns="45720" anchor="t" anchorCtr="0" upright="1">
                                <a:noAutofit/>
                              </wps:bodyPr>
                            </wps:wsp>
                          </wpg:wgp>
                        </a:graphicData>
                      </a:graphic>
                    </wp:anchor>
                  </w:drawing>
                </mc:Choice>
                <mc:Fallback>
                  <w:pict>
                    <v:group id="组 150" o:spid="_x0000_s1026" o:spt="203" style="position:absolute;left:0pt;margin-left:-4.75pt;margin-top:-0.05pt;height:539.15pt;width:126.6pt;mso-wrap-distance-bottom:0pt;mso-wrap-distance-left:9pt;mso-wrap-distance-right:9pt;mso-wrap-distance-top:0pt;z-index:251940864;mso-width-relative:page;mso-height-relative:page;" coordsize="1607820,6602094" o:gfxdata="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BGknSt&#10;2gAAAAkBAAAPAAAAAAAAAAEAIAAAACIAAABkcnMvZG93bnJldi54bWxQSwECFAAUAAAACACHTuJA&#10;lsVxS+gFAACYLAAADgAAAAAAAAABACAAAAApAQAAZHJzL2Uyb0RvYy54bWxQSwUGAAAAAAYABgBZ&#10;AQAAgwkAAAAA&#10;">
                      <o:lock v:ext="edit" aspectratio="t"/>
                      <v:rect id="Rectangle 148" o:spid="_x0000_s1026" o:spt="1" style="position:absolute;left:0;top:0;height:6602094;width:1607820;" filled="f" stroked="f" coordsize="21600,21600" o:gfxdata="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MWGb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pPr>
                                <w:jc w:val="center"/>
                              </w:pPr>
                            </w:p>
                          </w:txbxContent>
                        </v:textbox>
                      </v:rect>
                      <v:rect id="矩形 1" o:spid="_x0000_s1026" o:spt="1" style="position:absolute;left:140335;top:0;height:441325;width:1201420;" fillcolor="#FFFFFF" filled="t" stroked="t" coordsize="21600,21600" o:gfxdata="UEsDBAoAAAAAAIdO4kAAAAAAAAAAAAAAAAAEAAAAZHJzL1BLAwQUAAAACACHTuJADNxs7rwAAADc&#10;AAAADwAAAGRycy9kb3ducmV2LnhtbEVPPW/CMBDdK/EfrEPqVuykKi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cbO6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txbxContent>
                        </v:textbox>
                      </v:rect>
                      <v:shape id="直接箭头连接符 3" o:spid="_x0000_s1026" o:spt="32" type="#_x0000_t32" style="position:absolute;left:692150;top:433070;height:344805;width:1905;" filled="f" stroked="t" coordsize="21600,21600" o:gfxdata="UEsDBAoAAAAAAIdO4kAAAAAAAAAAAAAAAAAEAAAAZHJzL1BLAwQUAAAACACHTuJAKR14Zb0AAADc&#10;AAAADwAAAGRycy9kb3ducmV2LnhtbEVPS2sCMRC+F/ofwhS8aVal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Xh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14" o:spid="_x0000_s1026" o:spt="1" style="position:absolute;left:62230;top:5219064;height:450850;width:1287145;" fillcolor="#FFFFFF" filled="t" stroked="t" coordsize="21600,21600" o:gfxdata="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UQG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txbxContent>
                        </v:textbox>
                      </v:rect>
                      <v:shape id="直接箭头连接符 16" o:spid="_x0000_s1026" o:spt="32" type="#_x0000_t32" style="position:absolute;left:685165;top:1360170;flip:x;height:254635;width:6350;" filled="f" stroked="t" coordsize="21600,21600" o:gfxdata="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qJf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菱形 17" o:spid="_x0000_s1026" o:spt="4" type="#_x0000_t4" style="position:absolute;left:193675;top:777875;height:579120;width:1000760;" fillcolor="#FFFFFF" filled="t" stroked="t" coordsize="21600,21600" o:gfxdata="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TJ2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v:textbox>
                      </v:shape>
                      <v:rect id="矩形 18" o:spid="_x0000_s1026" o:spt="1" style="position:absolute;left:41275;top:1639570;height:595630;width:1321435;" fillcolor="#FFFFFF" filled="t" stroked="t" coordsize="21600,21600" o:gfxdata="UEsDBAoAAAAAAIdO4kAAAAAAAAAAAAAAAAAEAAAAZHJzL1BLAwQUAAAACACHTuJAHKvPdrwAAADc&#10;AAAADwAAAGRycy9kb3ducmV2LnhtbEVPPW/CMBDdK/EfrEPqVuxQQU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rz3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txbxContent>
                        </v:textbox>
                      </v:rect>
                      <v:shape id="直接箭头连接符 21" o:spid="_x0000_s1026" o:spt="32" type="#_x0000_t32" style="position:absolute;left:694055;top:2243455;height:196215;width:635;" filled="f" stroked="t" coordsize="21600,21600" o:gfxdata="UEsDBAoAAAAAAIdO4kAAAAAAAAAAAAAAAAAEAAAAZHJzL1BLAwQUAAAACACHTuJAJ7nqFMAAAADc&#10;AAAADwAAAGRycy9kb3ducmV2LnhtbEWPT0vDQBDF74LfYRnBm91EM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ueo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2" o:spid="_x0000_s1026" o:spt="32" type="#_x0000_t32" style="position:absolute;left:666115;top:2991485;flip:x;height:172085;width:16510;" filled="f" stroked="t" coordsize="21600,21600" o:gfxdata="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94N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25" o:spid="_x0000_s1026" o:spt="1" style="position:absolute;left:50165;top:3141345;height:424179;width:1393825;" fillcolor="#FFFFFF" filled="t" stroked="t" coordsize="21600,21600" o:gfxdata="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p2/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提交材料至财务处、宣传部、国交处会审</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txbxContent>
                        </v:textbox>
                      </v:rect>
                      <v:shape id="直接箭头连接符 26" o:spid="_x0000_s1026" o:spt="32" type="#_x0000_t32" style="position:absolute;left:685165;top:3562349;flip:x;height:208280;width:8255;" filled="f" stroked="t" coordsize="21600,21600" o:gfxdata="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1Fw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27" o:spid="_x0000_s1026" o:spt="32" type="#_x0000_t32" style="position:absolute;left:693420;top:4259579;height:236855;width:8255;" filled="f" stroked="t" coordsize="21600,21600" o:gfxdata="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0XQ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28" o:spid="_x0000_s1026" o:spt="32" type="#_x0000_t32" style="position:absolute;left:696595;top:5081269;flip:x;height:161925;width:5080;" filled="f" stroked="t" coordsize="21600,21600" o:gfxdata="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34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29" o:spid="_x0000_s1026" o:spt="32" type="#_x0000_t32" style="position:absolute;left:681990;top:5679439;flip:x;height:220345;width:5080;" filled="f" stroked="t" coordsize="21600,21600" o:gfxdata="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muZ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菱形 17" o:spid="_x0000_s1026" o:spt="4" type="#_x0000_t4" style="position:absolute;left:102235;top:2427605;height:571500;width:1136988;" fillcolor="#FFFFFF" filled="t" stroked="t" coordsize="21600,21600" o:gfxdata="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v2a8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提交会议材料至学校总会计师</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v:textbox>
                      </v:shape>
                      <v:shape id="菱形 17" o:spid="_x0000_s1026" o:spt="4" type="#_x0000_t4" style="position:absolute;left:111422;top:3751579;height:571500;width:1235413;" fillcolor="#FFFFFF" filled="t" stroked="t" coordsize="21600,21600" o:gfxdata="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bfjL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国际交流处上报</w:t>
                              </w:r>
                            </w:p>
                            <w:p>
                              <w:pPr>
                                <w:jc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上级部门</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v:textbox>
                      </v:shape>
                      <v:shape id="菱形 17" o:spid="_x0000_s1026" o:spt="4" type="#_x0000_t4" style="position:absolute;left:102235;top:4504054;height:571500;width:1225888;" fillcolor="#FFFFFF" filled="t" stroked="t" coordsize="21600,21600" o:gfxdata="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IV1Q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申办部门/二级学院提交申请</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v:textbox>
                      </v:shape>
                      <w10:wrap type="square"/>
                    </v:group>
                  </w:pict>
                </mc:Fallback>
              </mc:AlternateContent>
            </w:r>
          </w:p>
        </w:tc>
        <w:tc>
          <w:tcPr>
            <w:tcW w:w="1276"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项目申报人</w:t>
            </w:r>
          </w:p>
        </w:tc>
        <w:tc>
          <w:tcPr>
            <w:tcW w:w="1417"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项目申报部门</w:t>
            </w:r>
          </w:p>
        </w:tc>
        <w:tc>
          <w:tcPr>
            <w:tcW w:w="409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1.申报部门填写《柳州职业技术学院国际会议申报表》；</w:t>
            </w:r>
          </w:p>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2.准备好举办会议的相关材料。</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《柳州职业技术学院国际会议申报表》；所有会议申请材料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0" w:hRule="atLeast"/>
          <w:jc w:val="center"/>
        </w:trPr>
        <w:tc>
          <w:tcPr>
            <w:tcW w:w="2244" w:type="dxa"/>
            <w:vMerge w:val="continue"/>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p>
        </w:tc>
        <w:tc>
          <w:tcPr>
            <w:tcW w:w="1276"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项目申报部门领导</w:t>
            </w:r>
          </w:p>
        </w:tc>
        <w:tc>
          <w:tcPr>
            <w:tcW w:w="1417"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项目申报部门</w:t>
            </w:r>
          </w:p>
        </w:tc>
        <w:tc>
          <w:tcPr>
            <w:tcW w:w="409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审核《柳州职业技术学院国际会议申报表》和会议相关材料材料。</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《柳州职业技术学院国际会议申报表》；所有会议申请材料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2244" w:type="dxa"/>
            <w:vMerge w:val="continue"/>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p>
        </w:tc>
        <w:tc>
          <w:tcPr>
            <w:tcW w:w="1276"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财务处、宣传部、国际交流处领导</w:t>
            </w:r>
          </w:p>
        </w:tc>
        <w:tc>
          <w:tcPr>
            <w:tcW w:w="1417"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财务处/宣传部/国际交流处</w:t>
            </w:r>
          </w:p>
        </w:tc>
        <w:tc>
          <w:tcPr>
            <w:tcW w:w="409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1.财务处审核项目经费预算；</w:t>
            </w:r>
          </w:p>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2.宣传部审核会议主题、意识形态等方面内容；</w:t>
            </w:r>
          </w:p>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3.国际交流处审核是否符合国际会议召开条件和要求，并将会议材料汇总发给分管外事校领导审核。</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会议经费预算表；会议内容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3" w:hRule="atLeast"/>
          <w:jc w:val="center"/>
        </w:trPr>
        <w:tc>
          <w:tcPr>
            <w:tcW w:w="2244" w:type="dxa"/>
            <w:vMerge w:val="continue"/>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p>
        </w:tc>
        <w:tc>
          <w:tcPr>
            <w:tcW w:w="1276"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分管外事校领导</w:t>
            </w:r>
          </w:p>
        </w:tc>
        <w:tc>
          <w:tcPr>
            <w:tcW w:w="1417"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rPr>
              <mc:AlternateContent>
                <mc:Choice Requires="wps">
                  <w:drawing>
                    <wp:anchor distT="0" distB="0" distL="114300" distR="114300" simplePos="0" relativeHeight="251941888" behindDoc="0" locked="0" layoutInCell="1" allowOverlap="1">
                      <wp:simplePos x="0" y="0"/>
                      <wp:positionH relativeFrom="column">
                        <wp:posOffset>485775</wp:posOffset>
                      </wp:positionH>
                      <wp:positionV relativeFrom="paragraph">
                        <wp:posOffset>302895</wp:posOffset>
                      </wp:positionV>
                      <wp:extent cx="1431925" cy="608330"/>
                      <wp:effectExtent l="4445" t="4445" r="11430" b="15875"/>
                      <wp:wrapThrough wrapText="bothSides">
                        <wp:wrapPolygon>
                          <wp:start x="-67" y="-158"/>
                          <wp:lineTo x="-67" y="20811"/>
                          <wp:lineTo x="21485" y="20811"/>
                          <wp:lineTo x="21485" y="-158"/>
                          <wp:lineTo x="-67" y="-158"/>
                        </wp:wrapPolygon>
                      </wp:wrapThrough>
                      <wp:docPr id="170" name="矩形 170"/>
                      <wp:cNvGraphicFramePr/>
                      <a:graphic xmlns:a="http://schemas.openxmlformats.org/drawingml/2006/main">
                        <a:graphicData uri="http://schemas.microsoft.com/office/word/2010/wordprocessingShape">
                          <wps:wsp>
                            <wps:cNvSpPr>
                              <a:spLocks noChangeArrowheads="1"/>
                            </wps:cNvSpPr>
                            <wps:spPr bwMode="auto">
                              <a:xfrm>
                                <a:off x="0" y="0"/>
                                <a:ext cx="1431925" cy="608330"/>
                              </a:xfrm>
                              <a:prstGeom prst="rect">
                                <a:avLst/>
                              </a:prstGeom>
                              <a:solidFill>
                                <a:srgbClr val="FFFFFF"/>
                              </a:solidFill>
                              <a:ln w="9525">
                                <a:solidFill>
                                  <a:srgbClr val="000000"/>
                                </a:solidFill>
                                <a:miter lim="800000"/>
                              </a:ln>
                              <a:effectLst/>
                            </wps:spPr>
                            <wps:txbx>
                              <w:txbxContent>
                                <w:p>
                                  <w:pPr>
                                    <w:spacing w:line="400" w:lineRule="exact"/>
                                    <w:jc w:val="left"/>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国际交流处根据上级部门指示通知相关部门/二级学院负责人</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8.25pt;margin-top:23.85pt;height:47.9pt;width:112.75pt;mso-wrap-distance-left:9pt;mso-wrap-distance-right:9pt;z-index:251941888;mso-width-relative:page;mso-height-relative:page;" fillcolor="#FFFFFF" filled="t" stroked="t" coordsize="21600,21600" wrapcoords="-67 -158 -67 20811 21485 20811 21485 -158 -67 -158" o:gfxdata="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WEEH/Y&#10;AAAACQEAAA8AAAAAAAAAAQAgAAAAIgAAAGRycy9kb3ducmV2LnhtbFBLAQIUABQAAAAIAIdO4kAo&#10;BNhKIAIAAD4EAAAOAAAAAAAAAAEAIAAAACcBAABkcnMvZTJvRG9jLnhtbFBLBQYAAAAABgAGAFkB&#10;AAC5BQAAAAA=&#10;">
                      <v:fill on="t" focussize="0,0"/>
                      <v:stroke color="#000000" miterlimit="8" joinstyle="miter"/>
                      <v:imagedata o:title=""/>
                      <o:lock v:ext="edit" aspectratio="f"/>
                      <v:textbox>
                        <w:txbxContent>
                          <w:p>
                            <w:pPr>
                              <w:spacing w:line="400" w:lineRule="exact"/>
                              <w:jc w:val="left"/>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国际交流处根据上级部门指示通知相关部门/二级学院负责人</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p>
                            <w:pPr>
                              <w:widowControl/>
                              <w:spacing w:line="260" w:lineRule="exact"/>
                              <w:textAlignment w:val="center"/>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审核</w:t>
                            </w:r>
                          </w:p>
                        </w:txbxContent>
                      </v:textbox>
                      <w10:wrap type="through"/>
                    </v:rect>
                  </w:pict>
                </mc:Fallback>
              </mc:AlternateContent>
            </w:r>
            <w:r>
              <w:rPr>
                <w:rFonts w:hint="eastAsia" w:ascii="仿宋_GB2312" w:hAnsi="宋体" w:eastAsia="仿宋_GB2312" w:cs="宋体"/>
                <w:color w:val="000000"/>
                <w:kern w:val="0"/>
                <w:sz w:val="22"/>
                <w:szCs w:val="22"/>
                <w:lang w:bidi="ar"/>
              </w:rPr>
              <w:t>国际交流处</w:t>
            </w:r>
          </w:p>
        </w:tc>
        <w:tc>
          <w:tcPr>
            <w:tcW w:w="409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分管外事校领导审核会议材料，审核是否符合举办国际会议的必要性、预期目的以及已具备的条件。</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《柳州职业技术学院关于举办国际会议的管理规定》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20" w:hRule="atLeast"/>
          <w:jc w:val="center"/>
        </w:trPr>
        <w:tc>
          <w:tcPr>
            <w:tcW w:w="2244" w:type="dxa"/>
            <w:vMerge w:val="continue"/>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p>
        </w:tc>
        <w:tc>
          <w:tcPr>
            <w:tcW w:w="1276"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学校总会计师</w:t>
            </w:r>
          </w:p>
        </w:tc>
        <w:tc>
          <w:tcPr>
            <w:tcW w:w="1417"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国际交流处</w:t>
            </w:r>
          </w:p>
        </w:tc>
        <w:tc>
          <w:tcPr>
            <w:tcW w:w="409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根据上交的材料，审核会议总体预算，包括会场费、同声传译设备和办公设备租金、特邀发言专家劳务费用、工作人员食宿费用等，确保学校是否有充足的经费保障会议的召开。</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会议总体预算经费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95" w:hRule="atLeast"/>
          <w:jc w:val="center"/>
        </w:trPr>
        <w:tc>
          <w:tcPr>
            <w:tcW w:w="2244" w:type="dxa"/>
            <w:vMerge w:val="continue"/>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p>
        </w:tc>
        <w:tc>
          <w:tcPr>
            <w:tcW w:w="1276" w:type="dxa"/>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校长办公会</w:t>
            </w:r>
          </w:p>
        </w:tc>
        <w:tc>
          <w:tcPr>
            <w:tcW w:w="1417"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bookmarkStart w:id="1719" w:name="_Toc24695_WPSOffice_Level1"/>
            <w:r>
              <w:rPr>
                <w:rFonts w:hint="eastAsia" w:ascii="仿宋_GB2312" w:hAnsi="宋体" w:eastAsia="仿宋_GB2312" w:cs="宋体"/>
                <w:color w:val="000000"/>
                <w:kern w:val="0"/>
                <w:sz w:val="22"/>
                <w:szCs w:val="22"/>
                <w:lang w:bidi="ar"/>
              </w:rPr>
              <w:t>国际交流</w:t>
            </w:r>
            <w:bookmarkEnd w:id="1719"/>
            <w:r>
              <w:rPr>
                <w:rFonts w:hint="eastAsia" w:ascii="仿宋_GB2312" w:hAnsi="宋体" w:eastAsia="仿宋_GB2312" w:cs="宋体"/>
                <w:color w:val="000000"/>
                <w:kern w:val="0"/>
                <w:sz w:val="22"/>
                <w:szCs w:val="22"/>
                <w:lang w:bidi="ar"/>
              </w:rPr>
              <w:t>处</w:t>
            </w:r>
          </w:p>
        </w:tc>
        <w:tc>
          <w:tcPr>
            <w:tcW w:w="409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根据《柳州职业技术学院关于举办国际会议的管理规定》，结合会议材料，审核会议召开的合理性、必要性，从学校总体发展出发，由校长办公会建议是否同意召开会议。</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《柳州职业技术学院关于举办国际会议的管理规定》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6" w:hRule="atLeast"/>
          <w:jc w:val="center"/>
        </w:trPr>
        <w:tc>
          <w:tcPr>
            <w:tcW w:w="2244" w:type="dxa"/>
            <w:vMerge w:val="continue"/>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p>
        </w:tc>
        <w:tc>
          <w:tcPr>
            <w:tcW w:w="1276"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党委会</w:t>
            </w:r>
          </w:p>
        </w:tc>
        <w:tc>
          <w:tcPr>
            <w:tcW w:w="1417"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国际交流处</w:t>
            </w:r>
          </w:p>
        </w:tc>
        <w:tc>
          <w:tcPr>
            <w:tcW w:w="409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根据根据《柳州职业技术学院关于举办国际会议的管理规定》及会议相关材料，决定是否同意召开会议。</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《柳州职业技术学院关于举办国际会议的管理规定》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09" w:hRule="atLeast"/>
          <w:jc w:val="center"/>
        </w:trPr>
        <w:tc>
          <w:tcPr>
            <w:tcW w:w="2244" w:type="dxa"/>
            <w:vMerge w:val="continue"/>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p>
        </w:tc>
        <w:tc>
          <w:tcPr>
            <w:tcW w:w="1276" w:type="dxa"/>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上级部门</w:t>
            </w:r>
          </w:p>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p>
        </w:tc>
        <w:tc>
          <w:tcPr>
            <w:tcW w:w="1417" w:type="dxa"/>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国际交流处</w:t>
            </w:r>
          </w:p>
        </w:tc>
        <w:tc>
          <w:tcPr>
            <w:tcW w:w="409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国际交流处将会议材料汇总上报相关上级部门</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《柳州职业技术学院国际会议申请表》和相关会议材料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09" w:hRule="atLeast"/>
          <w:jc w:val="center"/>
        </w:trPr>
        <w:tc>
          <w:tcPr>
            <w:tcW w:w="2244" w:type="dxa"/>
            <w:vMerge w:val="continue"/>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p>
        </w:tc>
        <w:tc>
          <w:tcPr>
            <w:tcW w:w="1276"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项目申报人</w:t>
            </w:r>
          </w:p>
        </w:tc>
        <w:tc>
          <w:tcPr>
            <w:tcW w:w="1417"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项目申报部门</w:t>
            </w:r>
          </w:p>
        </w:tc>
        <w:tc>
          <w:tcPr>
            <w:tcW w:w="409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根据上级部门的指示办理</w:t>
            </w:r>
          </w:p>
        </w:tc>
        <w:tc>
          <w:tcPr>
            <w:tcW w:w="2142"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2"/>
                <w:szCs w:val="22"/>
                <w:lang w:bidi="ar"/>
              </w:rPr>
            </w:pPr>
            <w:r>
              <w:rPr>
                <w:rFonts w:hint="eastAsia" w:ascii="仿宋_GB2312" w:hAnsi="宋体" w:eastAsia="仿宋_GB2312" w:cs="宋体"/>
                <w:color w:val="000000"/>
                <w:kern w:val="0"/>
                <w:sz w:val="22"/>
                <w:szCs w:val="22"/>
                <w:lang w:bidi="ar"/>
              </w:rPr>
              <w:t>《柳州职业技术学院国际会议申请表》和相关会议材料</w:t>
            </w:r>
          </w:p>
        </w:tc>
      </w:tr>
    </w:tbl>
    <w:p>
      <w:pPr>
        <w:pageBreakBefore w:val="0"/>
        <w:kinsoku/>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附件3：</w:t>
      </w:r>
    </w:p>
    <w:p>
      <w:pPr>
        <w:pageBreakBefore w:val="0"/>
        <w:kinsoku/>
        <w:overflowPunct/>
        <w:topLinePunct w:val="0"/>
        <w:autoSpaceDE/>
        <w:autoSpaceDN/>
        <w:bidi w:val="0"/>
        <w:spacing w:line="596" w:lineRule="exact"/>
        <w:jc w:val="center"/>
        <w:outlineLvl w:val="9"/>
        <w:rPr>
          <w:rFonts w:hint="eastAsia"/>
          <w:b/>
          <w:color w:val="000000"/>
          <w:sz w:val="36"/>
          <w:szCs w:val="36"/>
        </w:rPr>
      </w:pPr>
      <w:bookmarkStart w:id="1720" w:name="_Toc20959_WPSOffice_Level1"/>
      <w:r>
        <w:rPr>
          <w:rFonts w:hint="eastAsia"/>
          <w:b/>
          <w:color w:val="000000"/>
          <w:sz w:val="36"/>
          <w:szCs w:val="36"/>
        </w:rPr>
        <w:t>柳州职业技术学院举办国际会议预算表</w:t>
      </w:r>
      <w:bookmarkEnd w:id="1720"/>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855"/>
        <w:gridCol w:w="3892"/>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8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会议名称</w:t>
            </w:r>
          </w:p>
        </w:tc>
        <w:tc>
          <w:tcPr>
            <w:tcW w:w="6733" w:type="dxa"/>
            <w:gridSpan w:val="2"/>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8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举办部门</w:t>
            </w:r>
          </w:p>
        </w:tc>
        <w:tc>
          <w:tcPr>
            <w:tcW w:w="6733" w:type="dxa"/>
            <w:gridSpan w:val="2"/>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78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校外协办部门</w:t>
            </w:r>
          </w:p>
        </w:tc>
        <w:tc>
          <w:tcPr>
            <w:tcW w:w="6733" w:type="dxa"/>
            <w:gridSpan w:val="2"/>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78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会议起止时间</w:t>
            </w:r>
          </w:p>
        </w:tc>
        <w:tc>
          <w:tcPr>
            <w:tcW w:w="6733" w:type="dxa"/>
            <w:gridSpan w:val="2"/>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78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会议说明</w:t>
            </w:r>
          </w:p>
        </w:tc>
        <w:tc>
          <w:tcPr>
            <w:tcW w:w="6733" w:type="dxa"/>
            <w:gridSpan w:val="2"/>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789" w:type="dxa"/>
            <w:gridSpan w:val="2"/>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会议人数</w:t>
            </w:r>
          </w:p>
        </w:tc>
        <w:tc>
          <w:tcPr>
            <w:tcW w:w="6733"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与会  人；工作人员  人；志愿者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5681" w:type="dxa"/>
            <w:gridSpan w:val="3"/>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w:t>
            </w:r>
          </w:p>
        </w:tc>
        <w:tc>
          <w:tcPr>
            <w:tcW w:w="2841"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934" w:type="dxa"/>
            <w:vMerge w:val="restart"/>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经费来源</w:t>
            </w: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会议注册费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934" w:type="dxa"/>
            <w:vMerge w:val="continue"/>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国际组织专项资助</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934" w:type="dxa"/>
            <w:vMerge w:val="continue"/>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赞助收入</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934" w:type="dxa"/>
            <w:vMerge w:val="continue"/>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学校预算经费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934" w:type="dxa"/>
            <w:vMerge w:val="continue"/>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项目经费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934" w:type="dxa"/>
            <w:vMerge w:val="continue"/>
            <w:vAlign w:val="center"/>
          </w:tcPr>
          <w:p>
            <w:pPr>
              <w:pageBreakBefore w:val="0"/>
              <w:widowControl/>
              <w:kinsoku/>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其他</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934" w:type="dxa"/>
            <w:vMerge w:val="restart"/>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开支项目</w:t>
            </w: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会场费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会场布置费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办公用品费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伙食费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交通费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住宿费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翻译费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发言专家劳务费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工作人员食宿费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志愿者餐费</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934" w:type="dxa"/>
            <w:vMerge w:val="continue"/>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其他费用</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934"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4747" w:type="dxa"/>
            <w:gridSpan w:val="2"/>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合计</w:t>
            </w:r>
          </w:p>
        </w:tc>
        <w:tc>
          <w:tcPr>
            <w:tcW w:w="2841" w:type="dxa"/>
            <w:vAlign w:val="center"/>
          </w:tcPr>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8522" w:type="dxa"/>
            <w:gridSpan w:val="4"/>
            <w:vAlign w:val="center"/>
          </w:tcPr>
          <w:p>
            <w:pPr>
              <w:pageBreakBefore w:val="0"/>
              <w:widowControl/>
              <w:kinsoku/>
              <w:overflowPunct/>
              <w:topLinePunct w:val="0"/>
              <w:autoSpaceDE/>
              <w:autoSpaceDN/>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承办部门财务经办负责人：             电话：</w:t>
            </w:r>
          </w:p>
        </w:tc>
      </w:tr>
    </w:tbl>
    <w:p>
      <w:pPr>
        <w:pageBreakBefore w:val="0"/>
        <w:kinsoku/>
        <w:overflowPunct/>
        <w:topLinePunct w:val="0"/>
        <w:autoSpaceDE/>
        <w:autoSpaceDN/>
        <w:bidi w:val="0"/>
        <w:spacing w:line="30" w:lineRule="exact"/>
        <w:outlineLvl w:val="9"/>
        <w:rPr>
          <w:rFonts w:hint="eastAsia" w:ascii="仿宋_GB2312" w:eastAsia="仿宋_GB2312"/>
          <w:szCs w:val="28"/>
        </w:rPr>
      </w:pPr>
    </w:p>
    <w:p>
      <w:pPr>
        <w:pageBreakBefore w:val="0"/>
        <w:kinsoku/>
        <w:overflowPunct/>
        <w:topLinePunct w:val="0"/>
        <w:autoSpaceDE/>
        <w:autoSpaceDN/>
        <w:bidi w:val="0"/>
        <w:spacing w:line="30" w:lineRule="exact"/>
        <w:outlineLvl w:val="9"/>
        <w:rPr>
          <w:rFonts w:hint="eastAsia" w:ascii="仿宋_GB2312" w:eastAsia="仿宋_GB2312"/>
          <w:szCs w:val="28"/>
        </w:rPr>
      </w:pPr>
    </w:p>
    <w:p>
      <w:pPr>
        <w:pageBreakBefore w:val="0"/>
        <w:kinsoku/>
        <w:overflowPunct/>
        <w:topLinePunct w:val="0"/>
        <w:autoSpaceDE/>
        <w:autoSpaceDN/>
        <w:bidi w:val="0"/>
        <w:spacing w:line="30" w:lineRule="exact"/>
        <w:outlineLvl w:val="9"/>
        <w:rPr>
          <w:rFonts w:hint="eastAsia" w:ascii="仿宋_GB2312" w:eastAsia="仿宋_GB2312"/>
          <w:szCs w:val="28"/>
        </w:rPr>
      </w:pPr>
    </w:p>
    <w:p>
      <w:pPr>
        <w:pageBreakBefore w:val="0"/>
        <w:widowControl/>
        <w:kinsoku/>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sectPr>
          <w:pgSz w:w="11906" w:h="16838"/>
          <w:pgMar w:top="2098" w:right="1474" w:bottom="1984" w:left="1588" w:header="851" w:footer="1559" w:gutter="0"/>
          <w:pgNumType w:fmt="decimal"/>
          <w:cols w:space="720" w:num="1"/>
          <w:docGrid w:type="lines" w:linePitch="595" w:charSpace="0"/>
        </w:sectPr>
      </w:pPr>
    </w:p>
    <w:p>
      <w:pPr>
        <w:pageBreakBefore w:val="0"/>
        <w:kinsoku/>
        <w:overflowPunct/>
        <w:topLinePunct w:val="0"/>
        <w:autoSpaceDE/>
        <w:autoSpaceDN/>
        <w:bidi w:val="0"/>
        <w:spacing w:line="596" w:lineRule="exact"/>
        <w:jc w:val="left"/>
        <w:outlineLvl w:val="9"/>
        <w:rPr>
          <w:rFonts w:hint="eastAsia" w:ascii="黑体" w:eastAsia="黑体"/>
          <w:sz w:val="32"/>
          <w:szCs w:val="32"/>
        </w:rPr>
      </w:pPr>
      <w:r>
        <w:rPr>
          <w:rFonts w:hint="eastAsia" w:ascii="黑体" w:eastAsia="黑体"/>
          <w:sz w:val="32"/>
          <w:szCs w:val="32"/>
        </w:rPr>
        <w:t>附件4：</w:t>
      </w:r>
    </w:p>
    <w:p>
      <w:pPr>
        <w:pageBreakBefore w:val="0"/>
        <w:kinsoku/>
        <w:overflowPunct/>
        <w:topLinePunct w:val="0"/>
        <w:autoSpaceDE/>
        <w:autoSpaceDN/>
        <w:bidi w:val="0"/>
        <w:spacing w:line="596" w:lineRule="exact"/>
        <w:jc w:val="center"/>
        <w:outlineLvl w:val="9"/>
        <w:rPr>
          <w:rFonts w:hint="eastAsia"/>
          <w:b/>
          <w:color w:val="000000"/>
          <w:sz w:val="36"/>
          <w:szCs w:val="36"/>
        </w:rPr>
      </w:pPr>
      <w:bookmarkStart w:id="1721" w:name="_Toc2376_WPSOffice_Level1"/>
      <w:r>
        <w:rPr>
          <w:rFonts w:hint="eastAsia"/>
          <w:b/>
          <w:color w:val="000000"/>
          <w:sz w:val="36"/>
          <w:szCs w:val="36"/>
        </w:rPr>
        <w:t>参会国（境）外人员名单表</w:t>
      </w:r>
      <w:bookmarkEnd w:id="1721"/>
    </w:p>
    <w:tbl>
      <w:tblPr>
        <w:tblStyle w:val="15"/>
        <w:tblW w:w="14622" w:type="dxa"/>
        <w:tblInd w:w="-3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810"/>
        <w:gridCol w:w="547"/>
        <w:gridCol w:w="1639"/>
        <w:gridCol w:w="2700"/>
        <w:gridCol w:w="1575"/>
        <w:gridCol w:w="826"/>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919"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1810"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姓名</w:t>
            </w:r>
          </w:p>
        </w:tc>
        <w:tc>
          <w:tcPr>
            <w:tcW w:w="547"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性别</w:t>
            </w:r>
          </w:p>
        </w:tc>
        <w:tc>
          <w:tcPr>
            <w:tcW w:w="1639"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国籍</w:t>
            </w:r>
          </w:p>
        </w:tc>
        <w:tc>
          <w:tcPr>
            <w:tcW w:w="2700"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单位</w:t>
            </w:r>
          </w:p>
        </w:tc>
        <w:tc>
          <w:tcPr>
            <w:tcW w:w="1575"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证件号</w:t>
            </w:r>
          </w:p>
        </w:tc>
        <w:tc>
          <w:tcPr>
            <w:tcW w:w="826"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是否发言</w:t>
            </w:r>
          </w:p>
        </w:tc>
        <w:tc>
          <w:tcPr>
            <w:tcW w:w="4606" w:type="dxa"/>
            <w:vAlign w:val="center"/>
          </w:tcPr>
          <w:p>
            <w:pPr>
              <w:pageBreakBefore w:val="0"/>
              <w:widowControl/>
              <w:kinsoku/>
              <w:overflowPunct/>
              <w:topLinePunct w:val="0"/>
              <w:autoSpaceDE/>
              <w:autoSpaceDN/>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发言主题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919" w:type="dxa"/>
            <w:vAlign w:val="center"/>
          </w:tcPr>
          <w:p>
            <w:pPr>
              <w:pageBreakBefore w:val="0"/>
              <w:kinsoku/>
              <w:overflowPunct/>
              <w:topLinePunct w:val="0"/>
              <w:autoSpaceDE/>
              <w:autoSpaceDN/>
              <w:bidi w:val="0"/>
              <w:spacing w:line="400" w:lineRule="exact"/>
              <w:jc w:val="center"/>
              <w:outlineLvl w:val="9"/>
              <w:rPr>
                <w:sz w:val="24"/>
              </w:rPr>
            </w:pPr>
          </w:p>
        </w:tc>
        <w:tc>
          <w:tcPr>
            <w:tcW w:w="1810" w:type="dxa"/>
            <w:vAlign w:val="center"/>
          </w:tcPr>
          <w:p>
            <w:pPr>
              <w:pageBreakBefore w:val="0"/>
              <w:kinsoku/>
              <w:overflowPunct/>
              <w:topLinePunct w:val="0"/>
              <w:autoSpaceDE/>
              <w:autoSpaceDN/>
              <w:bidi w:val="0"/>
              <w:spacing w:line="400" w:lineRule="exact"/>
              <w:jc w:val="center"/>
              <w:outlineLvl w:val="9"/>
              <w:rPr>
                <w:sz w:val="24"/>
              </w:rPr>
            </w:pPr>
          </w:p>
        </w:tc>
        <w:tc>
          <w:tcPr>
            <w:tcW w:w="547" w:type="dxa"/>
            <w:vAlign w:val="center"/>
          </w:tcPr>
          <w:p>
            <w:pPr>
              <w:pageBreakBefore w:val="0"/>
              <w:kinsoku/>
              <w:overflowPunct/>
              <w:topLinePunct w:val="0"/>
              <w:autoSpaceDE/>
              <w:autoSpaceDN/>
              <w:bidi w:val="0"/>
              <w:spacing w:line="400" w:lineRule="exact"/>
              <w:jc w:val="center"/>
              <w:outlineLvl w:val="9"/>
              <w:rPr>
                <w:sz w:val="24"/>
              </w:rPr>
            </w:pPr>
          </w:p>
        </w:tc>
        <w:tc>
          <w:tcPr>
            <w:tcW w:w="1639" w:type="dxa"/>
            <w:vAlign w:val="center"/>
          </w:tcPr>
          <w:p>
            <w:pPr>
              <w:pageBreakBefore w:val="0"/>
              <w:kinsoku/>
              <w:overflowPunct/>
              <w:topLinePunct w:val="0"/>
              <w:autoSpaceDE/>
              <w:autoSpaceDN/>
              <w:bidi w:val="0"/>
              <w:spacing w:line="400" w:lineRule="exact"/>
              <w:jc w:val="center"/>
              <w:outlineLvl w:val="9"/>
              <w:rPr>
                <w:sz w:val="24"/>
              </w:rPr>
            </w:pPr>
          </w:p>
        </w:tc>
        <w:tc>
          <w:tcPr>
            <w:tcW w:w="2700" w:type="dxa"/>
            <w:vAlign w:val="center"/>
          </w:tcPr>
          <w:p>
            <w:pPr>
              <w:pageBreakBefore w:val="0"/>
              <w:kinsoku/>
              <w:overflowPunct/>
              <w:topLinePunct w:val="0"/>
              <w:autoSpaceDE/>
              <w:autoSpaceDN/>
              <w:bidi w:val="0"/>
              <w:spacing w:line="400" w:lineRule="exact"/>
              <w:jc w:val="center"/>
              <w:outlineLvl w:val="9"/>
              <w:rPr>
                <w:sz w:val="24"/>
              </w:rPr>
            </w:pPr>
          </w:p>
        </w:tc>
        <w:tc>
          <w:tcPr>
            <w:tcW w:w="1575" w:type="dxa"/>
            <w:vAlign w:val="center"/>
          </w:tcPr>
          <w:p>
            <w:pPr>
              <w:pageBreakBefore w:val="0"/>
              <w:kinsoku/>
              <w:overflowPunct/>
              <w:topLinePunct w:val="0"/>
              <w:autoSpaceDE/>
              <w:autoSpaceDN/>
              <w:bidi w:val="0"/>
              <w:spacing w:line="400" w:lineRule="exact"/>
              <w:jc w:val="center"/>
              <w:outlineLvl w:val="9"/>
              <w:rPr>
                <w:sz w:val="24"/>
              </w:rPr>
            </w:pPr>
          </w:p>
        </w:tc>
        <w:tc>
          <w:tcPr>
            <w:tcW w:w="826" w:type="dxa"/>
            <w:vAlign w:val="center"/>
          </w:tcPr>
          <w:p>
            <w:pPr>
              <w:pageBreakBefore w:val="0"/>
              <w:kinsoku/>
              <w:overflowPunct/>
              <w:topLinePunct w:val="0"/>
              <w:autoSpaceDE/>
              <w:autoSpaceDN/>
              <w:bidi w:val="0"/>
              <w:spacing w:line="400" w:lineRule="exact"/>
              <w:jc w:val="center"/>
              <w:outlineLvl w:val="9"/>
              <w:rPr>
                <w:sz w:val="24"/>
              </w:rPr>
            </w:pPr>
          </w:p>
        </w:tc>
        <w:tc>
          <w:tcPr>
            <w:tcW w:w="4606" w:type="dxa"/>
            <w:vAlign w:val="center"/>
          </w:tcPr>
          <w:p>
            <w:pPr>
              <w:pageBreakBefore w:val="0"/>
              <w:kinsoku/>
              <w:overflowPunct/>
              <w:topLinePunct w:val="0"/>
              <w:autoSpaceDE/>
              <w:autoSpaceDN/>
              <w:bidi w:val="0"/>
              <w:spacing w:line="400" w:lineRule="exact"/>
              <w:jc w:val="center"/>
              <w:outlineLvl w:val="9"/>
              <w:rPr>
                <w:sz w:val="24"/>
              </w:rPr>
            </w:pPr>
          </w:p>
        </w:tc>
      </w:tr>
    </w:tbl>
    <w:p>
      <w:pPr>
        <w:pageBreakBefore w:val="0"/>
        <w:kinsoku/>
        <w:overflowPunct/>
        <w:topLinePunct w:val="0"/>
        <w:autoSpaceDE/>
        <w:autoSpaceDN/>
        <w:bidi w:val="0"/>
        <w:spacing w:line="596" w:lineRule="exact"/>
        <w:jc w:val="center"/>
        <w:outlineLvl w:val="9"/>
        <w:rPr>
          <w:rFonts w:hint="eastAsia"/>
          <w:b/>
          <w:color w:val="000000"/>
          <w:sz w:val="36"/>
          <w:szCs w:val="36"/>
        </w:rPr>
      </w:pPr>
    </w:p>
    <w:p>
      <w:pPr>
        <w:pageBreakBefore w:val="0"/>
        <w:widowControl/>
        <w:kinsoku/>
        <w:overflowPunct/>
        <w:topLinePunct w:val="0"/>
        <w:autoSpaceDE/>
        <w:autoSpaceDN/>
        <w:bidi w:val="0"/>
        <w:jc w:val="center"/>
        <w:outlineLvl w:val="9"/>
        <w:rPr>
          <w:rFonts w:ascii="仿宋_GB2312" w:eastAsia="仿宋_GB2312"/>
          <w:bCs/>
          <w:sz w:val="32"/>
          <w:szCs w:val="32"/>
        </w:rPr>
        <w:sectPr>
          <w:type w:val="continuous"/>
          <w:pgSz w:w="16838" w:h="11906" w:orient="landscape"/>
          <w:pgMar w:top="1588" w:right="2098" w:bottom="1474" w:left="1984" w:header="851" w:footer="1559" w:gutter="0"/>
          <w:pgNumType w:fmt="decimal"/>
          <w:cols w:space="720" w:num="1"/>
          <w:docGrid w:type="lines" w:linePitch="595" w:charSpace="0"/>
        </w:sect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lang w:val="en-US" w:eastAsia="zh-CN"/>
        </w:rPr>
      </w:pPr>
      <w:bookmarkStart w:id="1722" w:name="_Toc534379479"/>
      <w:bookmarkStart w:id="1723" w:name="_Toc14830"/>
      <w:bookmarkStart w:id="1724" w:name="_Toc20724"/>
      <w:bookmarkStart w:id="1725" w:name="_Toc21052_WPSOffice_Level1"/>
      <w:r>
        <w:rPr>
          <w:rFonts w:hint="eastAsia"/>
          <w:b/>
          <w:color w:val="000000"/>
          <w:sz w:val="36"/>
          <w:szCs w:val="36"/>
          <w:lang w:val="en-US" w:eastAsia="zh-CN"/>
        </w:rPr>
        <w:t>柳州职业技术学院</w:t>
      </w:r>
      <w:bookmarkEnd w:id="1722"/>
      <w:bookmarkStart w:id="1726" w:name="_Toc534379480"/>
      <w:r>
        <w:rPr>
          <w:rFonts w:hint="eastAsia"/>
          <w:b/>
          <w:color w:val="000000"/>
          <w:sz w:val="36"/>
          <w:szCs w:val="36"/>
          <w:lang w:val="en-US" w:eastAsia="zh-CN"/>
        </w:rPr>
        <w:t>学生赴国（境）外交流、留学管理办法</w:t>
      </w:r>
      <w:bookmarkEnd w:id="1723"/>
      <w:bookmarkEnd w:id="1724"/>
      <w:bookmarkEnd w:id="1725"/>
      <w:bookmarkEnd w:id="1726"/>
    </w:p>
    <w:p>
      <w:pPr>
        <w:pStyle w:val="10"/>
        <w:pageBreakBefore w:val="0"/>
        <w:kinsoku/>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（柳职院字〔2018〕23号）</w:t>
      </w:r>
    </w:p>
    <w:p>
      <w:pPr>
        <w:pageBreakBefore w:val="0"/>
        <w:kinsoku/>
        <w:overflowPunct/>
        <w:topLinePunct w:val="0"/>
        <w:autoSpaceDE/>
        <w:autoSpaceDN/>
        <w:bidi w:val="0"/>
        <w:outlineLvl w:val="9"/>
      </w:pPr>
    </w:p>
    <w:p>
      <w:pPr>
        <w:pageBreakBefore w:val="0"/>
        <w:kinsoku/>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727" w:name="_Toc9366_WPSOffice_Level1"/>
      <w:r>
        <w:rPr>
          <w:rFonts w:hint="eastAsia" w:ascii="黑体" w:hAnsi="仿宋_GB2312" w:eastAsia="黑体" w:cs="仿宋_GB2312"/>
          <w:b/>
          <w:kern w:val="0"/>
          <w:sz w:val="32"/>
          <w:szCs w:val="32"/>
          <w:lang w:bidi="ar"/>
        </w:rPr>
        <w:t>第一章  总则</w:t>
      </w:r>
      <w:bookmarkEnd w:id="1727"/>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xml:space="preserve">  为适应教育国际化的发展要求，拓展学生知识视野，培养</w:t>
      </w:r>
      <w:r>
        <w:rPr>
          <w:rFonts w:ascii="仿宋_GB2312" w:hAnsi="仿宋_GB2312" w:eastAsia="仿宋_GB2312" w:cs="仿宋_GB2312"/>
          <w:kern w:val="0"/>
          <w:sz w:val="32"/>
          <w:szCs w:val="32"/>
          <w:lang w:bidi="ar"/>
        </w:rPr>
        <w:t>拥有国际视野、知晓国际规则、具备国际竞争力的高素质人才，</w:t>
      </w:r>
      <w:r>
        <w:rPr>
          <w:rFonts w:hint="eastAsia" w:ascii="仿宋_GB2312" w:hAnsi="仿宋_GB2312" w:eastAsia="仿宋_GB2312" w:cs="仿宋_GB2312"/>
          <w:kern w:val="0"/>
          <w:sz w:val="32"/>
          <w:szCs w:val="32"/>
          <w:lang w:bidi="ar"/>
        </w:rPr>
        <w:t>规范我校赴国（境）外交流、留学学生的管理，制订本办法。</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第二条</w:t>
      </w:r>
      <w:r>
        <w:rPr>
          <w:rFonts w:hint="eastAsia" w:ascii="仿宋_GB2312" w:hAnsi="仿宋_GB2312" w:eastAsia="仿宋_GB2312" w:cs="仿宋_GB2312"/>
          <w:kern w:val="0"/>
          <w:sz w:val="32"/>
          <w:szCs w:val="32"/>
          <w:lang w:bidi="ar"/>
        </w:rPr>
        <w:t xml:space="preserve">  赴国（境）外交流学生是指我校在籍学生，基于校际间合作协议，由学校选拔或自愿申请，参加学校组织的赴国（境）外友好院校开展文化交流活动，或通过学校到国（境）外院校开展短期留学项目，不涉及境外学位颁发的学生。</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学校通过沟通协调、完善政策、规范管理，推进赴国（境）外交流学生项目的发展。</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728" w:name="_Toc19876_WPSOffice_Level1"/>
      <w:r>
        <w:rPr>
          <w:rFonts w:hint="eastAsia" w:ascii="黑体" w:hAnsi="仿宋_GB2312" w:eastAsia="黑体" w:cs="仿宋_GB2312"/>
          <w:b/>
          <w:kern w:val="0"/>
          <w:sz w:val="32"/>
          <w:szCs w:val="32"/>
          <w:lang w:bidi="ar"/>
        </w:rPr>
        <w:t>第二章  管理机构</w:t>
      </w:r>
      <w:bookmarkEnd w:id="1728"/>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成立由国际交流中心、教务与实训管理处、学生工作处、各二级学院工作人员组成的学生赴国（境）外交流学习工作小组，共同负责该项工作的组织协调，工作小组办公室设在国际交流中心。</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国际交流中心主要牵头负责学生赴国（境）外交流项目的协调和管理，并负责拓展学生赴国（境）外交流学习渠道、制定派出计划、统筹选派工作，以及协助学生办理境外院校录取和出国（境）手续。</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hint="eastAsia" w:ascii="仿宋_GB2312" w:hAnsi="仿宋_GB2312" w:eastAsia="仿宋_GB2312" w:cs="仿宋_GB2312"/>
          <w:kern w:val="0"/>
          <w:sz w:val="32"/>
          <w:szCs w:val="32"/>
          <w:lang w:bidi="ar"/>
        </w:rPr>
        <w:t xml:space="preserve">  教务与实训管理处主要负责学生赴国（境）外交流学习方案、课程选修、成绩认定和学分互换审批及学籍管理等工作。</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学生工作处主要负责对申请的学生政治、心理、诚信、综合素质进行审核评定；</w:t>
      </w:r>
      <w:r>
        <w:rPr>
          <w:rFonts w:ascii="仿宋_GB2312" w:hAnsi="仿宋_GB2312" w:eastAsia="仿宋_GB2312" w:cs="仿宋_GB2312"/>
          <w:kern w:val="0"/>
          <w:sz w:val="32"/>
          <w:szCs w:val="32"/>
          <w:lang w:bidi="ar"/>
        </w:rPr>
        <w:t xml:space="preserve"> </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学生所在二级学院负责学生赴国（境）外交流学习项目的宣传发动、推荐选拔等工作，并负责受理学生报名申请、申请学生的政治审查；协助指导赴国（境）外交流学生进行课程选修及课程的学分转换；协助</w:t>
      </w:r>
      <w:r>
        <w:rPr>
          <w:rFonts w:ascii="仿宋_GB2312" w:hAnsi="仿宋_GB2312" w:eastAsia="仿宋_GB2312" w:cs="仿宋_GB2312"/>
          <w:kern w:val="0"/>
          <w:sz w:val="32"/>
          <w:szCs w:val="32"/>
          <w:lang w:bidi="ar"/>
        </w:rPr>
        <w:t>处理学生交流学习期间的学籍相关事务</w:t>
      </w:r>
      <w:r>
        <w:rPr>
          <w:rFonts w:hint="eastAsia" w:ascii="仿宋_GB2312" w:hAnsi="仿宋_GB2312" w:eastAsia="仿宋_GB2312" w:cs="仿宋_GB2312"/>
          <w:kern w:val="0"/>
          <w:sz w:val="32"/>
          <w:szCs w:val="32"/>
          <w:lang w:bidi="ar"/>
        </w:rPr>
        <w:t>。</w:t>
      </w:r>
    </w:p>
    <w:p>
      <w:pPr>
        <w:pageBreakBefore w:val="0"/>
        <w:kinsoku/>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学生在境外学习期间，国际交流中心要保持与学生的联络与沟通，及时了解学生的思想动态及学习、生活情况；同时加强对学生的爱国及诚信教育，督促他们境外学习结束后按时返校继续学业；若在国（境）外发生重大变故或突发事件，国际交流中心应及时了解情况，并迅速报告学校，协调解决。</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729" w:name="_Toc9049_WPSOffice_Level1"/>
      <w:r>
        <w:rPr>
          <w:rFonts w:hint="eastAsia" w:ascii="黑体" w:hAnsi="仿宋_GB2312" w:eastAsia="黑体" w:cs="仿宋_GB2312"/>
          <w:b/>
          <w:kern w:val="0"/>
          <w:sz w:val="32"/>
          <w:szCs w:val="32"/>
          <w:lang w:bidi="ar"/>
        </w:rPr>
        <w:t>第三章  信息发布、报名</w:t>
      </w:r>
      <w:bookmarkEnd w:id="1729"/>
      <w:r>
        <w:rPr>
          <w:rFonts w:hint="eastAsia" w:ascii="黑体" w:hAnsi="仿宋_GB2312" w:eastAsia="黑体" w:cs="仿宋_GB2312"/>
          <w:b/>
          <w:kern w:val="0"/>
          <w:sz w:val="32"/>
          <w:szCs w:val="32"/>
          <w:lang w:bidi="ar"/>
        </w:rPr>
        <w:t xml:space="preserve"> </w:t>
      </w:r>
    </w:p>
    <w:p>
      <w:pPr>
        <w:pageBreakBefore w:val="0"/>
        <w:kinsoku/>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第十条  </w:t>
      </w:r>
      <w:r>
        <w:rPr>
          <w:rFonts w:hint="eastAsia" w:ascii="仿宋_GB2312" w:hAnsi="仿宋_GB2312" w:eastAsia="仿宋_GB2312" w:cs="仿宋_GB2312"/>
          <w:kern w:val="0"/>
          <w:sz w:val="32"/>
          <w:szCs w:val="32"/>
          <w:lang w:bidi="ar"/>
        </w:rPr>
        <w:t>根据学校与境外学校签署的合作协议，针对具体合作项目，国际交流中心在学校网站上发布报名信息，其中：</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（一）文化交流项目：每年举办两期，一期为</w:t>
      </w:r>
      <w:r>
        <w:rPr>
          <w:rFonts w:hint="eastAsia" w:ascii="仿宋_GB2312" w:hAnsi="仿宋_GB2312" w:eastAsia="仿宋_GB2312" w:cs="仿宋_GB2312"/>
          <w:b/>
          <w:kern w:val="0"/>
          <w:sz w:val="32"/>
          <w:szCs w:val="32"/>
          <w:lang w:bidi="ar"/>
        </w:rPr>
        <w:t>选派团</w:t>
      </w:r>
      <w:r>
        <w:rPr>
          <w:rFonts w:hint="eastAsia" w:ascii="仿宋_GB2312" w:hAnsi="仿宋_GB2312" w:eastAsia="仿宋_GB2312" w:cs="仿宋_GB2312"/>
          <w:kern w:val="0"/>
          <w:sz w:val="32"/>
          <w:szCs w:val="32"/>
          <w:lang w:bidi="ar"/>
        </w:rPr>
        <w:t>，一期为</w:t>
      </w:r>
      <w:r>
        <w:rPr>
          <w:rFonts w:hint="eastAsia" w:ascii="仿宋_GB2312" w:hAnsi="仿宋_GB2312" w:eastAsia="仿宋_GB2312" w:cs="仿宋_GB2312"/>
          <w:b/>
          <w:kern w:val="0"/>
          <w:sz w:val="32"/>
          <w:szCs w:val="32"/>
          <w:lang w:bidi="ar"/>
        </w:rPr>
        <w:t>自费团，每期学生不超过20人</w:t>
      </w:r>
      <w:r>
        <w:rPr>
          <w:rFonts w:hint="eastAsia" w:ascii="仿宋_GB2312" w:hAnsi="仿宋_GB2312" w:eastAsia="仿宋_GB2312" w:cs="仿宋_GB2312"/>
          <w:kern w:val="0"/>
          <w:sz w:val="32"/>
          <w:szCs w:val="32"/>
          <w:lang w:bidi="ar"/>
        </w:rPr>
        <w:t>。（每期派出团具体名称可根据实际项目另行决定）。</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（二）留学项目：每年举办二期，上下学期各一期，由学生自愿报名。</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第十一条 </w:t>
      </w:r>
      <w:r>
        <w:rPr>
          <w:rFonts w:hint="eastAsia" w:ascii="仿宋_GB2312" w:hAnsi="仿宋_GB2312" w:eastAsia="仿宋_GB2312" w:cs="仿宋_GB2312"/>
          <w:kern w:val="0"/>
          <w:sz w:val="32"/>
          <w:szCs w:val="32"/>
          <w:lang w:bidi="ar"/>
        </w:rPr>
        <w:t xml:space="preserve"> 各二级学院根据“信息公开、机会均等、自愿报名、择优选拔”的原则，组织学生报名参加文化交流项目、留学生项目。报名者须具备以下基本条件：</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1.必须经我校正式注册，符合我校与国（境）外院校合作协议规定的</w:t>
      </w:r>
      <w:r>
        <w:rPr>
          <w:rFonts w:hint="eastAsia" w:ascii="仿宋_GB2312" w:hAnsi="仿宋_GB2312" w:eastAsia="仿宋_GB2312" w:cs="仿宋_GB2312"/>
          <w:b/>
          <w:kern w:val="0"/>
          <w:sz w:val="32"/>
          <w:szCs w:val="32"/>
          <w:lang w:bidi="ar"/>
        </w:rPr>
        <w:t>在籍学生</w:t>
      </w:r>
      <w:r>
        <w:rPr>
          <w:rFonts w:hint="eastAsia" w:ascii="仿宋_GB2312" w:hAnsi="仿宋_GB2312" w:eastAsia="仿宋_GB2312" w:cs="仿宋_GB2312"/>
          <w:kern w:val="0"/>
          <w:sz w:val="32"/>
          <w:szCs w:val="32"/>
          <w:lang w:bidi="ar"/>
        </w:rPr>
        <w:t>；</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2.政治素质高，热爱祖国，品德优良，具有较强的进取心和责任心；</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3.学业成绩优良，有一定的外语水平；</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4.综合表现良好，无不及格课程，无考试违纪或其他处分记录；</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5.具有良好的沟通能力、独立生活能力及较强的环境适应能力；身体健康，心理素质好，能顺利完成赴国（境）外交流学习任务；</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6.已交清应缴给学校的各项费用。</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7.符合国（境）外院校的遴选条件。</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730" w:name="_Toc23562_WPSOffice_Level1"/>
      <w:r>
        <w:rPr>
          <w:rFonts w:hint="eastAsia" w:ascii="黑体" w:hAnsi="仿宋_GB2312" w:eastAsia="黑体" w:cs="仿宋_GB2312"/>
          <w:b/>
          <w:kern w:val="0"/>
          <w:sz w:val="32"/>
          <w:szCs w:val="32"/>
          <w:lang w:bidi="ar"/>
        </w:rPr>
        <w:t>第四章  人员选拔和资格审查流程</w:t>
      </w:r>
      <w:bookmarkEnd w:id="1730"/>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人员选拔和资格审查流程</w:t>
      </w:r>
    </w:p>
    <w:p>
      <w:pPr>
        <w:pageBreakBefore w:val="0"/>
        <w:kinsoku/>
        <w:overflowPunct/>
        <w:topLinePunct w:val="0"/>
        <w:autoSpaceDE/>
        <w:autoSpaceDN/>
        <w:bidi w:val="0"/>
        <w:spacing w:line="560" w:lineRule="exact"/>
        <w:ind w:firstLine="643" w:firstLineChars="200"/>
        <w:outlineLvl w:val="9"/>
        <w:rPr>
          <w:rFonts w:hint="eastAsia"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（一）文化交流项目</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1.选派团成员从我校获得</w:t>
      </w:r>
      <w:r>
        <w:rPr>
          <w:rFonts w:hint="eastAsia" w:ascii="仿宋_GB2312" w:hAnsi="仿宋_GB2312" w:eastAsia="仿宋_GB2312" w:cs="仿宋_GB2312"/>
          <w:b/>
          <w:kern w:val="0"/>
          <w:sz w:val="32"/>
          <w:szCs w:val="32"/>
          <w:lang w:bidi="ar"/>
        </w:rPr>
        <w:t>国家奖学金、国家励志奖学金、学生专业技能竞赛A类二等奖及以上</w:t>
      </w:r>
      <w:r>
        <w:rPr>
          <w:rFonts w:hint="eastAsia" w:ascii="仿宋_GB2312" w:hAnsi="仿宋_GB2312" w:eastAsia="仿宋_GB2312" w:cs="仿宋_GB2312"/>
          <w:kern w:val="0"/>
          <w:sz w:val="32"/>
          <w:szCs w:val="32"/>
          <w:lang w:bidi="ar"/>
        </w:rPr>
        <w:t>学生中选拔组成。</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2.自费团成员由自愿报名参加的学生组成。</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二级学院对报名学生进行综合考评，确定初步名单后，由分管领导签字并盖章，将初选名单报送教务与实训管理处、学生工作处复审后，确定最终名单，并将名单连同学生填写的《柳州职业技术学院学生赴国（境）外文化交流项目报名表》等有关材料报国际交流中心。</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4.国际交流中心将名单统一汇总后，连同所涉及的学校经费资助额度，报学校院务会讨论批准；</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5.国际交流中心对批准派出人选进行公示；</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6.国际交流中心将最终确定人员名单书面通知相关二级学院并抄送教务与实训管理处、学生工作处备案；</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7.国际交流中心指导和帮助学生办理各种出（国）境准备工作；</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8.学生工作处、国际交流中心对参加（国）境外文化交流学生进行行前培训；</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 9.赴国（境）外文化交流学生离校前应与学校签订《柳州职业技术学院学生赴国（境）外交流学习协议书》。</w:t>
      </w:r>
    </w:p>
    <w:p>
      <w:pPr>
        <w:pageBreakBefore w:val="0"/>
        <w:kinsoku/>
        <w:overflowPunct/>
        <w:topLinePunct w:val="0"/>
        <w:autoSpaceDE/>
        <w:autoSpaceDN/>
        <w:bidi w:val="0"/>
        <w:spacing w:line="560" w:lineRule="exact"/>
        <w:ind w:firstLine="643" w:firstLineChars="200"/>
        <w:outlineLvl w:val="9"/>
        <w:rPr>
          <w:rFonts w:hint="eastAsia"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（二）留学项目</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1.留学项目由学生自愿报名参加。</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二级学院对报名学生进行综合考评，确定初步名单后，由分管领导签字并盖章，将初选名单报送教务与实训管理处、学生工作处复审后，确定最终名单，将名单连同学生填写的《柳州职业技术学院学生赴国（境）外留学项目报名表》、《柳州职业技术学院赴国（境）外留学项目课程修读计划表》等有关材料报国际交流中心。</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3.国际交流中心将名单统一汇总后，连同所涉及的学校经费资助额度，报学校院务会讨论批准；</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4.国际交流中心对批准派出人选进行公示；</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5.国际交流中心将最终确定人员名单书面通知相关二级学院并抄送教务与实训管理处、学</w:t>
      </w:r>
      <w:bookmarkStart w:id="1731" w:name="_Toc4047_WPSOffice_Level1"/>
      <w:r>
        <w:rPr>
          <w:rFonts w:hint="eastAsia" w:ascii="仿宋_GB2312" w:hAnsi="仿宋_GB2312" w:eastAsia="仿宋_GB2312" w:cs="仿宋_GB2312"/>
          <w:kern w:val="0"/>
          <w:sz w:val="32"/>
          <w:szCs w:val="32"/>
          <w:lang w:bidi="ar"/>
        </w:rPr>
        <w:t>生工作处备案；</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6.国际交流中心负责指导学生填写并准备</w:t>
      </w:r>
      <w:bookmarkEnd w:id="1731"/>
      <w:r>
        <w:rPr>
          <w:rFonts w:hint="eastAsia" w:ascii="仿宋_GB2312" w:hAnsi="仿宋_GB2312" w:eastAsia="仿宋_GB2312" w:cs="仿宋_GB2312"/>
          <w:kern w:val="0"/>
          <w:sz w:val="32"/>
          <w:szCs w:val="32"/>
          <w:lang w:bidi="ar"/>
        </w:rPr>
        <w:t>申请材料，将申请材料邮寄给境外合作院校办理相关录取手续，并将录取通知书等相关材料转交给有关学生并指导和协助学生办理签证手续；</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7.赴国（境）外留学学生在赴国（境）外学校学习前，应接受思想意识形态、外事礼仪等相关培训；</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8.赴国（境）外留学学生在赴国（境）外学校学习前，应到教务与实训管理处办理相关手续；</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9.赴国（境）外留学学生离校前应按照所在专业学费标准交清所有学杂费和项目规定的其他费用。</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10.赴国（境）外留学学生离校前应与学校签订《柳州职业技术学院学生赴国（境）外交流学习协议书》。</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p>
    <w:p>
      <w:pPr>
        <w:pageBreakBefore w:val="0"/>
        <w:kinsoku/>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732" w:name="_Toc16185_WPSOffice_Level1"/>
      <w:r>
        <w:rPr>
          <w:rFonts w:hint="eastAsia" w:ascii="黑体" w:hAnsi="仿宋_GB2312" w:eastAsia="黑体" w:cs="仿宋_GB2312"/>
          <w:b/>
          <w:kern w:val="0"/>
          <w:sz w:val="32"/>
          <w:szCs w:val="32"/>
          <w:lang w:bidi="ar"/>
        </w:rPr>
        <w:t>第五章  境外管理</w:t>
      </w:r>
      <w:bookmarkEnd w:id="1732"/>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第十三条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学生赴国（境）外</w:t>
      </w:r>
      <w:r>
        <w:rPr>
          <w:rFonts w:hint="eastAsia" w:ascii="仿宋_GB2312" w:hAnsi="仿宋_GB2312" w:eastAsia="仿宋_GB2312" w:cs="仿宋_GB2312"/>
          <w:kern w:val="0"/>
          <w:sz w:val="32"/>
          <w:szCs w:val="32"/>
          <w:lang w:bidi="ar"/>
        </w:rPr>
        <w:t>交流学习</w:t>
      </w:r>
      <w:r>
        <w:rPr>
          <w:rFonts w:ascii="仿宋_GB2312" w:hAnsi="仿宋_GB2312" w:eastAsia="仿宋_GB2312" w:cs="仿宋_GB2312"/>
          <w:kern w:val="0"/>
          <w:sz w:val="32"/>
          <w:szCs w:val="32"/>
          <w:lang w:bidi="ar"/>
        </w:rPr>
        <w:t>期间，</w:t>
      </w:r>
      <w:r>
        <w:rPr>
          <w:rFonts w:hint="eastAsia" w:ascii="仿宋_GB2312" w:hAnsi="仿宋_GB2312" w:eastAsia="仿宋_GB2312" w:cs="仿宋_GB2312"/>
          <w:kern w:val="0"/>
          <w:sz w:val="32"/>
          <w:szCs w:val="32"/>
          <w:lang w:bidi="ar"/>
        </w:rPr>
        <w:t>学校</w:t>
      </w:r>
      <w:r>
        <w:rPr>
          <w:rFonts w:ascii="仿宋_GB2312" w:hAnsi="仿宋_GB2312" w:eastAsia="仿宋_GB2312" w:cs="仿宋_GB2312"/>
          <w:kern w:val="0"/>
          <w:sz w:val="32"/>
          <w:szCs w:val="32"/>
          <w:lang w:bidi="ar"/>
        </w:rPr>
        <w:t>保留其学籍。</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赴国（境）外交流学习学生到达境外驻地后，应于一周内将境外住址和联系方式通知所在二级学院和国际交流中心。</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第十五条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学生在境外学校</w:t>
      </w:r>
      <w:r>
        <w:rPr>
          <w:rFonts w:hint="eastAsia" w:ascii="仿宋_GB2312" w:hAnsi="仿宋_GB2312" w:eastAsia="仿宋_GB2312" w:cs="仿宋_GB2312"/>
          <w:kern w:val="0"/>
          <w:sz w:val="32"/>
          <w:szCs w:val="32"/>
          <w:lang w:bidi="ar"/>
        </w:rPr>
        <w:t>交流</w:t>
      </w:r>
      <w:r>
        <w:rPr>
          <w:rFonts w:ascii="仿宋_GB2312" w:hAnsi="仿宋_GB2312" w:eastAsia="仿宋_GB2312" w:cs="仿宋_GB2312"/>
          <w:kern w:val="0"/>
          <w:sz w:val="32"/>
          <w:szCs w:val="32"/>
          <w:lang w:bidi="ar"/>
        </w:rPr>
        <w:t>学习期间，必须遵守</w:t>
      </w:r>
      <w:r>
        <w:rPr>
          <w:rFonts w:hint="eastAsia" w:ascii="仿宋_GB2312" w:hAnsi="仿宋_GB2312" w:eastAsia="仿宋_GB2312" w:cs="仿宋_GB2312"/>
          <w:kern w:val="0"/>
          <w:sz w:val="32"/>
          <w:szCs w:val="32"/>
          <w:lang w:bidi="ar"/>
        </w:rPr>
        <w:t>所在国</w:t>
      </w:r>
      <w:r>
        <w:rPr>
          <w:rFonts w:ascii="仿宋_GB2312" w:hAnsi="仿宋_GB2312" w:eastAsia="仿宋_GB2312" w:cs="仿宋_GB2312"/>
          <w:kern w:val="0"/>
          <w:sz w:val="32"/>
          <w:szCs w:val="32"/>
          <w:lang w:bidi="ar"/>
        </w:rPr>
        <w:t>法律以及境外学校的校规，接受境外学校的管理。</w:t>
      </w:r>
      <w:r>
        <w:rPr>
          <w:rFonts w:hint="eastAsia" w:ascii="仿宋_GB2312" w:hAnsi="仿宋_GB2312" w:eastAsia="仿宋_GB2312" w:cs="仿宋_GB2312"/>
          <w:kern w:val="0"/>
          <w:sz w:val="32"/>
          <w:szCs w:val="32"/>
          <w:lang w:bidi="ar"/>
        </w:rPr>
        <w:t>尊重当地的风俗习惯和宗教信仰；遵守外事纪律，不散布任何有损国家形象的信息、不做任何有损国家尊严的事情。</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hint="eastAsia" w:ascii="仿宋_GB2312" w:hAnsi="仿宋_GB2312" w:eastAsia="仿宋_GB2312" w:cs="仿宋_GB2312"/>
          <w:kern w:val="0"/>
          <w:sz w:val="32"/>
          <w:szCs w:val="32"/>
          <w:lang w:bidi="ar"/>
        </w:rPr>
        <w:t xml:space="preserve">  参加文化交流项目学生，回国后一周内需向国际交流中心及所在二级学院提交一份书面总结。</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hint="eastAsia" w:ascii="仿宋_GB2312" w:hAnsi="仿宋_GB2312" w:eastAsia="仿宋_GB2312" w:cs="仿宋_GB2312"/>
          <w:kern w:val="0"/>
          <w:sz w:val="32"/>
          <w:szCs w:val="32"/>
          <w:lang w:bidi="ar"/>
        </w:rPr>
        <w:t xml:space="preserve">  参加留学项目学生，在境外学习期间，应在每学期期中、期末向国际交流中心及所在二级学院提交一份书面报告，汇报在境外学习和生活情况。遇到重大事情应及时向我国驻当地领事馆、驻外机构和学校报告。学习期满后，应于一周内按时回校，同时以书面形式向国际交流中心报告。学习期满无故不按时回校者作自动退学处理。</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第十八条</w:t>
      </w:r>
      <w:r>
        <w:rPr>
          <w:rFonts w:hint="eastAsia" w:ascii="仿宋_GB2312" w:hAnsi="仿宋_GB2312" w:eastAsia="仿宋_GB2312" w:cs="仿宋_GB2312"/>
          <w:kern w:val="0"/>
          <w:sz w:val="32"/>
          <w:szCs w:val="32"/>
          <w:lang w:bidi="ar"/>
        </w:rPr>
        <w:t xml:space="preserve">  未经学校同意，学生不得私自以各种理由转往其他学校。不得擅自中止、延长交流期限或转往其他国家或地区。</w:t>
      </w:r>
    </w:p>
    <w:p>
      <w:pPr>
        <w:pageBreakBefore w:val="0"/>
        <w:kinsoku/>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733" w:name="_Toc32212_WPSOffice_Level1"/>
      <w:r>
        <w:rPr>
          <w:rFonts w:hint="eastAsia" w:ascii="黑体" w:hAnsi="仿宋_GB2312" w:eastAsia="黑体" w:cs="仿宋_GB2312"/>
          <w:b/>
          <w:kern w:val="0"/>
          <w:sz w:val="32"/>
          <w:szCs w:val="32"/>
          <w:lang w:bidi="ar"/>
        </w:rPr>
        <w:t>第六章  学分成绩和学籍管理</w:t>
      </w:r>
      <w:bookmarkEnd w:id="1733"/>
    </w:p>
    <w:p>
      <w:pPr>
        <w:pageBreakBefore w:val="0"/>
        <w:kinsoku/>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第十九条</w:t>
      </w:r>
      <w:r>
        <w:rPr>
          <w:rFonts w:hint="eastAsia" w:ascii="仿宋_GB2312" w:hAnsi="仿宋_GB2312" w:eastAsia="仿宋_GB2312" w:cs="仿宋_GB2312"/>
          <w:kern w:val="0"/>
          <w:sz w:val="32"/>
          <w:szCs w:val="32"/>
          <w:lang w:bidi="ar"/>
        </w:rPr>
        <w:t xml:space="preserve">  参加文化交流项目的学生，根据其活动表现以及回国后提交的交流报告，教务与实训管理处将给予相应的的学分记录。</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第二十条</w:t>
      </w:r>
      <w:r>
        <w:rPr>
          <w:rFonts w:hint="eastAsia" w:ascii="仿宋_GB2312" w:hAnsi="仿宋_GB2312" w:eastAsia="仿宋_GB2312" w:cs="仿宋_GB2312"/>
          <w:kern w:val="0"/>
          <w:sz w:val="32"/>
          <w:szCs w:val="32"/>
          <w:lang w:bidi="ar"/>
        </w:rPr>
        <w:t xml:space="preserve">  赴（国）境外留学学生，在申请赴国（境）外学校学习之前，需充分了解境外学校相应学期的课程设置，对照本专业教学计划，在专业老师的指导下制定学习计划，并填写《柳州职业技术学院赴国（境）外交流学生留学项目课程修读计划表》，经所在二级学院审批后报教务与实训管理处备案。如果出境前尚无法确定学习计划者，经学校批准，可在抵达境外学校后，在专业老师的指导下拟定学习计划，返校后经二级学院审批后补交教务与实训管理处备案。</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第二十一条</w:t>
      </w:r>
      <w:r>
        <w:rPr>
          <w:rFonts w:hint="eastAsia" w:ascii="仿宋_GB2312" w:hAnsi="仿宋_GB2312" w:eastAsia="仿宋_GB2312" w:cs="仿宋_GB2312"/>
          <w:kern w:val="0"/>
          <w:sz w:val="32"/>
          <w:szCs w:val="32"/>
          <w:lang w:bidi="ar"/>
        </w:rPr>
        <w:t xml:space="preserve">  学生在境外学校学习期间取得的学分我校予以承认，并可与交流学生在本校所修读专业的相关课程学分进行置换。具体置换方案由学生所在二级学院根据学生修读的实际情况提出意见报教务与实训管理处审批。二级学院在提出交流学生学分置换意见时，应遵循以下原则： </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（一）课程内容相近原则。学分置换的境外学校课程名称或教学内容应与我校课程名称或教学内容相同或相近。</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学分/课时对等原则。在课程内容相近原则的基础上，学分置换的课程学分/课时数应该逐一对应。若双方学校课程的学分差异较大，可用境外学校多门学分/课时数较少的课程与我校一门学分/课时数较多的课程置换，也可用对方一门学分/课时较多的课程与我校多门学分/课时数较少的课程置换。</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成绩一致原则。学生以境外学校课程置换的我校课程的成绩原则上应根据境外学校课程的成绩以百分制形式录入。若境外学校课程成绩评定非百分制的，五级记分制与百分制的对应换算为：优秀——95分；良好——85分；中等——75分；及格——60分；不及格——50分。</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（四）学分置换实行一次性原则。学生在境外学校所修读的课程及其学分只能置换一次，无法置换的课程及其学分可列入其他选修模块进行对换。</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第二十二条  </w:t>
      </w:r>
      <w:r>
        <w:rPr>
          <w:rFonts w:hint="eastAsia" w:ascii="仿宋_GB2312" w:hAnsi="仿宋_GB2312" w:eastAsia="仿宋_GB2312" w:cs="仿宋_GB2312"/>
          <w:kern w:val="0"/>
          <w:sz w:val="32"/>
          <w:szCs w:val="32"/>
          <w:lang w:bidi="ar"/>
        </w:rPr>
        <w:t>学生因参加交流项目而无法按照本专业教学计划规定完成课程修读及取得相应学分的，返校后按正常程序补修。</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第二十三条</w:t>
      </w:r>
      <w:r>
        <w:rPr>
          <w:rFonts w:hint="eastAsia" w:ascii="仿宋_GB2312" w:hAnsi="仿宋_GB2312" w:eastAsia="仿宋_GB2312" w:cs="仿宋_GB2312"/>
          <w:kern w:val="0"/>
          <w:sz w:val="32"/>
          <w:szCs w:val="32"/>
          <w:lang w:bidi="ar"/>
        </w:rPr>
        <w:t xml:space="preserve">  赴国（境）外交流学生在境外学习所修读的各门课程的成绩，应在对方学校每学期结束后一个月内，由该校密封寄至我校国际交流处。国际交流处接到成绩后，交由二级学院进行学分认定，报教务与实训管理处审批后，录入成绩系统。</w:t>
      </w:r>
    </w:p>
    <w:p>
      <w:pPr>
        <w:pageBreakBefore w:val="0"/>
        <w:kinsoku/>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734" w:name="_Toc6592_WPSOffice_Level1"/>
      <w:r>
        <w:rPr>
          <w:rFonts w:hint="eastAsia" w:ascii="黑体" w:hAnsi="仿宋_GB2312" w:eastAsia="黑体" w:cs="仿宋_GB2312"/>
          <w:b/>
          <w:kern w:val="0"/>
          <w:sz w:val="32"/>
          <w:szCs w:val="32"/>
          <w:lang w:bidi="ar"/>
        </w:rPr>
        <w:t>第七章  经费&amp;资助</w:t>
      </w:r>
      <w:bookmarkEnd w:id="1734"/>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第二十四条 </w:t>
      </w:r>
      <w:r>
        <w:rPr>
          <w:rFonts w:hint="eastAsia" w:ascii="仿宋_GB2312" w:hAnsi="仿宋_GB2312" w:eastAsia="仿宋_GB2312" w:cs="仿宋_GB2312"/>
          <w:kern w:val="0"/>
          <w:sz w:val="32"/>
          <w:szCs w:val="32"/>
          <w:lang w:bidi="ar"/>
        </w:rPr>
        <w:t xml:space="preserve">  文化交流项目</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文化交流项目费用包括学习交流费、往返交通费、护照签证费、境外保险费及食宿费等。学习交流费及食宿费用根据两校间协议执行。</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为鼓励优秀学生积极参加境外交流学习，选派团成员由学校全额负担其学习交流费、往返交通费；护照签证费、境外保险费及食宿费用等，酌情由学生自理或学校给予补助。</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自费团的费用由学生自理，学校将酌情给予一定补助。</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第二十五条</w:t>
      </w:r>
      <w:r>
        <w:rPr>
          <w:rFonts w:hint="eastAsia" w:ascii="仿宋_GB2312" w:hAnsi="仿宋_GB2312" w:eastAsia="仿宋_GB2312" w:cs="仿宋_GB2312"/>
          <w:kern w:val="0"/>
          <w:sz w:val="32"/>
          <w:szCs w:val="32"/>
          <w:lang w:bidi="ar"/>
        </w:rPr>
        <w:t xml:space="preserve">  留学生项目</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留学生项目费用包括境外学校学费、往返交通费、护照签证费、境外保险费、生活费（境外食、宿、交通等）等费用，学费及食宿费用等根据两校间协议执行，原则上所有费用由参加学生自理。</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为鼓励学生在境外认真学习，对于在境外学习期间能圆满完成学习修读计划并取得相应科目学分的学生，学校可免除其在我校学习计划中相应科目的学费。</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赴国（境）外参加留学项目的学生，在境外学习期间，可免予缴纳我校学杂费、住宿费、教材费等相关费用。</w:t>
      </w:r>
    </w:p>
    <w:p>
      <w:pPr>
        <w:pageBreakBefore w:val="0"/>
        <w:kinsoku/>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对品学兼优但家庭困难的学生，学校将予以适当比例的资助。</w:t>
      </w:r>
    </w:p>
    <w:p>
      <w:pPr>
        <w:pageBreakBefore w:val="0"/>
        <w:kinsoku/>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bookmarkStart w:id="1735" w:name="_Toc20022_WPSOffice_Level1"/>
      <w:r>
        <w:rPr>
          <w:rFonts w:hint="eastAsia" w:ascii="黑体" w:hAnsi="仿宋_GB2312" w:eastAsia="黑体" w:cs="仿宋_GB2312"/>
          <w:b/>
          <w:kern w:val="0"/>
          <w:sz w:val="32"/>
          <w:szCs w:val="32"/>
          <w:lang w:bidi="ar"/>
        </w:rPr>
        <w:t>第八章  附则</w:t>
      </w:r>
      <w:bookmarkEnd w:id="1735"/>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第二十六条</w:t>
      </w:r>
      <w:r>
        <w:rPr>
          <w:rFonts w:hint="eastAsia" w:ascii="仿宋_GB2312" w:hAnsi="仿宋_GB2312" w:eastAsia="仿宋_GB2312" w:cs="仿宋_GB2312"/>
          <w:kern w:val="0"/>
          <w:sz w:val="32"/>
          <w:szCs w:val="32"/>
          <w:lang w:bidi="ar"/>
        </w:rPr>
        <w:t xml:space="preserve">  本规定适用于我校全日制学生赴国（境）外交流、留学工作管理，自发布之日起施行，若之前其他文件规定内容与本规定不符的，以本规定为准。</w:t>
      </w:r>
    </w:p>
    <w:p>
      <w:pPr>
        <w:pageBreakBefore w:val="0"/>
        <w:kinsoku/>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第二十七条</w:t>
      </w:r>
      <w:r>
        <w:rPr>
          <w:rFonts w:hint="eastAsia" w:ascii="仿宋_GB2312" w:hAnsi="仿宋_GB2312" w:eastAsia="仿宋_GB2312" w:cs="仿宋_GB2312"/>
          <w:kern w:val="0"/>
          <w:sz w:val="32"/>
          <w:szCs w:val="32"/>
          <w:lang w:bidi="ar"/>
        </w:rPr>
        <w:t xml:space="preserve">  本规定由国际交流中心进行解释。</w:t>
      </w:r>
    </w:p>
    <w:p>
      <w:pPr>
        <w:pageBreakBefore w:val="0"/>
        <w:kinsoku/>
        <w:overflowPunct/>
        <w:topLinePunct w:val="0"/>
        <w:autoSpaceDE/>
        <w:autoSpaceDN/>
        <w:bidi w:val="0"/>
        <w:spacing w:line="56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第二十八条  </w:t>
      </w:r>
      <w:r>
        <w:rPr>
          <w:rFonts w:hint="eastAsia" w:ascii="仿宋_GB2312" w:hAnsi="仿宋_GB2312" w:eastAsia="仿宋_GB2312" w:cs="仿宋_GB2312"/>
          <w:kern w:val="0"/>
          <w:sz w:val="32"/>
          <w:szCs w:val="32"/>
          <w:lang w:bidi="ar"/>
        </w:rPr>
        <w:t>本规定如有与上级教育行政主管部门颁布的学生出国（境）交流学习管理规定相抵触者，以上级颁布的规定为准。</w:t>
      </w: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bidi="ar"/>
        </w:rPr>
        <w:t>附件</w:t>
      </w:r>
      <w:r>
        <w:rPr>
          <w:rFonts w:hint="eastAsia" w:ascii="仿宋_GB2312" w:hAnsi="仿宋_GB2312" w:eastAsia="仿宋_GB2312" w:cs="仿宋_GB2312"/>
          <w:kern w:val="0"/>
          <w:sz w:val="32"/>
          <w:szCs w:val="32"/>
          <w:lang w:val="en-US" w:eastAsia="zh-CN" w:bidi="ar"/>
        </w:rPr>
        <w:t>:</w:t>
      </w:r>
    </w:p>
    <w:p>
      <w:pPr>
        <w:pageBreakBefore w:val="0"/>
        <w:kinsoku/>
        <w:overflowPunct/>
        <w:topLinePunct w:val="0"/>
        <w:autoSpaceDE/>
        <w:autoSpaceDN/>
        <w:bidi w:val="0"/>
        <w:spacing w:line="560" w:lineRule="exact"/>
        <w:ind w:leftChars="3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1.柳州职业技术学院赴国（境）外文化交流项目报名表</w:t>
      </w:r>
    </w:p>
    <w:p>
      <w:pPr>
        <w:pageBreakBefore w:val="0"/>
        <w:kinsoku/>
        <w:overflowPunct/>
        <w:topLinePunct w:val="0"/>
        <w:autoSpaceDE/>
        <w:autoSpaceDN/>
        <w:bidi w:val="0"/>
        <w:spacing w:line="560" w:lineRule="exact"/>
        <w:ind w:leftChars="3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2.柳州职业技术学院赴国（境）外留学项目报名表</w:t>
      </w:r>
    </w:p>
    <w:p>
      <w:pPr>
        <w:pageBreakBefore w:val="0"/>
        <w:kinsoku/>
        <w:overflowPunct/>
        <w:topLinePunct w:val="0"/>
        <w:autoSpaceDE/>
        <w:autoSpaceDN/>
        <w:bidi w:val="0"/>
        <w:spacing w:line="560" w:lineRule="exact"/>
        <w:ind w:leftChars="3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3.柳州职业技术学院赴国（境）外交流学生留学项</w:t>
      </w:r>
    </w:p>
    <w:p>
      <w:pPr>
        <w:pageBreakBefore w:val="0"/>
        <w:kinsoku/>
        <w:overflowPunct/>
        <w:topLinePunct w:val="0"/>
        <w:autoSpaceDE/>
        <w:autoSpaceDN/>
        <w:bidi w:val="0"/>
        <w:spacing w:line="560" w:lineRule="exact"/>
        <w:ind w:left="105" w:leftChars="50" w:firstLine="1760" w:firstLineChars="550"/>
        <w:outlineLvl w:val="9"/>
        <w:rPr>
          <w:rFonts w:hint="eastAsia" w:ascii="仿宋_GB2312" w:hAnsi="仿宋_GB2312" w:eastAsia="仿宋_GB2312" w:cs="仿宋_GB2312"/>
          <w:kern w:val="0"/>
          <w:sz w:val="32"/>
          <w:szCs w:val="32"/>
          <w:lang w:bidi="ar"/>
        </w:rPr>
      </w:pPr>
    </w:p>
    <w:p>
      <w:pPr>
        <w:pageBreakBefore w:val="0"/>
        <w:kinsoku/>
        <w:overflowPunct/>
        <w:topLinePunct w:val="0"/>
        <w:autoSpaceDE/>
        <w:autoSpaceDN/>
        <w:bidi w:val="0"/>
        <w:spacing w:line="560" w:lineRule="exact"/>
        <w:ind w:left="105" w:leftChars="50" w:firstLine="1760" w:firstLineChars="55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目课程修读计划表</w:t>
      </w:r>
    </w:p>
    <w:p>
      <w:pPr>
        <w:pageBreakBefore w:val="0"/>
        <w:kinsoku/>
        <w:overflowPunct/>
        <w:topLinePunct w:val="0"/>
        <w:autoSpaceDE/>
        <w:autoSpaceDN/>
        <w:bidi w:val="0"/>
        <w:spacing w:line="600" w:lineRule="exact"/>
        <w:jc w:val="left"/>
        <w:outlineLvl w:val="9"/>
        <w:rPr>
          <w:rFonts w:hint="eastAsia" w:ascii="黑体" w:eastAsia="黑体"/>
          <w:sz w:val="32"/>
          <w:szCs w:val="32"/>
        </w:rPr>
      </w:pPr>
      <w:r>
        <w:rPr>
          <w:rFonts w:ascii="仿宋_GB2312" w:hAnsi="仿宋_GB2312" w:eastAsia="仿宋_GB2312" w:cs="仿宋_GB2312"/>
          <w:kern w:val="0"/>
          <w:sz w:val="32"/>
          <w:szCs w:val="32"/>
          <w:lang w:bidi="ar"/>
        </w:rPr>
        <w:br w:type="page"/>
      </w:r>
      <w:r>
        <w:rPr>
          <w:rFonts w:hint="eastAsia" w:ascii="黑体" w:eastAsia="黑体"/>
          <w:sz w:val="32"/>
          <w:szCs w:val="32"/>
        </w:rPr>
        <w:t>附件1：</w:t>
      </w:r>
    </w:p>
    <w:p>
      <w:pPr>
        <w:pageBreakBefore w:val="0"/>
        <w:kinsoku/>
        <w:overflowPunct/>
        <w:topLinePunct w:val="0"/>
        <w:autoSpaceDE/>
        <w:autoSpaceDN/>
        <w:bidi w:val="0"/>
        <w:spacing w:line="600" w:lineRule="exact"/>
        <w:jc w:val="center"/>
        <w:outlineLvl w:val="9"/>
        <w:rPr>
          <w:rFonts w:hint="eastAsia"/>
          <w:b/>
          <w:color w:val="000000"/>
          <w:sz w:val="36"/>
          <w:szCs w:val="36"/>
        </w:rPr>
      </w:pPr>
      <w:bookmarkStart w:id="1736" w:name="_Toc10713_WPSOffice_Level1"/>
      <w:r>
        <w:rPr>
          <w:rFonts w:hint="eastAsia"/>
          <w:b/>
          <w:color w:val="000000"/>
          <w:sz w:val="36"/>
          <w:szCs w:val="36"/>
        </w:rPr>
        <w:t>柳州职业技术学院赴国（境）外文化交流项目报名表</w:t>
      </w:r>
      <w:bookmarkEnd w:id="1736"/>
    </w:p>
    <w:tbl>
      <w:tblPr>
        <w:tblStyle w:val="14"/>
        <w:tblpPr w:leftFromText="180" w:rightFromText="180" w:vertAnchor="page" w:horzAnchor="margin" w:tblpXSpec="center" w:tblpY="351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134"/>
        <w:gridCol w:w="567"/>
        <w:gridCol w:w="709"/>
        <w:gridCol w:w="1417"/>
        <w:gridCol w:w="1276"/>
        <w:gridCol w:w="140"/>
        <w:gridCol w:w="99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姓名</w:t>
            </w:r>
          </w:p>
        </w:tc>
        <w:tc>
          <w:tcPr>
            <w:tcW w:w="1134"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276"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汉语拼音</w:t>
            </w:r>
          </w:p>
        </w:tc>
        <w:tc>
          <w:tcPr>
            <w:tcW w:w="1417"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276" w:type="dxa"/>
            <w:noWrap w:val="0"/>
            <w:vAlign w:val="center"/>
          </w:tcPr>
          <w:p>
            <w:pPr>
              <w:pageBreakBefore w:val="0"/>
              <w:kinsoku/>
              <w:overflowPunct/>
              <w:topLinePunct w:val="0"/>
              <w:autoSpaceDE/>
              <w:autoSpaceDN/>
              <w:bidi w:val="0"/>
              <w:ind w:left="3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性别</w:t>
            </w:r>
          </w:p>
        </w:tc>
        <w:tc>
          <w:tcPr>
            <w:tcW w:w="1134"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559" w:type="dxa"/>
            <w:vMerge w:val="restart"/>
            <w:noWrap w:val="0"/>
            <w:vAlign w:val="center"/>
          </w:tcPr>
          <w:p>
            <w:pPr>
              <w:pageBreakBefore w:val="0"/>
              <w:kinsoku/>
              <w:overflowPunct/>
              <w:topLinePunct w:val="0"/>
              <w:autoSpaceDE/>
              <w:autoSpaceDN/>
              <w:bidi w:val="0"/>
              <w:outlineLvl w:val="9"/>
              <w:rPr>
                <w:rFonts w:hint="eastAsia" w:ascii="仿宋_GB2312" w:hAnsi="宋体" w:eastAsia="仿宋_GB2312" w:cs="Arial"/>
                <w:sz w:val="21"/>
                <w:szCs w:val="21"/>
              </w:rPr>
            </w:pPr>
            <w:r>
              <w:rPr>
                <w:rFonts w:hint="eastAsia" w:ascii="仿宋_GB2312" w:hAnsi="宋体" w:eastAsia="仿宋_GB2312" w:cs="Arial"/>
                <w:sz w:val="21"/>
                <w:szCs w:val="21"/>
              </w:rPr>
              <w:t>2寸彩色近照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民族</w:t>
            </w:r>
          </w:p>
        </w:tc>
        <w:tc>
          <w:tcPr>
            <w:tcW w:w="1134"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276"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出生年月</w:t>
            </w:r>
          </w:p>
        </w:tc>
        <w:tc>
          <w:tcPr>
            <w:tcW w:w="1417"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276"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籍贯</w:t>
            </w:r>
          </w:p>
        </w:tc>
        <w:tc>
          <w:tcPr>
            <w:tcW w:w="1134"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559" w:type="dxa"/>
            <w:vMerge w:val="continue"/>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学号</w:t>
            </w:r>
          </w:p>
        </w:tc>
        <w:tc>
          <w:tcPr>
            <w:tcW w:w="1134"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276"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平均绩点</w:t>
            </w:r>
          </w:p>
        </w:tc>
        <w:tc>
          <w:tcPr>
            <w:tcW w:w="1417"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276"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政治面貌</w:t>
            </w:r>
          </w:p>
        </w:tc>
        <w:tc>
          <w:tcPr>
            <w:tcW w:w="1134"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559" w:type="dxa"/>
            <w:vMerge w:val="continue"/>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户口所在地</w:t>
            </w:r>
          </w:p>
        </w:tc>
        <w:tc>
          <w:tcPr>
            <w:tcW w:w="7796" w:type="dxa"/>
            <w:gridSpan w:val="8"/>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exact"/>
        </w:trPr>
        <w:tc>
          <w:tcPr>
            <w:tcW w:w="1526" w:type="dxa"/>
            <w:noWrap w:val="0"/>
            <w:vAlign w:val="center"/>
          </w:tcPr>
          <w:p>
            <w:pPr>
              <w:pageBreakBefore w:val="0"/>
              <w:kinsoku/>
              <w:overflowPunct/>
              <w:topLinePunct w:val="0"/>
              <w:autoSpaceDE/>
              <w:autoSpaceDN/>
              <w:bidi w:val="0"/>
              <w:spacing w:line="30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身份证/</w:t>
            </w:r>
          </w:p>
          <w:p>
            <w:pPr>
              <w:pageBreakBefore w:val="0"/>
              <w:kinsoku/>
              <w:overflowPunct/>
              <w:topLinePunct w:val="0"/>
              <w:autoSpaceDE/>
              <w:autoSpaceDN/>
              <w:bidi w:val="0"/>
              <w:spacing w:line="30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护照号码</w:t>
            </w:r>
          </w:p>
        </w:tc>
        <w:tc>
          <w:tcPr>
            <w:tcW w:w="7796" w:type="dxa"/>
            <w:gridSpan w:val="8"/>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手机号码</w:t>
            </w:r>
          </w:p>
        </w:tc>
        <w:tc>
          <w:tcPr>
            <w:tcW w:w="3827" w:type="dxa"/>
            <w:gridSpan w:val="4"/>
            <w:noWrap w:val="0"/>
            <w:vAlign w:val="center"/>
          </w:tcPr>
          <w:p>
            <w:pPr>
              <w:pageBreakBefore w:val="0"/>
              <w:kinsoku/>
              <w:overflowPunct/>
              <w:topLinePunct w:val="0"/>
              <w:autoSpaceDE/>
              <w:autoSpaceDN/>
              <w:bidi w:val="0"/>
              <w:snapToGrid w:val="0"/>
              <w:spacing w:line="288" w:lineRule="auto"/>
              <w:jc w:val="center"/>
              <w:outlineLvl w:val="9"/>
              <w:rPr>
                <w:rFonts w:hint="eastAsia" w:ascii="仿宋_GB2312" w:hAnsi="宋体" w:eastAsia="仿宋_GB2312" w:cs="Arial"/>
                <w:sz w:val="21"/>
                <w:szCs w:val="21"/>
              </w:rPr>
            </w:pPr>
          </w:p>
        </w:tc>
        <w:tc>
          <w:tcPr>
            <w:tcW w:w="1416"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电子邮箱</w:t>
            </w:r>
          </w:p>
        </w:tc>
        <w:tc>
          <w:tcPr>
            <w:tcW w:w="2553"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所在学院、专业及班级</w:t>
            </w:r>
          </w:p>
        </w:tc>
        <w:tc>
          <w:tcPr>
            <w:tcW w:w="7796" w:type="dxa"/>
            <w:gridSpan w:val="8"/>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9" w:hRule="exact"/>
        </w:trPr>
        <w:tc>
          <w:tcPr>
            <w:tcW w:w="1526" w:type="dxa"/>
            <w:noWrap w:val="0"/>
            <w:vAlign w:val="center"/>
          </w:tcPr>
          <w:p>
            <w:pPr>
              <w:pageBreakBefore w:val="0"/>
              <w:kinsoku/>
              <w:overflowPunct/>
              <w:topLinePunct w:val="0"/>
              <w:autoSpaceDE/>
              <w:autoSpaceDN/>
              <w:bidi w:val="0"/>
              <w:spacing w:line="3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符合条件 </w:t>
            </w:r>
          </w:p>
          <w:p>
            <w:pPr>
              <w:pageBreakBefore w:val="0"/>
              <w:kinsoku/>
              <w:overflowPunct/>
              <w:topLinePunct w:val="0"/>
              <w:autoSpaceDE/>
              <w:autoSpaceDN/>
              <w:bidi w:val="0"/>
              <w:spacing w:line="3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（可多选）</w:t>
            </w:r>
          </w:p>
        </w:tc>
        <w:tc>
          <w:tcPr>
            <w:tcW w:w="7796" w:type="dxa"/>
            <w:gridSpan w:val="8"/>
            <w:noWrap w:val="0"/>
            <w:vAlign w:val="center"/>
          </w:tcPr>
          <w:p>
            <w:pPr>
              <w:pageBreakBefore w:val="0"/>
              <w:kinsoku/>
              <w:overflowPunct/>
              <w:topLinePunct w:val="0"/>
              <w:autoSpaceDE/>
              <w:autoSpaceDN/>
              <w:bidi w:val="0"/>
              <w:spacing w:line="380" w:lineRule="exact"/>
              <w:jc w:val="left"/>
              <w:outlineLvl w:val="9"/>
              <w:rPr>
                <w:rFonts w:hint="eastAsia" w:ascii="仿宋_GB2312" w:hAnsi="宋体" w:eastAsia="仿宋_GB2312"/>
                <w:color w:val="080001"/>
                <w:sz w:val="21"/>
                <w:szCs w:val="21"/>
              </w:rPr>
            </w:pPr>
            <w:r>
              <w:rPr>
                <w:rFonts w:hint="eastAsia" w:ascii="仿宋_GB2312" w:hAnsi="宋体" w:eastAsia="仿宋_GB2312" w:cs="Arial"/>
                <w:sz w:val="21"/>
                <w:szCs w:val="21"/>
                <w:lang w:val="de-DE"/>
              </w:rPr>
              <w:t>□</w:t>
            </w:r>
            <w:r>
              <w:rPr>
                <w:rFonts w:hint="eastAsia" w:ascii="仿宋_GB2312" w:hAnsi="宋体" w:eastAsia="仿宋_GB2312"/>
                <w:color w:val="080001"/>
                <w:sz w:val="21"/>
                <w:szCs w:val="21"/>
              </w:rPr>
              <w:t>国家级奖学金</w:t>
            </w:r>
            <w:r>
              <w:rPr>
                <w:rFonts w:hint="eastAsia" w:ascii="仿宋_GB2312" w:hAnsi="宋体" w:eastAsia="仿宋_GB2312" w:cs="Arial"/>
                <w:sz w:val="21"/>
                <w:szCs w:val="21"/>
                <w:lang w:val="de-DE"/>
              </w:rPr>
              <w:t xml:space="preserve">            □</w:t>
            </w:r>
            <w:r>
              <w:rPr>
                <w:rFonts w:hint="eastAsia" w:ascii="仿宋_GB2312" w:hAnsi="宋体" w:eastAsia="仿宋_GB2312"/>
                <w:color w:val="080001"/>
                <w:sz w:val="21"/>
                <w:szCs w:val="21"/>
              </w:rPr>
              <w:t>学</w:t>
            </w:r>
            <w:r>
              <w:rPr>
                <w:rFonts w:hint="eastAsia" w:ascii="仿宋_GB2312" w:hAnsi="宋体" w:eastAsia="仿宋_GB2312" w:cs="Arial"/>
                <w:sz w:val="21"/>
                <w:szCs w:val="21"/>
                <w:lang w:val="de-DE"/>
              </w:rPr>
              <w:t>生专业技能竞赛A类一等奖</w:t>
            </w:r>
            <w:r>
              <w:rPr>
                <w:rFonts w:hint="eastAsia" w:ascii="仿宋_GB2312" w:hAnsi="宋体" w:eastAsia="仿宋_GB2312"/>
                <w:color w:val="080001"/>
                <w:sz w:val="21"/>
                <w:szCs w:val="21"/>
              </w:rPr>
              <w:t xml:space="preserve"> </w:t>
            </w:r>
          </w:p>
          <w:p>
            <w:pPr>
              <w:pageBreakBefore w:val="0"/>
              <w:kinsoku/>
              <w:overflowPunct/>
              <w:topLinePunct w:val="0"/>
              <w:autoSpaceDE/>
              <w:autoSpaceDN/>
              <w:bidi w:val="0"/>
              <w:spacing w:line="3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□国家励志奖学金         </w:t>
            </w:r>
            <w:r>
              <w:rPr>
                <w:rFonts w:hint="eastAsia" w:ascii="仿宋_GB2312" w:hAnsi="宋体" w:eastAsia="仿宋_GB2312" w:cs="Arial"/>
                <w:sz w:val="21"/>
                <w:szCs w:val="21"/>
                <w:lang w:val="de-DE"/>
              </w:rPr>
              <w:t>□</w:t>
            </w:r>
            <w:r>
              <w:rPr>
                <w:rFonts w:hint="eastAsia" w:ascii="仿宋_GB2312" w:hAnsi="宋体" w:eastAsia="仿宋_GB2312"/>
                <w:color w:val="080001"/>
                <w:sz w:val="21"/>
                <w:szCs w:val="21"/>
              </w:rPr>
              <w:t>学生专业技能竞赛A类二等奖</w:t>
            </w:r>
          </w:p>
          <w:p>
            <w:pPr>
              <w:pageBreakBefore w:val="0"/>
              <w:kinsoku/>
              <w:overflowPunct/>
              <w:topLinePunct w:val="0"/>
              <w:autoSpaceDE/>
              <w:autoSpaceDN/>
              <w:bidi w:val="0"/>
              <w:spacing w:line="3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3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获奖说明</w:t>
            </w:r>
            <w:r>
              <w:rPr>
                <w:rFonts w:hint="eastAsia" w:ascii="仿宋_GB2312" w:hAnsi="宋体" w:eastAsia="仿宋_GB2312"/>
                <w:color w:val="080001"/>
                <w:sz w:val="21"/>
                <w:szCs w:val="21"/>
                <w:u w:val="single"/>
              </w:rPr>
              <w:t>______________________________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英语等级/</w:t>
            </w:r>
          </w:p>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水平</w:t>
            </w:r>
          </w:p>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p>
        </w:tc>
        <w:tc>
          <w:tcPr>
            <w:tcW w:w="7796" w:type="dxa"/>
            <w:gridSpan w:val="8"/>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s="Arial"/>
                <w:sz w:val="21"/>
                <w:szCs w:val="21"/>
                <w:lang w:val="de-DE"/>
              </w:rPr>
              <w:t>□</w:t>
            </w:r>
            <w:r>
              <w:rPr>
                <w:rFonts w:hint="eastAsia" w:ascii="仿宋_GB2312" w:hAnsi="宋体" w:eastAsia="仿宋_GB2312"/>
                <w:color w:val="080001"/>
                <w:sz w:val="21"/>
                <w:szCs w:val="21"/>
              </w:rPr>
              <w:t>英语六级</w:t>
            </w:r>
            <w:r>
              <w:rPr>
                <w:rFonts w:hint="eastAsia" w:ascii="仿宋_GB2312" w:hAnsi="宋体" w:eastAsia="仿宋_GB2312" w:cs="Arial"/>
                <w:sz w:val="21"/>
                <w:szCs w:val="21"/>
                <w:lang w:val="de-DE"/>
              </w:rPr>
              <w:t xml:space="preserve">    □</w:t>
            </w:r>
            <w:r>
              <w:rPr>
                <w:rFonts w:hint="eastAsia" w:ascii="仿宋_GB2312" w:hAnsi="宋体" w:eastAsia="仿宋_GB2312"/>
                <w:color w:val="080001"/>
                <w:sz w:val="21"/>
                <w:szCs w:val="21"/>
              </w:rPr>
              <w:t>英语四级</w:t>
            </w:r>
            <w:r>
              <w:rPr>
                <w:rFonts w:hint="eastAsia" w:ascii="仿宋_GB2312" w:hAnsi="宋体" w:eastAsia="仿宋_GB2312" w:cs="Arial"/>
                <w:sz w:val="21"/>
                <w:szCs w:val="21"/>
                <w:lang w:val="de-DE"/>
              </w:rPr>
              <w:t xml:space="preserve">    □</w:t>
            </w:r>
            <w:r>
              <w:rPr>
                <w:rFonts w:hint="eastAsia" w:ascii="仿宋_GB2312" w:hAnsi="宋体" w:eastAsia="仿宋_GB2312"/>
                <w:color w:val="080001"/>
                <w:sz w:val="21"/>
                <w:szCs w:val="21"/>
              </w:rPr>
              <w:t xml:space="preserve">英语B级    </w:t>
            </w:r>
            <w:r>
              <w:rPr>
                <w:rFonts w:hint="eastAsia" w:ascii="仿宋_GB2312" w:hAnsi="宋体" w:eastAsia="仿宋_GB2312" w:cs="Arial"/>
                <w:sz w:val="21"/>
                <w:szCs w:val="21"/>
                <w:lang w:val="de-DE"/>
              </w:rPr>
              <w:t>□</w:t>
            </w:r>
            <w:r>
              <w:rPr>
                <w:rFonts w:hint="eastAsia" w:ascii="仿宋_GB2312" w:hAnsi="宋体" w:eastAsia="仿宋_GB2312"/>
                <w:color w:val="080001"/>
                <w:sz w:val="21"/>
                <w:szCs w:val="21"/>
              </w:rPr>
              <w:t>其他：____________</w:t>
            </w:r>
          </w:p>
          <w:p>
            <w:pPr>
              <w:pageBreakBefore w:val="0"/>
              <w:kinsoku/>
              <w:overflowPunct/>
              <w:topLinePunct w:val="0"/>
              <w:autoSpaceDE/>
              <w:autoSpaceDN/>
              <w:bidi w:val="0"/>
              <w:spacing w:line="280" w:lineRule="exact"/>
              <w:jc w:val="left"/>
              <w:outlineLvl w:val="9"/>
              <w:rPr>
                <w:rFonts w:hint="eastAsia" w:ascii="仿宋_GB2312" w:hAnsi="宋体" w:eastAsia="仿宋_GB2312" w:cs="Arial"/>
                <w:sz w:val="21"/>
                <w:szCs w:val="21"/>
                <w:lang w:val="de-DE"/>
              </w:rPr>
            </w:pPr>
            <w:r>
              <w:rPr>
                <w:rFonts w:hint="eastAsia" w:ascii="仿宋_GB2312" w:hAnsi="宋体" w:eastAsia="仿宋_GB2312" w:cs="Arial"/>
                <w:sz w:val="21"/>
                <w:szCs w:val="21"/>
                <w:lang w:val="de-DE"/>
              </w:rPr>
              <w:t>□</w:t>
            </w:r>
            <w:r>
              <w:rPr>
                <w:rFonts w:hint="eastAsia" w:ascii="仿宋_GB2312" w:hAnsi="宋体" w:eastAsia="仿宋_GB2312"/>
                <w:color w:val="080001"/>
                <w:sz w:val="21"/>
                <w:szCs w:val="21"/>
              </w:rPr>
              <w:t>一般</w:t>
            </w:r>
            <w:r>
              <w:rPr>
                <w:rFonts w:hint="eastAsia" w:ascii="仿宋_GB2312" w:hAnsi="宋体" w:eastAsia="仿宋_GB2312" w:cs="Arial"/>
                <w:sz w:val="21"/>
                <w:szCs w:val="21"/>
                <w:lang w:val="de-DE"/>
              </w:rPr>
              <w:t xml:space="preserve">        □熟练        </w:t>
            </w:r>
            <w:r>
              <w:rPr>
                <w:rFonts w:hint="eastAsia" w:ascii="仿宋_GB2312" w:hAnsi="宋体" w:eastAsia="仿宋_GB2312"/>
                <w:color w:val="080001"/>
                <w:sz w:val="21"/>
                <w:szCs w:val="21"/>
              </w:rPr>
              <w:t>口流利</w:t>
            </w:r>
            <w:r>
              <w:rPr>
                <w:rFonts w:hint="eastAsia" w:ascii="仿宋_GB2312" w:hAnsi="宋体" w:eastAsia="仿宋_GB2312" w:cs="Arial"/>
                <w:sz w:val="21"/>
                <w:szCs w:val="21"/>
                <w:lang w:val="de-DE"/>
              </w:rPr>
              <w:t xml:space="preserve">        □</w:t>
            </w:r>
            <w:r>
              <w:rPr>
                <w:rFonts w:hint="eastAsia" w:ascii="仿宋_GB2312" w:hAnsi="宋体" w:eastAsia="仿宋_GB2312"/>
                <w:color w:val="080001"/>
                <w:sz w:val="21"/>
                <w:szCs w:val="21"/>
              </w:rPr>
              <w:t>精通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爱好特长</w:t>
            </w:r>
          </w:p>
        </w:tc>
        <w:tc>
          <w:tcPr>
            <w:tcW w:w="7796" w:type="dxa"/>
            <w:gridSpan w:val="8"/>
            <w:noWrap w:val="0"/>
            <w:vAlign w:val="center"/>
          </w:tcPr>
          <w:p>
            <w:pPr>
              <w:pageBreakBefore w:val="0"/>
              <w:kinsoku/>
              <w:overflowPunct/>
              <w:topLinePunct w:val="0"/>
              <w:autoSpaceDE/>
              <w:autoSpaceDN/>
              <w:bidi w:val="0"/>
              <w:snapToGrid w:val="0"/>
              <w:spacing w:line="288" w:lineRule="auto"/>
              <w:jc w:val="center"/>
              <w:outlineLvl w:val="9"/>
              <w:rPr>
                <w:rFonts w:hint="eastAsia" w:ascii="仿宋_GB2312" w:hAnsi="宋体" w:eastAsia="仿宋_GB2312"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7" w:hRule="exact"/>
        </w:trPr>
        <w:tc>
          <w:tcPr>
            <w:tcW w:w="1526"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担任职务</w:t>
            </w:r>
          </w:p>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荣誉及奖励</w:t>
            </w:r>
          </w:p>
        </w:tc>
        <w:tc>
          <w:tcPr>
            <w:tcW w:w="7796" w:type="dxa"/>
            <w:gridSpan w:val="8"/>
            <w:noWrap w:val="0"/>
            <w:vAlign w:val="center"/>
          </w:tcPr>
          <w:p>
            <w:pPr>
              <w:pageBreakBefore w:val="0"/>
              <w:kinsoku/>
              <w:overflowPunct/>
              <w:topLinePunct w:val="0"/>
              <w:autoSpaceDE/>
              <w:autoSpaceDN/>
              <w:bidi w:val="0"/>
              <w:snapToGrid w:val="0"/>
              <w:spacing w:line="288" w:lineRule="auto"/>
              <w:jc w:val="center"/>
              <w:outlineLvl w:val="9"/>
              <w:rPr>
                <w:rFonts w:hint="eastAsia" w:ascii="仿宋_GB2312" w:hAnsi="宋体" w:eastAsia="仿宋_GB2312"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vMerge w:val="restart"/>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父亲姓名</w:t>
            </w:r>
          </w:p>
        </w:tc>
        <w:tc>
          <w:tcPr>
            <w:tcW w:w="1701" w:type="dxa"/>
            <w:gridSpan w:val="2"/>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工作单位/</w:t>
            </w:r>
          </w:p>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所担任职务</w:t>
            </w:r>
          </w:p>
        </w:tc>
        <w:tc>
          <w:tcPr>
            <w:tcW w:w="6095" w:type="dxa"/>
            <w:gridSpan w:val="6"/>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vMerge w:val="continue"/>
            <w:tcBorders>
              <w:bottom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701" w:type="dxa"/>
            <w:gridSpan w:val="2"/>
            <w:tcBorders>
              <w:bottom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联系方式</w:t>
            </w:r>
          </w:p>
        </w:tc>
        <w:tc>
          <w:tcPr>
            <w:tcW w:w="6095" w:type="dxa"/>
            <w:gridSpan w:val="6"/>
            <w:tcBorders>
              <w:bottom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母亲姓名</w:t>
            </w: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工作单位/</w:t>
            </w:r>
          </w:p>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所担任职务</w:t>
            </w:r>
          </w:p>
        </w:tc>
        <w:tc>
          <w:tcPr>
            <w:tcW w:w="6095" w:type="dxa"/>
            <w:gridSpan w:val="6"/>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6"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联系方式</w:t>
            </w:r>
          </w:p>
        </w:tc>
        <w:tc>
          <w:tcPr>
            <w:tcW w:w="6095" w:type="dxa"/>
            <w:gridSpan w:val="6"/>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s="Arial"/>
                <w:sz w:val="21"/>
                <w:szCs w:val="21"/>
              </w:rPr>
            </w:pPr>
          </w:p>
        </w:tc>
      </w:tr>
    </w:tbl>
    <w:p>
      <w:pPr>
        <w:pageBreakBefore w:val="0"/>
        <w:kinsoku/>
        <w:overflowPunct/>
        <w:topLinePunct w:val="0"/>
        <w:autoSpaceDE/>
        <w:autoSpaceDN/>
        <w:bidi w:val="0"/>
        <w:spacing w:line="120" w:lineRule="exact"/>
        <w:jc w:val="left"/>
        <w:outlineLvl w:val="9"/>
        <w:rPr>
          <w:rFonts w:hint="eastAsia" w:ascii="黑体" w:eastAsia="黑体"/>
          <w:sz w:val="32"/>
          <w:szCs w:val="32"/>
        </w:rPr>
      </w:pPr>
      <w:r>
        <w:br w:type="page"/>
      </w:r>
    </w:p>
    <w:tbl>
      <w:tblPr>
        <w:tblStyle w:val="1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7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gridSpan w:val="2"/>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本人保证以上所填内容属实，并知晓《柳州职业技术学院学生出国（境）交流学习管理规定》中的相关规定。如被录取，承诺遵守有关交流交换学生的规定及完成学校分配的任务，保证在交流学习期间遵守留学所在国或地区的法律法规，保证在学校派出交换学习的期限结束后按期回校，否则本人承担相应法律责任。</w:t>
            </w: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申请人签字：</w:t>
            </w: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6" w:hRule="atLeast"/>
        </w:trPr>
        <w:tc>
          <w:tcPr>
            <w:tcW w:w="1782"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家长意见</w:t>
            </w:r>
          </w:p>
        </w:tc>
        <w:tc>
          <w:tcPr>
            <w:tcW w:w="727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根据附件项目情况及家庭经济状况，是否了解项目时间、内容及费用，是否同意申请。（只限父母双方签署，特殊情况请注明）</w:t>
            </w: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ind w:firstLine="2520" w:firstLineChars="1200"/>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与申请人关系：            签字：           </w:t>
            </w:r>
          </w:p>
          <w:p>
            <w:pPr>
              <w:pageBreakBefore w:val="0"/>
              <w:kinsoku/>
              <w:overflowPunct/>
              <w:topLinePunct w:val="0"/>
              <w:autoSpaceDE/>
              <w:autoSpaceDN/>
              <w:bidi w:val="0"/>
              <w:spacing w:line="280" w:lineRule="exact"/>
              <w:ind w:firstLine="2520" w:firstLineChars="1200"/>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联系电话：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1" w:hRule="atLeast"/>
        </w:trPr>
        <w:tc>
          <w:tcPr>
            <w:tcW w:w="1782"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二级学院推荐意见</w:t>
            </w:r>
          </w:p>
        </w:tc>
        <w:tc>
          <w:tcPr>
            <w:tcW w:w="727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根据学生品德、纪律、学习及家庭经济状况，签署意见及是否同意申请。</w:t>
            </w: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ind w:right="360"/>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ind w:firstLine="2520" w:firstLineChars="1200"/>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签字（公章）：</w:t>
            </w:r>
          </w:p>
          <w:p>
            <w:pPr>
              <w:pageBreakBefore w:val="0"/>
              <w:kinsoku/>
              <w:overflowPunct/>
              <w:topLinePunct w:val="0"/>
              <w:autoSpaceDE/>
              <w:autoSpaceDN/>
              <w:bidi w:val="0"/>
              <w:spacing w:line="280" w:lineRule="exact"/>
              <w:ind w:firstLine="2520" w:firstLineChars="1200"/>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教务与实训</w:t>
            </w:r>
          </w:p>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管理处意见</w:t>
            </w:r>
          </w:p>
        </w:tc>
        <w:tc>
          <w:tcPr>
            <w:tcW w:w="727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签字（公章）：</w:t>
            </w: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学生工作处</w:t>
            </w:r>
          </w:p>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意见</w:t>
            </w:r>
          </w:p>
        </w:tc>
        <w:tc>
          <w:tcPr>
            <w:tcW w:w="727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w:t>
            </w:r>
            <w:bookmarkStart w:id="1737" w:name="_Toc18511_WPSOffice_Level1"/>
            <w:r>
              <w:rPr>
                <w:rFonts w:hint="eastAsia" w:ascii="仿宋_GB2312" w:hAnsi="宋体" w:eastAsia="仿宋_GB2312" w:cs="Arial"/>
                <w:sz w:val="21"/>
                <w:szCs w:val="21"/>
              </w:rPr>
              <w:t xml:space="preserve">  签字（公章）：</w:t>
            </w: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w:t>
            </w:r>
            <w:bookmarkEnd w:id="1737"/>
            <w:r>
              <w:rPr>
                <w:rFonts w:hint="eastAsia" w:ascii="仿宋_GB2312" w:hAnsi="宋体" w:eastAsia="仿宋_GB2312" w:cs="Arial"/>
                <w:sz w:val="21"/>
                <w:szCs w:val="21"/>
              </w:rPr>
              <w:t xml:space="preserve"> </w:t>
            </w:r>
            <w:bookmarkStart w:id="1738" w:name="_Toc17444_WPSOffice_Level1"/>
            <w:r>
              <w:rPr>
                <w:rFonts w:hint="eastAsia" w:ascii="仿宋_GB2312" w:hAnsi="宋体" w:eastAsia="仿宋_GB2312" w:cs="Arial"/>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国</w:t>
            </w:r>
            <w:bookmarkEnd w:id="1738"/>
            <w:r>
              <w:rPr>
                <w:rFonts w:hint="eastAsia" w:ascii="仿宋_GB2312" w:hAnsi="宋体" w:eastAsia="仿宋_GB2312" w:cs="Arial"/>
                <w:sz w:val="21"/>
                <w:szCs w:val="21"/>
              </w:rPr>
              <w:t>际交</w:t>
            </w:r>
            <w:bookmarkStart w:id="1739" w:name="_Toc13785_WPSOffice_Level1"/>
            <w:r>
              <w:rPr>
                <w:rFonts w:hint="eastAsia" w:ascii="仿宋_GB2312" w:hAnsi="宋体" w:eastAsia="仿宋_GB2312" w:cs="Arial"/>
                <w:sz w:val="21"/>
                <w:szCs w:val="21"/>
              </w:rPr>
              <w:t>流中心意</w:t>
            </w:r>
            <w:bookmarkEnd w:id="1739"/>
            <w:r>
              <w:rPr>
                <w:rFonts w:hint="eastAsia" w:ascii="仿宋_GB2312" w:hAnsi="宋体" w:eastAsia="仿宋_GB2312" w:cs="Arial"/>
                <w:sz w:val="21"/>
                <w:szCs w:val="21"/>
              </w:rPr>
              <w:t>见</w:t>
            </w:r>
          </w:p>
        </w:tc>
        <w:tc>
          <w:tcPr>
            <w:tcW w:w="727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签字（公章）：</w:t>
            </w: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校领导意见</w:t>
            </w:r>
          </w:p>
        </w:tc>
        <w:tc>
          <w:tcPr>
            <w:tcW w:w="727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签字（公章）：</w:t>
            </w:r>
          </w:p>
          <w:p>
            <w:pPr>
              <w:pageBreakBefore w:val="0"/>
              <w:kinsoku/>
              <w:overflowPunct/>
              <w:topLinePunct w:val="0"/>
              <w:autoSpaceDE/>
              <w:autoSpaceDN/>
              <w:bidi w:val="0"/>
              <w:spacing w:line="280" w:lineRule="exact"/>
              <w:outlineLvl w:val="9"/>
              <w:rPr>
                <w:rFonts w:hint="eastAsia" w:ascii="仿宋_GB2312" w:hAnsi="宋体" w:eastAsia="仿宋_GB2312" w:cs="Arial"/>
                <w:sz w:val="21"/>
                <w:szCs w:val="21"/>
              </w:rPr>
            </w:pPr>
            <w:r>
              <w:rPr>
                <w:rFonts w:hint="eastAsia" w:ascii="仿宋_GB2312" w:hAnsi="宋体" w:eastAsia="仿宋_GB2312" w:cs="Arial"/>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782"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cs="Arial"/>
                <w:sz w:val="21"/>
                <w:szCs w:val="21"/>
              </w:rPr>
            </w:pPr>
            <w:r>
              <w:rPr>
                <w:rFonts w:hint="eastAsia" w:ascii="仿宋_GB2312" w:hAnsi="宋体" w:eastAsia="仿宋_GB2312" w:cs="Arial"/>
                <w:sz w:val="21"/>
                <w:szCs w:val="21"/>
              </w:rPr>
              <w:t>备注</w:t>
            </w:r>
          </w:p>
        </w:tc>
        <w:tc>
          <w:tcPr>
            <w:tcW w:w="7278" w:type="dxa"/>
            <w:noWrap w:val="0"/>
            <w:vAlign w:val="center"/>
          </w:tcPr>
          <w:p>
            <w:pPr>
              <w:pageBreakBefore w:val="0"/>
              <w:kinsoku/>
              <w:overflowPunct/>
              <w:topLinePunct w:val="0"/>
              <w:autoSpaceDE/>
              <w:autoSpaceDN/>
              <w:bidi w:val="0"/>
              <w:spacing w:line="280" w:lineRule="exact"/>
              <w:ind w:left="420"/>
              <w:outlineLvl w:val="9"/>
              <w:rPr>
                <w:rFonts w:hint="eastAsia" w:ascii="仿宋_GB2312" w:hAnsi="宋体" w:eastAsia="仿宋_GB2312" w:cs="Arial"/>
                <w:sz w:val="21"/>
                <w:szCs w:val="21"/>
              </w:rPr>
            </w:pPr>
            <w:r>
              <w:rPr>
                <w:rFonts w:hint="eastAsia" w:ascii="仿宋_GB2312" w:hAnsi="宋体" w:eastAsia="仿宋_GB2312" w:cs="Arial"/>
                <w:sz w:val="21"/>
                <w:szCs w:val="21"/>
              </w:rPr>
              <w:t>1.本表个人信息请务必填写工整和完整，正反面打印。</w:t>
            </w:r>
          </w:p>
          <w:p>
            <w:pPr>
              <w:pageBreakBefore w:val="0"/>
              <w:kinsoku/>
              <w:overflowPunct/>
              <w:topLinePunct w:val="0"/>
              <w:autoSpaceDE/>
              <w:autoSpaceDN/>
              <w:bidi w:val="0"/>
              <w:spacing w:line="280" w:lineRule="exact"/>
              <w:ind w:left="420"/>
              <w:outlineLvl w:val="9"/>
              <w:rPr>
                <w:rFonts w:hint="eastAsia" w:ascii="仿宋_GB2312" w:hAnsi="宋体" w:eastAsia="仿宋_GB2312" w:cs="Arial"/>
                <w:sz w:val="21"/>
                <w:szCs w:val="21"/>
              </w:rPr>
            </w:pPr>
            <w:r>
              <w:rPr>
                <w:rFonts w:hint="eastAsia" w:ascii="仿宋_GB2312" w:hAnsi="宋体" w:eastAsia="仿宋_GB2312" w:cs="Arial"/>
                <w:sz w:val="21"/>
                <w:szCs w:val="21"/>
              </w:rPr>
              <w:t>2.请附上选拔通知上要求的其他申请材料。</w:t>
            </w:r>
          </w:p>
        </w:tc>
      </w:tr>
    </w:tbl>
    <w:tbl>
      <w:tblPr>
        <w:tblStyle w:val="14"/>
        <w:tblpPr w:leftFromText="180" w:rightFromText="180" w:vertAnchor="page" w:horzAnchor="margin" w:tblpXSpec="center" w:tblpY="368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134"/>
        <w:gridCol w:w="284"/>
        <w:gridCol w:w="992"/>
        <w:gridCol w:w="567"/>
        <w:gridCol w:w="567"/>
        <w:gridCol w:w="1134"/>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exact"/>
        </w:trPr>
        <w:tc>
          <w:tcPr>
            <w:tcW w:w="180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姓名</w:t>
            </w:r>
          </w:p>
        </w:tc>
        <w:tc>
          <w:tcPr>
            <w:tcW w:w="1134" w:type="dxa"/>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c>
          <w:tcPr>
            <w:tcW w:w="1276"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汉语拼音</w:t>
            </w:r>
          </w:p>
        </w:tc>
        <w:tc>
          <w:tcPr>
            <w:tcW w:w="1134"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p>
        </w:tc>
        <w:tc>
          <w:tcPr>
            <w:tcW w:w="1134"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性别</w:t>
            </w:r>
          </w:p>
        </w:tc>
        <w:tc>
          <w:tcPr>
            <w:tcW w:w="1276" w:type="dxa"/>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c>
          <w:tcPr>
            <w:tcW w:w="1417" w:type="dxa"/>
            <w:vMerge w:val="restart"/>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2寸彩色近照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80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民族</w:t>
            </w:r>
          </w:p>
        </w:tc>
        <w:tc>
          <w:tcPr>
            <w:tcW w:w="1134" w:type="dxa"/>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c>
          <w:tcPr>
            <w:tcW w:w="1276"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出生年月</w:t>
            </w:r>
          </w:p>
        </w:tc>
        <w:tc>
          <w:tcPr>
            <w:tcW w:w="1134"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p>
        </w:tc>
        <w:tc>
          <w:tcPr>
            <w:tcW w:w="1134"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籍贯</w:t>
            </w:r>
          </w:p>
        </w:tc>
        <w:tc>
          <w:tcPr>
            <w:tcW w:w="1276" w:type="dxa"/>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c>
          <w:tcPr>
            <w:tcW w:w="1417" w:type="dxa"/>
            <w:vMerge w:val="continue"/>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80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学号</w:t>
            </w:r>
          </w:p>
        </w:tc>
        <w:tc>
          <w:tcPr>
            <w:tcW w:w="1134" w:type="dxa"/>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c>
          <w:tcPr>
            <w:tcW w:w="1276"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平均绩点</w:t>
            </w:r>
          </w:p>
        </w:tc>
        <w:tc>
          <w:tcPr>
            <w:tcW w:w="1134"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p>
        </w:tc>
        <w:tc>
          <w:tcPr>
            <w:tcW w:w="1134"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政治面貌</w:t>
            </w:r>
          </w:p>
        </w:tc>
        <w:tc>
          <w:tcPr>
            <w:tcW w:w="1276" w:type="dxa"/>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c>
          <w:tcPr>
            <w:tcW w:w="1417" w:type="dxa"/>
            <w:vMerge w:val="continue"/>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80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户口所在地</w:t>
            </w:r>
          </w:p>
        </w:tc>
        <w:tc>
          <w:tcPr>
            <w:tcW w:w="7371" w:type="dxa"/>
            <w:gridSpan w:val="8"/>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exact"/>
        </w:trPr>
        <w:tc>
          <w:tcPr>
            <w:tcW w:w="1809" w:type="dxa"/>
            <w:noWrap w:val="0"/>
            <w:vAlign w:val="center"/>
          </w:tcPr>
          <w:p>
            <w:pPr>
              <w:pageBreakBefore w:val="0"/>
              <w:kinsoku/>
              <w:overflowPunct/>
              <w:topLinePunct w:val="0"/>
              <w:autoSpaceDE/>
              <w:autoSpaceDN/>
              <w:bidi w:val="0"/>
              <w:spacing w:line="320" w:lineRule="exact"/>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身份证/</w:t>
            </w:r>
          </w:p>
          <w:p>
            <w:pPr>
              <w:pageBreakBefore w:val="0"/>
              <w:kinsoku/>
              <w:overflowPunct/>
              <w:topLinePunct w:val="0"/>
              <w:autoSpaceDE/>
              <w:autoSpaceDN/>
              <w:bidi w:val="0"/>
              <w:spacing w:line="320" w:lineRule="exact"/>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护照号码</w:t>
            </w:r>
          </w:p>
        </w:tc>
        <w:tc>
          <w:tcPr>
            <w:tcW w:w="7371" w:type="dxa"/>
            <w:gridSpan w:val="8"/>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80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手机号码</w:t>
            </w:r>
          </w:p>
        </w:tc>
        <w:tc>
          <w:tcPr>
            <w:tcW w:w="2977" w:type="dxa"/>
            <w:gridSpan w:val="4"/>
            <w:noWrap w:val="0"/>
            <w:vAlign w:val="center"/>
          </w:tcPr>
          <w:p>
            <w:pPr>
              <w:pageBreakBefore w:val="0"/>
              <w:kinsoku/>
              <w:overflowPunct/>
              <w:topLinePunct w:val="0"/>
              <w:autoSpaceDE/>
              <w:autoSpaceDN/>
              <w:bidi w:val="0"/>
              <w:snapToGrid w:val="0"/>
              <w:jc w:val="center"/>
              <w:outlineLvl w:val="9"/>
              <w:rPr>
                <w:rFonts w:hint="eastAsia" w:ascii="仿宋_GB2312" w:hAnsi="宋体" w:eastAsia="仿宋_GB2312"/>
                <w:color w:val="080001"/>
                <w:sz w:val="21"/>
                <w:szCs w:val="21"/>
              </w:rPr>
            </w:pPr>
          </w:p>
        </w:tc>
        <w:tc>
          <w:tcPr>
            <w:tcW w:w="1701"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电子邮箱</w:t>
            </w:r>
          </w:p>
        </w:tc>
        <w:tc>
          <w:tcPr>
            <w:tcW w:w="2693" w:type="dxa"/>
            <w:gridSpan w:val="2"/>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exact"/>
        </w:trPr>
        <w:tc>
          <w:tcPr>
            <w:tcW w:w="1809" w:type="dxa"/>
            <w:noWrap w:val="0"/>
            <w:vAlign w:val="center"/>
          </w:tcPr>
          <w:p>
            <w:pPr>
              <w:pageBreakBefore w:val="0"/>
              <w:kinsoku/>
              <w:overflowPunct/>
              <w:topLinePunct w:val="0"/>
              <w:autoSpaceDE/>
              <w:autoSpaceDN/>
              <w:bidi w:val="0"/>
              <w:spacing w:line="320" w:lineRule="exact"/>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现所在学院、专业及班级</w:t>
            </w:r>
          </w:p>
        </w:tc>
        <w:tc>
          <w:tcPr>
            <w:tcW w:w="7371" w:type="dxa"/>
            <w:gridSpan w:val="8"/>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exact"/>
        </w:trPr>
        <w:tc>
          <w:tcPr>
            <w:tcW w:w="1809" w:type="dxa"/>
            <w:noWrap w:val="0"/>
            <w:vAlign w:val="center"/>
          </w:tcPr>
          <w:p>
            <w:pPr>
              <w:pageBreakBefore w:val="0"/>
              <w:kinsoku/>
              <w:overflowPunct/>
              <w:topLinePunct w:val="0"/>
              <w:autoSpaceDE/>
              <w:autoSpaceDN/>
              <w:bidi w:val="0"/>
              <w:spacing w:line="320" w:lineRule="exact"/>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拟申请交换院校、专业</w:t>
            </w:r>
          </w:p>
        </w:tc>
        <w:tc>
          <w:tcPr>
            <w:tcW w:w="7371" w:type="dxa"/>
            <w:gridSpan w:val="8"/>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exact"/>
        </w:trPr>
        <w:tc>
          <w:tcPr>
            <w:tcW w:w="1809" w:type="dxa"/>
            <w:noWrap w:val="0"/>
            <w:vAlign w:val="center"/>
          </w:tcPr>
          <w:p>
            <w:pPr>
              <w:pageBreakBefore w:val="0"/>
              <w:kinsoku/>
              <w:overflowPunct/>
              <w:topLinePunct w:val="0"/>
              <w:autoSpaceDE/>
              <w:autoSpaceDN/>
              <w:bidi w:val="0"/>
              <w:spacing w:line="320" w:lineRule="exact"/>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英语水平/</w:t>
            </w:r>
          </w:p>
          <w:p>
            <w:pPr>
              <w:pageBreakBefore w:val="0"/>
              <w:kinsoku/>
              <w:overflowPunct/>
              <w:topLinePunct w:val="0"/>
              <w:autoSpaceDE/>
              <w:autoSpaceDN/>
              <w:bidi w:val="0"/>
              <w:spacing w:line="320" w:lineRule="exact"/>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等级</w:t>
            </w:r>
          </w:p>
        </w:tc>
        <w:tc>
          <w:tcPr>
            <w:tcW w:w="7371" w:type="dxa"/>
            <w:gridSpan w:val="8"/>
            <w:noWrap w:val="0"/>
            <w:vAlign w:val="center"/>
          </w:tcPr>
          <w:p>
            <w:pPr>
              <w:pageBreakBefore w:val="0"/>
              <w:kinsoku/>
              <w:overflowPunct/>
              <w:topLinePunct w:val="0"/>
              <w:autoSpaceDE/>
              <w:autoSpaceDN/>
              <w:bidi w:val="0"/>
              <w:spacing w:line="32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□英语六级    □英语四级    □英语B级    □其他：____________</w:t>
            </w:r>
          </w:p>
          <w:p>
            <w:pPr>
              <w:pageBreakBefore w:val="0"/>
              <w:kinsoku/>
              <w:overflowPunct/>
              <w:topLinePunct w:val="0"/>
              <w:autoSpaceDE/>
              <w:autoSpaceDN/>
              <w:bidi w:val="0"/>
              <w:spacing w:line="32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□一般        □熟练        口流利        □精通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80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爱好特长</w:t>
            </w:r>
          </w:p>
        </w:tc>
        <w:tc>
          <w:tcPr>
            <w:tcW w:w="7371" w:type="dxa"/>
            <w:gridSpan w:val="8"/>
            <w:noWrap w:val="0"/>
            <w:vAlign w:val="center"/>
          </w:tcPr>
          <w:p>
            <w:pPr>
              <w:pageBreakBefore w:val="0"/>
              <w:kinsoku/>
              <w:overflowPunct/>
              <w:topLinePunct w:val="0"/>
              <w:autoSpaceDE/>
              <w:autoSpaceDN/>
              <w:bidi w:val="0"/>
              <w:snapToGrid w:val="0"/>
              <w:jc w:val="left"/>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exact"/>
        </w:trPr>
        <w:tc>
          <w:tcPr>
            <w:tcW w:w="1809" w:type="dxa"/>
            <w:noWrap w:val="0"/>
            <w:vAlign w:val="center"/>
          </w:tcPr>
          <w:p>
            <w:pPr>
              <w:pageBreakBefore w:val="0"/>
              <w:kinsoku/>
              <w:overflowPunct/>
              <w:topLinePunct w:val="0"/>
              <w:autoSpaceDE/>
              <w:autoSpaceDN/>
              <w:bidi w:val="0"/>
              <w:spacing w:line="320" w:lineRule="exact"/>
              <w:jc w:val="center"/>
              <w:outlineLvl w:val="9"/>
              <w:rPr>
                <w:rFonts w:hint="eastAsia" w:ascii="仿宋_GB2312" w:hAnsi="宋体" w:eastAsia="仿宋_GB2312"/>
                <w:color w:val="080001"/>
                <w:spacing w:val="-6"/>
                <w:sz w:val="21"/>
                <w:szCs w:val="21"/>
              </w:rPr>
            </w:pPr>
            <w:r>
              <w:rPr>
                <w:rFonts w:hint="eastAsia" w:ascii="仿宋_GB2312" w:hAnsi="宋体" w:eastAsia="仿宋_GB2312"/>
                <w:color w:val="080001"/>
                <w:spacing w:val="-6"/>
                <w:sz w:val="21"/>
                <w:szCs w:val="21"/>
              </w:rPr>
              <w:t>是否参加校内、校外学习或实习项目</w:t>
            </w:r>
          </w:p>
        </w:tc>
        <w:tc>
          <w:tcPr>
            <w:tcW w:w="7371" w:type="dxa"/>
            <w:gridSpan w:val="8"/>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如有，请说明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9" w:hRule="exact"/>
        </w:trPr>
        <w:tc>
          <w:tcPr>
            <w:tcW w:w="1809" w:type="dxa"/>
            <w:noWrap w:val="0"/>
            <w:vAlign w:val="center"/>
          </w:tcPr>
          <w:p>
            <w:pPr>
              <w:pageBreakBefore w:val="0"/>
              <w:kinsoku/>
              <w:overflowPunct/>
              <w:topLinePunct w:val="0"/>
              <w:autoSpaceDE/>
              <w:autoSpaceDN/>
              <w:bidi w:val="0"/>
              <w:spacing w:line="320" w:lineRule="exact"/>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社会实践情况（包括学生社团活动、公益活动等，在其中担任何种工作）</w:t>
            </w:r>
          </w:p>
        </w:tc>
        <w:tc>
          <w:tcPr>
            <w:tcW w:w="7371" w:type="dxa"/>
            <w:gridSpan w:val="8"/>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如有，请说明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809" w:type="dxa"/>
            <w:vMerge w:val="restart"/>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父亲姓名</w:t>
            </w:r>
          </w:p>
        </w:tc>
        <w:tc>
          <w:tcPr>
            <w:tcW w:w="1418" w:type="dxa"/>
            <w:gridSpan w:val="2"/>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工作单位/</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所担任职务</w:t>
            </w:r>
          </w:p>
        </w:tc>
        <w:tc>
          <w:tcPr>
            <w:tcW w:w="5953" w:type="dxa"/>
            <w:gridSpan w:val="6"/>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809" w:type="dxa"/>
            <w:vMerge w:val="continue"/>
            <w:tcBorders>
              <w:bottom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p>
        </w:tc>
        <w:tc>
          <w:tcPr>
            <w:tcW w:w="1418" w:type="dxa"/>
            <w:gridSpan w:val="2"/>
            <w:tcBorders>
              <w:bottom w:val="single" w:color="auto" w:sz="4" w:space="0"/>
            </w:tcBorders>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联系方式</w:t>
            </w:r>
          </w:p>
        </w:tc>
        <w:tc>
          <w:tcPr>
            <w:tcW w:w="5953" w:type="dxa"/>
            <w:gridSpan w:val="6"/>
            <w:tcBorders>
              <w:bottom w:val="single" w:color="auto" w:sz="4" w:space="0"/>
            </w:tcBorders>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809"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母亲姓名</w:t>
            </w: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工作单位/</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所担任职务</w:t>
            </w:r>
          </w:p>
        </w:tc>
        <w:tc>
          <w:tcPr>
            <w:tcW w:w="5953" w:type="dxa"/>
            <w:gridSpan w:val="6"/>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联系方式</w:t>
            </w:r>
          </w:p>
        </w:tc>
        <w:tc>
          <w:tcPr>
            <w:tcW w:w="5953" w:type="dxa"/>
            <w:gridSpan w:val="6"/>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left"/>
              <w:outlineLvl w:val="9"/>
              <w:rPr>
                <w:rFonts w:hint="eastAsia" w:ascii="仿宋_GB2312" w:hAnsi="宋体" w:eastAsia="仿宋_GB2312"/>
                <w:color w:val="080001"/>
                <w:sz w:val="21"/>
                <w:szCs w:val="21"/>
              </w:rPr>
            </w:pPr>
          </w:p>
        </w:tc>
      </w:tr>
    </w:tbl>
    <w:p>
      <w:pPr>
        <w:pageBreakBefore w:val="0"/>
        <w:kinsoku/>
        <w:overflowPunct/>
        <w:topLinePunct w:val="0"/>
        <w:autoSpaceDE/>
        <w:autoSpaceDN/>
        <w:bidi w:val="0"/>
        <w:spacing w:line="600" w:lineRule="exact"/>
        <w:jc w:val="left"/>
        <w:outlineLvl w:val="9"/>
        <w:rPr>
          <w:rFonts w:hint="eastAsia" w:ascii="黑体" w:eastAsia="黑体"/>
          <w:sz w:val="32"/>
          <w:szCs w:val="32"/>
        </w:rPr>
      </w:pPr>
      <w:r>
        <w:rPr>
          <w:rFonts w:hint="eastAsia" w:ascii="黑体" w:eastAsia="黑体"/>
          <w:sz w:val="32"/>
          <w:szCs w:val="32"/>
        </w:rPr>
        <w:t>附件2：</w:t>
      </w:r>
    </w:p>
    <w:p>
      <w:pPr>
        <w:pageBreakBefore w:val="0"/>
        <w:kinsoku/>
        <w:overflowPunct/>
        <w:topLinePunct w:val="0"/>
        <w:autoSpaceDE/>
        <w:autoSpaceDN/>
        <w:bidi w:val="0"/>
        <w:spacing w:line="600" w:lineRule="exact"/>
        <w:jc w:val="center"/>
        <w:outlineLvl w:val="9"/>
        <w:rPr>
          <w:rFonts w:hint="eastAsia"/>
          <w:b/>
          <w:color w:val="000000"/>
          <w:sz w:val="36"/>
          <w:szCs w:val="36"/>
        </w:rPr>
      </w:pPr>
      <w:bookmarkStart w:id="1740" w:name="_Toc14029_WPSOffice_Level1"/>
      <w:r>
        <w:rPr>
          <w:rFonts w:hint="eastAsia"/>
          <w:b/>
          <w:color w:val="000000"/>
          <w:sz w:val="36"/>
          <w:szCs w:val="36"/>
        </w:rPr>
        <w:t>柳州职业技术学院赴国（境）外留学项目报名表</w:t>
      </w:r>
      <w:bookmarkEnd w:id="1740"/>
    </w:p>
    <w:p>
      <w:pPr>
        <w:pageBreakBefore w:val="0"/>
        <w:kinsoku/>
        <w:overflowPunct/>
        <w:topLinePunct w:val="0"/>
        <w:autoSpaceDE/>
        <w:autoSpaceDN/>
        <w:bidi w:val="0"/>
        <w:spacing w:line="240" w:lineRule="exact"/>
        <w:jc w:val="center"/>
        <w:outlineLvl w:val="9"/>
        <w:rPr>
          <w:rFonts w:hint="eastAsia"/>
          <w:b/>
          <w:color w:val="000000"/>
          <w:sz w:val="36"/>
          <w:szCs w:val="36"/>
        </w:rPr>
      </w:pPr>
    </w:p>
    <w:p>
      <w:pPr>
        <w:pageBreakBefore w:val="0"/>
        <w:kinsoku/>
        <w:overflowPunct/>
        <w:topLinePunct w:val="0"/>
        <w:autoSpaceDE/>
        <w:autoSpaceDN/>
        <w:bidi w:val="0"/>
        <w:spacing w:line="240" w:lineRule="exact"/>
        <w:jc w:val="center"/>
        <w:outlineLvl w:val="9"/>
        <w:rPr>
          <w:rFonts w:hint="eastAsia"/>
          <w:b/>
          <w:color w:val="000000"/>
          <w:sz w:val="36"/>
          <w:szCs w:val="36"/>
        </w:rPr>
      </w:pPr>
    </w:p>
    <w:tbl>
      <w:tblPr>
        <w:tblStyle w:val="14"/>
        <w:tblpPr w:leftFromText="180" w:rightFromText="180" w:vertAnchor="page" w:horzAnchor="margin" w:tblpXSpec="center" w:tblpY="198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0" w:hRule="exact"/>
        </w:trPr>
        <w:tc>
          <w:tcPr>
            <w:tcW w:w="9180" w:type="dxa"/>
            <w:gridSpan w:val="2"/>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本人保证以上所填内容属实，并知晓《柳州职业技术学院学生出国（境）交流学习管理规定》中的相关规定。如被录取，承诺遵守有关交流交换学生的规定及完成学校分配的任务，保证在交流学习期间遵守留学所在国或地区的法律法规，保证在学校派出交换学习的期限结束后按期回校，否则本人承担相应法律责任。</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申请人签字：</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5" w:hRule="exact"/>
        </w:trPr>
        <w:tc>
          <w:tcPr>
            <w:tcW w:w="174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家长意见</w:t>
            </w:r>
          </w:p>
        </w:tc>
        <w:tc>
          <w:tcPr>
            <w:tcW w:w="7431" w:type="dxa"/>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根据附件项目情况及家庭经济状况，是否了解项目时间、内容及费用，是否同意申请。（只限父母双方签署，特殊情况请注明）</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wordWrap w:val="0"/>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与申请人关系：            签字：           </w:t>
            </w:r>
          </w:p>
          <w:p>
            <w:pPr>
              <w:pageBreakBefore w:val="0"/>
              <w:kinsoku/>
              <w:wordWrap w:val="0"/>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联系电话：                                 </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4" w:hRule="exact"/>
        </w:trPr>
        <w:tc>
          <w:tcPr>
            <w:tcW w:w="174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二级学院推荐意见</w:t>
            </w:r>
          </w:p>
        </w:tc>
        <w:tc>
          <w:tcPr>
            <w:tcW w:w="7431" w:type="dxa"/>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根据学生品德、纪律、学习及家庭经济状况，签署意见及是否同意申请。</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ind w:right="360"/>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ind w:right="90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签字（公章）：</w:t>
            </w:r>
          </w:p>
          <w:p>
            <w:pPr>
              <w:pageBreakBefore w:val="0"/>
              <w:kinsoku/>
              <w:overflowPunct/>
              <w:topLinePunct w:val="0"/>
              <w:autoSpaceDE/>
              <w:autoSpaceDN/>
              <w:bidi w:val="0"/>
              <w:spacing w:line="280" w:lineRule="exact"/>
              <w:ind w:right="90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0" w:hRule="exact"/>
        </w:trPr>
        <w:tc>
          <w:tcPr>
            <w:tcW w:w="174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教务与实训管理处意见</w:t>
            </w:r>
          </w:p>
        </w:tc>
        <w:tc>
          <w:tcPr>
            <w:tcW w:w="7431" w:type="dxa"/>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ind w:right="90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签字（公章）：</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exact"/>
        </w:trPr>
        <w:tc>
          <w:tcPr>
            <w:tcW w:w="174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学生工作处意见</w:t>
            </w:r>
          </w:p>
        </w:tc>
        <w:tc>
          <w:tcPr>
            <w:tcW w:w="7431" w:type="dxa"/>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ind w:right="90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签字（公章）：</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5" w:hRule="exact"/>
        </w:trPr>
        <w:tc>
          <w:tcPr>
            <w:tcW w:w="174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国际交流中心意见</w:t>
            </w:r>
          </w:p>
        </w:tc>
        <w:tc>
          <w:tcPr>
            <w:tcW w:w="7431" w:type="dxa"/>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ind w:right="90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签字（公章）：</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3" w:hRule="exact"/>
        </w:trPr>
        <w:tc>
          <w:tcPr>
            <w:tcW w:w="174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校领导意见</w:t>
            </w:r>
          </w:p>
        </w:tc>
        <w:tc>
          <w:tcPr>
            <w:tcW w:w="7431" w:type="dxa"/>
            <w:noWrap w:val="0"/>
            <w:vAlign w:val="center"/>
          </w:tcPr>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p>
          <w:p>
            <w:pPr>
              <w:pageBreakBefore w:val="0"/>
              <w:kinsoku/>
              <w:overflowPunct/>
              <w:topLinePunct w:val="0"/>
              <w:autoSpaceDE/>
              <w:autoSpaceDN/>
              <w:bidi w:val="0"/>
              <w:spacing w:line="280" w:lineRule="exact"/>
              <w:ind w:right="90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签字（公章）：</w:t>
            </w:r>
          </w:p>
          <w:p>
            <w:pPr>
              <w:pageBreakBefore w:val="0"/>
              <w:kinsoku/>
              <w:overflowPunct/>
              <w:topLinePunct w:val="0"/>
              <w:autoSpaceDE/>
              <w:autoSpaceDN/>
              <w:bidi w:val="0"/>
              <w:spacing w:line="280" w:lineRule="exact"/>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exact"/>
        </w:trPr>
        <w:tc>
          <w:tcPr>
            <w:tcW w:w="1749" w:type="dxa"/>
            <w:noWrap w:val="0"/>
            <w:vAlign w:val="center"/>
          </w:tcPr>
          <w:p>
            <w:pPr>
              <w:pageBreakBefore w:val="0"/>
              <w:kinsoku/>
              <w:overflowPunct/>
              <w:topLinePunct w:val="0"/>
              <w:autoSpaceDE/>
              <w:autoSpaceDN/>
              <w:bidi w:val="0"/>
              <w:jc w:val="center"/>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备注</w:t>
            </w:r>
          </w:p>
        </w:tc>
        <w:tc>
          <w:tcPr>
            <w:tcW w:w="7431" w:type="dxa"/>
            <w:noWrap w:val="0"/>
            <w:vAlign w:val="center"/>
          </w:tcPr>
          <w:p>
            <w:pPr>
              <w:pageBreakBefore w:val="0"/>
              <w:kinsoku/>
              <w:overflowPunct/>
              <w:topLinePunct w:val="0"/>
              <w:autoSpaceDE/>
              <w:autoSpaceDN/>
              <w:bidi w:val="0"/>
              <w:spacing w:line="280" w:lineRule="exact"/>
              <w:ind w:left="42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1.本表个人信息请务必填写工整和完整，正反面打印。</w:t>
            </w:r>
          </w:p>
          <w:p>
            <w:pPr>
              <w:pageBreakBefore w:val="0"/>
              <w:kinsoku/>
              <w:overflowPunct/>
              <w:topLinePunct w:val="0"/>
              <w:autoSpaceDE/>
              <w:autoSpaceDN/>
              <w:bidi w:val="0"/>
              <w:spacing w:line="280" w:lineRule="exact"/>
              <w:ind w:left="420"/>
              <w:jc w:val="left"/>
              <w:outlineLvl w:val="9"/>
              <w:rPr>
                <w:rFonts w:hint="eastAsia" w:ascii="仿宋_GB2312" w:hAnsi="宋体" w:eastAsia="仿宋_GB2312"/>
                <w:color w:val="080001"/>
                <w:sz w:val="21"/>
                <w:szCs w:val="21"/>
              </w:rPr>
            </w:pPr>
            <w:r>
              <w:rPr>
                <w:rFonts w:hint="eastAsia" w:ascii="仿宋_GB2312" w:hAnsi="宋体" w:eastAsia="仿宋_GB2312"/>
                <w:color w:val="080001"/>
                <w:sz w:val="21"/>
                <w:szCs w:val="21"/>
              </w:rPr>
              <w:t>2.请附上选拔通知上要求的其他申请材料。</w:t>
            </w:r>
          </w:p>
        </w:tc>
      </w:tr>
    </w:tbl>
    <w:p>
      <w:pPr>
        <w:pageBreakBefore w:val="0"/>
        <w:kinsoku/>
        <w:overflowPunct/>
        <w:topLinePunct w:val="0"/>
        <w:autoSpaceDE/>
        <w:autoSpaceDN/>
        <w:bidi w:val="0"/>
        <w:spacing w:line="600" w:lineRule="exact"/>
        <w:jc w:val="left"/>
        <w:outlineLvl w:val="9"/>
        <w:rPr>
          <w:rFonts w:hint="eastAsia" w:ascii="黑体" w:eastAsia="黑体"/>
          <w:sz w:val="32"/>
          <w:szCs w:val="32"/>
        </w:rPr>
      </w:pPr>
      <w:r>
        <w:rPr>
          <w:rFonts w:hint="eastAsia" w:ascii="黑体" w:eastAsia="黑体"/>
          <w:sz w:val="32"/>
          <w:szCs w:val="32"/>
        </w:rPr>
        <w:t>附件3：</w:t>
      </w:r>
    </w:p>
    <w:p>
      <w:pPr>
        <w:pageBreakBefore w:val="0"/>
        <w:kinsoku/>
        <w:overflowPunct/>
        <w:topLinePunct w:val="0"/>
        <w:autoSpaceDE/>
        <w:autoSpaceDN/>
        <w:bidi w:val="0"/>
        <w:spacing w:line="600" w:lineRule="exact"/>
        <w:jc w:val="center"/>
        <w:outlineLvl w:val="9"/>
        <w:rPr>
          <w:rFonts w:hint="eastAsia"/>
          <w:b/>
          <w:color w:val="000000"/>
          <w:sz w:val="36"/>
          <w:szCs w:val="36"/>
        </w:rPr>
      </w:pPr>
      <w:bookmarkStart w:id="1741" w:name="_Toc20359_WPSOffice_Level1"/>
      <w:r>
        <w:rPr>
          <w:rFonts w:hint="eastAsia"/>
          <w:b/>
          <w:color w:val="000000"/>
          <w:sz w:val="36"/>
          <w:szCs w:val="36"/>
        </w:rPr>
        <w:t>柳州职业技术学院</w:t>
      </w:r>
      <w:bookmarkEnd w:id="1741"/>
    </w:p>
    <w:p>
      <w:pPr>
        <w:pageBreakBefore w:val="0"/>
        <w:kinsoku/>
        <w:overflowPunct/>
        <w:topLinePunct w:val="0"/>
        <w:autoSpaceDE/>
        <w:autoSpaceDN/>
        <w:bidi w:val="0"/>
        <w:spacing w:line="600" w:lineRule="exact"/>
        <w:jc w:val="center"/>
        <w:outlineLvl w:val="9"/>
        <w:rPr>
          <w:b/>
          <w:color w:val="000000"/>
          <w:sz w:val="36"/>
          <w:szCs w:val="36"/>
        </w:rPr>
      </w:pPr>
      <w:bookmarkStart w:id="1742" w:name="_Toc18989_WPSOffice_Level1"/>
      <w:r>
        <w:rPr>
          <w:rFonts w:hint="eastAsia"/>
          <w:b/>
          <w:color w:val="000000"/>
          <w:sz w:val="36"/>
          <w:szCs w:val="36"/>
        </w:rPr>
        <w:t>赴国（境）外交流学生留学项目课程修读计划表</w:t>
      </w:r>
      <w:bookmarkEnd w:id="1742"/>
    </w:p>
    <w:tbl>
      <w:tblPr>
        <w:tblStyle w:val="14"/>
        <w:tblW w:w="91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76"/>
        <w:gridCol w:w="709"/>
        <w:gridCol w:w="708"/>
        <w:gridCol w:w="851"/>
        <w:gridCol w:w="1327"/>
        <w:gridCol w:w="1134"/>
        <w:gridCol w:w="426"/>
        <w:gridCol w:w="720"/>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129"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姓名</w:t>
            </w:r>
          </w:p>
        </w:tc>
        <w:tc>
          <w:tcPr>
            <w:tcW w:w="1276"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p>
        </w:tc>
        <w:tc>
          <w:tcPr>
            <w:tcW w:w="709"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性别</w:t>
            </w:r>
          </w:p>
        </w:tc>
        <w:tc>
          <w:tcPr>
            <w:tcW w:w="708"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p>
        </w:tc>
        <w:tc>
          <w:tcPr>
            <w:tcW w:w="851"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学号</w:t>
            </w:r>
          </w:p>
        </w:tc>
        <w:tc>
          <w:tcPr>
            <w:tcW w:w="1327"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p>
        </w:tc>
        <w:tc>
          <w:tcPr>
            <w:tcW w:w="1134"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学院/</w:t>
            </w:r>
          </w:p>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专业</w:t>
            </w:r>
          </w:p>
        </w:tc>
        <w:tc>
          <w:tcPr>
            <w:tcW w:w="2011" w:type="dxa"/>
            <w:gridSpan w:val="3"/>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1129"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拟申请</w:t>
            </w:r>
          </w:p>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学校</w:t>
            </w:r>
          </w:p>
        </w:tc>
        <w:tc>
          <w:tcPr>
            <w:tcW w:w="3544" w:type="dxa"/>
            <w:gridSpan w:val="4"/>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1327"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拟申请</w:t>
            </w:r>
          </w:p>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交换时间</w:t>
            </w:r>
          </w:p>
        </w:tc>
        <w:tc>
          <w:tcPr>
            <w:tcW w:w="3145" w:type="dxa"/>
            <w:gridSpan w:val="4"/>
            <w:noWrap w:val="0"/>
            <w:vAlign w:val="center"/>
          </w:tcPr>
          <w:p>
            <w:pPr>
              <w:pageBreakBefore w:val="0"/>
              <w:kinsoku/>
              <w:overflowPunct/>
              <w:topLinePunct w:val="0"/>
              <w:autoSpaceDE/>
              <w:autoSpaceDN/>
              <w:bidi w:val="0"/>
              <w:spacing w:line="280" w:lineRule="exact"/>
              <w:ind w:left="120" w:leftChars="57" w:firstLine="105" w:firstLineChars="50"/>
              <w:outlineLvl w:val="9"/>
              <w:rPr>
                <w:rFonts w:hint="eastAsia" w:ascii="仿宋_GB2312" w:hAnsi="宋体" w:eastAsia="仿宋_GB2312"/>
                <w:sz w:val="21"/>
                <w:szCs w:val="21"/>
              </w:rPr>
            </w:pPr>
            <w:r>
              <w:rPr>
                <w:rFonts w:hint="eastAsia" w:ascii="仿宋_GB2312" w:hAnsi="宋体" w:eastAsia="仿宋_GB2312"/>
                <w:sz w:val="21"/>
                <w:szCs w:val="21"/>
              </w:rPr>
              <w:t>年 月 日 -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673" w:type="dxa"/>
            <w:gridSpan w:val="5"/>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拟修读交换学校课程</w:t>
            </w:r>
          </w:p>
        </w:tc>
        <w:tc>
          <w:tcPr>
            <w:tcW w:w="4472" w:type="dxa"/>
            <w:gridSpan w:val="5"/>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相应学期我校应修课程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3114" w:type="dxa"/>
            <w:gridSpan w:val="3"/>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课程原始名称</w:t>
            </w:r>
          </w:p>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(外/中)</w:t>
            </w:r>
          </w:p>
        </w:tc>
        <w:tc>
          <w:tcPr>
            <w:tcW w:w="708"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学时</w:t>
            </w:r>
          </w:p>
        </w:tc>
        <w:tc>
          <w:tcPr>
            <w:tcW w:w="851"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学分</w:t>
            </w:r>
          </w:p>
        </w:tc>
        <w:tc>
          <w:tcPr>
            <w:tcW w:w="2887" w:type="dxa"/>
            <w:gridSpan w:val="3"/>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课程名称</w:t>
            </w:r>
          </w:p>
        </w:tc>
        <w:tc>
          <w:tcPr>
            <w:tcW w:w="720"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学时</w:t>
            </w:r>
          </w:p>
        </w:tc>
        <w:tc>
          <w:tcPr>
            <w:tcW w:w="865"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3114"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0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51"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2887"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20"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65"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3114"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0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51"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2887"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20"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65"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3114"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0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51"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2887"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20"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65"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3114"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0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51"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2887"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20"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65"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3114"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0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51"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2887"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20"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65"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3114"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0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51"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2887"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20"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65"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3114"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08"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51"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2887" w:type="dxa"/>
            <w:gridSpan w:val="3"/>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720"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c>
          <w:tcPr>
            <w:tcW w:w="865" w:type="dxa"/>
            <w:noWrap w:val="0"/>
            <w:vAlign w:val="center"/>
          </w:tcPr>
          <w:p>
            <w:pPr>
              <w:pageBreakBefore w:val="0"/>
              <w:kinsoku/>
              <w:overflowPunct/>
              <w:topLinePunct w:val="0"/>
              <w:autoSpaceDE/>
              <w:autoSpaceDN/>
              <w:bidi w:val="0"/>
              <w:spacing w:line="280" w:lineRule="exact"/>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5" w:hRule="atLeast"/>
          <w:jc w:val="center"/>
        </w:trPr>
        <w:tc>
          <w:tcPr>
            <w:tcW w:w="1129"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二级学院意见</w:t>
            </w:r>
          </w:p>
        </w:tc>
        <w:tc>
          <w:tcPr>
            <w:tcW w:w="8016" w:type="dxa"/>
            <w:gridSpan w:val="9"/>
            <w:noWrap w:val="0"/>
            <w:vAlign w:val="center"/>
          </w:tcPr>
          <w:p>
            <w:pPr>
              <w:pageBreakBefore w:val="0"/>
              <w:kinsoku/>
              <w:overflowPunct/>
              <w:topLinePunct w:val="0"/>
              <w:autoSpaceDE/>
              <w:autoSpaceDN/>
              <w:bidi w:val="0"/>
              <w:spacing w:line="280" w:lineRule="exact"/>
              <w:jc w:val="right"/>
              <w:outlineLvl w:val="9"/>
              <w:rPr>
                <w:rFonts w:hint="eastAsia" w:ascii="仿宋_GB2312" w:hAnsi="宋体" w:eastAsia="仿宋_GB2312"/>
                <w:sz w:val="21"/>
                <w:szCs w:val="21"/>
              </w:rPr>
            </w:pPr>
          </w:p>
          <w:p>
            <w:pPr>
              <w:pageBreakBefore w:val="0"/>
              <w:kinsoku/>
              <w:overflowPunct/>
              <w:topLinePunct w:val="0"/>
              <w:autoSpaceDE/>
              <w:autoSpaceDN/>
              <w:bidi w:val="0"/>
              <w:spacing w:line="280" w:lineRule="exact"/>
              <w:ind w:right="420" w:firstLine="1785" w:firstLineChars="850"/>
              <w:jc w:val="right"/>
              <w:outlineLvl w:val="9"/>
              <w:rPr>
                <w:rFonts w:hint="eastAsia" w:ascii="仿宋_GB2312" w:hAnsi="宋体" w:eastAsia="仿宋_GB2312"/>
                <w:sz w:val="21"/>
                <w:szCs w:val="21"/>
              </w:rPr>
            </w:pPr>
          </w:p>
          <w:p>
            <w:pPr>
              <w:pageBreakBefore w:val="0"/>
              <w:kinsoku/>
              <w:overflowPunct/>
              <w:topLinePunct w:val="0"/>
              <w:autoSpaceDE/>
              <w:autoSpaceDN/>
              <w:bidi w:val="0"/>
              <w:spacing w:line="280" w:lineRule="exact"/>
              <w:ind w:right="420" w:firstLine="1785" w:firstLineChars="850"/>
              <w:jc w:val="right"/>
              <w:outlineLvl w:val="9"/>
              <w:rPr>
                <w:rFonts w:hint="eastAsia" w:ascii="仿宋_GB2312" w:hAnsi="宋体" w:eastAsia="仿宋_GB2312"/>
                <w:sz w:val="21"/>
                <w:szCs w:val="21"/>
              </w:rPr>
            </w:pPr>
          </w:p>
          <w:p>
            <w:pPr>
              <w:pageBreakBefore w:val="0"/>
              <w:kinsoku/>
              <w:overflowPunct/>
              <w:topLinePunct w:val="0"/>
              <w:autoSpaceDE/>
              <w:autoSpaceDN/>
              <w:bidi w:val="0"/>
              <w:spacing w:line="280" w:lineRule="exact"/>
              <w:ind w:right="-1" w:firstLine="1785" w:firstLineChars="850"/>
              <w:jc w:val="right"/>
              <w:outlineLvl w:val="9"/>
              <w:rPr>
                <w:rFonts w:hint="eastAsia" w:ascii="仿宋_GB2312" w:hAnsi="宋体" w:eastAsia="仿宋_GB2312"/>
                <w:sz w:val="21"/>
                <w:szCs w:val="21"/>
              </w:rPr>
            </w:pPr>
            <w:r>
              <w:rPr>
                <w:rFonts w:hint="eastAsia" w:ascii="仿宋_GB2312" w:hAnsi="宋体" w:eastAsia="仿宋_GB2312"/>
                <w:sz w:val="21"/>
                <w:szCs w:val="21"/>
              </w:rPr>
              <w:t>签名（盖章）：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 w:hRule="atLeast"/>
          <w:jc w:val="center"/>
        </w:trPr>
        <w:tc>
          <w:tcPr>
            <w:tcW w:w="1129"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教务与实训管理处</w:t>
            </w:r>
          </w:p>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意见</w:t>
            </w:r>
          </w:p>
        </w:tc>
        <w:tc>
          <w:tcPr>
            <w:tcW w:w="8016" w:type="dxa"/>
            <w:gridSpan w:val="9"/>
            <w:noWrap w:val="0"/>
            <w:vAlign w:val="center"/>
          </w:tcPr>
          <w:p>
            <w:pPr>
              <w:pageBreakBefore w:val="0"/>
              <w:kinsoku/>
              <w:overflowPunct/>
              <w:topLinePunct w:val="0"/>
              <w:autoSpaceDE/>
              <w:autoSpaceDN/>
              <w:bidi w:val="0"/>
              <w:spacing w:line="280" w:lineRule="exact"/>
              <w:ind w:left="-540" w:leftChars="-257"/>
              <w:jc w:val="right"/>
              <w:outlineLvl w:val="9"/>
              <w:rPr>
                <w:rFonts w:hint="eastAsia" w:ascii="仿宋_GB2312" w:hAnsi="宋体" w:eastAsia="仿宋_GB2312"/>
                <w:sz w:val="21"/>
                <w:szCs w:val="21"/>
              </w:rPr>
            </w:pPr>
          </w:p>
          <w:p>
            <w:pPr>
              <w:pageBreakBefore w:val="0"/>
              <w:kinsoku/>
              <w:overflowPunct/>
              <w:topLinePunct w:val="0"/>
              <w:autoSpaceDE/>
              <w:autoSpaceDN/>
              <w:bidi w:val="0"/>
              <w:spacing w:line="280" w:lineRule="exact"/>
              <w:ind w:right="360"/>
              <w:jc w:val="right"/>
              <w:outlineLvl w:val="9"/>
              <w:rPr>
                <w:rFonts w:hint="eastAsia" w:ascii="仿宋_GB2312" w:hAnsi="宋体" w:eastAsia="仿宋_GB2312"/>
                <w:sz w:val="21"/>
                <w:szCs w:val="21"/>
              </w:rPr>
            </w:pPr>
          </w:p>
          <w:p>
            <w:pPr>
              <w:pageBreakBefore w:val="0"/>
              <w:kinsoku/>
              <w:overflowPunct/>
              <w:topLinePunct w:val="0"/>
              <w:autoSpaceDE/>
              <w:autoSpaceDN/>
              <w:bidi w:val="0"/>
              <w:spacing w:line="280" w:lineRule="exact"/>
              <w:ind w:left="3185" w:leftChars="1361" w:right="-1" w:hanging="327" w:hangingChars="156"/>
              <w:jc w:val="right"/>
              <w:outlineLvl w:val="9"/>
              <w:rPr>
                <w:rFonts w:hint="eastAsia" w:ascii="仿宋_GB2312" w:hAnsi="宋体" w:eastAsia="仿宋_GB2312"/>
                <w:sz w:val="21"/>
                <w:szCs w:val="21"/>
              </w:rPr>
            </w:pPr>
            <w:r>
              <w:rPr>
                <w:rFonts w:hint="eastAsia" w:ascii="仿宋_GB2312" w:hAnsi="宋体" w:eastAsia="仿宋_GB2312"/>
                <w:sz w:val="21"/>
                <w:szCs w:val="21"/>
              </w:rPr>
              <w:t>签名（盖章）：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 w:hRule="atLeast"/>
          <w:jc w:val="center"/>
        </w:trPr>
        <w:tc>
          <w:tcPr>
            <w:tcW w:w="1129" w:type="dxa"/>
            <w:noWrap w:val="0"/>
            <w:vAlign w:val="center"/>
          </w:tcPr>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校领导</w:t>
            </w:r>
          </w:p>
          <w:p>
            <w:pPr>
              <w:pageBreakBefore w:val="0"/>
              <w:kinsoku/>
              <w:overflowPunct/>
              <w:topLinePunct w:val="0"/>
              <w:autoSpaceDE/>
              <w:autoSpaceDN/>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意见</w:t>
            </w:r>
          </w:p>
        </w:tc>
        <w:tc>
          <w:tcPr>
            <w:tcW w:w="8016" w:type="dxa"/>
            <w:gridSpan w:val="9"/>
            <w:noWrap w:val="0"/>
            <w:vAlign w:val="center"/>
          </w:tcPr>
          <w:p>
            <w:pPr>
              <w:pageBreakBefore w:val="0"/>
              <w:kinsoku/>
              <w:overflowPunct/>
              <w:topLinePunct w:val="0"/>
              <w:autoSpaceDE/>
              <w:autoSpaceDN/>
              <w:bidi w:val="0"/>
              <w:spacing w:line="280" w:lineRule="exact"/>
              <w:ind w:left="-540" w:leftChars="-257"/>
              <w:jc w:val="right"/>
              <w:outlineLvl w:val="9"/>
              <w:rPr>
                <w:rFonts w:hint="eastAsia" w:ascii="仿宋_GB2312" w:hAnsi="宋体" w:eastAsia="仿宋_GB2312"/>
                <w:sz w:val="21"/>
                <w:szCs w:val="21"/>
              </w:rPr>
            </w:pPr>
            <w:r>
              <w:rPr>
                <w:rFonts w:hint="eastAsia" w:ascii="仿宋_GB2312" w:hAnsi="宋体" w:eastAsia="仿宋_GB2312"/>
                <w:sz w:val="21"/>
                <w:szCs w:val="21"/>
              </w:rPr>
              <w:t>签名（盖章）：             年   月   日</w:t>
            </w:r>
          </w:p>
        </w:tc>
      </w:tr>
    </w:tbl>
    <w:p>
      <w:pPr>
        <w:pageBreakBefore w:val="0"/>
        <w:kinsoku/>
        <w:overflowPunct/>
        <w:topLinePunct w:val="0"/>
        <w:autoSpaceDE/>
        <w:autoSpaceDN/>
        <w:bidi w:val="0"/>
        <w:outlineLvl w:val="9"/>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bookmarkStart w:id="1743" w:name="_Toc21435_WPSOffice_Level1"/>
      <w:bookmarkStart w:id="1744" w:name="_Toc21039"/>
      <w:bookmarkStart w:id="1745" w:name="_Toc10668"/>
      <w:bookmarkStart w:id="1746" w:name="_Toc5946"/>
      <w:bookmarkStart w:id="1747" w:name="_Toc1187"/>
      <w:r>
        <w:rPr>
          <w:rFonts w:hint="eastAsia"/>
          <w:b/>
          <w:color w:val="000000"/>
          <w:sz w:val="36"/>
          <w:szCs w:val="36"/>
        </w:rPr>
        <w:t>柳州职业技术学院招收国际学生工作管理规定（暂行）</w:t>
      </w:r>
      <w:bookmarkEnd w:id="1743"/>
      <w:bookmarkEnd w:id="1744"/>
      <w:bookmarkEnd w:id="1745"/>
      <w:bookmarkEnd w:id="1746"/>
      <w:bookmarkEnd w:id="1747"/>
    </w:p>
    <w:p>
      <w:pPr>
        <w:pageBreakBefore w:val="0"/>
        <w:kinsoku/>
        <w:overflowPunct/>
        <w:topLinePunct w:val="0"/>
        <w:autoSpaceDE/>
        <w:autoSpaceDN/>
        <w:bidi w:val="0"/>
        <w:spacing w:line="596" w:lineRule="exact"/>
        <w:jc w:val="center"/>
        <w:outlineLvl w:val="9"/>
        <w:rPr>
          <w:rFonts w:hint="eastAsia" w:eastAsia="宋体"/>
          <w:b w:val="0"/>
          <w:bCs/>
          <w:color w:val="000000"/>
          <w:sz w:val="36"/>
          <w:szCs w:val="36"/>
          <w:lang w:eastAsia="zh-CN"/>
        </w:rPr>
      </w:pPr>
      <w:r>
        <w:rPr>
          <w:rFonts w:hint="eastAsia"/>
          <w:b w:val="0"/>
          <w:bCs/>
          <w:color w:val="000000"/>
          <w:sz w:val="36"/>
          <w:szCs w:val="36"/>
          <w:lang w:eastAsia="zh-CN"/>
        </w:rPr>
        <w:t>（</w:t>
      </w:r>
      <w:r>
        <w:rPr>
          <w:rFonts w:hint="eastAsia" w:ascii="仿宋_GB2312" w:eastAsia="仿宋_GB2312"/>
          <w:b w:val="0"/>
          <w:bCs/>
          <w:sz w:val="32"/>
          <w:szCs w:val="32"/>
        </w:rPr>
        <w:t>柳职院字〔2019〕16 号</w:t>
      </w:r>
      <w:r>
        <w:rPr>
          <w:rFonts w:hint="eastAsia"/>
          <w:b w:val="0"/>
          <w:bCs/>
          <w:color w:val="000000"/>
          <w:sz w:val="36"/>
          <w:szCs w:val="36"/>
          <w:lang w:eastAsia="zh-CN"/>
        </w:rPr>
        <w:t>）</w:t>
      </w:r>
    </w:p>
    <w:p>
      <w:pPr>
        <w:pageBreakBefore w:val="0"/>
        <w:kinsoku/>
        <w:overflowPunct/>
        <w:topLinePunct w:val="0"/>
        <w:autoSpaceDE/>
        <w:autoSpaceDN/>
        <w:bidi w:val="0"/>
        <w:spacing w:line="596" w:lineRule="exact"/>
        <w:jc w:val="center"/>
        <w:outlineLvl w:val="9"/>
        <w:rPr>
          <w:rFonts w:hint="eastAsia"/>
          <w:b w:val="0"/>
          <w:bCs/>
          <w:color w:val="000000"/>
          <w:sz w:val="36"/>
          <w:szCs w:val="36"/>
          <w:lang w:eastAsia="zh-CN"/>
        </w:rPr>
      </w:pPr>
    </w:p>
    <w:p>
      <w:pPr>
        <w:pageBreakBefore w:val="0"/>
        <w:kinsoku/>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748" w:name="_Toc20030_WPSOffice_Level1"/>
      <w:r>
        <w:rPr>
          <w:rFonts w:hint="eastAsia" w:ascii="黑体" w:hAnsi="黑体" w:eastAsia="黑体"/>
          <w:b/>
          <w:sz w:val="32"/>
          <w:szCs w:val="32"/>
        </w:rPr>
        <w:t>第一章　总  则</w:t>
      </w:r>
      <w:bookmarkEnd w:id="1748"/>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ascii="仿宋_GB2312" w:hAnsi="Times New Roman" w:eastAsia="仿宋_GB2312" w:cs="仿宋_GB2312"/>
          <w:sz w:val="32"/>
          <w:szCs w:val="32"/>
          <w:lang w:bidi="ar"/>
        </w:rPr>
      </w:pPr>
      <w:r>
        <w:rPr>
          <w:rStyle w:val="12"/>
          <w:rFonts w:ascii="仿宋_GB2312" w:hAnsi="仿宋_GB2312" w:eastAsia="仿宋_GB2312" w:cs="仿宋_GB2312"/>
          <w:sz w:val="32"/>
          <w:szCs w:val="32"/>
        </w:rPr>
        <w:t>第一条</w:t>
      </w:r>
      <w:r>
        <w:rPr>
          <w:rStyle w:val="12"/>
          <w:rFonts w:hint="eastAsia" w:hAnsi="仿宋_GB2312"/>
        </w:rPr>
        <w:t xml:space="preserve">  </w:t>
      </w:r>
      <w:r>
        <w:rPr>
          <w:rFonts w:hint="eastAsia" w:ascii="仿宋_GB2312" w:hAnsi="Times New Roman" w:eastAsia="仿宋_GB2312" w:cs="仿宋_GB2312"/>
          <w:sz w:val="32"/>
          <w:szCs w:val="32"/>
          <w:lang w:bidi="ar"/>
        </w:rPr>
        <w:t>为加强和规范我校国际学生的招生、培养、管理和服务等工作，促进我校国际学生教育事业的发展，根据《学校招收和培养国际学生管理办法》（中华人民共和国教育部、外交部、公安部第42令）《中华人民共和国教育法》《中华人民共和国外国人入境出境管理办法》《广西壮族自治区学校招收和培养国际学生管理规定》（桂教规范</w:t>
      </w:r>
      <w:r>
        <w:rPr>
          <w:rFonts w:hint="eastAsia" w:ascii="仿宋_GB2312" w:eastAsia="仿宋_GB2312"/>
          <w:sz w:val="32"/>
          <w:szCs w:val="32"/>
        </w:rPr>
        <w:t>〔2019〕</w:t>
      </w:r>
      <w:r>
        <w:rPr>
          <w:rFonts w:hint="eastAsia" w:ascii="仿宋_GB2312" w:hAnsi="Times New Roman" w:eastAsia="仿宋_GB2312" w:cs="仿宋_GB2312"/>
          <w:sz w:val="32"/>
          <w:szCs w:val="32"/>
          <w:lang w:bidi="ar"/>
        </w:rPr>
        <w:t>6号）等有关法律法规，特制定本规定。</w:t>
      </w:r>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ascii="仿宋_GB2312" w:hAnsi="Times New Roman" w:eastAsia="仿宋_GB2312" w:cs="仿宋_GB2312"/>
          <w:sz w:val="32"/>
          <w:szCs w:val="32"/>
          <w:lang w:bidi="ar"/>
        </w:rPr>
      </w:pPr>
      <w:r>
        <w:rPr>
          <w:rStyle w:val="12"/>
          <w:rFonts w:ascii="仿宋_GB2312" w:hAnsi="仿宋_GB2312" w:eastAsia="仿宋_GB2312" w:cs="仿宋_GB2312"/>
          <w:sz w:val="32"/>
          <w:szCs w:val="32"/>
        </w:rPr>
        <w:t>第</w:t>
      </w:r>
      <w:r>
        <w:rPr>
          <w:rStyle w:val="12"/>
          <w:rFonts w:hint="eastAsia" w:ascii="仿宋_GB2312" w:hAnsi="仿宋_GB2312" w:eastAsia="仿宋_GB2312" w:cs="仿宋_GB2312"/>
          <w:sz w:val="32"/>
          <w:szCs w:val="32"/>
        </w:rPr>
        <w:t>二</w:t>
      </w:r>
      <w:r>
        <w:rPr>
          <w:rStyle w:val="12"/>
          <w:rFonts w:ascii="仿宋_GB2312" w:hAnsi="仿宋_GB2312" w:eastAsia="仿宋_GB2312" w:cs="仿宋_GB2312"/>
          <w:sz w:val="32"/>
          <w:szCs w:val="32"/>
        </w:rPr>
        <w:t>条</w:t>
      </w:r>
      <w:r>
        <w:rPr>
          <w:rStyle w:val="12"/>
          <w:rFonts w:hint="eastAsia" w:hAnsi="仿宋_GB2312"/>
        </w:rPr>
        <w:t xml:space="preserve">  </w:t>
      </w:r>
      <w:r>
        <w:rPr>
          <w:rFonts w:hint="eastAsia" w:ascii="仿宋_GB2312" w:hAnsi="Times New Roman" w:eastAsia="仿宋_GB2312" w:cs="仿宋_GB2312"/>
          <w:sz w:val="32"/>
          <w:szCs w:val="32"/>
          <w:lang w:bidi="ar"/>
        </w:rPr>
        <w:t>本办法适用的我校国际学生是指根据《中华人民共和国国籍法》不具有中国国籍且在我校接受学历和非学历教育的外国学生。接受学历教育的类别为：专科生；接受非学历教育的类别为：进修生和研究学者。来我校接受高等学历教育的国际学生应具有相当于中国高中毕业或高中毕业以上学历。非学历生可不受年龄和学历限制。</w:t>
      </w:r>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ascii="仿宋_GB2312" w:hAnsi="Times New Roman" w:eastAsia="仿宋_GB2312" w:cs="仿宋_GB2312"/>
          <w:sz w:val="32"/>
          <w:szCs w:val="32"/>
          <w:lang w:bidi="ar"/>
        </w:rPr>
      </w:pPr>
      <w:r>
        <w:rPr>
          <w:rStyle w:val="12"/>
          <w:rFonts w:ascii="仿宋_GB2312" w:hAnsi="仿宋_GB2312" w:eastAsia="仿宋_GB2312" w:cs="仿宋_GB2312"/>
          <w:sz w:val="32"/>
          <w:szCs w:val="32"/>
        </w:rPr>
        <w:t>第</w:t>
      </w:r>
      <w:r>
        <w:rPr>
          <w:rStyle w:val="12"/>
          <w:rFonts w:hint="eastAsia" w:ascii="仿宋_GB2312" w:hAnsi="仿宋_GB2312" w:eastAsia="仿宋_GB2312" w:cs="仿宋_GB2312"/>
          <w:sz w:val="32"/>
          <w:szCs w:val="32"/>
        </w:rPr>
        <w:t>三</w:t>
      </w:r>
      <w:r>
        <w:rPr>
          <w:rStyle w:val="12"/>
          <w:rFonts w:ascii="仿宋_GB2312" w:hAnsi="仿宋_GB2312" w:eastAsia="仿宋_GB2312" w:cs="仿宋_GB2312"/>
          <w:sz w:val="32"/>
          <w:szCs w:val="32"/>
        </w:rPr>
        <w:t>条</w:t>
      </w:r>
      <w:r>
        <w:rPr>
          <w:rStyle w:val="12"/>
          <w:rFonts w:hint="eastAsia" w:hAnsi="仿宋_GB2312"/>
        </w:rPr>
        <w:t xml:space="preserve">  </w:t>
      </w:r>
      <w:r>
        <w:rPr>
          <w:rFonts w:hint="eastAsia" w:ascii="仿宋_GB2312" w:hAnsi="Times New Roman" w:eastAsia="仿宋_GB2312" w:cs="仿宋_GB2312"/>
          <w:sz w:val="32"/>
          <w:szCs w:val="32"/>
          <w:lang w:bidi="ar"/>
        </w:rPr>
        <w:t>学校大力倡导教育国际化，鼓励各二级学院接收和培养国际学生，并坚持“优化结构、提升层次、规范管理、保证质量”工作方针，积极稳妥地推进学校国际学生教育工作持续健康发展。鼓励教师积极参与国际学生的培养，承担国际学生专业课与公共课的教学工作。对实施双语授课的教师在晋升职称、评定岗位等方面予以倾斜。</w:t>
      </w:r>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Style w:val="12"/>
          <w:rFonts w:ascii="仿宋_GB2312" w:hAnsi="仿宋_GB2312" w:eastAsia="仿宋_GB2312" w:cs="仿宋_GB2312"/>
          <w:sz w:val="32"/>
          <w:szCs w:val="32"/>
        </w:rPr>
        <w:t>第</w:t>
      </w:r>
      <w:r>
        <w:rPr>
          <w:rStyle w:val="12"/>
          <w:rFonts w:hint="eastAsia" w:ascii="仿宋_GB2312" w:hAnsi="仿宋_GB2312" w:eastAsia="仿宋_GB2312" w:cs="仿宋_GB2312"/>
          <w:sz w:val="32"/>
          <w:szCs w:val="32"/>
        </w:rPr>
        <w:t>四</w:t>
      </w:r>
      <w:r>
        <w:rPr>
          <w:rStyle w:val="12"/>
          <w:rFonts w:ascii="仿宋_GB2312" w:hAnsi="仿宋_GB2312" w:eastAsia="仿宋_GB2312" w:cs="仿宋_GB2312"/>
          <w:sz w:val="32"/>
          <w:szCs w:val="32"/>
        </w:rPr>
        <w:t>条</w:t>
      </w:r>
      <w:r>
        <w:rPr>
          <w:rStyle w:val="12"/>
          <w:rFonts w:hint="eastAsia" w:ascii="仿宋_GB2312" w:hAnsi="仿宋_GB2312" w:eastAsia="仿宋_GB2312" w:cs="仿宋_GB2312"/>
          <w:sz w:val="32"/>
          <w:szCs w:val="32"/>
        </w:rPr>
        <w:t>　</w:t>
      </w:r>
      <w:r>
        <w:rPr>
          <w:rFonts w:hint="eastAsia" w:ascii="仿宋_GB2312" w:hAnsi="Times New Roman" w:eastAsia="仿宋_GB2312" w:cs="仿宋_GB2312"/>
          <w:sz w:val="32"/>
          <w:szCs w:val="32"/>
          <w:lang w:bidi="ar"/>
        </w:rPr>
        <w:t>在校注册的国际学生是我校学生群体的重要组成部分，全校各部门（二级学院）都应将国际学生纳入自身的教育、管理和服务范畴。</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p>
    <w:p>
      <w:pPr>
        <w:pageBreakBefore w:val="0"/>
        <w:kinsoku/>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749" w:name="_Toc16037_WPSOffice_Level1"/>
      <w:r>
        <w:rPr>
          <w:rFonts w:hint="eastAsia" w:ascii="黑体" w:hAnsi="黑体" w:eastAsia="黑体"/>
          <w:b/>
          <w:sz w:val="32"/>
          <w:szCs w:val="32"/>
        </w:rPr>
        <w:t>第二章　管理机构&amp;职责</w:t>
      </w:r>
      <w:bookmarkEnd w:id="1749"/>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ascii="仿宋_GB2312" w:hAnsi="Times New Roman" w:eastAsia="仿宋_GB2312" w:cs="仿宋_GB2312"/>
          <w:sz w:val="32"/>
          <w:szCs w:val="32"/>
          <w:lang w:bidi="ar"/>
        </w:rPr>
      </w:pPr>
      <w:r>
        <w:rPr>
          <w:rStyle w:val="12"/>
          <w:rFonts w:ascii="仿宋_GB2312" w:hAnsi="仿宋_GB2312" w:eastAsia="仿宋_GB2312" w:cs="仿宋_GB2312"/>
          <w:sz w:val="32"/>
          <w:szCs w:val="32"/>
        </w:rPr>
        <w:t>第</w:t>
      </w:r>
      <w:r>
        <w:rPr>
          <w:rStyle w:val="12"/>
          <w:rFonts w:hint="eastAsia" w:ascii="仿宋_GB2312" w:hAnsi="仿宋_GB2312" w:eastAsia="仿宋_GB2312" w:cs="仿宋_GB2312"/>
          <w:sz w:val="32"/>
          <w:szCs w:val="32"/>
        </w:rPr>
        <w:t>五</w:t>
      </w:r>
      <w:r>
        <w:rPr>
          <w:rStyle w:val="12"/>
          <w:rFonts w:ascii="仿宋_GB2312" w:hAnsi="仿宋_GB2312" w:eastAsia="仿宋_GB2312" w:cs="仿宋_GB2312"/>
          <w:sz w:val="32"/>
          <w:szCs w:val="32"/>
        </w:rPr>
        <w:t>条</w:t>
      </w:r>
      <w:r>
        <w:rPr>
          <w:rStyle w:val="12"/>
          <w:rFonts w:hint="eastAsia" w:ascii="仿宋_GB2312" w:hAnsi="仿宋_GB2312" w:eastAsia="仿宋_GB2312" w:cs="仿宋_GB2312"/>
          <w:sz w:val="32"/>
          <w:szCs w:val="32"/>
        </w:rPr>
        <w:t>　</w:t>
      </w:r>
      <w:r>
        <w:rPr>
          <w:rFonts w:hint="eastAsia" w:ascii="仿宋_GB2312" w:hAnsi="Times New Roman" w:eastAsia="仿宋_GB2312" w:cs="仿宋_GB2312"/>
          <w:sz w:val="32"/>
          <w:szCs w:val="32"/>
          <w:lang w:bidi="ar"/>
        </w:rPr>
        <w:t>学校国际学生管理工作按照归口管理、分工合作的原则，国际交流处为学校国际学生工作的归口管理部门，其他部门（二级学院）按照职责分工合作，各相关部门(二级学院)均应确定国际学生工作主管领导和具体工作人员。具体职责分工如下：</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一）国际交流处：为国际学生工作的归口管理部门，负责全校国际学生管理政策的制定、实施、监督和工作协调；负责国际学生的招生、录取及相关手续的办理；国际学生的日常管理；国际学生汉语教学的组织；国际学生毕（结）业证书的申报；负责在来华国际学生信息管理平台的管理。</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（二）教务与实训管理处：负责审核学历教育国际学生的培养方案、课程标准；下达教学任务；教学质量的监控、成绩与学分管理；制定国际学生授课教师的工作量认定以及考核评估体系、学籍管理等。</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（三）社区学院：负责制定非学历教育国际学生的培训方案、组织、实施及相关证书的审定和发放等。</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（四）财务处：负责核算国际学生教育成本；制定国际学生相关收费标准并向政府物价部门报批；按照所开具的缴费清单，收取国际学生的学费、住宿费等相关费用；出具缴费收据或证明。</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（五）学生工作处：负责国际学生的住宿安排；协同国际交流处、团委、各二级学院引导国际学生参加学校或二级学院组织的各类活动；做好国际学生的心理、思想工作和生活指导。</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（六）后勤与资产管理处：负责国际学生食堂、公寓设施的维护、维修和公共区域的卫生管理。</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七）保卫处：负责国际学生的安全保卫工作，配备国际学生公寓的防盗、防火设备，加强对国际学生住所的巡逻和保卫工作，及时报告并妥善处理可能的突发事件；化解国际学生与我国公民的矛盾纠纷；及时制止国际学生的违法违纪行为，情节严重者报公安、司法机关依法处理。</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（八）图书馆：负责为国际学生提供图书借阅和信息检索等服务。</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九）二级学院：为国际学生教育的具体实施单位，主要负责制定相应专业的国际学生培养方案并实施；帮助各类国际学生学习计划的制定、教材落实等；结合生源国的实际情况和特点指导国际学生进行学习；做好国际学生的日常及涉外管理等工作；做好国际学生年度奖学金、国际学生毕业资格的初审等工作。</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p>
    <w:p>
      <w:pPr>
        <w:pageBreakBefore w:val="0"/>
        <w:kinsoku/>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750" w:name="_Toc7503_WPSOffice_Level1"/>
      <w:r>
        <w:rPr>
          <w:rFonts w:hint="eastAsia" w:ascii="黑体" w:hAnsi="黑体" w:eastAsia="黑体"/>
          <w:b/>
          <w:sz w:val="32"/>
          <w:szCs w:val="32"/>
        </w:rPr>
        <w:t>第三章  管理工作&amp;流程</w:t>
      </w:r>
      <w:bookmarkEnd w:id="1750"/>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ascii="仿宋_GB2312" w:hAnsi="Times New Roman" w:eastAsia="仿宋_GB2312" w:cs="仿宋_GB2312"/>
          <w:sz w:val="32"/>
          <w:szCs w:val="32"/>
          <w:lang w:bidi="ar"/>
        </w:rPr>
      </w:pPr>
      <w:r>
        <w:rPr>
          <w:rStyle w:val="12"/>
          <w:rFonts w:ascii="仿宋_GB2312" w:hAnsi="仿宋_GB2312" w:eastAsia="仿宋_GB2312" w:cs="仿宋_GB2312"/>
          <w:sz w:val="32"/>
          <w:szCs w:val="32"/>
        </w:rPr>
        <w:t>第</w:t>
      </w:r>
      <w:r>
        <w:rPr>
          <w:rStyle w:val="12"/>
          <w:rFonts w:hint="eastAsia" w:ascii="仿宋_GB2312" w:hAnsi="仿宋_GB2312" w:eastAsia="仿宋_GB2312" w:cs="仿宋_GB2312"/>
          <w:sz w:val="32"/>
          <w:szCs w:val="32"/>
        </w:rPr>
        <w:t>六</w:t>
      </w:r>
      <w:r>
        <w:rPr>
          <w:rStyle w:val="12"/>
          <w:rFonts w:ascii="仿宋_GB2312" w:hAnsi="仿宋_GB2312" w:eastAsia="仿宋_GB2312" w:cs="仿宋_GB2312"/>
          <w:sz w:val="32"/>
          <w:szCs w:val="32"/>
        </w:rPr>
        <w:t>条</w:t>
      </w:r>
      <w:r>
        <w:rPr>
          <w:rStyle w:val="12"/>
          <w:rFonts w:hint="eastAsia" w:ascii="仿宋_GB2312" w:hAnsi="仿宋_GB2312" w:eastAsia="仿宋_GB2312" w:cs="仿宋_GB2312"/>
          <w:sz w:val="32"/>
          <w:szCs w:val="32"/>
        </w:rPr>
        <w:t>　</w:t>
      </w:r>
      <w:r>
        <w:rPr>
          <w:rFonts w:hint="eastAsia" w:ascii="仿宋_GB2312" w:hAnsi="Times New Roman" w:eastAsia="仿宋_GB2312" w:cs="仿宋_GB2312"/>
          <w:sz w:val="32"/>
          <w:szCs w:val="32"/>
          <w:lang w:bidi="ar"/>
        </w:rPr>
        <w:t>招生、录取管理</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一）由国际交流处牵头，会同教务与实训管理处、二级学院在秋学期末制定下一学年度的学历教育国际学生招生专业及计划，报校务会审议通过后实施。学历教育国际学生招生计划不受国家招生计划指标的限制。</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（二）国际学生招生工作由国际交流处统筹，及时公布招生办法及招生简章，负责为二级学院提供必要的政策和招生咨询。学校鼓励各部门、二级学院通过各种途径，积极开展对外招生宣传。</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三）学历教育国际学生录取标准由国际交流处、教务与实训管理处、各相关二级学院确定。使用汉语接受学历教育者，应持有效的3级及以上汉语水平考试证书或已通过我校相应的汉语水平测试。国际交流处负责审查国际学生的入学资格，办理入学手续，并向自治区教育厅申请来华国际学生批件及核批。</w:t>
      </w:r>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ascii="仿宋_GB2312" w:hAnsi="Times New Roman" w:eastAsia="仿宋_GB2312" w:cs="仿宋_GB2312"/>
          <w:sz w:val="32"/>
          <w:szCs w:val="32"/>
          <w:lang w:bidi="ar"/>
        </w:rPr>
      </w:pPr>
      <w:r>
        <w:rPr>
          <w:rStyle w:val="12"/>
          <w:rFonts w:ascii="仿宋_GB2312" w:hAnsi="仿宋_GB2312" w:eastAsia="仿宋_GB2312" w:cs="仿宋_GB2312"/>
          <w:sz w:val="32"/>
          <w:szCs w:val="32"/>
        </w:rPr>
        <w:t>第</w:t>
      </w:r>
      <w:r>
        <w:rPr>
          <w:rStyle w:val="12"/>
          <w:rFonts w:hint="eastAsia" w:ascii="仿宋_GB2312" w:hAnsi="仿宋_GB2312" w:eastAsia="仿宋_GB2312" w:cs="仿宋_GB2312"/>
          <w:sz w:val="32"/>
          <w:szCs w:val="32"/>
        </w:rPr>
        <w:t>七</w:t>
      </w:r>
      <w:r>
        <w:rPr>
          <w:rStyle w:val="12"/>
          <w:rFonts w:ascii="仿宋_GB2312" w:hAnsi="仿宋_GB2312" w:eastAsia="仿宋_GB2312" w:cs="仿宋_GB2312"/>
          <w:sz w:val="32"/>
          <w:szCs w:val="32"/>
        </w:rPr>
        <w:t>条</w:t>
      </w:r>
      <w:r>
        <w:rPr>
          <w:rStyle w:val="12"/>
          <w:rFonts w:hint="eastAsia" w:ascii="仿宋_GB2312" w:hAnsi="仿宋_GB2312" w:eastAsia="仿宋_GB2312" w:cs="仿宋_GB2312"/>
          <w:sz w:val="32"/>
          <w:szCs w:val="32"/>
        </w:rPr>
        <w:t>　</w:t>
      </w:r>
      <w:r>
        <w:rPr>
          <w:rFonts w:hint="eastAsia" w:ascii="仿宋_GB2312" w:hAnsi="Times New Roman" w:eastAsia="仿宋_GB2312" w:cs="仿宋_GB2312"/>
          <w:sz w:val="32"/>
          <w:szCs w:val="32"/>
          <w:lang w:bidi="ar"/>
        </w:rPr>
        <w:t>教学与学籍管理</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一）国际交流处负责学历教育国际学生报到注册手续，指导学历教育国际学生到相关二级学院报到，完成相关表格的填写或登记。国际交流处每学期开学后一个月内，将实际报到学生名单报到教务与实训管理处、各二级学院备案。</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二）国际交流处负责组织学历教育国际学生在规定期限内到卫生检疫部门办理《外国人体格检查记录》确认手续或者进行体检。经体检确认患有《中华人民共和国出境入境管理法》规定的严重精神障碍、传染性肺结核病或者有可能对公共卫生造成重大危害的其他传染病的，由公安部门依法处理。体检合格者，予以注册，取得学籍；体检不符合入学健康标准规定者，作取消入学资格处理。</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（三）国际交流处、教务与实训管理处和相关二级学院按照培养方案组织实施各教学环节。</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（四）汉语为培养国际学生的基本教学语言，也可为国际学生开设使用外国语言进行教学的专业课程。</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（五）汉语和中国概况须作为学历教育国际学生的必修课程。</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（六）各相关二级学院在教务与实训管理处的指导下，可根据教学需要，在确保教学质量的前提下，适当调整国际学生的必修和选修课程。</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（七）各相关二级学院按照培养方案组织实施各教学环节，督促国际学生参加教学计划规定的各项教学活动, 并进行考勤。考勤由任课教师和国际学生辅导员共同执行。各门课程的考勤情况可以作为国际学生课程最后成绩评定的依据之一。</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（八）国际学生的实习和社会实践参照学校学生实习工作有关管理规定执行，但选择实习或实践地点时，应遵守有关涉外规定。</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九）国际学生完成学业，经考核合格，由教务与实训管理处按相关程序办理结（毕）业证书。未学完规定的课程、不参加考试或成绩不合格者（包括经补考仍不合格者）不发给结毕业（学习）证书，只开具学习证明。</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（十）涉及学历教育国际学生转专业、休学、延期毕业、退学、学籍异动等事宜，各二级学院须及时上报教务与实训管理处、学生工作处、国际交流处审批。</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（十一）学历教育国际学生、校际交换生及语言生的离校工作由国际交流处会同有关二级学院和部门办理。非学历教育的国际学生的离校工作由各承办单位负责，国际交流处予以必要的协助和指导。</w:t>
      </w:r>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ascii="仿宋_GB2312" w:hAnsi="Times New Roman" w:eastAsia="仿宋_GB2312" w:cs="仿宋_GB2312"/>
          <w:sz w:val="32"/>
          <w:szCs w:val="32"/>
          <w:lang w:bidi="ar"/>
        </w:rPr>
      </w:pPr>
      <w:r>
        <w:rPr>
          <w:rFonts w:hint="eastAsia" w:ascii="仿宋_GB2312" w:hAnsi="Times New Roman" w:eastAsia="仿宋_GB2312"/>
          <w:b/>
          <w:bCs/>
          <w:sz w:val="32"/>
          <w:szCs w:val="32"/>
          <w:lang w:bidi="ar"/>
        </w:rPr>
        <w:t>第八条　</w:t>
      </w:r>
      <w:r>
        <w:rPr>
          <w:rFonts w:hint="eastAsia" w:ascii="仿宋_GB2312" w:hAnsi="Times New Roman" w:eastAsia="仿宋_GB2312" w:cs="仿宋_GB2312"/>
          <w:sz w:val="32"/>
          <w:szCs w:val="32"/>
          <w:lang w:bidi="ar"/>
        </w:rPr>
        <w:t>日常与涉外管理</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一）国际交流处负责统筹全校国际学生的日常管理工作，为国际学生提供办理出入境及来华居留手续所需的材料，组织国际学生参加上级部门统一组织的有关活动，协调解决国际学生在校学习和生活中遇到的问题。</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二）学校和各二级学院一般不组织国际学生参加政治性活动，允许并鼓励国际学生参加学校和学院组织的各类文体活动，并为其参加文体活动提供便利条件。国际学生可自愿参加公益活动、中国重大节日的庆祝活动。各二级学院要尽量丰富国际学生的课余生活，帮助他们了解中国国情、历史和文化。</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（三）国际学生的住宿统一由学校安排，具体学生工作处负责安排分配。接收国际学生的二级学院要负责国际学生日常住宿管理，并做好安全教育。</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hint="eastAsia" w:ascii="仿宋_GB2312" w:hAnsi="Times New Roman" w:eastAsia="仿宋_GB2312" w:cs="仿宋_GB2312"/>
          <w:sz w:val="32"/>
          <w:szCs w:val="32"/>
          <w:lang w:bidi="ar"/>
        </w:rPr>
      </w:pPr>
      <w:r>
        <w:rPr>
          <w:rFonts w:hint="eastAsia" w:ascii="仿宋_GB2312" w:hAnsi="Times New Roman" w:eastAsia="仿宋_GB2312" w:cs="仿宋_GB2312"/>
          <w:sz w:val="32"/>
          <w:szCs w:val="32"/>
          <w:lang w:bidi="ar"/>
        </w:rPr>
        <w:t>（四）国际学生的各类奖学金的申请，由国际交流处、教务与实训管理处、学生工作处及各相关二级学院共同评审。</w:t>
      </w:r>
    </w:p>
    <w:p>
      <w:pPr>
        <w:pStyle w:val="10"/>
        <w:pageBreakBefore w:val="0"/>
        <w:widowControl w:val="0"/>
        <w:kinsoku/>
        <w:overflowPunct/>
        <w:topLinePunct w:val="0"/>
        <w:autoSpaceDE/>
        <w:autoSpaceDN/>
        <w:bidi w:val="0"/>
        <w:spacing w:before="0" w:beforeAutospacing="0" w:after="0" w:afterAutospacing="0" w:line="590" w:lineRule="exact"/>
        <w:ind w:firstLine="640" w:firstLineChars="200"/>
        <w:outlineLvl w:val="9"/>
        <w:rPr>
          <w:rFonts w:ascii="仿宋_GB2312" w:hAnsi="Times New Roman" w:eastAsia="仿宋_GB2312" w:cs="仿宋_GB2312"/>
          <w:sz w:val="32"/>
          <w:szCs w:val="32"/>
          <w:lang w:bidi="ar"/>
        </w:rPr>
      </w:pPr>
    </w:p>
    <w:p>
      <w:pPr>
        <w:pageBreakBefore w:val="0"/>
        <w:kinsoku/>
        <w:overflowPunct/>
        <w:topLinePunct w:val="0"/>
        <w:autoSpaceDE/>
        <w:autoSpaceDN/>
        <w:bidi w:val="0"/>
        <w:adjustRightInd w:val="0"/>
        <w:snapToGrid w:val="0"/>
        <w:spacing w:line="596" w:lineRule="exact"/>
        <w:jc w:val="center"/>
        <w:outlineLvl w:val="9"/>
        <w:rPr>
          <w:rFonts w:ascii="黑体" w:hAnsi="黑体" w:eastAsia="黑体"/>
          <w:b/>
          <w:sz w:val="32"/>
          <w:szCs w:val="32"/>
        </w:rPr>
      </w:pPr>
      <w:bookmarkStart w:id="1751" w:name="_Toc17058_WPSOffice_Level1"/>
      <w:r>
        <w:rPr>
          <w:rFonts w:hint="eastAsia" w:ascii="黑体" w:hAnsi="黑体" w:eastAsia="黑体"/>
          <w:b/>
          <w:sz w:val="32"/>
          <w:szCs w:val="32"/>
        </w:rPr>
        <w:t>第四章 附则</w:t>
      </w:r>
      <w:bookmarkEnd w:id="1751"/>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ascii="仿宋_GB2312" w:hAnsi="Times New Roman" w:eastAsia="仿宋_GB2312" w:cs="仿宋_GB2312"/>
          <w:sz w:val="32"/>
          <w:szCs w:val="32"/>
          <w:lang w:bidi="ar"/>
        </w:rPr>
      </w:pPr>
      <w:r>
        <w:rPr>
          <w:rStyle w:val="12"/>
          <w:rFonts w:ascii="仿宋_GB2312" w:hAnsi="仿宋_GB2312" w:eastAsia="仿宋_GB2312" w:cs="仿宋_GB2312"/>
          <w:sz w:val="32"/>
          <w:szCs w:val="32"/>
        </w:rPr>
        <w:t>第</w:t>
      </w:r>
      <w:r>
        <w:rPr>
          <w:rStyle w:val="12"/>
          <w:rFonts w:hint="eastAsia" w:ascii="仿宋_GB2312" w:hAnsi="仿宋_GB2312" w:eastAsia="仿宋_GB2312" w:cs="仿宋_GB2312"/>
          <w:sz w:val="32"/>
          <w:szCs w:val="32"/>
        </w:rPr>
        <w:t>九</w:t>
      </w:r>
      <w:r>
        <w:rPr>
          <w:rStyle w:val="12"/>
          <w:rFonts w:ascii="仿宋_GB2312" w:hAnsi="仿宋_GB2312" w:eastAsia="仿宋_GB2312" w:cs="仿宋_GB2312"/>
          <w:sz w:val="32"/>
          <w:szCs w:val="32"/>
        </w:rPr>
        <w:t>条</w:t>
      </w:r>
      <w:r>
        <w:rPr>
          <w:rStyle w:val="12"/>
          <w:rFonts w:hint="eastAsia" w:ascii="仿宋_GB2312" w:hAnsi="仿宋_GB2312" w:eastAsia="仿宋_GB2312" w:cs="仿宋_GB2312"/>
          <w:sz w:val="32"/>
          <w:szCs w:val="32"/>
        </w:rPr>
        <w:t>　</w:t>
      </w:r>
      <w:r>
        <w:rPr>
          <w:rFonts w:hint="eastAsia" w:ascii="仿宋_GB2312" w:hAnsi="Times New Roman" w:eastAsia="仿宋_GB2312" w:cs="仿宋_GB2312"/>
          <w:sz w:val="32"/>
          <w:szCs w:val="32"/>
          <w:lang w:bidi="ar"/>
        </w:rPr>
        <w:t>本规定未尽事项，依照国家的相关法律法规及我校适用国内学生的相关管理规定办理。</w:t>
      </w:r>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ascii="仿宋_GB2312" w:hAnsi="Times New Roman" w:eastAsia="仿宋_GB2312" w:cs="仿宋_GB2312"/>
          <w:sz w:val="32"/>
          <w:szCs w:val="32"/>
          <w:lang w:bidi="ar"/>
        </w:rPr>
      </w:pPr>
      <w:r>
        <w:rPr>
          <w:rStyle w:val="12"/>
          <w:rFonts w:ascii="仿宋_GB2312" w:hAnsi="仿宋_GB2312" w:eastAsia="仿宋_GB2312" w:cs="仿宋_GB2312"/>
          <w:sz w:val="32"/>
          <w:szCs w:val="32"/>
        </w:rPr>
        <w:t>第</w:t>
      </w:r>
      <w:r>
        <w:rPr>
          <w:rStyle w:val="12"/>
          <w:rFonts w:hint="eastAsia" w:ascii="仿宋_GB2312" w:hAnsi="仿宋_GB2312" w:eastAsia="仿宋_GB2312" w:cs="仿宋_GB2312"/>
          <w:sz w:val="32"/>
          <w:szCs w:val="32"/>
        </w:rPr>
        <w:t>十</w:t>
      </w:r>
      <w:r>
        <w:rPr>
          <w:rStyle w:val="12"/>
          <w:rFonts w:ascii="仿宋_GB2312" w:hAnsi="仿宋_GB2312" w:eastAsia="仿宋_GB2312" w:cs="仿宋_GB2312"/>
          <w:sz w:val="32"/>
          <w:szCs w:val="32"/>
        </w:rPr>
        <w:t>条</w:t>
      </w:r>
      <w:r>
        <w:rPr>
          <w:rStyle w:val="12"/>
          <w:rFonts w:hint="eastAsia" w:ascii="仿宋_GB2312" w:hAnsi="仿宋_GB2312" w:eastAsia="仿宋_GB2312" w:cs="仿宋_GB2312"/>
          <w:sz w:val="32"/>
          <w:szCs w:val="32"/>
        </w:rPr>
        <w:t>　</w:t>
      </w:r>
      <w:r>
        <w:rPr>
          <w:rFonts w:hint="eastAsia" w:ascii="仿宋_GB2312" w:hAnsi="Times New Roman" w:eastAsia="仿宋_GB2312" w:cs="仿宋_GB2312"/>
          <w:sz w:val="32"/>
          <w:szCs w:val="32"/>
          <w:lang w:bidi="ar"/>
        </w:rPr>
        <w:t>港、澳、台学生的管理参照本办法执行。</w:t>
      </w:r>
    </w:p>
    <w:p>
      <w:pPr>
        <w:pStyle w:val="10"/>
        <w:pageBreakBefore w:val="0"/>
        <w:widowControl w:val="0"/>
        <w:kinsoku/>
        <w:overflowPunct/>
        <w:topLinePunct w:val="0"/>
        <w:autoSpaceDE/>
        <w:autoSpaceDN/>
        <w:bidi w:val="0"/>
        <w:spacing w:before="0" w:beforeAutospacing="0" w:after="0" w:afterAutospacing="0" w:line="590" w:lineRule="exact"/>
        <w:ind w:firstLine="643" w:firstLineChars="200"/>
        <w:outlineLvl w:val="9"/>
        <w:rPr>
          <w:rFonts w:hint="eastAsia" w:ascii="仿宋_GB2312" w:hAnsi="Times New Roman" w:eastAsia="仿宋_GB2312" w:cs="仿宋_GB2312"/>
          <w:sz w:val="32"/>
          <w:szCs w:val="32"/>
          <w:lang w:bidi="ar"/>
        </w:rPr>
      </w:pPr>
      <w:r>
        <w:rPr>
          <w:rStyle w:val="12"/>
          <w:rFonts w:ascii="仿宋_GB2312" w:hAnsi="仿宋_GB2312" w:eastAsia="仿宋_GB2312" w:cs="仿宋_GB2312"/>
          <w:sz w:val="32"/>
          <w:szCs w:val="32"/>
        </w:rPr>
        <w:t>第</w:t>
      </w:r>
      <w:r>
        <w:rPr>
          <w:rStyle w:val="12"/>
          <w:rFonts w:hint="eastAsia" w:ascii="仿宋_GB2312" w:hAnsi="仿宋_GB2312" w:eastAsia="仿宋_GB2312" w:cs="仿宋_GB2312"/>
          <w:sz w:val="32"/>
          <w:szCs w:val="32"/>
        </w:rPr>
        <w:t>十一</w:t>
      </w:r>
      <w:r>
        <w:rPr>
          <w:rStyle w:val="12"/>
          <w:rFonts w:ascii="仿宋_GB2312" w:hAnsi="仿宋_GB2312" w:eastAsia="仿宋_GB2312" w:cs="仿宋_GB2312"/>
          <w:sz w:val="32"/>
          <w:szCs w:val="32"/>
        </w:rPr>
        <w:t>条</w:t>
      </w:r>
      <w:r>
        <w:rPr>
          <w:rStyle w:val="12"/>
          <w:rFonts w:hint="eastAsia" w:ascii="仿宋_GB2312" w:hAnsi="仿宋_GB2312" w:eastAsia="仿宋_GB2312" w:cs="仿宋_GB2312"/>
          <w:sz w:val="32"/>
          <w:szCs w:val="32"/>
        </w:rPr>
        <w:t>　</w:t>
      </w:r>
      <w:r>
        <w:rPr>
          <w:rFonts w:hint="eastAsia" w:ascii="仿宋_GB2312" w:hAnsi="Times New Roman" w:eastAsia="仿宋_GB2312" w:cs="仿宋_GB2312"/>
          <w:sz w:val="32"/>
          <w:szCs w:val="32"/>
          <w:lang w:bidi="ar"/>
        </w:rPr>
        <w:t>本办法从发布之日起执行，由国际交流处负责解释。</w:t>
      </w:r>
    </w:p>
    <w:p>
      <w:pPr>
        <w:pageBreakBefore w:val="0"/>
        <w:kinsoku/>
        <w:overflowPunct/>
        <w:topLinePunct w:val="0"/>
        <w:autoSpaceDE/>
        <w:autoSpaceDN/>
        <w:bidi w:val="0"/>
        <w:outlineLvl w:val="9"/>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bookmarkStart w:id="1752" w:name="_Toc13771"/>
      <w:bookmarkStart w:id="1753" w:name="_Toc31361"/>
      <w:bookmarkStart w:id="1754" w:name="_Toc19134"/>
      <w:bookmarkStart w:id="1755" w:name="_Toc18970"/>
      <w:bookmarkStart w:id="1756" w:name="_Toc23524_WPSOffice_Level1"/>
      <w:r>
        <w:rPr>
          <w:rFonts w:hint="eastAsia"/>
          <w:b/>
          <w:color w:val="000000"/>
          <w:sz w:val="36"/>
          <w:szCs w:val="36"/>
        </w:rPr>
        <w:t>柳州职业技术学院</w:t>
      </w:r>
      <w:bookmarkEnd w:id="1752"/>
      <w:bookmarkStart w:id="1757" w:name="_Toc28044"/>
      <w:r>
        <w:rPr>
          <w:rFonts w:hint="eastAsia"/>
          <w:b/>
          <w:color w:val="000000"/>
          <w:sz w:val="36"/>
          <w:szCs w:val="36"/>
        </w:rPr>
        <w:t>国际学生奖学金管理办法（暂行）</w:t>
      </w:r>
      <w:bookmarkEnd w:id="1753"/>
      <w:bookmarkEnd w:id="1754"/>
      <w:bookmarkEnd w:id="1755"/>
      <w:bookmarkEnd w:id="1756"/>
      <w:bookmarkEnd w:id="1757"/>
    </w:p>
    <w:p>
      <w:pPr>
        <w:pageBreakBefore w:val="0"/>
        <w:kinsoku/>
        <w:overflowPunct/>
        <w:topLinePunct w:val="0"/>
        <w:autoSpaceDE/>
        <w:autoSpaceDN/>
        <w:bidi w:val="0"/>
        <w:spacing w:line="596" w:lineRule="exact"/>
        <w:jc w:val="center"/>
        <w:outlineLvl w:val="9"/>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rPr>
        <w:t>柳职院字〔2019〕31 号</w:t>
      </w:r>
      <w:r>
        <w:rPr>
          <w:rFonts w:hint="eastAsia" w:ascii="仿宋_GB2312" w:eastAsia="仿宋_GB2312"/>
          <w:sz w:val="32"/>
          <w:szCs w:val="32"/>
          <w:lang w:eastAsia="zh-CN"/>
        </w:rPr>
        <w:t>）</w:t>
      </w:r>
    </w:p>
    <w:p>
      <w:pPr>
        <w:pageBreakBefore w:val="0"/>
        <w:kinsoku/>
        <w:overflowPunct/>
        <w:topLinePunct w:val="0"/>
        <w:autoSpaceDE/>
        <w:autoSpaceDN/>
        <w:bidi w:val="0"/>
        <w:spacing w:line="596" w:lineRule="exact"/>
        <w:jc w:val="center"/>
        <w:outlineLvl w:val="9"/>
        <w:rPr>
          <w:rFonts w:hint="eastAsia" w:ascii="仿宋_GB2312" w:eastAsia="仿宋_GB2312"/>
          <w:sz w:val="32"/>
          <w:szCs w:val="32"/>
          <w:lang w:eastAsia="zh-CN"/>
        </w:rPr>
      </w:pPr>
    </w:p>
    <w:p>
      <w:pPr>
        <w:pageBreakBefore w:val="0"/>
        <w:kinsoku/>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758" w:name="_Toc19675_WPSOffice_Level1"/>
      <w:r>
        <w:rPr>
          <w:rFonts w:hint="eastAsia" w:ascii="黑体" w:hAnsi="黑体" w:eastAsia="黑体"/>
          <w:b/>
          <w:sz w:val="32"/>
          <w:szCs w:val="32"/>
        </w:rPr>
        <w:t>第一章  总则</w:t>
      </w:r>
      <w:bookmarkEnd w:id="1758"/>
    </w:p>
    <w:p>
      <w:pPr>
        <w:pageBreakBefore w:val="0"/>
        <w:kinsoku/>
        <w:overflowPunct/>
        <w:topLinePunct w:val="0"/>
        <w:autoSpaceDE/>
        <w:autoSpaceDN/>
        <w:bidi w:val="0"/>
        <w:spacing w:line="596" w:lineRule="exact"/>
        <w:ind w:firstLine="630" w:firstLineChars="196"/>
        <w:outlineLvl w:val="9"/>
        <w:rPr>
          <w:rFonts w:hint="eastAsia" w:ascii="仿宋_GB2312" w:eastAsia="仿宋_GB2312"/>
          <w:color w:val="000000"/>
          <w:sz w:val="32"/>
          <w:szCs w:val="32"/>
        </w:rPr>
      </w:pPr>
      <w:r>
        <w:rPr>
          <w:rFonts w:hint="eastAsia" w:ascii="仿宋_GB2312" w:eastAsia="仿宋_GB2312" w:cs="仿宋_GB2312"/>
          <w:b/>
          <w:bCs/>
          <w:color w:val="000000"/>
          <w:sz w:val="32"/>
          <w:szCs w:val="32"/>
        </w:rPr>
        <w:t xml:space="preserve">第一条  </w:t>
      </w:r>
      <w:r>
        <w:rPr>
          <w:rFonts w:hint="eastAsia" w:ascii="仿宋_GB2312" w:eastAsia="仿宋_GB2312" w:cs="仿宋_GB2312"/>
          <w:color w:val="000000"/>
          <w:sz w:val="32"/>
          <w:szCs w:val="32"/>
        </w:rPr>
        <w:t>为吸引更多优秀的</w:t>
      </w:r>
      <w:r>
        <w:rPr>
          <w:rFonts w:hint="eastAsia" w:ascii="仿宋_GB2312" w:eastAsia="仿宋_GB2312" w:cs="仿宋_GB2312"/>
          <w:sz w:val="32"/>
          <w:szCs w:val="32"/>
        </w:rPr>
        <w:t>国际</w:t>
      </w:r>
      <w:r>
        <w:rPr>
          <w:rFonts w:hint="eastAsia" w:ascii="仿宋_GB2312" w:eastAsia="仿宋_GB2312" w:cs="仿宋_GB2312"/>
          <w:color w:val="000000"/>
          <w:sz w:val="32"/>
          <w:szCs w:val="32"/>
        </w:rPr>
        <w:t>学生到我</w:t>
      </w:r>
      <w:r>
        <w:rPr>
          <w:rFonts w:hint="eastAsia" w:ascii="仿宋_GB2312" w:eastAsia="仿宋_GB2312" w:cs="仿宋_GB2312"/>
          <w:sz w:val="32"/>
          <w:szCs w:val="32"/>
        </w:rPr>
        <w:t>校</w:t>
      </w:r>
      <w:r>
        <w:rPr>
          <w:rFonts w:hint="eastAsia" w:ascii="仿宋_GB2312" w:eastAsia="仿宋_GB2312" w:cs="仿宋_GB2312"/>
          <w:color w:val="000000"/>
          <w:sz w:val="32"/>
          <w:szCs w:val="32"/>
        </w:rPr>
        <w:t>就读，营造良好的学习氛围，提高学</w:t>
      </w:r>
      <w:r>
        <w:rPr>
          <w:rFonts w:hint="eastAsia" w:ascii="仿宋_GB2312" w:eastAsia="仿宋_GB2312" w:cs="仿宋_GB2312"/>
          <w:sz w:val="32"/>
          <w:szCs w:val="32"/>
        </w:rPr>
        <w:t>校</w:t>
      </w:r>
      <w:r>
        <w:rPr>
          <w:rFonts w:hint="eastAsia" w:ascii="仿宋_GB2312" w:eastAsia="仿宋_GB2312" w:cs="仿宋_GB2312"/>
          <w:color w:val="000000"/>
          <w:sz w:val="32"/>
          <w:szCs w:val="32"/>
        </w:rPr>
        <w:t>的国际办学水平，特设立</w:t>
      </w:r>
      <w:r>
        <w:rPr>
          <w:rFonts w:hint="eastAsia" w:ascii="仿宋_GB2312" w:eastAsia="仿宋_GB2312" w:cs="仿宋_GB2312"/>
          <w:sz w:val="32"/>
          <w:szCs w:val="32"/>
        </w:rPr>
        <w:t>柳州</w:t>
      </w:r>
      <w:r>
        <w:rPr>
          <w:rFonts w:hint="eastAsia" w:ascii="仿宋_GB2312" w:eastAsia="仿宋_GB2312" w:cs="仿宋_GB2312"/>
          <w:color w:val="000000"/>
          <w:sz w:val="32"/>
          <w:szCs w:val="32"/>
        </w:rPr>
        <w:t>职业技术学院国际学生奖学金（以下简称奖学金）。为规范奖学金制度，制定本办法。</w:t>
      </w:r>
    </w:p>
    <w:p>
      <w:pPr>
        <w:pageBreakBefore w:val="0"/>
        <w:kinsoku/>
        <w:overflowPunct/>
        <w:topLinePunct w:val="0"/>
        <w:autoSpaceDE/>
        <w:autoSpaceDN/>
        <w:bidi w:val="0"/>
        <w:spacing w:line="596" w:lineRule="exact"/>
        <w:ind w:firstLine="630" w:firstLineChars="196"/>
        <w:outlineLvl w:val="9"/>
        <w:rPr>
          <w:rFonts w:hint="eastAsia" w:ascii="仿宋_GB2312" w:eastAsia="仿宋_GB2312"/>
          <w:color w:val="000000"/>
          <w:sz w:val="32"/>
          <w:szCs w:val="32"/>
        </w:rPr>
      </w:pPr>
      <w:r>
        <w:rPr>
          <w:rFonts w:hint="eastAsia" w:ascii="仿宋_GB2312" w:eastAsia="仿宋_GB2312" w:cs="仿宋_GB2312"/>
          <w:b/>
          <w:bCs/>
          <w:color w:val="000000"/>
          <w:sz w:val="32"/>
          <w:szCs w:val="32"/>
        </w:rPr>
        <w:t xml:space="preserve">第二条  </w:t>
      </w:r>
      <w:r>
        <w:rPr>
          <w:rFonts w:hint="eastAsia" w:ascii="仿宋_GB2312" w:eastAsia="仿宋_GB2312" w:cs="仿宋_GB2312"/>
          <w:color w:val="000000"/>
          <w:sz w:val="32"/>
          <w:szCs w:val="32"/>
        </w:rPr>
        <w:t>奖学金由</w:t>
      </w:r>
      <w:r>
        <w:rPr>
          <w:rFonts w:hint="eastAsia" w:ascii="仿宋_GB2312" w:eastAsia="仿宋_GB2312" w:cs="仿宋_GB2312"/>
          <w:sz w:val="32"/>
          <w:szCs w:val="32"/>
        </w:rPr>
        <w:t>柳州</w:t>
      </w:r>
      <w:r>
        <w:rPr>
          <w:rFonts w:hint="eastAsia" w:ascii="仿宋_GB2312" w:eastAsia="仿宋_GB2312" w:cs="仿宋_GB2312"/>
          <w:color w:val="000000"/>
          <w:sz w:val="32"/>
          <w:szCs w:val="32"/>
        </w:rPr>
        <w:t>职业技术学院专项经费支出，并纳入学院财务部门预算。</w:t>
      </w:r>
    </w:p>
    <w:p>
      <w:pPr>
        <w:pageBreakBefore w:val="0"/>
        <w:kinsoku/>
        <w:overflowPunct/>
        <w:topLinePunct w:val="0"/>
        <w:autoSpaceDE/>
        <w:autoSpaceDN/>
        <w:bidi w:val="0"/>
        <w:spacing w:line="596" w:lineRule="exact"/>
        <w:ind w:firstLine="630" w:firstLineChars="196"/>
        <w:outlineLvl w:val="9"/>
        <w:rPr>
          <w:rFonts w:hint="eastAsia" w:ascii="仿宋_GB2312" w:eastAsia="仿宋_GB2312"/>
          <w:color w:val="000000"/>
          <w:sz w:val="32"/>
          <w:szCs w:val="32"/>
        </w:rPr>
      </w:pPr>
      <w:r>
        <w:rPr>
          <w:rFonts w:hint="eastAsia" w:ascii="仿宋_GB2312" w:eastAsia="仿宋_GB2312" w:cs="仿宋_GB2312"/>
          <w:b/>
          <w:bCs/>
          <w:color w:val="000000"/>
          <w:sz w:val="32"/>
          <w:szCs w:val="32"/>
        </w:rPr>
        <w:t xml:space="preserve">第三条  </w:t>
      </w:r>
      <w:r>
        <w:rPr>
          <w:rFonts w:hint="eastAsia" w:ascii="仿宋_GB2312" w:eastAsia="仿宋_GB2312" w:cs="仿宋_GB2312"/>
          <w:color w:val="000000"/>
          <w:sz w:val="32"/>
          <w:szCs w:val="32"/>
        </w:rPr>
        <w:t>本奖学金奖励对华友好、</w:t>
      </w:r>
      <w:r>
        <w:rPr>
          <w:rFonts w:hint="eastAsia" w:ascii="仿宋_GB2312" w:eastAsia="仿宋_GB2312" w:cs="仿宋_GB2312"/>
          <w:sz w:val="32"/>
          <w:szCs w:val="32"/>
        </w:rPr>
        <w:t>品学兼优</w:t>
      </w:r>
      <w:r>
        <w:rPr>
          <w:rFonts w:hint="eastAsia" w:ascii="仿宋_GB2312" w:eastAsia="仿宋_GB2312" w:cs="仿宋_GB2312"/>
          <w:color w:val="000000"/>
          <w:sz w:val="32"/>
          <w:szCs w:val="32"/>
        </w:rPr>
        <w:t>的</w:t>
      </w:r>
      <w:r>
        <w:rPr>
          <w:rFonts w:hint="eastAsia" w:ascii="仿宋_GB2312" w:eastAsia="仿宋_GB2312" w:cs="仿宋_GB2312"/>
          <w:sz w:val="32"/>
          <w:szCs w:val="32"/>
        </w:rPr>
        <w:t>国际</w:t>
      </w:r>
      <w:r>
        <w:rPr>
          <w:rFonts w:hint="eastAsia" w:ascii="仿宋_GB2312" w:eastAsia="仿宋_GB2312" w:cs="仿宋_GB2312"/>
          <w:color w:val="000000"/>
          <w:sz w:val="32"/>
          <w:szCs w:val="32"/>
        </w:rPr>
        <w:t>学生。</w:t>
      </w:r>
    </w:p>
    <w:p>
      <w:pPr>
        <w:pageBreakBefore w:val="0"/>
        <w:kinsoku/>
        <w:overflowPunct/>
        <w:topLinePunct w:val="0"/>
        <w:autoSpaceDE/>
        <w:autoSpaceDN/>
        <w:bidi w:val="0"/>
        <w:spacing w:line="596" w:lineRule="exact"/>
        <w:ind w:firstLine="630" w:firstLineChars="196"/>
        <w:outlineLvl w:val="9"/>
        <w:rPr>
          <w:rFonts w:hint="eastAsia" w:ascii="仿宋_GB2312" w:eastAsia="仿宋_GB2312" w:cs="仿宋_GB2312"/>
          <w:sz w:val="32"/>
          <w:szCs w:val="32"/>
        </w:rPr>
      </w:pPr>
      <w:r>
        <w:rPr>
          <w:rFonts w:hint="eastAsia" w:ascii="仿宋_GB2312" w:eastAsia="仿宋_GB2312" w:cs="仿宋_GB2312"/>
          <w:b/>
          <w:bCs/>
          <w:color w:val="000000"/>
          <w:sz w:val="32"/>
          <w:szCs w:val="32"/>
        </w:rPr>
        <w:t xml:space="preserve">第四条  </w:t>
      </w:r>
      <w:r>
        <w:rPr>
          <w:rFonts w:hint="eastAsia" w:ascii="仿宋_GB2312" w:eastAsia="仿宋_GB2312" w:cs="仿宋_GB2312"/>
          <w:color w:val="000000"/>
          <w:sz w:val="32"/>
          <w:szCs w:val="32"/>
        </w:rPr>
        <w:t>本奖学金适用于到我</w:t>
      </w:r>
      <w:r>
        <w:rPr>
          <w:rFonts w:hint="eastAsia" w:ascii="仿宋_GB2312" w:eastAsia="仿宋_GB2312" w:cs="仿宋_GB2312"/>
          <w:sz w:val="32"/>
          <w:szCs w:val="32"/>
        </w:rPr>
        <w:t>校</w:t>
      </w:r>
      <w:r>
        <w:rPr>
          <w:rFonts w:hint="eastAsia" w:ascii="仿宋_GB2312" w:eastAsia="仿宋_GB2312" w:cs="仿宋_GB2312"/>
          <w:color w:val="000000"/>
          <w:sz w:val="32"/>
          <w:szCs w:val="32"/>
        </w:rPr>
        <w:t>接受学历教育</w:t>
      </w:r>
      <w:r>
        <w:rPr>
          <w:rFonts w:hint="eastAsia" w:ascii="仿宋_GB2312" w:eastAsia="仿宋_GB2312" w:cs="仿宋_GB2312"/>
          <w:sz w:val="32"/>
          <w:szCs w:val="32"/>
        </w:rPr>
        <w:t>且未获得中国政府其他各类奖学金的国际</w:t>
      </w:r>
      <w:r>
        <w:rPr>
          <w:rFonts w:hint="eastAsia" w:ascii="仿宋_GB2312" w:eastAsia="仿宋_GB2312" w:cs="仿宋_GB2312"/>
          <w:color w:val="000000"/>
          <w:sz w:val="32"/>
          <w:szCs w:val="32"/>
        </w:rPr>
        <w:t>学生。</w:t>
      </w:r>
    </w:p>
    <w:p>
      <w:pPr>
        <w:pageBreakBefore w:val="0"/>
        <w:kinsoku/>
        <w:overflowPunct/>
        <w:topLinePunct w:val="0"/>
        <w:autoSpaceDE/>
        <w:autoSpaceDN/>
        <w:bidi w:val="0"/>
        <w:spacing w:line="596" w:lineRule="exact"/>
        <w:ind w:firstLine="630" w:firstLineChars="196"/>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第五条  </w:t>
      </w:r>
      <w:r>
        <w:rPr>
          <w:rFonts w:hint="eastAsia" w:ascii="仿宋_GB2312" w:eastAsia="仿宋_GB2312" w:cs="仿宋_GB2312"/>
          <w:color w:val="000000"/>
          <w:sz w:val="32"/>
          <w:szCs w:val="32"/>
        </w:rPr>
        <w:t>本奖学金每</w:t>
      </w:r>
      <w:r>
        <w:rPr>
          <w:rFonts w:hint="eastAsia" w:ascii="仿宋_GB2312" w:eastAsia="仿宋_GB2312" w:cs="仿宋_GB2312"/>
          <w:sz w:val="32"/>
          <w:szCs w:val="32"/>
        </w:rPr>
        <w:t>学</w:t>
      </w:r>
      <w:r>
        <w:rPr>
          <w:rFonts w:hint="eastAsia" w:ascii="仿宋_GB2312" w:eastAsia="仿宋_GB2312" w:cs="仿宋_GB2312"/>
          <w:color w:val="000000"/>
          <w:sz w:val="32"/>
          <w:szCs w:val="32"/>
        </w:rPr>
        <w:t>年评审一次。</w:t>
      </w:r>
    </w:p>
    <w:p>
      <w:pPr>
        <w:pageBreakBefore w:val="0"/>
        <w:kinsoku/>
        <w:overflowPunct/>
        <w:topLinePunct w:val="0"/>
        <w:autoSpaceDE/>
        <w:autoSpaceDN/>
        <w:bidi w:val="0"/>
        <w:spacing w:line="596" w:lineRule="exact"/>
        <w:ind w:firstLine="627" w:firstLineChars="196"/>
        <w:outlineLvl w:val="9"/>
        <w:rPr>
          <w:rFonts w:hint="eastAsia" w:ascii="仿宋_GB2312" w:eastAsia="仿宋_GB2312"/>
          <w:color w:val="000000"/>
          <w:sz w:val="32"/>
          <w:szCs w:val="32"/>
        </w:rPr>
      </w:pPr>
    </w:p>
    <w:p>
      <w:pPr>
        <w:pageBreakBefore w:val="0"/>
        <w:kinsoku/>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759" w:name="_Toc31341_WPSOffice_Level1"/>
      <w:r>
        <w:rPr>
          <w:rFonts w:hint="eastAsia" w:ascii="黑体" w:hAnsi="黑体" w:eastAsia="黑体"/>
          <w:b/>
          <w:sz w:val="32"/>
          <w:szCs w:val="32"/>
        </w:rPr>
        <w:t>第二章  奖学金类别及评审条件</w:t>
      </w:r>
      <w:bookmarkEnd w:id="1759"/>
    </w:p>
    <w:p>
      <w:pPr>
        <w:pageBreakBefore w:val="0"/>
        <w:kinsoku/>
        <w:overflowPunct/>
        <w:topLinePunct w:val="0"/>
        <w:autoSpaceDE/>
        <w:autoSpaceDN/>
        <w:bidi w:val="0"/>
        <w:spacing w:line="596" w:lineRule="exact"/>
        <w:ind w:firstLine="643" w:firstLineChars="200"/>
        <w:outlineLvl w:val="9"/>
        <w:rPr>
          <w:rFonts w:hint="eastAsia" w:ascii="仿宋_GB2312" w:eastAsia="仿宋_GB2312"/>
          <w:color w:val="000000"/>
          <w:sz w:val="32"/>
          <w:szCs w:val="32"/>
        </w:rPr>
      </w:pPr>
      <w:r>
        <w:rPr>
          <w:rFonts w:hint="eastAsia" w:ascii="仿宋_GB2312" w:eastAsia="仿宋_GB2312" w:cs="仿宋_GB2312"/>
          <w:b/>
          <w:bCs/>
          <w:color w:val="000000"/>
          <w:sz w:val="32"/>
          <w:szCs w:val="32"/>
        </w:rPr>
        <w:t xml:space="preserve">第六条  </w:t>
      </w:r>
      <w:r>
        <w:rPr>
          <w:rFonts w:hint="eastAsia" w:ascii="仿宋_GB2312" w:eastAsia="仿宋_GB2312" w:cs="仿宋_GB2312"/>
          <w:sz w:val="32"/>
          <w:szCs w:val="32"/>
        </w:rPr>
        <w:t>国际</w:t>
      </w:r>
      <w:r>
        <w:rPr>
          <w:rFonts w:hint="eastAsia" w:ascii="仿宋_GB2312" w:eastAsia="仿宋_GB2312" w:cs="仿宋_GB2312"/>
          <w:color w:val="000000"/>
          <w:sz w:val="32"/>
          <w:szCs w:val="32"/>
        </w:rPr>
        <w:t>学生奖学金分为新生奖学金与优秀学生奖学金。</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cs="仿宋_GB2312"/>
          <w:sz w:val="32"/>
          <w:szCs w:val="32"/>
        </w:rPr>
      </w:pPr>
      <w:r>
        <w:rPr>
          <w:rFonts w:hint="eastAsia" w:ascii="仿宋_GB2312" w:eastAsia="仿宋_GB2312"/>
          <w:b/>
          <w:bCs/>
          <w:sz w:val="32"/>
          <w:szCs w:val="32"/>
        </w:rPr>
        <w:t>（一）</w:t>
      </w:r>
      <w:r>
        <w:rPr>
          <w:rFonts w:hint="eastAsia" w:ascii="仿宋_GB2312" w:eastAsia="仿宋_GB2312" w:cs="仿宋_GB2312"/>
          <w:b/>
          <w:bCs/>
          <w:color w:val="000000"/>
          <w:sz w:val="32"/>
          <w:szCs w:val="32"/>
        </w:rPr>
        <w:t>新生奖学金：</w:t>
      </w:r>
      <w:r>
        <w:rPr>
          <w:rFonts w:hint="eastAsia" w:ascii="仿宋_GB2312" w:eastAsia="仿宋_GB2312" w:cs="仿宋_GB2312"/>
          <w:color w:val="000000"/>
          <w:sz w:val="32"/>
          <w:szCs w:val="32"/>
        </w:rPr>
        <w:t>该类奖学金</w:t>
      </w:r>
      <w:r>
        <w:rPr>
          <w:rFonts w:hint="eastAsia" w:ascii="仿宋_GB2312" w:eastAsia="仿宋_GB2312" w:cs="仿宋_GB2312"/>
          <w:sz w:val="32"/>
          <w:szCs w:val="32"/>
        </w:rPr>
        <w:t>用于资助申请</w:t>
      </w:r>
      <w:bookmarkStart w:id="1760" w:name="_Toc29068_WPSOffice_Level1"/>
      <w:r>
        <w:rPr>
          <w:rFonts w:hint="eastAsia" w:ascii="仿宋_GB2312" w:eastAsia="仿宋_GB2312" w:cs="仿宋_GB2312"/>
          <w:sz w:val="32"/>
          <w:szCs w:val="32"/>
        </w:rPr>
        <w:t>在我校就读的国际学生新生。</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s="仿宋_GB2312"/>
          <w:sz w:val="32"/>
          <w:szCs w:val="32"/>
        </w:rPr>
      </w:pPr>
      <w:r>
        <w:rPr>
          <w:rFonts w:hint="eastAsia" w:ascii="仿宋_GB2312" w:eastAsia="仿宋_GB2312" w:cs="仿宋_GB2312"/>
          <w:sz w:val="32"/>
          <w:szCs w:val="32"/>
        </w:rPr>
        <w:t>1.新生奖学金</w:t>
      </w:r>
      <w:bookmarkEnd w:id="1760"/>
      <w:r>
        <w:rPr>
          <w:rFonts w:hint="eastAsia" w:ascii="仿宋_GB2312" w:eastAsia="仿宋_GB2312" w:cs="仿宋_GB2312"/>
          <w:sz w:val="32"/>
          <w:szCs w:val="32"/>
        </w:rPr>
        <w:t>等级</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s="仿宋_GB2312"/>
          <w:sz w:val="32"/>
          <w:szCs w:val="32"/>
        </w:rPr>
      </w:pPr>
      <w:r>
        <w:rPr>
          <w:rFonts w:hint="eastAsia" w:ascii="仿宋_GB2312" w:eastAsia="仿宋_GB2312"/>
          <w:color w:val="000000"/>
          <w:sz w:val="32"/>
          <w:szCs w:val="32"/>
        </w:rPr>
        <w:t xml:space="preserve"> </w:t>
      </w:r>
      <w:r>
        <w:rPr>
          <w:rFonts w:hint="eastAsia" w:ascii="仿宋_GB2312" w:eastAsia="仿宋_GB2312" w:cs="仿宋_GB2312"/>
          <w:sz w:val="32"/>
          <w:szCs w:val="32"/>
        </w:rPr>
        <w:t>(1)</w:t>
      </w:r>
      <w:r>
        <w:rPr>
          <w:rFonts w:hint="eastAsia" w:ascii="仿宋_GB2312" w:eastAsia="仿宋_GB2312" w:cs="仿宋_GB2312"/>
          <w:color w:val="000000"/>
          <w:sz w:val="32"/>
          <w:szCs w:val="32"/>
        </w:rPr>
        <w:t>根据国际学生所申请专业的学费收费标准，学费收费标准</w:t>
      </w:r>
      <w:r>
        <w:rPr>
          <w:rFonts w:hint="eastAsia" w:ascii="仿宋_GB2312" w:eastAsia="仿宋_GB2312" w:cs="仿宋_GB2312"/>
          <w:sz w:val="32"/>
          <w:szCs w:val="32"/>
        </w:rPr>
        <w:t>在8000元及以上的，奖学金为8000元；学费收费标准在8000元以下的，奖学金为7000元。</w:t>
      </w:r>
    </w:p>
    <w:p>
      <w:pPr>
        <w:pageBreakBefore w:val="0"/>
        <w:kinsoku/>
        <w:overflowPunct/>
        <w:topLinePunct w:val="0"/>
        <w:autoSpaceDE/>
        <w:autoSpaceDN/>
        <w:bidi w:val="0"/>
        <w:spacing w:line="596" w:lineRule="exact"/>
        <w:ind w:firstLine="480" w:firstLineChars="150"/>
        <w:outlineLvl w:val="9"/>
        <w:rPr>
          <w:rFonts w:hint="eastAsia" w:ascii="仿宋_GB2312" w:eastAsia="仿宋_GB2312" w:cs="仿宋_GB2312"/>
          <w:sz w:val="32"/>
          <w:szCs w:val="32"/>
        </w:rPr>
      </w:pPr>
      <w:r>
        <w:rPr>
          <w:rFonts w:hint="eastAsia" w:ascii="仿宋_GB2312" w:eastAsia="仿宋_GB2312" w:cs="仿宋_GB2312"/>
          <w:sz w:val="32"/>
          <w:szCs w:val="32"/>
        </w:rPr>
        <w:t>（2）HSK优于三级的国际学生，每高一级则额外奖励300元。</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b/>
          <w:bCs/>
          <w:color w:val="000000"/>
          <w:sz w:val="32"/>
          <w:szCs w:val="32"/>
        </w:rPr>
      </w:pPr>
      <w:r>
        <w:rPr>
          <w:rFonts w:hint="eastAsia" w:ascii="仿宋_GB2312" w:eastAsia="仿宋_GB2312"/>
          <w:bCs/>
          <w:sz w:val="32"/>
          <w:szCs w:val="32"/>
        </w:rPr>
        <w:t xml:space="preserve">2. </w:t>
      </w:r>
      <w:r>
        <w:rPr>
          <w:rFonts w:hint="eastAsia" w:ascii="仿宋_GB2312" w:eastAsia="仿宋_GB2312" w:cs="仿宋_GB2312"/>
          <w:b/>
          <w:bCs/>
          <w:color w:val="000000"/>
          <w:sz w:val="32"/>
          <w:szCs w:val="32"/>
        </w:rPr>
        <w:t>新生奖学金评审条件</w:t>
      </w:r>
    </w:p>
    <w:p>
      <w:pPr>
        <w:pageBreakBefore w:val="0"/>
        <w:kinsoku/>
        <w:overflowPunct/>
        <w:topLinePunct w:val="0"/>
        <w:autoSpaceDE/>
        <w:autoSpaceDN/>
        <w:bidi w:val="0"/>
        <w:spacing w:line="596" w:lineRule="exact"/>
        <w:ind w:firstLine="560"/>
        <w:outlineLvl w:val="9"/>
        <w:rPr>
          <w:rFonts w:hint="eastAsia" w:ascii="仿宋_GB2312" w:eastAsia="仿宋_GB2312"/>
          <w:color w:val="000000"/>
          <w:sz w:val="32"/>
          <w:szCs w:val="32"/>
        </w:rPr>
      </w:pPr>
      <w:r>
        <w:rPr>
          <w:rFonts w:hint="eastAsia" w:ascii="仿宋_GB2312" w:eastAsia="仿宋_GB2312" w:cs="仿宋_GB2312"/>
          <w:sz w:val="32"/>
          <w:szCs w:val="32"/>
        </w:rPr>
        <w:t>(1)</w:t>
      </w:r>
      <w:r>
        <w:rPr>
          <w:rFonts w:hint="eastAsia" w:ascii="仿宋_GB2312" w:eastAsia="仿宋_GB2312" w:cs="仿宋_GB2312"/>
          <w:color w:val="000000"/>
          <w:sz w:val="32"/>
          <w:szCs w:val="32"/>
        </w:rPr>
        <w:t>申请者为大一新生，具有相当于中国高级中学毕业的学历或证书；</w:t>
      </w:r>
    </w:p>
    <w:p>
      <w:pPr>
        <w:pageBreakBefore w:val="0"/>
        <w:kinsoku/>
        <w:overflowPunct/>
        <w:topLinePunct w:val="0"/>
        <w:autoSpaceDE/>
        <w:autoSpaceDN/>
        <w:bidi w:val="0"/>
        <w:spacing w:line="596" w:lineRule="exact"/>
        <w:ind w:firstLine="560"/>
        <w:outlineLvl w:val="9"/>
        <w:rPr>
          <w:rFonts w:hint="eastAsia" w:ascii="仿宋_GB2312" w:eastAsia="仿宋_GB2312"/>
          <w:color w:val="000000"/>
          <w:sz w:val="32"/>
          <w:szCs w:val="32"/>
        </w:rPr>
      </w:pPr>
      <w:r>
        <w:rPr>
          <w:rFonts w:hint="eastAsia" w:ascii="仿宋_GB2312" w:eastAsia="仿宋_GB2312" w:cs="仿宋_GB2312"/>
          <w:sz w:val="32"/>
          <w:szCs w:val="32"/>
        </w:rPr>
        <w:t>(2)申请人须拥有外国国籍，持有外国护照，对华友好，身体</w:t>
      </w:r>
      <w:r>
        <w:rPr>
          <w:rFonts w:hint="eastAsia" w:ascii="仿宋_GB2312" w:eastAsia="仿宋_GB2312" w:cs="仿宋_GB2312"/>
          <w:color w:val="000000"/>
          <w:sz w:val="32"/>
          <w:szCs w:val="32"/>
        </w:rPr>
        <w:t>健康；</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r>
        <w:rPr>
          <w:rFonts w:hint="eastAsia" w:ascii="仿宋_GB2312" w:eastAsia="仿宋_GB2312" w:cs="仿宋_GB2312"/>
          <w:sz w:val="32"/>
          <w:szCs w:val="32"/>
        </w:rPr>
        <w:t>(3)学习刻苦，态度端正，无拖欠各类学杂费现象；</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r>
        <w:rPr>
          <w:rFonts w:hint="eastAsia" w:ascii="仿宋_GB2312" w:eastAsia="仿宋_GB2312" w:cs="仿宋_GB2312"/>
          <w:sz w:val="32"/>
          <w:szCs w:val="32"/>
        </w:rPr>
        <w:t>(4) 按时报到注册，遵守中国政府的法律法规，遵守柳州职业技术学院的规章制度；</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r>
        <w:rPr>
          <w:rFonts w:hint="eastAsia" w:ascii="仿宋_GB2312" w:eastAsia="仿宋_GB2312" w:cs="仿宋_GB2312"/>
          <w:sz w:val="32"/>
          <w:szCs w:val="32"/>
        </w:rPr>
        <w:t>(5) 达到HSK三级以上或者通过学校相应汉语水平测试；</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cs="仿宋_GB2312"/>
          <w:sz w:val="32"/>
          <w:szCs w:val="32"/>
        </w:rPr>
      </w:pPr>
      <w:r>
        <w:rPr>
          <w:rFonts w:hint="eastAsia" w:ascii="仿宋_GB2312" w:eastAsia="仿宋_GB2312"/>
          <w:b/>
          <w:bCs/>
          <w:sz w:val="32"/>
          <w:szCs w:val="32"/>
        </w:rPr>
        <w:t>（二）</w:t>
      </w:r>
      <w:r>
        <w:rPr>
          <w:rFonts w:hint="eastAsia" w:ascii="仿宋_GB2312" w:eastAsia="仿宋_GB2312" w:cs="仿宋_GB2312"/>
          <w:b/>
          <w:bCs/>
          <w:color w:val="000000"/>
          <w:sz w:val="32"/>
          <w:szCs w:val="32"/>
        </w:rPr>
        <w:t>优秀学生奖学金：</w:t>
      </w:r>
      <w:r>
        <w:rPr>
          <w:rFonts w:hint="eastAsia" w:ascii="仿宋_GB2312" w:eastAsia="仿宋_GB2312" w:cs="仿宋_GB2312"/>
          <w:color w:val="000000"/>
          <w:sz w:val="32"/>
          <w:szCs w:val="32"/>
        </w:rPr>
        <w:t>该类奖学金</w:t>
      </w:r>
      <w:r>
        <w:rPr>
          <w:rFonts w:hint="eastAsia" w:ascii="仿宋_GB2312" w:eastAsia="仿宋_GB2312" w:cs="仿宋_GB2312"/>
          <w:sz w:val="32"/>
          <w:szCs w:val="32"/>
        </w:rPr>
        <w:t>用于奖励在我校就读一年以上的学习成绩优秀、品学兼优的国际</w:t>
      </w:r>
      <w:r>
        <w:rPr>
          <w:rFonts w:hint="eastAsia" w:ascii="仿宋_GB2312" w:eastAsia="仿宋_GB2312" w:cs="仿宋_GB2312"/>
          <w:color w:val="000000"/>
          <w:sz w:val="32"/>
          <w:szCs w:val="32"/>
        </w:rPr>
        <w:t>学生</w:t>
      </w:r>
      <w:r>
        <w:rPr>
          <w:rFonts w:hint="eastAsia" w:ascii="仿宋_GB2312" w:eastAsia="仿宋_GB2312" w:cs="仿宋_GB2312"/>
          <w:sz w:val="32"/>
          <w:szCs w:val="32"/>
        </w:rPr>
        <w:t>。</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s="仿宋_GB2312"/>
          <w:sz w:val="32"/>
          <w:szCs w:val="32"/>
        </w:rPr>
      </w:pPr>
      <w:r>
        <w:rPr>
          <w:rFonts w:hint="eastAsia" w:ascii="仿宋_GB2312" w:eastAsia="仿宋_GB2312" w:cs="仿宋_GB2312"/>
          <w:sz w:val="32"/>
          <w:szCs w:val="32"/>
        </w:rPr>
        <w:t>1.优秀学生奖学金等级：</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s="仿宋_GB2312"/>
          <w:sz w:val="32"/>
          <w:szCs w:val="32"/>
        </w:rPr>
      </w:pPr>
      <w:r>
        <w:rPr>
          <w:rFonts w:hint="eastAsia" w:ascii="仿宋_GB2312" w:eastAsia="仿宋_GB2312" w:cs="仿宋_GB2312"/>
          <w:sz w:val="32"/>
          <w:szCs w:val="32"/>
        </w:rPr>
        <w:t>该类奖学金分三个等级，分别为一等奖学金、二等奖学金、三等奖学金。其中一等奖学金为8000元，二等奖学金为6500元，三等奖学金为5000元。评比主要依据国际学生在校表现进行评定。申请人必须是按时注册，正常在校学习者，休学、停学者不在评审范围内。</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s="仿宋_GB2312"/>
          <w:sz w:val="32"/>
          <w:szCs w:val="32"/>
        </w:rPr>
      </w:pPr>
      <w:r>
        <w:rPr>
          <w:rFonts w:hint="eastAsia" w:ascii="仿宋_GB2312" w:eastAsia="仿宋_GB2312" w:cs="仿宋_GB2312"/>
          <w:sz w:val="32"/>
          <w:szCs w:val="32"/>
        </w:rPr>
        <w:t>2.优秀学生奖学金评审条件：各科考试、考核成绩；学习态度和考勤；行为表现与奖惩；</w:t>
      </w:r>
    </w:p>
    <w:p>
      <w:pPr>
        <w:pageBreakBefore w:val="0"/>
        <w:kinsoku/>
        <w:overflowPunct/>
        <w:topLinePunct w:val="0"/>
        <w:autoSpaceDE/>
        <w:autoSpaceDN/>
        <w:bidi w:val="0"/>
        <w:spacing w:line="596" w:lineRule="exact"/>
        <w:ind w:firstLine="560"/>
        <w:outlineLvl w:val="9"/>
        <w:rPr>
          <w:rFonts w:hint="eastAsia"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s="仿宋_GB2312"/>
          <w:sz w:val="32"/>
          <w:szCs w:val="32"/>
        </w:rPr>
        <w:t>国际</w:t>
      </w:r>
      <w:r>
        <w:rPr>
          <w:rFonts w:hint="eastAsia" w:ascii="仿宋_GB2312" w:eastAsia="仿宋_GB2312" w:cs="仿宋_GB2312"/>
          <w:color w:val="000000"/>
          <w:sz w:val="32"/>
          <w:szCs w:val="32"/>
        </w:rPr>
        <w:t>学生在本校就读第二学年</w:t>
      </w:r>
      <w:r>
        <w:rPr>
          <w:rFonts w:hint="eastAsia" w:ascii="仿宋_GB2312" w:eastAsia="仿宋_GB2312" w:cs="仿宋_GB2312"/>
          <w:sz w:val="32"/>
          <w:szCs w:val="32"/>
        </w:rPr>
        <w:t>第三学年各评一次</w:t>
      </w:r>
      <w:r>
        <w:rPr>
          <w:rFonts w:hint="eastAsia" w:ascii="仿宋_GB2312" w:eastAsia="仿宋_GB2312" w:cs="仿宋_GB2312"/>
          <w:color w:val="000000"/>
          <w:sz w:val="32"/>
          <w:szCs w:val="32"/>
        </w:rPr>
        <w:t>，符合相应条件的可申请该类奖学金；</w:t>
      </w:r>
    </w:p>
    <w:p>
      <w:pPr>
        <w:pageBreakBefore w:val="0"/>
        <w:kinsoku/>
        <w:overflowPunct/>
        <w:topLinePunct w:val="0"/>
        <w:autoSpaceDE/>
        <w:autoSpaceDN/>
        <w:bidi w:val="0"/>
        <w:spacing w:line="596" w:lineRule="exact"/>
        <w:ind w:firstLine="560"/>
        <w:outlineLvl w:val="9"/>
        <w:rPr>
          <w:rFonts w:hint="eastAsia" w:ascii="仿宋_GB2312" w:eastAsia="仿宋_GB2312"/>
          <w:color w:val="000000"/>
          <w:sz w:val="32"/>
          <w:szCs w:val="32"/>
        </w:rPr>
      </w:pPr>
      <w:r>
        <w:rPr>
          <w:rFonts w:hint="eastAsia" w:ascii="仿宋_GB2312" w:eastAsia="仿宋_GB2312"/>
          <w:color w:val="000000"/>
          <w:sz w:val="32"/>
          <w:szCs w:val="32"/>
        </w:rPr>
        <w:t>(2)</w:t>
      </w:r>
      <w:r>
        <w:rPr>
          <w:rFonts w:hint="eastAsia" w:ascii="仿宋_GB2312" w:eastAsia="仿宋_GB2312" w:cs="仿宋_GB2312"/>
          <w:color w:val="000000"/>
          <w:sz w:val="32"/>
          <w:szCs w:val="32"/>
        </w:rPr>
        <w:t>申请人须拥有外国国籍，持有外国护照，对华友好，身体健康；</w:t>
      </w:r>
    </w:p>
    <w:p>
      <w:pPr>
        <w:pageBreakBefore w:val="0"/>
        <w:kinsoku/>
        <w:overflowPunct/>
        <w:topLinePunct w:val="0"/>
        <w:autoSpaceDE/>
        <w:autoSpaceDN/>
        <w:bidi w:val="0"/>
        <w:spacing w:line="596" w:lineRule="exact"/>
        <w:ind w:firstLine="560"/>
        <w:outlineLvl w:val="9"/>
        <w:rPr>
          <w:rFonts w:hint="eastAsia"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s="仿宋_GB2312"/>
          <w:color w:val="000000"/>
          <w:sz w:val="32"/>
          <w:szCs w:val="32"/>
        </w:rPr>
        <w:t>学习刻苦，态度端正，无拖欠各类学杂费现象；</w:t>
      </w:r>
    </w:p>
    <w:p>
      <w:pPr>
        <w:pageBreakBefore w:val="0"/>
        <w:kinsoku/>
        <w:overflowPunct/>
        <w:topLinePunct w:val="0"/>
        <w:autoSpaceDE/>
        <w:autoSpaceDN/>
        <w:bidi w:val="0"/>
        <w:spacing w:line="596" w:lineRule="exact"/>
        <w:ind w:firstLine="560"/>
        <w:outlineLvl w:val="9"/>
        <w:rPr>
          <w:rFonts w:hint="eastAsia" w:ascii="仿宋_GB2312" w:eastAsia="仿宋_GB2312"/>
          <w:color w:val="000000"/>
          <w:sz w:val="32"/>
          <w:szCs w:val="32"/>
          <w:shd w:val="pct10" w:color="auto" w:fill="FFFFFF"/>
        </w:rPr>
      </w:pPr>
      <w:r>
        <w:rPr>
          <w:rFonts w:hint="eastAsia" w:ascii="仿宋_GB2312" w:eastAsia="仿宋_GB2312"/>
          <w:color w:val="000000"/>
          <w:sz w:val="32"/>
          <w:szCs w:val="32"/>
        </w:rPr>
        <w:t>(4)</w:t>
      </w:r>
      <w:r>
        <w:rPr>
          <w:rFonts w:hint="eastAsia" w:ascii="仿宋_GB2312" w:eastAsia="仿宋_GB2312" w:cs="仿宋_GB2312"/>
          <w:color w:val="000000"/>
          <w:sz w:val="32"/>
          <w:szCs w:val="32"/>
        </w:rPr>
        <w:t>遵守中国政府的法律法规，遵守</w:t>
      </w:r>
      <w:r>
        <w:rPr>
          <w:rFonts w:hint="eastAsia" w:ascii="仿宋_GB2312" w:eastAsia="仿宋_GB2312" w:cs="仿宋_GB2312"/>
          <w:sz w:val="32"/>
          <w:szCs w:val="32"/>
        </w:rPr>
        <w:t>柳州</w:t>
      </w:r>
      <w:r>
        <w:rPr>
          <w:rFonts w:hint="eastAsia" w:ascii="仿宋_GB2312" w:eastAsia="仿宋_GB2312" w:cs="仿宋_GB2312"/>
          <w:color w:val="000000"/>
          <w:sz w:val="32"/>
          <w:szCs w:val="32"/>
        </w:rPr>
        <w:t>职业技术学院的规章制度,</w:t>
      </w:r>
      <w:r>
        <w:rPr>
          <w:rFonts w:hint="eastAsia" w:ascii="仿宋_GB2312" w:eastAsia="仿宋_GB2312"/>
          <w:sz w:val="32"/>
          <w:szCs w:val="32"/>
        </w:rPr>
        <w:t xml:space="preserve"> </w:t>
      </w:r>
      <w:r>
        <w:rPr>
          <w:rFonts w:hint="eastAsia" w:ascii="仿宋_GB2312" w:eastAsia="仿宋_GB2312" w:cs="仿宋_GB2312"/>
          <w:color w:val="000000"/>
          <w:sz w:val="32"/>
          <w:szCs w:val="32"/>
        </w:rPr>
        <w:t>未受到学校通报批评、纪律处分；</w:t>
      </w:r>
    </w:p>
    <w:p>
      <w:pPr>
        <w:pageBreakBefore w:val="0"/>
        <w:kinsoku/>
        <w:overflowPunct/>
        <w:topLinePunct w:val="0"/>
        <w:autoSpaceDE/>
        <w:autoSpaceDN/>
        <w:bidi w:val="0"/>
        <w:spacing w:line="596" w:lineRule="exact"/>
        <w:ind w:firstLine="560"/>
        <w:outlineLvl w:val="9"/>
        <w:rPr>
          <w:rFonts w:hint="eastAsia" w:ascii="仿宋_GB2312" w:eastAsia="仿宋_GB2312"/>
          <w:color w:val="000000"/>
          <w:sz w:val="32"/>
          <w:szCs w:val="32"/>
        </w:rPr>
      </w:pPr>
      <w:r>
        <w:rPr>
          <w:rFonts w:hint="eastAsia" w:ascii="仿宋_GB2312" w:eastAsia="仿宋_GB2312"/>
          <w:color w:val="000000"/>
          <w:sz w:val="32"/>
          <w:szCs w:val="32"/>
        </w:rPr>
        <w:t xml:space="preserve"> (</w:t>
      </w:r>
      <w:r>
        <w:rPr>
          <w:rFonts w:hint="eastAsia" w:ascii="仿宋_GB2312" w:eastAsia="仿宋_GB2312"/>
          <w:sz w:val="32"/>
          <w:szCs w:val="32"/>
        </w:rPr>
        <w:t>5</w:t>
      </w:r>
      <w:r>
        <w:rPr>
          <w:rFonts w:hint="eastAsia" w:ascii="仿宋_GB2312" w:eastAsia="仿宋_GB2312"/>
          <w:color w:val="000000"/>
          <w:sz w:val="32"/>
          <w:szCs w:val="32"/>
        </w:rPr>
        <w:t>)</w:t>
      </w:r>
      <w:r>
        <w:rPr>
          <w:rFonts w:hint="eastAsia" w:ascii="仿宋_GB2312" w:eastAsia="仿宋_GB2312" w:cs="仿宋_GB2312"/>
          <w:color w:val="000000"/>
          <w:sz w:val="32"/>
          <w:szCs w:val="32"/>
        </w:rPr>
        <w:t>积极参加各类艺术、体育、文化交流活动或比赛，成绩突出者优先考虑。</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r>
        <w:rPr>
          <w:rFonts w:hint="eastAsia" w:ascii="仿宋_GB2312" w:eastAsia="仿宋_GB2312"/>
          <w:bCs/>
          <w:sz w:val="32"/>
          <w:szCs w:val="32"/>
        </w:rPr>
        <w:t>（6）</w:t>
      </w:r>
      <w:r>
        <w:rPr>
          <w:rFonts w:hint="eastAsia" w:ascii="仿宋_GB2312" w:eastAsia="仿宋_GB2312" w:cs="仿宋_GB2312"/>
          <w:bCs/>
          <w:sz w:val="32"/>
          <w:szCs w:val="32"/>
        </w:rPr>
        <w:t>优秀学生奖学金等级评定：</w:t>
      </w:r>
      <w:r>
        <w:rPr>
          <w:rFonts w:hint="eastAsia" w:ascii="仿宋_GB2312" w:eastAsia="仿宋_GB2312" w:cs="仿宋_GB2312"/>
          <w:color w:val="000000"/>
          <w:sz w:val="32"/>
          <w:szCs w:val="32"/>
        </w:rPr>
        <w:t>对提交优秀奖学金申请的学</w:t>
      </w:r>
      <w:r>
        <w:rPr>
          <w:rFonts w:hint="eastAsia" w:ascii="仿宋_GB2312" w:eastAsia="仿宋_GB2312" w:cs="仿宋_GB2312"/>
          <w:sz w:val="32"/>
          <w:szCs w:val="32"/>
        </w:rPr>
        <w:t>生</w:t>
      </w:r>
      <w:r>
        <w:rPr>
          <w:rFonts w:hint="eastAsia" w:ascii="仿宋_GB2312" w:eastAsia="仿宋_GB2312" w:cs="仿宋_GB2312"/>
          <w:color w:val="000000"/>
          <w:sz w:val="32"/>
          <w:szCs w:val="32"/>
        </w:rPr>
        <w:t>各科成绩进行</w:t>
      </w:r>
      <w:r>
        <w:rPr>
          <w:rFonts w:hint="eastAsia" w:ascii="仿宋_GB2312" w:eastAsia="仿宋_GB2312" w:cs="仿宋_GB2312"/>
          <w:sz w:val="32"/>
          <w:szCs w:val="32"/>
        </w:rPr>
        <w:t>考核</w:t>
      </w:r>
      <w:r>
        <w:rPr>
          <w:rFonts w:hint="eastAsia" w:ascii="仿宋_GB2312" w:eastAsia="仿宋_GB2312" w:cs="仿宋_GB2312"/>
          <w:color w:val="000000"/>
          <w:sz w:val="32"/>
          <w:szCs w:val="32"/>
        </w:rPr>
        <w:t>，</w:t>
      </w:r>
      <w:r>
        <w:rPr>
          <w:rFonts w:hint="eastAsia" w:ascii="仿宋_GB2312" w:eastAsia="仿宋_GB2312" w:cs="仿宋_GB2312"/>
          <w:sz w:val="32"/>
          <w:szCs w:val="32"/>
        </w:rPr>
        <w:t>并</w:t>
      </w:r>
      <w:r>
        <w:rPr>
          <w:rFonts w:hint="eastAsia" w:ascii="仿宋_GB2312" w:eastAsia="仿宋_GB2312" w:cs="仿宋_GB2312"/>
          <w:color w:val="000000"/>
          <w:sz w:val="32"/>
          <w:szCs w:val="32"/>
        </w:rPr>
        <w:t>结合在校其他表现进行综合评定。</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r>
        <w:rPr>
          <w:rFonts w:hint="eastAsia" w:ascii="仿宋_GB2312" w:eastAsia="仿宋_GB2312" w:cs="仿宋_GB2312"/>
          <w:sz w:val="32"/>
          <w:szCs w:val="32"/>
        </w:rPr>
        <w:t>1）一等奖学金：无不及格科目，平均成绩在80分及以上；</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r>
        <w:rPr>
          <w:rFonts w:hint="eastAsia" w:ascii="仿宋_GB2312" w:eastAsia="仿宋_GB2312" w:cs="仿宋_GB2312"/>
          <w:sz w:val="32"/>
          <w:szCs w:val="32"/>
        </w:rPr>
        <w:t>2）二等奖学金：无不及格科目，平均成绩在75分及以上；</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r>
        <w:rPr>
          <w:rFonts w:hint="eastAsia" w:ascii="仿宋_GB2312" w:eastAsia="仿宋_GB2312" w:cs="仿宋_GB2312"/>
          <w:sz w:val="32"/>
          <w:szCs w:val="32"/>
        </w:rPr>
        <w:t>3）三等奖学金：无不及格科目，平均成绩在70分及以上。</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p>
    <w:p>
      <w:pPr>
        <w:pageBreakBefore w:val="0"/>
        <w:kinsoku/>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761" w:name="_Toc3141_WPSOffice_Level1"/>
      <w:r>
        <w:rPr>
          <w:rFonts w:hint="eastAsia" w:ascii="黑体" w:hAnsi="黑体" w:eastAsia="黑体"/>
          <w:b/>
          <w:sz w:val="32"/>
          <w:szCs w:val="32"/>
        </w:rPr>
        <w:t>第三章  申请、评审及发放</w:t>
      </w:r>
      <w:bookmarkEnd w:id="1761"/>
    </w:p>
    <w:p>
      <w:pPr>
        <w:pageBreakBefore w:val="0"/>
        <w:kinsoku/>
        <w:overflowPunct/>
        <w:topLinePunct w:val="0"/>
        <w:autoSpaceDE/>
        <w:autoSpaceDN/>
        <w:bidi w:val="0"/>
        <w:spacing w:line="596" w:lineRule="exact"/>
        <w:ind w:firstLine="643" w:firstLineChars="200"/>
        <w:outlineLvl w:val="9"/>
        <w:rPr>
          <w:rFonts w:hint="eastAsia" w:ascii="仿宋_GB2312" w:eastAsia="仿宋_GB2312"/>
          <w:color w:val="000000"/>
          <w:sz w:val="32"/>
          <w:szCs w:val="32"/>
        </w:rPr>
      </w:pPr>
      <w:r>
        <w:rPr>
          <w:rFonts w:hint="eastAsia" w:ascii="仿宋_GB2312" w:eastAsia="仿宋_GB2312" w:cs="仿宋_GB2312"/>
          <w:b/>
          <w:bCs/>
          <w:color w:val="000000"/>
          <w:sz w:val="32"/>
          <w:szCs w:val="32"/>
        </w:rPr>
        <w:t xml:space="preserve">第七条  </w:t>
      </w:r>
      <w:r>
        <w:rPr>
          <w:rFonts w:hint="eastAsia" w:ascii="仿宋_GB2312" w:eastAsia="仿宋_GB2312" w:cs="仿宋_GB2312"/>
          <w:color w:val="000000"/>
          <w:sz w:val="32"/>
          <w:szCs w:val="32"/>
        </w:rPr>
        <w:t>新生奖学金申请者须准备以下材料，并在9月底前提交（需要提供证书原件的由学</w:t>
      </w:r>
      <w:r>
        <w:rPr>
          <w:rFonts w:hint="eastAsia" w:ascii="仿宋_GB2312" w:eastAsia="仿宋_GB2312" w:cs="仿宋_GB2312"/>
          <w:sz w:val="32"/>
          <w:szCs w:val="32"/>
        </w:rPr>
        <w:t>校</w:t>
      </w:r>
      <w:r>
        <w:rPr>
          <w:rFonts w:hint="eastAsia" w:ascii="仿宋_GB2312" w:eastAsia="仿宋_GB2312" w:cs="仿宋_GB2312"/>
          <w:color w:val="000000"/>
          <w:sz w:val="32"/>
          <w:szCs w:val="32"/>
        </w:rPr>
        <w:t>国际交流</w:t>
      </w:r>
      <w:r>
        <w:rPr>
          <w:rFonts w:hint="eastAsia" w:ascii="仿宋_GB2312" w:eastAsia="仿宋_GB2312" w:cs="仿宋_GB2312"/>
          <w:sz w:val="32"/>
          <w:szCs w:val="32"/>
        </w:rPr>
        <w:t>处</w:t>
      </w:r>
      <w:r>
        <w:rPr>
          <w:rFonts w:hint="eastAsia" w:ascii="仿宋_GB2312" w:eastAsia="仿宋_GB2312" w:cs="仿宋_GB2312"/>
          <w:color w:val="000000"/>
          <w:sz w:val="32"/>
          <w:szCs w:val="32"/>
        </w:rPr>
        <w:t>负责老师审核原件后交还学生并在复印件上签名、加盖部门公章；非英文或中文证书须附该证书英文翻译件）。</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1</w:t>
      </w:r>
      <w:r>
        <w:rPr>
          <w:rFonts w:hint="eastAsia" w:ascii="仿宋_GB2312" w:eastAsia="仿宋_GB2312" w:cs="仿宋_GB2312"/>
          <w:color w:val="000000"/>
          <w:sz w:val="32"/>
          <w:szCs w:val="32"/>
        </w:rPr>
        <w:t>）《</w:t>
      </w:r>
      <w:r>
        <w:rPr>
          <w:rFonts w:hint="eastAsia" w:ascii="仿宋_GB2312" w:eastAsia="仿宋_GB2312" w:cs="仿宋_GB2312"/>
          <w:sz w:val="32"/>
          <w:szCs w:val="32"/>
        </w:rPr>
        <w:t>柳州</w:t>
      </w:r>
      <w:r>
        <w:rPr>
          <w:rFonts w:hint="eastAsia" w:ascii="仿宋_GB2312" w:eastAsia="仿宋_GB2312" w:cs="仿宋_GB2312"/>
          <w:color w:val="000000"/>
          <w:sz w:val="32"/>
          <w:szCs w:val="32"/>
        </w:rPr>
        <w:t>职业技术学院国际学生新生奖学金申请表》，用中文或英文填写（</w:t>
      </w:r>
      <w:r>
        <w:rPr>
          <w:rFonts w:hint="eastAsia" w:ascii="仿宋_GB2312" w:eastAsia="仿宋_GB2312"/>
          <w:color w:val="000000"/>
          <w:sz w:val="32"/>
          <w:szCs w:val="32"/>
        </w:rPr>
        <w:t>2</w:t>
      </w:r>
      <w:r>
        <w:rPr>
          <w:rFonts w:hint="eastAsia" w:ascii="仿宋_GB2312" w:eastAsia="仿宋_GB2312" w:cs="仿宋_GB2312"/>
          <w:color w:val="000000"/>
          <w:sz w:val="32"/>
          <w:szCs w:val="32"/>
        </w:rPr>
        <w:t>份）；</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2</w:t>
      </w:r>
      <w:r>
        <w:rPr>
          <w:rFonts w:hint="eastAsia" w:ascii="仿宋_GB2312" w:eastAsia="仿宋_GB2312" w:cs="仿宋_GB2312"/>
          <w:color w:val="000000"/>
          <w:sz w:val="32"/>
          <w:szCs w:val="32"/>
        </w:rPr>
        <w:t>）经当地教育部门认证的高中毕业证书及会考成绩单、高中所有课程成绩单原件及复印件（</w:t>
      </w:r>
      <w:r>
        <w:rPr>
          <w:rFonts w:hint="eastAsia" w:ascii="仿宋_GB2312" w:eastAsia="仿宋_GB2312"/>
          <w:color w:val="000000"/>
          <w:sz w:val="32"/>
          <w:szCs w:val="32"/>
        </w:rPr>
        <w:t>2</w:t>
      </w:r>
      <w:r>
        <w:rPr>
          <w:rFonts w:hint="eastAsia" w:ascii="仿宋_GB2312" w:eastAsia="仿宋_GB2312" w:cs="仿宋_GB2312"/>
          <w:color w:val="000000"/>
          <w:sz w:val="32"/>
          <w:szCs w:val="32"/>
        </w:rPr>
        <w:t>份）；</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3</w:t>
      </w:r>
      <w:r>
        <w:rPr>
          <w:rFonts w:hint="eastAsia" w:ascii="仿宋_GB2312" w:eastAsia="仿宋_GB2312" w:cs="仿宋_GB2312"/>
          <w:color w:val="000000"/>
          <w:sz w:val="32"/>
          <w:szCs w:val="32"/>
        </w:rPr>
        <w:t>）</w:t>
      </w:r>
      <w:r>
        <w:rPr>
          <w:rFonts w:hint="eastAsia" w:ascii="仿宋_GB2312" w:eastAsia="仿宋_GB2312"/>
          <w:color w:val="000000"/>
          <w:sz w:val="32"/>
          <w:szCs w:val="32"/>
        </w:rPr>
        <w:t>HSK</w:t>
      </w:r>
      <w:r>
        <w:rPr>
          <w:rFonts w:hint="eastAsia" w:ascii="仿宋_GB2312" w:eastAsia="仿宋_GB2312" w:cs="仿宋_GB2312"/>
          <w:color w:val="000000"/>
          <w:sz w:val="32"/>
          <w:szCs w:val="32"/>
        </w:rPr>
        <w:t>等级证书及参加各类艺术、体育、文化交流活动或比赛获得的校级以上（含校级）奖项的证书原件及复印件</w:t>
      </w:r>
      <w:r>
        <w:rPr>
          <w:rFonts w:hint="eastAsia" w:ascii="仿宋_GB2312" w:eastAsia="仿宋_GB2312"/>
          <w:color w:val="000000"/>
          <w:sz w:val="32"/>
          <w:szCs w:val="32"/>
        </w:rPr>
        <w:t>2</w:t>
      </w:r>
      <w:r>
        <w:rPr>
          <w:rFonts w:hint="eastAsia" w:ascii="仿宋_GB2312" w:eastAsia="仿宋_GB2312" w:cs="仿宋_GB2312"/>
          <w:color w:val="000000"/>
          <w:sz w:val="32"/>
          <w:szCs w:val="32"/>
        </w:rPr>
        <w:t>份（没有则不提供）；</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4</w:t>
      </w:r>
      <w:r>
        <w:rPr>
          <w:rFonts w:hint="eastAsia" w:ascii="仿宋_GB2312" w:eastAsia="仿宋_GB2312" w:cs="仿宋_GB2312"/>
          <w:color w:val="000000"/>
          <w:sz w:val="32"/>
          <w:szCs w:val="32"/>
        </w:rPr>
        <w:t>）申请人的护照复印件（</w:t>
      </w:r>
      <w:r>
        <w:rPr>
          <w:rFonts w:hint="eastAsia" w:ascii="仿宋_GB2312" w:eastAsia="仿宋_GB2312"/>
          <w:color w:val="000000"/>
          <w:sz w:val="32"/>
          <w:szCs w:val="32"/>
        </w:rPr>
        <w:t>2</w:t>
      </w:r>
      <w:r>
        <w:rPr>
          <w:rFonts w:hint="eastAsia" w:ascii="仿宋_GB2312" w:eastAsia="仿宋_GB2312" w:cs="仿宋_GB2312"/>
          <w:color w:val="000000"/>
          <w:sz w:val="32"/>
          <w:szCs w:val="32"/>
        </w:rPr>
        <w:t>份）；</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5</w:t>
      </w:r>
      <w:r>
        <w:rPr>
          <w:rFonts w:hint="eastAsia" w:ascii="仿宋_GB2312" w:eastAsia="仿宋_GB2312" w:cs="仿宋_GB2312"/>
          <w:color w:val="000000"/>
          <w:sz w:val="32"/>
          <w:szCs w:val="32"/>
        </w:rPr>
        <w:t>）中国卫生检验检疫部门颁发的体检合格证明原件及复印件（2份）；</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6</w:t>
      </w:r>
      <w:r>
        <w:rPr>
          <w:rFonts w:hint="eastAsia" w:ascii="仿宋_GB2312" w:eastAsia="仿宋_GB2312" w:cs="仿宋_GB2312"/>
          <w:color w:val="000000"/>
          <w:sz w:val="32"/>
          <w:szCs w:val="32"/>
        </w:rPr>
        <w:t>）申请人近期</w:t>
      </w:r>
      <w:r>
        <w:rPr>
          <w:rFonts w:hint="eastAsia" w:ascii="仿宋_GB2312" w:eastAsia="仿宋_GB2312"/>
          <w:color w:val="000000"/>
          <w:sz w:val="32"/>
          <w:szCs w:val="32"/>
        </w:rPr>
        <w:t>2</w:t>
      </w:r>
      <w:r>
        <w:rPr>
          <w:rFonts w:hint="eastAsia" w:ascii="仿宋_GB2312" w:eastAsia="仿宋_GB2312" w:cs="仿宋_GB2312"/>
          <w:color w:val="000000"/>
          <w:sz w:val="32"/>
          <w:szCs w:val="32"/>
        </w:rPr>
        <w:t>寸证件照片（</w:t>
      </w:r>
      <w:r>
        <w:rPr>
          <w:rFonts w:hint="eastAsia" w:ascii="仿宋_GB2312" w:eastAsia="仿宋_GB2312"/>
          <w:color w:val="000000"/>
          <w:sz w:val="32"/>
          <w:szCs w:val="32"/>
        </w:rPr>
        <w:t>2</w:t>
      </w:r>
      <w:r>
        <w:rPr>
          <w:rFonts w:hint="eastAsia" w:ascii="仿宋_GB2312" w:eastAsia="仿宋_GB2312" w:cs="仿宋_GB2312"/>
          <w:color w:val="000000"/>
          <w:sz w:val="32"/>
          <w:szCs w:val="32"/>
        </w:rPr>
        <w:t>张）。</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color w:val="000000"/>
          <w:sz w:val="32"/>
          <w:szCs w:val="32"/>
        </w:rPr>
      </w:pPr>
      <w:r>
        <w:rPr>
          <w:rFonts w:hint="eastAsia" w:ascii="仿宋_GB2312" w:eastAsia="仿宋_GB2312" w:cs="仿宋_GB2312"/>
          <w:b/>
          <w:bCs/>
          <w:color w:val="000000"/>
          <w:sz w:val="32"/>
          <w:szCs w:val="32"/>
        </w:rPr>
        <w:t xml:space="preserve">第八条  </w:t>
      </w:r>
      <w:r>
        <w:rPr>
          <w:rFonts w:hint="eastAsia" w:ascii="仿宋_GB2312" w:eastAsia="仿宋_GB2312" w:cs="仿宋_GB2312"/>
          <w:color w:val="000000"/>
          <w:sz w:val="32"/>
          <w:szCs w:val="32"/>
        </w:rPr>
        <w:t>优秀学生奖学金申请者须准备以下材料，并在每学年9月底提交（需要提供证书原件的由各</w:t>
      </w:r>
      <w:r>
        <w:rPr>
          <w:rFonts w:hint="eastAsia" w:ascii="仿宋_GB2312" w:eastAsia="仿宋_GB2312" w:cs="仿宋_GB2312"/>
          <w:sz w:val="32"/>
          <w:szCs w:val="32"/>
        </w:rPr>
        <w:t>二级学院</w:t>
      </w:r>
      <w:r>
        <w:rPr>
          <w:rFonts w:hint="eastAsia" w:ascii="仿宋_GB2312" w:eastAsia="仿宋_GB2312" w:cs="仿宋_GB2312"/>
          <w:color w:val="000000"/>
          <w:sz w:val="32"/>
          <w:szCs w:val="32"/>
        </w:rPr>
        <w:t>负责老师审核原件后交还学生并在复印件上签名、加盖</w:t>
      </w:r>
      <w:r>
        <w:rPr>
          <w:rFonts w:hint="eastAsia" w:ascii="仿宋_GB2312" w:eastAsia="仿宋_GB2312" w:cs="仿宋_GB2312"/>
          <w:sz w:val="32"/>
          <w:szCs w:val="32"/>
        </w:rPr>
        <w:t>二级学院</w:t>
      </w:r>
      <w:r>
        <w:rPr>
          <w:rFonts w:hint="eastAsia" w:ascii="仿宋_GB2312" w:eastAsia="仿宋_GB2312" w:cs="仿宋_GB2312"/>
          <w:color w:val="000000"/>
          <w:sz w:val="32"/>
          <w:szCs w:val="32"/>
        </w:rPr>
        <w:t>公章；非英文或中文证书须附该证书英文翻译件）。</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1</w:t>
      </w:r>
      <w:r>
        <w:rPr>
          <w:rFonts w:hint="eastAsia" w:ascii="仿宋_GB2312" w:eastAsia="仿宋_GB2312" w:cs="仿宋_GB2312"/>
          <w:color w:val="000000"/>
          <w:sz w:val="32"/>
          <w:szCs w:val="32"/>
        </w:rPr>
        <w:t>）《</w:t>
      </w:r>
      <w:r>
        <w:rPr>
          <w:rFonts w:hint="eastAsia" w:ascii="仿宋_GB2312" w:eastAsia="仿宋_GB2312" w:cs="仿宋_GB2312"/>
          <w:sz w:val="32"/>
          <w:szCs w:val="32"/>
        </w:rPr>
        <w:t>柳州</w:t>
      </w:r>
      <w:r>
        <w:rPr>
          <w:rFonts w:hint="eastAsia" w:ascii="仿宋_GB2312" w:eastAsia="仿宋_GB2312" w:cs="仿宋_GB2312"/>
          <w:color w:val="000000"/>
          <w:sz w:val="32"/>
          <w:szCs w:val="32"/>
        </w:rPr>
        <w:t>职业技术学院国际学生优秀学生奖学金申请表》，用中文或英文填写（</w:t>
      </w:r>
      <w:r>
        <w:rPr>
          <w:rFonts w:hint="eastAsia" w:ascii="仿宋_GB2312" w:eastAsia="仿宋_GB2312"/>
          <w:color w:val="000000"/>
          <w:sz w:val="32"/>
          <w:szCs w:val="32"/>
        </w:rPr>
        <w:t>2</w:t>
      </w:r>
      <w:r>
        <w:rPr>
          <w:rFonts w:hint="eastAsia" w:ascii="仿宋_GB2312" w:eastAsia="仿宋_GB2312" w:cs="仿宋_GB2312"/>
          <w:color w:val="000000"/>
          <w:sz w:val="32"/>
          <w:szCs w:val="32"/>
        </w:rPr>
        <w:t>份）；</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2</w:t>
      </w:r>
      <w:r>
        <w:rPr>
          <w:rFonts w:hint="eastAsia" w:ascii="仿宋_GB2312" w:eastAsia="仿宋_GB2312" w:cs="仿宋_GB2312"/>
          <w:color w:val="000000"/>
          <w:sz w:val="32"/>
          <w:szCs w:val="32"/>
        </w:rPr>
        <w:t>）</w:t>
      </w:r>
      <w:r>
        <w:rPr>
          <w:rFonts w:hint="eastAsia" w:ascii="仿宋_GB2312" w:eastAsia="仿宋_GB2312" w:cs="仿宋_GB2312"/>
          <w:sz w:val="32"/>
          <w:szCs w:val="32"/>
        </w:rPr>
        <w:t>二级学院</w:t>
      </w:r>
      <w:r>
        <w:rPr>
          <w:rFonts w:hint="eastAsia" w:ascii="仿宋_GB2312" w:eastAsia="仿宋_GB2312" w:cs="仿宋_GB2312"/>
          <w:color w:val="000000"/>
          <w:sz w:val="32"/>
          <w:szCs w:val="32"/>
        </w:rPr>
        <w:t>提供的该</w:t>
      </w:r>
      <w:r>
        <w:rPr>
          <w:rFonts w:hint="eastAsia" w:ascii="仿宋_GB2312" w:eastAsia="仿宋_GB2312" w:cs="仿宋_GB2312"/>
          <w:sz w:val="32"/>
          <w:szCs w:val="32"/>
        </w:rPr>
        <w:t>国际</w:t>
      </w:r>
      <w:r>
        <w:rPr>
          <w:rFonts w:hint="eastAsia" w:ascii="仿宋_GB2312" w:eastAsia="仿宋_GB2312" w:cs="仿宋_GB2312"/>
          <w:color w:val="000000"/>
          <w:sz w:val="32"/>
          <w:szCs w:val="32"/>
        </w:rPr>
        <w:t>学生学年成绩单原件及复印件（</w:t>
      </w:r>
      <w:r>
        <w:rPr>
          <w:rFonts w:hint="eastAsia" w:ascii="仿宋_GB2312" w:eastAsia="仿宋_GB2312"/>
          <w:color w:val="000000"/>
          <w:sz w:val="32"/>
          <w:szCs w:val="32"/>
        </w:rPr>
        <w:t>1</w:t>
      </w:r>
      <w:r>
        <w:rPr>
          <w:rFonts w:hint="eastAsia" w:ascii="仿宋_GB2312" w:eastAsia="仿宋_GB2312" w:cs="仿宋_GB2312"/>
          <w:color w:val="000000"/>
          <w:sz w:val="32"/>
          <w:szCs w:val="32"/>
        </w:rPr>
        <w:t>份）。</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3</w:t>
      </w:r>
      <w:r>
        <w:rPr>
          <w:rFonts w:hint="eastAsia" w:ascii="仿宋_GB2312" w:eastAsia="仿宋_GB2312" w:cs="仿宋_GB2312"/>
          <w:color w:val="000000"/>
          <w:sz w:val="32"/>
          <w:szCs w:val="32"/>
        </w:rPr>
        <w:t>）参加各类艺术、体育、文化交流活动或比赛，成绩显著获得校级以上（含校级）奖项的证书原件及复印件一份（没有则不提供）；</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4</w:t>
      </w:r>
      <w:r>
        <w:rPr>
          <w:rFonts w:hint="eastAsia" w:ascii="仿宋_GB2312" w:eastAsia="仿宋_GB2312" w:cs="仿宋_GB2312"/>
          <w:color w:val="000000"/>
          <w:sz w:val="32"/>
          <w:szCs w:val="32"/>
        </w:rPr>
        <w:t>）申请人的护照复印件（</w:t>
      </w:r>
      <w:r>
        <w:rPr>
          <w:rFonts w:hint="eastAsia" w:ascii="仿宋_GB2312" w:eastAsia="仿宋_GB2312"/>
          <w:color w:val="000000"/>
          <w:sz w:val="32"/>
          <w:szCs w:val="32"/>
        </w:rPr>
        <w:t>2</w:t>
      </w:r>
      <w:r>
        <w:rPr>
          <w:rFonts w:hint="eastAsia" w:ascii="仿宋_GB2312" w:eastAsia="仿宋_GB2312" w:cs="仿宋_GB2312"/>
          <w:color w:val="000000"/>
          <w:sz w:val="32"/>
          <w:szCs w:val="32"/>
        </w:rPr>
        <w:t>份）；</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5</w:t>
      </w:r>
      <w:r>
        <w:rPr>
          <w:rFonts w:hint="eastAsia" w:ascii="仿宋_GB2312" w:eastAsia="仿宋_GB2312" w:cs="仿宋_GB2312"/>
          <w:color w:val="000000"/>
          <w:sz w:val="32"/>
          <w:szCs w:val="32"/>
        </w:rPr>
        <w:t>）申请人近期</w:t>
      </w:r>
      <w:r>
        <w:rPr>
          <w:rFonts w:hint="eastAsia" w:ascii="仿宋_GB2312" w:eastAsia="仿宋_GB2312"/>
          <w:color w:val="000000"/>
          <w:sz w:val="32"/>
          <w:szCs w:val="32"/>
        </w:rPr>
        <w:t>2</w:t>
      </w:r>
      <w:r>
        <w:rPr>
          <w:rFonts w:hint="eastAsia" w:ascii="仿宋_GB2312" w:eastAsia="仿宋_GB2312" w:cs="仿宋_GB2312"/>
          <w:color w:val="000000"/>
          <w:sz w:val="32"/>
          <w:szCs w:val="32"/>
        </w:rPr>
        <w:t>寸证件照片（</w:t>
      </w:r>
      <w:r>
        <w:rPr>
          <w:rFonts w:hint="eastAsia" w:ascii="仿宋_GB2312" w:eastAsia="仿宋_GB2312"/>
          <w:color w:val="000000"/>
          <w:sz w:val="32"/>
          <w:szCs w:val="32"/>
        </w:rPr>
        <w:t>2</w:t>
      </w:r>
      <w:r>
        <w:rPr>
          <w:rFonts w:hint="eastAsia" w:ascii="仿宋_GB2312" w:eastAsia="仿宋_GB2312" w:cs="仿宋_GB2312"/>
          <w:color w:val="000000"/>
          <w:sz w:val="32"/>
          <w:szCs w:val="32"/>
        </w:rPr>
        <w:t>张）；</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r>
        <w:rPr>
          <w:rFonts w:hint="eastAsia" w:ascii="仿宋_GB2312" w:eastAsia="仿宋_GB2312" w:cs="仿宋_GB2312"/>
          <w:b/>
          <w:bCs/>
          <w:color w:val="000000"/>
          <w:sz w:val="32"/>
          <w:szCs w:val="32"/>
        </w:rPr>
        <w:t xml:space="preserve">第九条  </w:t>
      </w:r>
      <w:r>
        <w:rPr>
          <w:rFonts w:hint="eastAsia" w:ascii="仿宋_GB2312" w:eastAsia="仿宋_GB2312" w:cs="仿宋_GB2312"/>
          <w:color w:val="000000"/>
          <w:sz w:val="32"/>
          <w:szCs w:val="32"/>
        </w:rPr>
        <w:t>第一学年，国际学生提出新生奖学金申请后，由所在二级学院初审，并确定初审名单，在院内公示5个工作日，公示无异议后，将初评的学生名单报国际交流处汇总、审核，</w:t>
      </w:r>
      <w:r>
        <w:rPr>
          <w:rFonts w:hint="eastAsia" w:ascii="仿宋_GB2312" w:eastAsia="仿宋_GB2312" w:cs="仿宋_GB2312"/>
          <w:sz w:val="32"/>
          <w:szCs w:val="32"/>
        </w:rPr>
        <w:t>提出当年获奖学生建议名单，报学校国际学生奖学金</w:t>
      </w:r>
      <w:r>
        <w:rPr>
          <w:rFonts w:hint="eastAsia" w:ascii="仿宋_GB2312" w:hAnsi="宋体" w:eastAsia="仿宋_GB2312" w:cs="仿宋_GB2312"/>
          <w:kern w:val="0"/>
          <w:sz w:val="32"/>
          <w:szCs w:val="32"/>
        </w:rPr>
        <w:t>评审工作领导小组</w:t>
      </w:r>
      <w:r>
        <w:rPr>
          <w:rFonts w:hint="eastAsia" w:ascii="仿宋_GB2312" w:eastAsia="仿宋_GB2312" w:cs="仿宋_GB2312"/>
          <w:sz w:val="32"/>
          <w:szCs w:val="32"/>
        </w:rPr>
        <w:t>审批。</w:t>
      </w:r>
    </w:p>
    <w:p>
      <w:pPr>
        <w:pageBreakBefore w:val="0"/>
        <w:kinsoku/>
        <w:overflowPunct/>
        <w:topLinePunct w:val="0"/>
        <w:autoSpaceDE/>
        <w:autoSpaceDN/>
        <w:bidi w:val="0"/>
        <w:spacing w:line="596" w:lineRule="exact"/>
        <w:ind w:firstLine="560"/>
        <w:outlineLvl w:val="9"/>
        <w:rPr>
          <w:rFonts w:hint="eastAsia" w:ascii="仿宋_GB2312" w:eastAsia="仿宋_GB2312" w:cs="仿宋_GB2312"/>
          <w:sz w:val="32"/>
          <w:szCs w:val="32"/>
        </w:rPr>
      </w:pPr>
      <w:r>
        <w:rPr>
          <w:rFonts w:hint="eastAsia" w:ascii="仿宋_GB2312" w:eastAsia="仿宋_GB2312" w:cs="仿宋_GB2312"/>
          <w:b/>
          <w:bCs/>
          <w:color w:val="000000"/>
          <w:sz w:val="32"/>
          <w:szCs w:val="32"/>
        </w:rPr>
        <w:t xml:space="preserve">第十条  </w:t>
      </w:r>
      <w:r>
        <w:rPr>
          <w:rFonts w:hint="eastAsia" w:ascii="仿宋_GB2312" w:eastAsia="仿宋_GB2312" w:cs="仿宋_GB2312"/>
          <w:color w:val="000000"/>
          <w:sz w:val="32"/>
          <w:szCs w:val="32"/>
        </w:rPr>
        <w:t>在校国际学生在9月底提出优秀学生奖学金申请后，由申请人所在二级学院对其上一学年各科成绩及在校其他表现进行初审，并确定初审名单，在院内公示5个工作日，公示无异议后，将初评的学生名单报国际交流处汇总、审核，</w:t>
      </w:r>
      <w:r>
        <w:rPr>
          <w:rFonts w:hint="eastAsia" w:ascii="仿宋_GB2312" w:eastAsia="仿宋_GB2312" w:cs="仿宋_GB2312"/>
          <w:sz w:val="32"/>
          <w:szCs w:val="32"/>
        </w:rPr>
        <w:t>提出当年获奖学生建议名单，报学校国际学生奖学金</w:t>
      </w:r>
      <w:r>
        <w:rPr>
          <w:rFonts w:hint="eastAsia" w:ascii="仿宋_GB2312" w:hAnsi="宋体" w:eastAsia="仿宋_GB2312" w:cs="仿宋_GB2312"/>
          <w:kern w:val="0"/>
          <w:sz w:val="32"/>
          <w:szCs w:val="32"/>
        </w:rPr>
        <w:t>评审工作领导小组</w:t>
      </w:r>
      <w:r>
        <w:rPr>
          <w:rFonts w:hint="eastAsia" w:ascii="仿宋_GB2312" w:eastAsia="仿宋_GB2312" w:cs="仿宋_GB2312"/>
          <w:sz w:val="32"/>
          <w:szCs w:val="32"/>
        </w:rPr>
        <w:t>审批。</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color w:val="000000"/>
          <w:sz w:val="32"/>
          <w:szCs w:val="32"/>
        </w:rPr>
      </w:pPr>
      <w:r>
        <w:rPr>
          <w:rFonts w:hint="eastAsia" w:ascii="仿宋_GB2312" w:hAnsi="宋体" w:eastAsia="仿宋_GB2312" w:cs="仿宋_GB2312"/>
          <w:b/>
          <w:bCs/>
          <w:color w:val="000000"/>
          <w:kern w:val="0"/>
          <w:sz w:val="32"/>
          <w:szCs w:val="32"/>
        </w:rPr>
        <w:t>第十</w:t>
      </w:r>
      <w:r>
        <w:rPr>
          <w:rFonts w:hint="eastAsia" w:ascii="仿宋_GB2312" w:eastAsia="仿宋_GB2312" w:cs="仿宋_GB2312"/>
          <w:b/>
          <w:bCs/>
          <w:color w:val="000000"/>
          <w:sz w:val="32"/>
          <w:szCs w:val="32"/>
        </w:rPr>
        <w:t>一</w:t>
      </w:r>
      <w:r>
        <w:rPr>
          <w:rFonts w:hint="eastAsia" w:ascii="仿宋_GB2312" w:hAnsi="宋体" w:eastAsia="仿宋_GB2312" w:cs="仿宋_GB2312"/>
          <w:b/>
          <w:bCs/>
          <w:color w:val="000000"/>
          <w:kern w:val="0"/>
          <w:sz w:val="32"/>
          <w:szCs w:val="32"/>
        </w:rPr>
        <w:t xml:space="preserve">条  </w:t>
      </w:r>
      <w:r>
        <w:rPr>
          <w:rFonts w:hint="eastAsia" w:ascii="仿宋_GB2312" w:eastAsia="仿宋_GB2312" w:cs="仿宋_GB2312"/>
          <w:color w:val="000000"/>
          <w:sz w:val="32"/>
          <w:szCs w:val="32"/>
        </w:rPr>
        <w:t>评审体现公开、公平、公正原则，评审结果在</w:t>
      </w:r>
      <w:r>
        <w:rPr>
          <w:rFonts w:hint="eastAsia" w:ascii="仿宋_GB2312" w:eastAsia="仿宋_GB2312" w:cs="仿宋_GB2312"/>
          <w:sz w:val="32"/>
          <w:szCs w:val="32"/>
        </w:rPr>
        <w:t>全校范围</w:t>
      </w:r>
      <w:r>
        <w:rPr>
          <w:rFonts w:hint="eastAsia" w:ascii="仿宋_GB2312" w:eastAsia="仿宋_GB2312" w:cs="仿宋_GB2312"/>
          <w:color w:val="000000"/>
          <w:sz w:val="32"/>
          <w:szCs w:val="32"/>
        </w:rPr>
        <w:t>内公示</w:t>
      </w:r>
      <w:r>
        <w:rPr>
          <w:rFonts w:hint="eastAsia" w:ascii="仿宋_GB2312" w:eastAsia="仿宋_GB2312"/>
          <w:color w:val="000000"/>
          <w:sz w:val="32"/>
          <w:szCs w:val="32"/>
        </w:rPr>
        <w:t>5</w:t>
      </w:r>
      <w:r>
        <w:rPr>
          <w:rFonts w:hint="eastAsia" w:ascii="仿宋_GB2312" w:eastAsia="仿宋_GB2312" w:cs="仿宋_GB2312"/>
          <w:color w:val="000000"/>
          <w:sz w:val="32"/>
          <w:szCs w:val="32"/>
        </w:rPr>
        <w:t>个工作日。</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第十二条</w:t>
      </w:r>
      <w:r>
        <w:rPr>
          <w:rFonts w:hint="eastAsia" w:ascii="仿宋_GB2312" w:eastAsia="仿宋_GB2312" w:cs="仿宋_GB2312"/>
          <w:color w:val="000000"/>
          <w:sz w:val="32"/>
          <w:szCs w:val="32"/>
        </w:rPr>
        <w:t>　根据获得奖学金的学生名单和等级，在其缴清学杂费的前提下分10个月发放。</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p>
    <w:p>
      <w:pPr>
        <w:pageBreakBefore w:val="0"/>
        <w:kinsoku/>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762" w:name="_Toc29509_WPSOffice_Level1"/>
      <w:r>
        <w:rPr>
          <w:rFonts w:hint="eastAsia" w:ascii="黑体" w:hAnsi="黑体" w:eastAsia="黑体"/>
          <w:b/>
          <w:sz w:val="32"/>
          <w:szCs w:val="32"/>
        </w:rPr>
        <w:t>第四章  奖学金评审机构</w:t>
      </w:r>
      <w:bookmarkEnd w:id="1762"/>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eastAsia="仿宋_GB2312"/>
          <w:color w:val="000000"/>
          <w:kern w:val="0"/>
          <w:sz w:val="32"/>
          <w:szCs w:val="32"/>
        </w:rPr>
      </w:pPr>
      <w:r>
        <w:rPr>
          <w:rFonts w:hint="eastAsia" w:ascii="仿宋_GB2312" w:hAnsi="宋体" w:eastAsia="仿宋_GB2312" w:cs="仿宋_GB2312"/>
          <w:b/>
          <w:bCs/>
          <w:color w:val="000000"/>
          <w:kern w:val="0"/>
          <w:sz w:val="32"/>
          <w:szCs w:val="32"/>
        </w:rPr>
        <w:t>第十三条</w:t>
      </w:r>
      <w:r>
        <w:rPr>
          <w:rFonts w:hint="eastAsia" w:ascii="仿宋_GB2312" w:eastAsia="仿宋_GB2312"/>
          <w:color w:val="000000"/>
          <w:kern w:val="0"/>
          <w:sz w:val="32"/>
          <w:szCs w:val="32"/>
        </w:rPr>
        <w:t xml:space="preserve">   </w:t>
      </w:r>
      <w:r>
        <w:rPr>
          <w:rFonts w:hint="eastAsia" w:ascii="仿宋_GB2312" w:hAnsi="宋体" w:eastAsia="仿宋_GB2312" w:cs="仿宋_GB2312"/>
          <w:color w:val="000000"/>
          <w:kern w:val="0"/>
          <w:sz w:val="32"/>
          <w:szCs w:val="32"/>
        </w:rPr>
        <w:t>奖学金的评审由</w:t>
      </w:r>
      <w:r>
        <w:rPr>
          <w:rFonts w:hint="eastAsia" w:ascii="仿宋_GB2312" w:hAnsi="宋体" w:eastAsia="仿宋_GB2312" w:cs="仿宋_GB2312"/>
          <w:kern w:val="0"/>
          <w:sz w:val="32"/>
          <w:szCs w:val="32"/>
        </w:rPr>
        <w:t>柳州职业技术学院国际学生奖学金评审工作领导小组</w:t>
      </w:r>
      <w:r>
        <w:rPr>
          <w:rFonts w:hint="eastAsia" w:ascii="仿宋_GB2312" w:hAnsi="宋体" w:eastAsia="仿宋_GB2312" w:cs="仿宋_GB2312"/>
          <w:color w:val="000000"/>
          <w:kern w:val="0"/>
          <w:sz w:val="32"/>
          <w:szCs w:val="32"/>
        </w:rPr>
        <w:t>负责。</w:t>
      </w:r>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eastAsia="仿宋_GB2312"/>
          <w:color w:val="000000"/>
          <w:kern w:val="0"/>
          <w:sz w:val="32"/>
          <w:szCs w:val="32"/>
        </w:rPr>
      </w:pPr>
      <w:r>
        <w:rPr>
          <w:rFonts w:hint="eastAsia" w:ascii="仿宋_GB2312" w:hAnsi="宋体" w:eastAsia="仿宋_GB2312" w:cs="仿宋_GB2312"/>
          <w:color w:val="000000"/>
          <w:kern w:val="0"/>
          <w:sz w:val="32"/>
          <w:szCs w:val="32"/>
        </w:rPr>
        <w:t>（一）</w:t>
      </w:r>
      <w:r>
        <w:rPr>
          <w:rFonts w:hint="eastAsia" w:ascii="仿宋_GB2312" w:hAnsi="宋体" w:eastAsia="仿宋_GB2312" w:cs="仿宋_GB2312"/>
          <w:kern w:val="0"/>
          <w:sz w:val="32"/>
          <w:szCs w:val="32"/>
        </w:rPr>
        <w:t>评审工作领导小组</w:t>
      </w:r>
      <w:r>
        <w:rPr>
          <w:rFonts w:hint="eastAsia" w:ascii="仿宋_GB2312" w:hAnsi="宋体" w:eastAsia="仿宋_GB2312" w:cs="仿宋_GB2312"/>
          <w:color w:val="000000"/>
          <w:kern w:val="0"/>
          <w:sz w:val="32"/>
          <w:szCs w:val="32"/>
        </w:rPr>
        <w:t>组成</w:t>
      </w:r>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eastAsia="仿宋_GB2312"/>
          <w:color w:val="000000"/>
          <w:kern w:val="0"/>
          <w:sz w:val="32"/>
          <w:szCs w:val="32"/>
        </w:rPr>
      </w:pPr>
      <w:r>
        <w:rPr>
          <w:rFonts w:hint="eastAsia" w:ascii="仿宋_GB2312" w:hAnsi="宋体" w:eastAsia="仿宋_GB2312" w:cs="仿宋_GB2312"/>
          <w:kern w:val="0"/>
          <w:sz w:val="32"/>
          <w:szCs w:val="32"/>
        </w:rPr>
        <w:t>评审工作领导小组组长</w:t>
      </w:r>
      <w:r>
        <w:rPr>
          <w:rFonts w:hint="eastAsia" w:ascii="仿宋_GB2312" w:hAnsi="宋体" w:eastAsia="仿宋_GB2312" w:cs="仿宋_GB2312"/>
          <w:color w:val="000000"/>
          <w:kern w:val="0"/>
          <w:sz w:val="32"/>
          <w:szCs w:val="32"/>
        </w:rPr>
        <w:t>由</w:t>
      </w:r>
      <w:r>
        <w:rPr>
          <w:rFonts w:hint="eastAsia" w:ascii="仿宋_GB2312" w:hAnsi="宋体" w:eastAsia="仿宋_GB2312" w:cs="仿宋_GB2312"/>
          <w:kern w:val="0"/>
          <w:sz w:val="32"/>
          <w:szCs w:val="32"/>
        </w:rPr>
        <w:t>校</w:t>
      </w:r>
      <w:r>
        <w:rPr>
          <w:rFonts w:hint="eastAsia" w:ascii="仿宋_GB2312" w:hAnsi="宋体" w:eastAsia="仿宋_GB2312" w:cs="仿宋_GB2312"/>
          <w:color w:val="000000"/>
          <w:kern w:val="0"/>
          <w:sz w:val="32"/>
          <w:szCs w:val="32"/>
        </w:rPr>
        <w:t>长担任。</w:t>
      </w:r>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eastAsia="仿宋_GB2312"/>
          <w:color w:val="000000"/>
          <w:kern w:val="0"/>
          <w:sz w:val="32"/>
          <w:szCs w:val="32"/>
        </w:rPr>
      </w:pPr>
      <w:r>
        <w:rPr>
          <w:rFonts w:hint="eastAsia" w:ascii="仿宋_GB2312" w:hAnsi="宋体" w:eastAsia="仿宋_GB2312" w:cs="仿宋_GB2312"/>
          <w:kern w:val="0"/>
          <w:sz w:val="32"/>
          <w:szCs w:val="32"/>
        </w:rPr>
        <w:t>评审工作领导小组</w:t>
      </w:r>
      <w:r>
        <w:rPr>
          <w:rFonts w:hint="eastAsia" w:ascii="仿宋_GB2312" w:hAnsi="宋体" w:eastAsia="仿宋_GB2312" w:cs="仿宋_GB2312"/>
          <w:color w:val="000000"/>
          <w:kern w:val="0"/>
          <w:sz w:val="32"/>
          <w:szCs w:val="32"/>
        </w:rPr>
        <w:t>副组长由主管纪检、国际交流工作的</w:t>
      </w:r>
      <w:r>
        <w:rPr>
          <w:rFonts w:hint="eastAsia" w:ascii="仿宋_GB2312" w:hAnsi="宋体" w:eastAsia="仿宋_GB2312" w:cs="仿宋_GB2312"/>
          <w:kern w:val="0"/>
          <w:sz w:val="32"/>
          <w:szCs w:val="32"/>
        </w:rPr>
        <w:t>校</w:t>
      </w:r>
      <w:r>
        <w:rPr>
          <w:rFonts w:hint="eastAsia" w:ascii="仿宋_GB2312" w:hAnsi="宋体" w:eastAsia="仿宋_GB2312" w:cs="仿宋_GB2312"/>
          <w:color w:val="000000"/>
          <w:kern w:val="0"/>
          <w:sz w:val="32"/>
          <w:szCs w:val="32"/>
        </w:rPr>
        <w:t>领导担任。</w:t>
      </w:r>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eastAsia="仿宋_GB2312"/>
          <w:color w:val="000000"/>
          <w:kern w:val="0"/>
          <w:sz w:val="32"/>
          <w:szCs w:val="32"/>
        </w:rPr>
      </w:pPr>
      <w:r>
        <w:rPr>
          <w:rFonts w:hint="eastAsia" w:ascii="仿宋_GB2312" w:hAnsi="宋体" w:eastAsia="仿宋_GB2312" w:cs="仿宋_GB2312"/>
          <w:kern w:val="0"/>
          <w:sz w:val="32"/>
          <w:szCs w:val="32"/>
        </w:rPr>
        <w:t>评审工作领导小组</w:t>
      </w:r>
      <w:r>
        <w:rPr>
          <w:rFonts w:hint="eastAsia" w:ascii="仿宋_GB2312" w:hAnsi="宋体" w:eastAsia="仿宋_GB2312" w:cs="仿宋_GB2312"/>
          <w:color w:val="000000"/>
          <w:kern w:val="0"/>
          <w:sz w:val="32"/>
          <w:szCs w:val="32"/>
        </w:rPr>
        <w:t>成员包括：</w:t>
      </w:r>
      <w:r>
        <w:rPr>
          <w:rFonts w:hint="eastAsia" w:ascii="仿宋_GB2312" w:hAnsi="宋体" w:eastAsia="仿宋_GB2312" w:cs="仿宋_GB2312"/>
          <w:kern w:val="0"/>
          <w:sz w:val="32"/>
          <w:szCs w:val="32"/>
        </w:rPr>
        <w:t>国际交流处、</w:t>
      </w:r>
      <w:r>
        <w:rPr>
          <w:rFonts w:hint="eastAsia" w:ascii="仿宋_GB2312" w:hAnsi="宋体" w:eastAsia="仿宋_GB2312" w:cs="仿宋_GB2312"/>
          <w:color w:val="000000"/>
          <w:kern w:val="0"/>
          <w:sz w:val="32"/>
          <w:szCs w:val="32"/>
        </w:rPr>
        <w:t>教务</w:t>
      </w:r>
      <w:r>
        <w:rPr>
          <w:rFonts w:hint="eastAsia" w:ascii="仿宋_GB2312" w:hAnsi="宋体" w:eastAsia="仿宋_GB2312" w:cs="仿宋_GB2312"/>
          <w:kern w:val="0"/>
          <w:sz w:val="32"/>
          <w:szCs w:val="32"/>
        </w:rPr>
        <w:t>与实训管理处、</w:t>
      </w:r>
      <w:r>
        <w:rPr>
          <w:rFonts w:hint="eastAsia" w:ascii="仿宋_GB2312" w:hAnsi="宋体" w:eastAsia="仿宋_GB2312" w:cs="仿宋_GB2312"/>
          <w:color w:val="000000"/>
          <w:kern w:val="0"/>
          <w:sz w:val="32"/>
          <w:szCs w:val="32"/>
        </w:rPr>
        <w:t>学生工作</w:t>
      </w:r>
      <w:r>
        <w:rPr>
          <w:rFonts w:hint="eastAsia" w:ascii="仿宋_GB2312" w:hAnsi="宋体" w:eastAsia="仿宋_GB2312" w:cs="仿宋_GB2312"/>
          <w:kern w:val="0"/>
          <w:sz w:val="32"/>
          <w:szCs w:val="32"/>
        </w:rPr>
        <w:t>处</w:t>
      </w:r>
      <w:r>
        <w:rPr>
          <w:rFonts w:hint="eastAsia" w:ascii="仿宋_GB2312" w:hAnsi="宋体" w:eastAsia="仿宋_GB2312" w:cs="仿宋_GB2312"/>
          <w:color w:val="000000"/>
          <w:kern w:val="0"/>
          <w:sz w:val="32"/>
          <w:szCs w:val="32"/>
        </w:rPr>
        <w:t>、</w:t>
      </w:r>
      <w:r>
        <w:rPr>
          <w:rFonts w:hint="eastAsia" w:ascii="仿宋_GB2312" w:hAnsi="宋体" w:eastAsia="仿宋_GB2312" w:cs="仿宋_GB2312"/>
          <w:kern w:val="0"/>
          <w:sz w:val="32"/>
          <w:szCs w:val="32"/>
        </w:rPr>
        <w:t>国际</w:t>
      </w:r>
      <w:r>
        <w:rPr>
          <w:rFonts w:hint="eastAsia" w:ascii="仿宋_GB2312" w:hAnsi="宋体" w:eastAsia="仿宋_GB2312" w:cs="仿宋_GB2312"/>
          <w:color w:val="000000"/>
          <w:kern w:val="0"/>
          <w:sz w:val="32"/>
          <w:szCs w:val="32"/>
        </w:rPr>
        <w:t>学生所在各</w:t>
      </w:r>
      <w:r>
        <w:rPr>
          <w:rFonts w:hint="eastAsia" w:ascii="仿宋_GB2312" w:hAnsi="宋体" w:eastAsia="仿宋_GB2312" w:cs="仿宋_GB2312"/>
          <w:kern w:val="0"/>
          <w:sz w:val="32"/>
          <w:szCs w:val="32"/>
        </w:rPr>
        <w:t>二级学院</w:t>
      </w:r>
      <w:r>
        <w:rPr>
          <w:rFonts w:hint="eastAsia" w:ascii="仿宋_GB2312" w:hAnsi="宋体" w:eastAsia="仿宋_GB2312" w:cs="仿宋_GB2312"/>
          <w:color w:val="000000"/>
          <w:kern w:val="0"/>
          <w:sz w:val="32"/>
          <w:szCs w:val="32"/>
        </w:rPr>
        <w:t>负责人。</w:t>
      </w:r>
    </w:p>
    <w:p>
      <w:pPr>
        <w:pageBreakBefore w:val="0"/>
        <w:widowControl/>
        <w:shd w:val="clear" w:color="auto" w:fill="FFFFFF"/>
        <w:kinsoku/>
        <w:overflowPunct/>
        <w:topLinePunct w:val="0"/>
        <w:autoSpaceDE/>
        <w:autoSpaceDN/>
        <w:bidi w:val="0"/>
        <w:spacing w:line="596" w:lineRule="exact"/>
        <w:ind w:firstLine="420"/>
        <w:jc w:val="left"/>
        <w:outlineLvl w:val="9"/>
        <w:rPr>
          <w:rFonts w:hint="eastAsia" w:ascii="仿宋_GB2312" w:eastAsia="仿宋_GB2312"/>
          <w:color w:val="000000"/>
          <w:kern w:val="0"/>
          <w:sz w:val="32"/>
          <w:szCs w:val="32"/>
        </w:rPr>
      </w:pPr>
      <w:r>
        <w:rPr>
          <w:rFonts w:hint="eastAsia" w:ascii="仿宋_GB2312" w:hAnsi="宋体" w:eastAsia="仿宋_GB2312" w:cs="仿宋_GB2312"/>
          <w:color w:val="000000"/>
          <w:kern w:val="0"/>
          <w:sz w:val="32"/>
          <w:szCs w:val="32"/>
        </w:rPr>
        <w:t>（二）</w:t>
      </w:r>
      <w:r>
        <w:rPr>
          <w:rFonts w:hint="eastAsia" w:ascii="仿宋_GB2312" w:hAnsi="宋体" w:eastAsia="仿宋_GB2312" w:cs="仿宋_GB2312"/>
          <w:kern w:val="0"/>
          <w:sz w:val="32"/>
          <w:szCs w:val="32"/>
        </w:rPr>
        <w:t>评审工作领导小组</w:t>
      </w:r>
      <w:r>
        <w:rPr>
          <w:rFonts w:hint="eastAsia" w:ascii="仿宋_GB2312" w:hAnsi="宋体" w:eastAsia="仿宋_GB2312" w:cs="仿宋_GB2312"/>
          <w:color w:val="000000"/>
          <w:kern w:val="0"/>
          <w:sz w:val="32"/>
          <w:szCs w:val="32"/>
        </w:rPr>
        <w:t>职责</w:t>
      </w:r>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eastAsia="仿宋_GB2312"/>
          <w:color w:val="000000"/>
          <w:kern w:val="0"/>
          <w:sz w:val="32"/>
          <w:szCs w:val="32"/>
        </w:rPr>
      </w:pPr>
      <w:r>
        <w:rPr>
          <w:rFonts w:hint="eastAsia" w:ascii="仿宋_GB2312" w:eastAsia="仿宋_GB2312" w:cs="仿宋_GB2312"/>
          <w:color w:val="000000"/>
          <w:kern w:val="0"/>
          <w:sz w:val="32"/>
          <w:szCs w:val="32"/>
        </w:rPr>
        <w:t>（</w:t>
      </w:r>
      <w:r>
        <w:rPr>
          <w:rFonts w:hint="eastAsia" w:ascii="仿宋_GB2312" w:eastAsia="仿宋_GB2312"/>
          <w:color w:val="000000"/>
          <w:kern w:val="0"/>
          <w:sz w:val="32"/>
          <w:szCs w:val="32"/>
        </w:rPr>
        <w:t>1</w:t>
      </w:r>
      <w:r>
        <w:rPr>
          <w:rFonts w:hint="eastAsia" w:ascii="仿宋_GB2312" w:eastAsia="仿宋_GB2312" w:cs="仿宋_GB2312"/>
          <w:color w:val="000000"/>
          <w:kern w:val="0"/>
          <w:sz w:val="32"/>
          <w:szCs w:val="32"/>
        </w:rPr>
        <w:t>）</w:t>
      </w:r>
      <w:r>
        <w:rPr>
          <w:rFonts w:hint="eastAsia" w:ascii="仿宋_GB2312" w:eastAsia="仿宋_GB2312"/>
          <w:color w:val="000000"/>
          <w:kern w:val="0"/>
          <w:sz w:val="32"/>
          <w:szCs w:val="32"/>
        </w:rPr>
        <w:t> </w:t>
      </w:r>
      <w:r>
        <w:rPr>
          <w:rFonts w:hint="eastAsia" w:ascii="仿宋_GB2312" w:hAnsi="宋体" w:eastAsia="仿宋_GB2312" w:cs="仿宋_GB2312"/>
          <w:color w:val="000000"/>
          <w:kern w:val="0"/>
          <w:sz w:val="32"/>
          <w:szCs w:val="32"/>
        </w:rPr>
        <w:t>评审并决定</w:t>
      </w:r>
      <w:r>
        <w:rPr>
          <w:rFonts w:hint="eastAsia" w:ascii="仿宋_GB2312" w:hAnsi="宋体" w:eastAsia="仿宋_GB2312" w:cs="仿宋_GB2312"/>
          <w:kern w:val="0"/>
          <w:sz w:val="32"/>
          <w:szCs w:val="32"/>
        </w:rPr>
        <w:t>国际</w:t>
      </w:r>
      <w:r>
        <w:rPr>
          <w:rFonts w:hint="eastAsia" w:ascii="仿宋_GB2312" w:hAnsi="宋体" w:eastAsia="仿宋_GB2312" w:cs="仿宋_GB2312"/>
          <w:color w:val="000000"/>
          <w:kern w:val="0"/>
          <w:sz w:val="32"/>
          <w:szCs w:val="32"/>
        </w:rPr>
        <w:t>学生新生奖学金获得者名单；</w:t>
      </w:r>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eastAsia="仿宋_GB2312"/>
          <w:color w:val="000000"/>
          <w:kern w:val="0"/>
          <w:sz w:val="32"/>
          <w:szCs w:val="32"/>
        </w:rPr>
      </w:pPr>
      <w:r>
        <w:rPr>
          <w:rFonts w:hint="eastAsia" w:ascii="仿宋_GB2312" w:eastAsia="仿宋_GB2312" w:cs="仿宋_GB2312"/>
          <w:color w:val="000000"/>
          <w:kern w:val="0"/>
          <w:sz w:val="32"/>
          <w:szCs w:val="32"/>
        </w:rPr>
        <w:t>（</w:t>
      </w:r>
      <w:r>
        <w:rPr>
          <w:rFonts w:hint="eastAsia" w:ascii="仿宋_GB2312" w:eastAsia="仿宋_GB2312"/>
          <w:color w:val="000000"/>
          <w:kern w:val="0"/>
          <w:sz w:val="32"/>
          <w:szCs w:val="32"/>
        </w:rPr>
        <w:t>2</w:t>
      </w:r>
      <w:r>
        <w:rPr>
          <w:rFonts w:hint="eastAsia" w:ascii="仿宋_GB2312" w:eastAsia="仿宋_GB2312" w:cs="仿宋_GB2312"/>
          <w:color w:val="000000"/>
          <w:kern w:val="0"/>
          <w:sz w:val="32"/>
          <w:szCs w:val="32"/>
        </w:rPr>
        <w:t>）</w:t>
      </w:r>
      <w:r>
        <w:rPr>
          <w:rFonts w:hint="eastAsia" w:ascii="仿宋_GB2312" w:hAnsi="宋体" w:eastAsia="仿宋_GB2312" w:cs="仿宋_GB2312"/>
          <w:color w:val="000000"/>
          <w:kern w:val="0"/>
          <w:sz w:val="32"/>
          <w:szCs w:val="32"/>
        </w:rPr>
        <w:t>评审并决定</w:t>
      </w:r>
      <w:r>
        <w:rPr>
          <w:rFonts w:hint="eastAsia" w:ascii="仿宋_GB2312" w:hAnsi="宋体" w:eastAsia="仿宋_GB2312" w:cs="仿宋_GB2312"/>
          <w:kern w:val="0"/>
          <w:sz w:val="32"/>
          <w:szCs w:val="32"/>
        </w:rPr>
        <w:t>国际</w:t>
      </w:r>
      <w:r>
        <w:rPr>
          <w:rFonts w:hint="eastAsia" w:ascii="仿宋_GB2312" w:hAnsi="宋体" w:eastAsia="仿宋_GB2312" w:cs="仿宋_GB2312"/>
          <w:color w:val="000000"/>
          <w:kern w:val="0"/>
          <w:sz w:val="32"/>
          <w:szCs w:val="32"/>
        </w:rPr>
        <w:t>学生优秀学生奖学金获得者名单；</w:t>
      </w:r>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eastAsia="仿宋_GB2312"/>
          <w:color w:val="000000"/>
          <w:kern w:val="0"/>
          <w:sz w:val="32"/>
          <w:szCs w:val="32"/>
        </w:rPr>
      </w:pPr>
      <w:r>
        <w:rPr>
          <w:rFonts w:hint="eastAsia" w:ascii="仿宋_GB2312" w:eastAsia="仿宋_GB2312" w:cs="仿宋_GB2312"/>
          <w:color w:val="000000"/>
          <w:kern w:val="0"/>
          <w:sz w:val="32"/>
          <w:szCs w:val="32"/>
        </w:rPr>
        <w:t>（</w:t>
      </w:r>
      <w:r>
        <w:rPr>
          <w:rFonts w:hint="eastAsia" w:ascii="仿宋_GB2312" w:eastAsia="仿宋_GB2312"/>
          <w:color w:val="000000"/>
          <w:kern w:val="0"/>
          <w:sz w:val="32"/>
          <w:szCs w:val="32"/>
        </w:rPr>
        <w:t>3</w:t>
      </w:r>
      <w:r>
        <w:rPr>
          <w:rFonts w:hint="eastAsia" w:ascii="仿宋_GB2312" w:eastAsia="仿宋_GB2312" w:cs="仿宋_GB2312"/>
          <w:color w:val="000000"/>
          <w:kern w:val="0"/>
          <w:sz w:val="32"/>
          <w:szCs w:val="32"/>
        </w:rPr>
        <w:t>）</w:t>
      </w:r>
      <w:r>
        <w:rPr>
          <w:rFonts w:hint="eastAsia" w:ascii="仿宋_GB2312" w:hAnsi="宋体" w:eastAsia="仿宋_GB2312" w:cs="仿宋_GB2312"/>
          <w:color w:val="000000"/>
          <w:kern w:val="0"/>
          <w:sz w:val="32"/>
          <w:szCs w:val="32"/>
        </w:rPr>
        <w:t>受理评奖中的争议事项，接受申诉和组织复议；</w:t>
      </w:r>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hAnsi="宋体" w:eastAsia="仿宋_GB2312" w:cs="仿宋_GB2312"/>
          <w:color w:val="000000"/>
          <w:kern w:val="0"/>
          <w:sz w:val="32"/>
          <w:szCs w:val="32"/>
        </w:rPr>
      </w:pPr>
      <w:r>
        <w:rPr>
          <w:rFonts w:hint="eastAsia" w:ascii="仿宋_GB2312" w:eastAsia="仿宋_GB2312" w:cs="仿宋_GB2312"/>
          <w:color w:val="000000"/>
          <w:kern w:val="0"/>
          <w:sz w:val="32"/>
          <w:szCs w:val="32"/>
        </w:rPr>
        <w:t>（</w:t>
      </w:r>
      <w:r>
        <w:rPr>
          <w:rFonts w:hint="eastAsia" w:ascii="仿宋_GB2312" w:eastAsia="仿宋_GB2312"/>
          <w:color w:val="000000"/>
          <w:kern w:val="0"/>
          <w:sz w:val="32"/>
          <w:szCs w:val="32"/>
        </w:rPr>
        <w:t>4</w:t>
      </w:r>
      <w:r>
        <w:rPr>
          <w:rFonts w:hint="eastAsia" w:ascii="仿宋_GB2312" w:eastAsia="仿宋_GB2312" w:cs="仿宋_GB2312"/>
          <w:color w:val="000000"/>
          <w:kern w:val="0"/>
          <w:sz w:val="32"/>
          <w:szCs w:val="32"/>
        </w:rPr>
        <w:t>）</w:t>
      </w:r>
      <w:r>
        <w:rPr>
          <w:rFonts w:hint="eastAsia" w:ascii="仿宋_GB2312" w:hAnsi="宋体" w:eastAsia="仿宋_GB2312" w:cs="仿宋_GB2312"/>
          <w:color w:val="000000"/>
          <w:kern w:val="0"/>
          <w:sz w:val="32"/>
          <w:szCs w:val="32"/>
        </w:rPr>
        <w:t>对奖学金管理实施办法进行修订。</w:t>
      </w:r>
    </w:p>
    <w:p>
      <w:pPr>
        <w:pageBreakBefore w:val="0"/>
        <w:widowControl/>
        <w:shd w:val="clear" w:color="auto" w:fill="FFFFFF"/>
        <w:kinsoku/>
        <w:overflowPunct/>
        <w:topLinePunct w:val="0"/>
        <w:autoSpaceDE/>
        <w:autoSpaceDN/>
        <w:bidi w:val="0"/>
        <w:spacing w:line="596" w:lineRule="exact"/>
        <w:ind w:firstLine="560"/>
        <w:jc w:val="left"/>
        <w:outlineLvl w:val="9"/>
        <w:rPr>
          <w:rFonts w:hint="eastAsia" w:ascii="仿宋_GB2312" w:eastAsia="仿宋_GB2312"/>
          <w:color w:val="000000"/>
          <w:kern w:val="0"/>
          <w:sz w:val="32"/>
          <w:szCs w:val="32"/>
        </w:rPr>
      </w:pPr>
    </w:p>
    <w:p>
      <w:pPr>
        <w:pageBreakBefore w:val="0"/>
        <w:kinsoku/>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763" w:name="_Toc25628_WPSOffice_Level1"/>
      <w:r>
        <w:rPr>
          <w:rFonts w:hint="eastAsia" w:ascii="黑体" w:hAnsi="黑体" w:eastAsia="黑体"/>
          <w:b/>
          <w:sz w:val="32"/>
          <w:szCs w:val="32"/>
        </w:rPr>
        <w:t>第五章  奖学金取消</w:t>
      </w:r>
      <w:bookmarkEnd w:id="1763"/>
    </w:p>
    <w:p>
      <w:pPr>
        <w:pageBreakBefore w:val="0"/>
        <w:kinsoku/>
        <w:overflowPunct/>
        <w:topLinePunct w:val="0"/>
        <w:autoSpaceDE/>
        <w:autoSpaceDN/>
        <w:bidi w:val="0"/>
        <w:spacing w:line="596" w:lineRule="exact"/>
        <w:ind w:firstLine="643" w:firstLineChars="200"/>
        <w:outlineLvl w:val="9"/>
        <w:rPr>
          <w:rFonts w:hint="eastAsia" w:ascii="仿宋_GB2312" w:eastAsia="仿宋_GB2312"/>
          <w:color w:val="000000"/>
          <w:sz w:val="32"/>
          <w:szCs w:val="32"/>
        </w:rPr>
      </w:pPr>
      <w:r>
        <w:rPr>
          <w:rFonts w:hint="eastAsia" w:ascii="仿宋_GB2312" w:eastAsia="仿宋_GB2312" w:cs="仿宋_GB2312"/>
          <w:b/>
          <w:bCs/>
          <w:color w:val="000000"/>
          <w:sz w:val="32"/>
          <w:szCs w:val="32"/>
        </w:rPr>
        <w:t xml:space="preserve">第十四条  </w:t>
      </w:r>
      <w:r>
        <w:rPr>
          <w:rFonts w:hint="eastAsia" w:ascii="仿宋_GB2312" w:eastAsia="仿宋_GB2312" w:cs="仿宋_GB2312"/>
          <w:color w:val="000000"/>
          <w:sz w:val="32"/>
          <w:szCs w:val="32"/>
        </w:rPr>
        <w:t>本学年获得奖学金的</w:t>
      </w:r>
      <w:r>
        <w:rPr>
          <w:rFonts w:hint="eastAsia" w:ascii="仿宋_GB2312" w:eastAsia="仿宋_GB2312" w:cs="仿宋_GB2312"/>
          <w:sz w:val="32"/>
          <w:szCs w:val="32"/>
        </w:rPr>
        <w:t>国际</w:t>
      </w:r>
      <w:r>
        <w:rPr>
          <w:rFonts w:hint="eastAsia" w:ascii="仿宋_GB2312" w:eastAsia="仿宋_GB2312" w:cs="仿宋_GB2312"/>
          <w:color w:val="000000"/>
          <w:sz w:val="32"/>
          <w:szCs w:val="32"/>
        </w:rPr>
        <w:t>学生，如在该学年中有下列情况之一者，即日起取消该生奖学金领取资格。</w:t>
      </w:r>
    </w:p>
    <w:p>
      <w:pPr>
        <w:pageBreakBefore w:val="0"/>
        <w:kinsoku/>
        <w:overflowPunct/>
        <w:topLinePunct w:val="0"/>
        <w:autoSpaceDE/>
        <w:autoSpaceDN/>
        <w:bidi w:val="0"/>
        <w:spacing w:line="596" w:lineRule="exact"/>
        <w:ind w:firstLine="729" w:firstLineChars="228"/>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1</w:t>
      </w:r>
      <w:r>
        <w:rPr>
          <w:rFonts w:hint="eastAsia" w:ascii="仿宋_GB2312" w:eastAsia="仿宋_GB2312" w:cs="仿宋_GB2312"/>
          <w:color w:val="000000"/>
          <w:sz w:val="32"/>
          <w:szCs w:val="32"/>
        </w:rPr>
        <w:t>）触犯中国法律、扰乱社会治安，或严重违反校纪校规者；</w:t>
      </w:r>
    </w:p>
    <w:p>
      <w:pPr>
        <w:pageBreakBefore w:val="0"/>
        <w:kinsoku/>
        <w:overflowPunct/>
        <w:topLinePunct w:val="0"/>
        <w:autoSpaceDE/>
        <w:autoSpaceDN/>
        <w:bidi w:val="0"/>
        <w:spacing w:line="596" w:lineRule="exact"/>
        <w:ind w:firstLine="729" w:firstLineChars="228"/>
        <w:outlineLvl w:val="9"/>
        <w:rPr>
          <w:rFonts w:hint="eastAsia" w:ascii="仿宋_GB2312" w:eastAsia="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2</w:t>
      </w:r>
      <w:r>
        <w:rPr>
          <w:rFonts w:hint="eastAsia" w:ascii="仿宋_GB2312" w:eastAsia="仿宋_GB2312" w:cs="仿宋_GB2312"/>
          <w:color w:val="000000"/>
          <w:sz w:val="32"/>
          <w:szCs w:val="32"/>
        </w:rPr>
        <w:t>）因个人原因中途休学、退学，及转学者；</w:t>
      </w:r>
    </w:p>
    <w:p>
      <w:pPr>
        <w:pageBreakBefore w:val="0"/>
        <w:kinsoku/>
        <w:overflowPunct/>
        <w:topLinePunct w:val="0"/>
        <w:autoSpaceDE/>
        <w:autoSpaceDN/>
        <w:bidi w:val="0"/>
        <w:spacing w:line="596" w:lineRule="exact"/>
        <w:ind w:firstLine="729" w:firstLineChars="228"/>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3</w:t>
      </w:r>
      <w:r>
        <w:rPr>
          <w:rFonts w:hint="eastAsia" w:ascii="仿宋_GB2312" w:eastAsia="仿宋_GB2312" w:cs="仿宋_GB2312"/>
          <w:color w:val="000000"/>
          <w:sz w:val="32"/>
          <w:szCs w:val="32"/>
        </w:rPr>
        <w:t>）申请注册时提供虚假个人及家庭信息者；</w:t>
      </w:r>
    </w:p>
    <w:p>
      <w:pPr>
        <w:pageBreakBefore w:val="0"/>
        <w:kinsoku/>
        <w:overflowPunct/>
        <w:topLinePunct w:val="0"/>
        <w:autoSpaceDE/>
        <w:autoSpaceDN/>
        <w:bidi w:val="0"/>
        <w:spacing w:line="596" w:lineRule="exact"/>
        <w:ind w:firstLine="729" w:firstLineChars="228"/>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w:t>
      </w:r>
      <w:r>
        <w:rPr>
          <w:rFonts w:hint="eastAsia" w:ascii="仿宋_GB2312" w:eastAsia="仿宋_GB2312"/>
          <w:color w:val="000000"/>
          <w:sz w:val="32"/>
          <w:szCs w:val="32"/>
        </w:rPr>
        <w:t>4</w:t>
      </w:r>
      <w:r>
        <w:rPr>
          <w:rFonts w:hint="eastAsia" w:ascii="仿宋_GB2312" w:eastAsia="仿宋_GB2312" w:cs="仿宋_GB2312"/>
          <w:color w:val="000000"/>
          <w:sz w:val="32"/>
          <w:szCs w:val="32"/>
        </w:rPr>
        <w:t>）规定时间内未到校报到注册者。</w:t>
      </w:r>
    </w:p>
    <w:p>
      <w:pPr>
        <w:pageBreakBefore w:val="0"/>
        <w:kinsoku/>
        <w:overflowPunct/>
        <w:topLinePunct w:val="0"/>
        <w:autoSpaceDE/>
        <w:autoSpaceDN/>
        <w:bidi w:val="0"/>
        <w:spacing w:line="596" w:lineRule="exact"/>
        <w:ind w:firstLine="729" w:firstLineChars="228"/>
        <w:outlineLvl w:val="9"/>
        <w:rPr>
          <w:rFonts w:hint="eastAsia" w:ascii="仿宋_GB2312" w:eastAsia="仿宋_GB2312"/>
          <w:color w:val="000000"/>
          <w:sz w:val="32"/>
          <w:szCs w:val="32"/>
        </w:rPr>
      </w:pPr>
    </w:p>
    <w:p>
      <w:pPr>
        <w:pageBreakBefore w:val="0"/>
        <w:kinsoku/>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bookmarkStart w:id="1764" w:name="_Toc28097_WPSOffice_Level1"/>
      <w:r>
        <w:rPr>
          <w:rFonts w:hint="eastAsia" w:ascii="黑体" w:hAnsi="黑体" w:eastAsia="黑体"/>
          <w:b/>
          <w:sz w:val="32"/>
          <w:szCs w:val="32"/>
        </w:rPr>
        <w:t>第六章  附则</w:t>
      </w:r>
      <w:bookmarkEnd w:id="1764"/>
    </w:p>
    <w:p>
      <w:pPr>
        <w:pageBreakBefore w:val="0"/>
        <w:kinsoku/>
        <w:overflowPunct/>
        <w:topLinePunct w:val="0"/>
        <w:autoSpaceDE/>
        <w:autoSpaceDN/>
        <w:bidi w:val="0"/>
        <w:spacing w:line="596" w:lineRule="exact"/>
        <w:ind w:firstLine="643" w:firstLineChars="200"/>
        <w:outlineLvl w:val="9"/>
        <w:rPr>
          <w:rFonts w:hint="eastAsia" w:ascii="仿宋_GB2312" w:eastAsia="仿宋_GB2312"/>
          <w:color w:val="000000"/>
          <w:sz w:val="32"/>
          <w:szCs w:val="32"/>
        </w:rPr>
      </w:pPr>
      <w:r>
        <w:rPr>
          <w:rFonts w:hint="eastAsia" w:ascii="仿宋_GB2312" w:eastAsia="仿宋_GB2312" w:cs="仿宋_GB2312"/>
          <w:b/>
          <w:bCs/>
          <w:color w:val="000000"/>
          <w:sz w:val="32"/>
          <w:szCs w:val="32"/>
        </w:rPr>
        <w:t xml:space="preserve">第十五条  </w:t>
      </w:r>
      <w:r>
        <w:rPr>
          <w:rFonts w:hint="eastAsia" w:ascii="仿宋_GB2312" w:eastAsia="仿宋_GB2312" w:cs="仿宋_GB2312"/>
          <w:color w:val="000000"/>
          <w:sz w:val="32"/>
          <w:szCs w:val="32"/>
        </w:rPr>
        <w:t>本办法自</w:t>
      </w:r>
      <w:r>
        <w:rPr>
          <w:rFonts w:hint="eastAsia" w:ascii="仿宋_GB2312" w:eastAsia="仿宋_GB2312"/>
          <w:color w:val="000000"/>
          <w:sz w:val="32"/>
          <w:szCs w:val="32"/>
        </w:rPr>
        <w:t>印发之日</w:t>
      </w:r>
      <w:r>
        <w:rPr>
          <w:rFonts w:hint="eastAsia" w:ascii="仿宋_GB2312" w:eastAsia="仿宋_GB2312" w:cs="仿宋_GB2312"/>
          <w:color w:val="000000"/>
          <w:sz w:val="32"/>
          <w:szCs w:val="32"/>
        </w:rPr>
        <w:t>起实行。</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cs="仿宋_GB2312"/>
          <w:color w:val="000000"/>
          <w:sz w:val="32"/>
          <w:szCs w:val="32"/>
        </w:rPr>
      </w:pPr>
      <w:r>
        <w:rPr>
          <w:rFonts w:hint="eastAsia" w:ascii="仿宋_GB2312" w:eastAsia="仿宋_GB2312" w:cs="仿宋_GB2312"/>
          <w:b/>
          <w:bCs/>
          <w:color w:val="000000"/>
          <w:sz w:val="32"/>
          <w:szCs w:val="32"/>
        </w:rPr>
        <w:t xml:space="preserve">第十六条  </w:t>
      </w:r>
      <w:r>
        <w:rPr>
          <w:rFonts w:hint="eastAsia" w:ascii="仿宋_GB2312" w:eastAsia="仿宋_GB2312" w:cs="仿宋_GB2312"/>
          <w:color w:val="000000"/>
          <w:sz w:val="32"/>
          <w:szCs w:val="32"/>
        </w:rPr>
        <w:t>本办法由</w:t>
      </w:r>
      <w:r>
        <w:rPr>
          <w:rFonts w:hint="eastAsia" w:ascii="仿宋_GB2312" w:eastAsia="仿宋_GB2312" w:cs="仿宋_GB2312"/>
          <w:sz w:val="32"/>
          <w:szCs w:val="32"/>
        </w:rPr>
        <w:t>柳州</w:t>
      </w:r>
      <w:r>
        <w:rPr>
          <w:rFonts w:hint="eastAsia" w:ascii="仿宋_GB2312" w:eastAsia="仿宋_GB2312" w:cs="仿宋_GB2312"/>
          <w:color w:val="000000"/>
          <w:sz w:val="32"/>
          <w:szCs w:val="32"/>
        </w:rPr>
        <w:t>职业技术学院国际交流</w:t>
      </w:r>
      <w:r>
        <w:rPr>
          <w:rFonts w:hint="eastAsia" w:ascii="仿宋_GB2312" w:eastAsia="仿宋_GB2312" w:cs="仿宋_GB2312"/>
          <w:sz w:val="32"/>
          <w:szCs w:val="32"/>
        </w:rPr>
        <w:t>处</w:t>
      </w:r>
      <w:r>
        <w:rPr>
          <w:rFonts w:hint="eastAsia" w:ascii="仿宋_GB2312" w:eastAsia="仿宋_GB2312" w:cs="仿宋_GB2312"/>
          <w:color w:val="000000"/>
          <w:sz w:val="32"/>
          <w:szCs w:val="32"/>
        </w:rPr>
        <w:t>负责解释。</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color w:val="000000"/>
          <w:sz w:val="32"/>
          <w:szCs w:val="32"/>
        </w:rPr>
      </w:pPr>
    </w:p>
    <w:p>
      <w:pPr>
        <w:pageBreakBefore w:val="0"/>
        <w:kinsoku/>
        <w:overflowPunct/>
        <w:topLinePunct w:val="0"/>
        <w:autoSpaceDE/>
        <w:autoSpaceDN/>
        <w:bidi w:val="0"/>
        <w:spacing w:line="596" w:lineRule="exact"/>
        <w:ind w:firstLine="640" w:firstLineChars="200"/>
        <w:outlineLvl w:val="9"/>
        <w:rPr>
          <w:rFonts w:hint="eastAsia" w:ascii="仿宋_GB2312" w:eastAsia="仿宋_GB2312" w:cs="仿宋_GB2312"/>
          <w:color w:val="000000"/>
          <w:sz w:val="32"/>
          <w:szCs w:val="32"/>
        </w:rPr>
      </w:pPr>
      <w:r>
        <w:rPr>
          <w:rFonts w:hint="eastAsia" w:ascii="仿宋_GB2312" w:eastAsia="仿宋_GB2312" w:cs="仿宋_GB2312"/>
          <w:color w:val="000000"/>
          <w:sz w:val="32"/>
          <w:szCs w:val="32"/>
        </w:rPr>
        <w:t>附件：</w:t>
      </w:r>
      <w:r>
        <w:rPr>
          <w:rFonts w:hint="eastAsia" w:ascii="仿宋_GB2312" w:eastAsia="仿宋_GB2312"/>
          <w:color w:val="000000"/>
          <w:sz w:val="32"/>
          <w:szCs w:val="32"/>
        </w:rPr>
        <w:t>1.</w:t>
      </w:r>
      <w:r>
        <w:rPr>
          <w:rFonts w:hint="eastAsia" w:ascii="仿宋_GB2312" w:eastAsia="仿宋_GB2312" w:cs="仿宋_GB2312"/>
          <w:sz w:val="32"/>
          <w:szCs w:val="32"/>
        </w:rPr>
        <w:t>柳州</w:t>
      </w:r>
      <w:r>
        <w:rPr>
          <w:rFonts w:hint="eastAsia" w:ascii="仿宋_GB2312" w:eastAsia="仿宋_GB2312" w:cs="仿宋_GB2312"/>
          <w:color w:val="000000"/>
          <w:sz w:val="32"/>
          <w:szCs w:val="32"/>
        </w:rPr>
        <w:t>职业技术学院</w:t>
      </w:r>
      <w:r>
        <w:rPr>
          <w:rFonts w:hint="eastAsia" w:ascii="仿宋_GB2312" w:eastAsia="仿宋_GB2312" w:cs="仿宋_GB2312"/>
          <w:sz w:val="32"/>
          <w:szCs w:val="32"/>
        </w:rPr>
        <w:t>国际</w:t>
      </w:r>
      <w:r>
        <w:rPr>
          <w:rFonts w:hint="eastAsia" w:ascii="仿宋_GB2312" w:eastAsia="仿宋_GB2312" w:cs="仿宋_GB2312"/>
          <w:color w:val="000000"/>
          <w:sz w:val="32"/>
          <w:szCs w:val="32"/>
        </w:rPr>
        <w:t>学生新生奖学金申请表</w:t>
      </w:r>
    </w:p>
    <w:p>
      <w:pPr>
        <w:pStyle w:val="10"/>
        <w:pageBreakBefore w:val="0"/>
        <w:widowControl w:val="0"/>
        <w:kinsoku/>
        <w:overflowPunct/>
        <w:topLinePunct w:val="0"/>
        <w:autoSpaceDE/>
        <w:autoSpaceDN/>
        <w:bidi w:val="0"/>
        <w:spacing w:before="0" w:beforeAutospacing="0" w:after="0" w:afterAutospacing="0" w:line="596" w:lineRule="exact"/>
        <w:ind w:firstLine="1600" w:firstLineChars="500"/>
        <w:outlineLvl w:val="9"/>
        <w:rPr>
          <w:rFonts w:hint="eastAsia" w:ascii="仿宋_GB2312" w:eastAsia="仿宋_GB2312" w:cs="仿宋_GB2312"/>
          <w:color w:val="000000"/>
          <w:spacing w:val="-8"/>
          <w:sz w:val="32"/>
          <w:szCs w:val="32"/>
        </w:rPr>
      </w:pPr>
      <w:r>
        <w:rPr>
          <w:rFonts w:hint="eastAsia" w:ascii="仿宋_GB2312" w:hAnsi="Times New Roman" w:eastAsia="仿宋_GB2312"/>
          <w:color w:val="000000"/>
          <w:sz w:val="32"/>
          <w:szCs w:val="32"/>
        </w:rPr>
        <w:t>2.</w:t>
      </w:r>
      <w:r>
        <w:rPr>
          <w:rFonts w:hint="eastAsia" w:ascii="仿宋_GB2312" w:eastAsia="仿宋_GB2312" w:cs="仿宋_GB2312"/>
          <w:spacing w:val="-8"/>
          <w:sz w:val="32"/>
          <w:szCs w:val="32"/>
        </w:rPr>
        <w:t>柳州</w:t>
      </w:r>
      <w:r>
        <w:rPr>
          <w:rFonts w:hint="eastAsia" w:ascii="仿宋_GB2312" w:eastAsia="仿宋_GB2312" w:cs="仿宋_GB2312"/>
          <w:color w:val="000000"/>
          <w:spacing w:val="-8"/>
          <w:sz w:val="32"/>
          <w:szCs w:val="32"/>
        </w:rPr>
        <w:t>职业技术学院</w:t>
      </w:r>
      <w:r>
        <w:rPr>
          <w:rFonts w:hint="eastAsia" w:ascii="仿宋_GB2312" w:eastAsia="仿宋_GB2312" w:cs="仿宋_GB2312"/>
          <w:spacing w:val="-8"/>
          <w:sz w:val="32"/>
          <w:szCs w:val="32"/>
        </w:rPr>
        <w:t>国际</w:t>
      </w:r>
      <w:r>
        <w:rPr>
          <w:rFonts w:hint="eastAsia" w:ascii="仿宋_GB2312" w:eastAsia="仿宋_GB2312" w:cs="仿宋_GB2312"/>
          <w:color w:val="000000"/>
          <w:spacing w:val="-8"/>
          <w:sz w:val="32"/>
          <w:szCs w:val="32"/>
        </w:rPr>
        <w:t>学生优秀学生奖学金申请表</w:t>
      </w:r>
    </w:p>
    <w:p>
      <w:pPr>
        <w:pageBreakBefore w:val="0"/>
        <w:kinsoku/>
        <w:overflowPunct/>
        <w:topLinePunct w:val="0"/>
        <w:autoSpaceDE/>
        <w:autoSpaceDN/>
        <w:bidi w:val="0"/>
        <w:spacing w:line="596" w:lineRule="exact"/>
        <w:jc w:val="left"/>
        <w:outlineLvl w:val="9"/>
        <w:rPr>
          <w:rFonts w:ascii="黑体" w:eastAsia="黑体"/>
          <w:sz w:val="32"/>
          <w:szCs w:val="32"/>
        </w:rPr>
      </w:pPr>
      <w:r>
        <w:rPr>
          <w:rFonts w:ascii="仿宋_GB2312" w:eastAsia="仿宋_GB2312" w:cs="仿宋_GB2312"/>
          <w:color w:val="000000"/>
          <w:spacing w:val="-8"/>
          <w:sz w:val="32"/>
          <w:szCs w:val="32"/>
        </w:rPr>
        <w:br w:type="page"/>
      </w:r>
      <w:r>
        <w:rPr>
          <w:rFonts w:hint="eastAsia" w:ascii="黑体" w:eastAsia="黑体"/>
          <w:sz w:val="32"/>
          <w:szCs w:val="32"/>
        </w:rPr>
        <w:t>附件</w:t>
      </w:r>
      <w:r>
        <w:rPr>
          <w:rFonts w:ascii="黑体" w:eastAsia="黑体"/>
          <w:sz w:val="32"/>
          <w:szCs w:val="32"/>
        </w:rPr>
        <w:t>1</w:t>
      </w:r>
      <w:r>
        <w:rPr>
          <w:rFonts w:hint="eastAsia" w:ascii="黑体" w:eastAsia="黑体"/>
          <w:sz w:val="32"/>
          <w:szCs w:val="32"/>
        </w:rPr>
        <w:t>:</w:t>
      </w:r>
    </w:p>
    <w:p>
      <w:pPr>
        <w:pageBreakBefore w:val="0"/>
        <w:kinsoku/>
        <w:overflowPunct/>
        <w:topLinePunct w:val="0"/>
        <w:autoSpaceDE/>
        <w:autoSpaceDN/>
        <w:bidi w:val="0"/>
        <w:ind w:right="1503"/>
        <w:jc w:val="center"/>
        <w:outlineLvl w:val="9"/>
        <w:rPr>
          <w:rFonts w:eastAsia="楷体_GB2312"/>
          <w:sz w:val="30"/>
          <w:szCs w:val="30"/>
        </w:rPr>
      </w:pPr>
      <w:bookmarkStart w:id="1765" w:name="_Toc4935_WPSOffice_Level1"/>
      <w:r>
        <w:rPr>
          <w:rFonts w:hint="eastAsia" w:eastAsia="楷体_GB2312" w:cs="楷体_GB2312"/>
          <w:sz w:val="30"/>
          <w:szCs w:val="30"/>
        </w:rPr>
        <w:t>编号</w:t>
      </w:r>
      <w:r>
        <w:rPr>
          <w:rFonts w:eastAsia="楷体_GB2312"/>
          <w:sz w:val="30"/>
          <w:szCs w:val="30"/>
        </w:rPr>
        <w:t>/No.</w:t>
      </w:r>
      <w:r>
        <w:rPr>
          <w:rFonts w:hint="eastAsia" w:eastAsia="楷体_GB2312" w:cs="楷体_GB2312"/>
          <w:sz w:val="30"/>
          <w:szCs w:val="30"/>
        </w:rPr>
        <w:t>：</w:t>
      </w:r>
      <w:bookmarkEnd w:id="1765"/>
    </w:p>
    <w:p>
      <w:pPr>
        <w:pageBreakBefore w:val="0"/>
        <w:kinsoku/>
        <w:overflowPunct/>
        <w:topLinePunct w:val="0"/>
        <w:autoSpaceDE/>
        <w:autoSpaceDN/>
        <w:bidi w:val="0"/>
        <w:jc w:val="center"/>
        <w:outlineLvl w:val="9"/>
        <w:rPr>
          <w:rFonts w:eastAsia="楷体_GB2312"/>
          <w:b/>
          <w:bCs/>
          <w:sz w:val="44"/>
          <w:szCs w:val="44"/>
        </w:rPr>
      </w:pPr>
    </w:p>
    <w:p>
      <w:pPr>
        <w:pageBreakBefore w:val="0"/>
        <w:kinsoku/>
        <w:overflowPunct/>
        <w:topLinePunct w:val="0"/>
        <w:autoSpaceDE/>
        <w:autoSpaceDN/>
        <w:bidi w:val="0"/>
        <w:jc w:val="center"/>
        <w:outlineLvl w:val="9"/>
        <w:rPr>
          <w:rFonts w:eastAsia="楷体_GB2312"/>
          <w:b/>
          <w:bCs/>
          <w:sz w:val="44"/>
          <w:szCs w:val="44"/>
        </w:rPr>
      </w:pPr>
      <w:r>
        <w:rPr>
          <w:rFonts w:hint="eastAsia" w:eastAsia="楷体_GB2312" w:cs="楷体_GB2312"/>
          <w:b/>
          <w:bCs/>
          <w:sz w:val="44"/>
          <w:szCs w:val="44"/>
        </w:rPr>
        <w:t>柳州职业技术学院</w:t>
      </w:r>
    </w:p>
    <w:p>
      <w:pPr>
        <w:pageBreakBefore w:val="0"/>
        <w:kinsoku/>
        <w:overflowPunct/>
        <w:topLinePunct w:val="0"/>
        <w:autoSpaceDE/>
        <w:autoSpaceDN/>
        <w:bidi w:val="0"/>
        <w:jc w:val="center"/>
        <w:outlineLvl w:val="9"/>
        <w:rPr>
          <w:rFonts w:eastAsia="楷体_GB2312"/>
          <w:b/>
          <w:bCs/>
          <w:sz w:val="44"/>
          <w:szCs w:val="44"/>
        </w:rPr>
      </w:pPr>
    </w:p>
    <w:p>
      <w:pPr>
        <w:pageBreakBefore w:val="0"/>
        <w:kinsoku/>
        <w:overflowPunct/>
        <w:topLinePunct w:val="0"/>
        <w:autoSpaceDE/>
        <w:autoSpaceDN/>
        <w:bidi w:val="0"/>
        <w:jc w:val="center"/>
        <w:outlineLvl w:val="9"/>
        <w:rPr>
          <w:rFonts w:ascii="黑体" w:hAnsi="华文中宋" w:eastAsia="黑体"/>
          <w:b/>
          <w:bCs/>
          <w:sz w:val="44"/>
          <w:szCs w:val="44"/>
        </w:rPr>
      </w:pPr>
      <w:r>
        <w:rPr>
          <w:rFonts w:hint="eastAsia" w:ascii="黑体" w:hAnsi="华文中宋" w:eastAsia="黑体" w:cs="黑体"/>
          <w:b/>
          <w:bCs/>
          <w:sz w:val="44"/>
          <w:szCs w:val="44"/>
        </w:rPr>
        <w:t>国际学生新生奖学金申请表</w:t>
      </w:r>
    </w:p>
    <w:p>
      <w:pPr>
        <w:pageBreakBefore w:val="0"/>
        <w:kinsoku/>
        <w:overflowPunct/>
        <w:topLinePunct w:val="0"/>
        <w:autoSpaceDE/>
        <w:autoSpaceDN/>
        <w:bidi w:val="0"/>
        <w:jc w:val="center"/>
        <w:outlineLvl w:val="9"/>
        <w:rPr>
          <w:rFonts w:ascii="楷体_GB2312" w:eastAsia="楷体_GB2312"/>
          <w:b/>
          <w:bCs/>
          <w:szCs w:val="28"/>
        </w:rPr>
      </w:pPr>
      <w:r>
        <w:rPr>
          <w:b/>
          <w:bCs/>
          <w:color w:val="1B1B1B"/>
          <w:kern w:val="0"/>
          <w:szCs w:val="28"/>
          <w:u w:val="single"/>
        </w:rPr>
        <w:t>International Student Scholarship Application Form for Freshmen</w:t>
      </w:r>
    </w:p>
    <w:p>
      <w:pPr>
        <w:pageBreakBefore w:val="0"/>
        <w:kinsoku/>
        <w:overflowPunct/>
        <w:topLinePunct w:val="0"/>
        <w:autoSpaceDE/>
        <w:autoSpaceDN/>
        <w:bidi w:val="0"/>
        <w:spacing w:line="480" w:lineRule="auto"/>
        <w:outlineLvl w:val="9"/>
        <w:rPr>
          <w:rFonts w:hint="eastAsia" w:ascii="仿宋_GB2312" w:eastAsia="仿宋_GB2312"/>
          <w:sz w:val="32"/>
          <w:szCs w:val="32"/>
        </w:rPr>
      </w:pPr>
    </w:p>
    <w:p>
      <w:pPr>
        <w:pageBreakBefore w:val="0"/>
        <w:kinsoku/>
        <w:overflowPunct/>
        <w:topLinePunct w:val="0"/>
        <w:autoSpaceDE/>
        <w:autoSpaceDN/>
        <w:bidi w:val="0"/>
        <w:spacing w:line="480" w:lineRule="auto"/>
        <w:ind w:firstLine="640" w:firstLineChars="200"/>
        <w:outlineLvl w:val="9"/>
        <w:rPr>
          <w:rFonts w:ascii="仿宋_GB2312" w:eastAsia="仿宋_GB2312"/>
          <w:sz w:val="32"/>
          <w:szCs w:val="32"/>
          <w:u w:val="thick"/>
        </w:rPr>
      </w:pPr>
      <w:r>
        <w:rPr>
          <w:rFonts w:hint="eastAsia" w:ascii="仿宋_GB2312" w:eastAsia="仿宋_GB2312" w:cs="仿宋_GB2312"/>
          <w:sz w:val="32"/>
          <w:szCs w:val="32"/>
        </w:rPr>
        <w:t>学生姓名</w:t>
      </w:r>
      <w:r>
        <w:rPr>
          <w:rFonts w:ascii="仿宋_GB2312" w:eastAsia="仿宋_GB2312" w:cs="仿宋_GB2312"/>
          <w:sz w:val="32"/>
          <w:szCs w:val="32"/>
        </w:rPr>
        <w:t>/CANDIDATE NAME:</w:t>
      </w:r>
    </w:p>
    <w:p>
      <w:pPr>
        <w:pageBreakBefore w:val="0"/>
        <w:kinsoku/>
        <w:overflowPunct/>
        <w:topLinePunct w:val="0"/>
        <w:autoSpaceDE/>
        <w:autoSpaceDN/>
        <w:bidi w:val="0"/>
        <w:spacing w:line="480" w:lineRule="auto"/>
        <w:ind w:firstLine="1280" w:firstLineChars="400"/>
        <w:outlineLvl w:val="9"/>
        <w:rPr>
          <w:rFonts w:ascii="仿宋_GB2312" w:eastAsia="仿宋_GB2312"/>
          <w:b/>
          <w:bCs/>
          <w:sz w:val="32"/>
          <w:szCs w:val="32"/>
          <w:u w:val="thick"/>
        </w:rPr>
      </w:pPr>
      <w:r>
        <w:rPr>
          <w:rFonts w:hint="eastAsia" w:ascii="仿宋_GB2312" w:eastAsia="仿宋_GB2312" w:cs="仿宋_GB2312"/>
          <w:sz w:val="32"/>
          <w:szCs w:val="32"/>
        </w:rPr>
        <w:t>二级学院</w:t>
      </w:r>
      <w:r>
        <w:rPr>
          <w:rFonts w:ascii="仿宋_GB2312" w:eastAsia="仿宋_GB2312" w:cs="仿宋_GB2312"/>
          <w:sz w:val="32"/>
          <w:szCs w:val="32"/>
        </w:rPr>
        <w:t>/DEPARTMENT:</w:t>
      </w:r>
    </w:p>
    <w:p>
      <w:pPr>
        <w:pageBreakBefore w:val="0"/>
        <w:kinsoku/>
        <w:overflowPunct/>
        <w:topLinePunct w:val="0"/>
        <w:autoSpaceDE/>
        <w:autoSpaceDN/>
        <w:bidi w:val="0"/>
        <w:spacing w:line="480" w:lineRule="auto"/>
        <w:ind w:firstLine="2080" w:firstLineChars="650"/>
        <w:outlineLvl w:val="9"/>
        <w:rPr>
          <w:rFonts w:ascii="仿宋_GB2312" w:eastAsia="仿宋_GB2312"/>
          <w:sz w:val="32"/>
          <w:szCs w:val="32"/>
        </w:rPr>
      </w:pPr>
      <w:r>
        <w:rPr>
          <w:rFonts w:hint="eastAsia" w:ascii="仿宋_GB2312" w:eastAsia="仿宋_GB2312" w:cs="仿宋_GB2312"/>
          <w:sz w:val="32"/>
          <w:szCs w:val="32"/>
        </w:rPr>
        <w:t>专业名称</w:t>
      </w:r>
      <w:r>
        <w:rPr>
          <w:rFonts w:ascii="仿宋_GB2312" w:eastAsia="仿宋_GB2312" w:cs="仿宋_GB2312"/>
          <w:sz w:val="32"/>
          <w:szCs w:val="32"/>
        </w:rPr>
        <w:t>/MAJOR:</w:t>
      </w: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ascii="楷体_GB2312" w:eastAsia="楷体_GB2312"/>
          <w:b/>
          <w:bCs/>
          <w:sz w:val="24"/>
          <w:u w:val="thick"/>
        </w:rPr>
      </w:pPr>
      <w:r>
        <w:rPr>
          <w:rFonts w:hint="eastAsia" w:ascii="楷体_GB2312" w:eastAsia="楷体_GB2312" w:cs="楷体_GB2312"/>
          <w:sz w:val="24"/>
        </w:rPr>
        <w:t>填报日期</w:t>
      </w:r>
      <w:r>
        <w:rPr>
          <w:rFonts w:ascii="楷体_GB2312" w:eastAsia="楷体_GB2312" w:cs="楷体_GB2312"/>
          <w:sz w:val="24"/>
        </w:rPr>
        <w:t>/DATE</w:t>
      </w:r>
      <w:r>
        <w:rPr>
          <w:rFonts w:hint="eastAsia" w:ascii="楷体_GB2312" w:eastAsia="楷体_GB2312" w:cs="楷体_GB2312"/>
          <w:sz w:val="24"/>
        </w:rPr>
        <w:t>：年</w:t>
      </w:r>
      <w:r>
        <w:rPr>
          <w:rFonts w:ascii="楷体_GB2312" w:eastAsia="楷体_GB2312" w:cs="楷体_GB2312"/>
          <w:sz w:val="24"/>
        </w:rPr>
        <w:t xml:space="preserve">/YEAR    </w:t>
      </w:r>
      <w:r>
        <w:rPr>
          <w:rFonts w:hint="eastAsia" w:ascii="楷体_GB2312" w:eastAsia="楷体_GB2312" w:cs="楷体_GB2312"/>
          <w:sz w:val="24"/>
        </w:rPr>
        <w:t>月</w:t>
      </w:r>
      <w:r>
        <w:rPr>
          <w:rFonts w:ascii="楷体_GB2312" w:eastAsia="楷体_GB2312" w:cs="楷体_GB2312"/>
          <w:sz w:val="24"/>
        </w:rPr>
        <w:t xml:space="preserve">/MONTH   </w:t>
      </w:r>
      <w:r>
        <w:rPr>
          <w:rFonts w:hint="eastAsia" w:ascii="楷体_GB2312" w:eastAsia="楷体_GB2312" w:cs="楷体_GB2312"/>
          <w:sz w:val="24"/>
        </w:rPr>
        <w:t>日</w:t>
      </w:r>
      <w:r>
        <w:rPr>
          <w:rFonts w:ascii="楷体_GB2312" w:eastAsia="楷体_GB2312" w:cs="楷体_GB2312"/>
          <w:sz w:val="24"/>
        </w:rPr>
        <w:t>/DAY</w:t>
      </w: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spacing w:line="300" w:lineRule="exact"/>
        <w:jc w:val="center"/>
        <w:outlineLvl w:val="9"/>
        <w:rPr>
          <w:rFonts w:ascii="楷体_GB2312" w:eastAsia="楷体_GB2312"/>
          <w:szCs w:val="28"/>
        </w:rPr>
      </w:pPr>
      <w:r>
        <w:rPr>
          <w:rFonts w:hint="eastAsia" w:ascii="楷体_GB2312" w:eastAsia="楷体_GB2312" w:cs="楷体_GB2312"/>
          <w:szCs w:val="28"/>
        </w:rPr>
        <w:t>柳州职业技术学院</w:t>
      </w:r>
    </w:p>
    <w:p>
      <w:pPr>
        <w:pageBreakBefore w:val="0"/>
        <w:kinsoku/>
        <w:overflowPunct/>
        <w:topLinePunct w:val="0"/>
        <w:autoSpaceDE/>
        <w:autoSpaceDN/>
        <w:bidi w:val="0"/>
        <w:spacing w:line="300" w:lineRule="exact"/>
        <w:ind w:firstLine="1680" w:firstLineChars="700"/>
        <w:outlineLvl w:val="9"/>
        <w:rPr>
          <w:rFonts w:ascii="楷体_GB2312" w:eastAsia="楷体_GB2312" w:cs="楷体_GB2312"/>
          <w:sz w:val="24"/>
        </w:rPr>
      </w:pPr>
      <w:r>
        <w:rPr>
          <w:rFonts w:hint="eastAsia" w:ascii="楷体_GB2312" w:eastAsia="楷体_GB2312" w:cs="楷体_GB2312"/>
          <w:sz w:val="24"/>
        </w:rPr>
        <w:t>LIUZHOU</w:t>
      </w:r>
      <w:r>
        <w:rPr>
          <w:rFonts w:ascii="楷体_GB2312" w:eastAsia="楷体_GB2312" w:cs="楷体_GB2312"/>
          <w:sz w:val="24"/>
        </w:rPr>
        <w:t xml:space="preserve"> VOCATIONAL &amp; TECHNICAL COLLE</w:t>
      </w:r>
      <w:r>
        <w:rPr>
          <w:rFonts w:hint="eastAsia" w:ascii="楷体_GB2312" w:eastAsia="楷体_GB2312" w:cs="楷体_GB2312"/>
          <w:sz w:val="24"/>
        </w:rPr>
        <w:t>GE</w:t>
      </w:r>
      <w:r>
        <w:rPr>
          <w:rFonts w:ascii="楷体_GB2312" w:eastAsia="楷体_GB2312" w:cs="楷体_GB2312"/>
          <w:sz w:val="24"/>
        </w:rPr>
        <w:br w:type="page"/>
      </w:r>
    </w:p>
    <w:p>
      <w:pPr>
        <w:pageBreakBefore w:val="0"/>
        <w:kinsoku/>
        <w:overflowPunct/>
        <w:topLinePunct w:val="0"/>
        <w:autoSpaceDE/>
        <w:autoSpaceDN/>
        <w:bidi w:val="0"/>
        <w:spacing w:line="300" w:lineRule="exact"/>
        <w:outlineLvl w:val="9"/>
        <w:rPr>
          <w:b/>
          <w:bCs/>
          <w:szCs w:val="28"/>
        </w:rPr>
      </w:pPr>
      <w:r>
        <w:rPr>
          <w:rFonts w:hint="eastAsia" w:ascii="仿宋_GB2312" w:eastAsia="仿宋_GB2312" w:cs="仿宋_GB2312"/>
          <w:b/>
          <w:bCs/>
          <w:szCs w:val="28"/>
        </w:rPr>
        <w:t>申请人保证</w:t>
      </w:r>
      <w:r>
        <w:rPr>
          <w:rFonts w:ascii="仿宋_GB2312" w:eastAsia="仿宋_GB2312" w:cs="仿宋_GB2312"/>
          <w:b/>
          <w:bCs/>
          <w:szCs w:val="28"/>
        </w:rPr>
        <w:t>/</w:t>
      </w:r>
      <w:r>
        <w:rPr>
          <w:b/>
          <w:bCs/>
          <w:szCs w:val="28"/>
        </w:rPr>
        <w:t>I Hereby Affirm That</w:t>
      </w:r>
    </w:p>
    <w:p>
      <w:pPr>
        <w:pageBreakBefore w:val="0"/>
        <w:kinsoku/>
        <w:overflowPunct/>
        <w:topLinePunct w:val="0"/>
        <w:autoSpaceDE/>
        <w:autoSpaceDN/>
        <w:bidi w:val="0"/>
        <w:spacing w:line="320" w:lineRule="exact"/>
        <w:jc w:val="center"/>
        <w:outlineLvl w:val="9"/>
        <w:rPr>
          <w:b/>
          <w:bCs/>
          <w:sz w:val="24"/>
        </w:rPr>
      </w:pPr>
    </w:p>
    <w:p>
      <w:pPr>
        <w:pageBreakBefore w:val="0"/>
        <w:kinsoku/>
        <w:overflowPunct/>
        <w:topLinePunct w:val="0"/>
        <w:autoSpaceDE/>
        <w:autoSpaceDN/>
        <w:bidi w:val="0"/>
        <w:spacing w:line="320" w:lineRule="exact"/>
        <w:jc w:val="center"/>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1. </w:t>
      </w:r>
      <w:r>
        <w:rPr>
          <w:rFonts w:hint="eastAsia" w:ascii="仿宋_GB2312" w:eastAsia="仿宋_GB2312" w:cs="仿宋_GB2312"/>
          <w:sz w:val="24"/>
        </w:rPr>
        <w:t>申请表中所填写的内容和提供的材料真实无误。</w:t>
      </w:r>
    </w:p>
    <w:p>
      <w:pPr>
        <w:pageBreakBefore w:val="0"/>
        <w:kinsoku/>
        <w:overflowPunct/>
        <w:topLinePunct w:val="0"/>
        <w:autoSpaceDE/>
        <w:autoSpaceDN/>
        <w:bidi w:val="0"/>
        <w:spacing w:line="320" w:lineRule="exact"/>
        <w:outlineLvl w:val="9"/>
        <w:rPr>
          <w:sz w:val="24"/>
        </w:rPr>
      </w:pPr>
      <w:r>
        <w:rPr>
          <w:sz w:val="24"/>
        </w:rPr>
        <w:t>All information and materials given in this form are true and correct.</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2. </w:t>
      </w:r>
      <w:r>
        <w:rPr>
          <w:rFonts w:hint="eastAsia" w:ascii="仿宋_GB2312" w:eastAsia="仿宋_GB2312" w:cs="仿宋_GB2312"/>
          <w:sz w:val="24"/>
        </w:rPr>
        <w:t>在华期间，遵守中国的法律、法规，不从事任何危害中国社会秩序的、与本人来华学习身份不符合的活动。</w:t>
      </w:r>
    </w:p>
    <w:p>
      <w:pPr>
        <w:pageBreakBefore w:val="0"/>
        <w:kinsoku/>
        <w:overflowPunct/>
        <w:topLinePunct w:val="0"/>
        <w:autoSpaceDE/>
        <w:autoSpaceDN/>
        <w:bidi w:val="0"/>
        <w:spacing w:line="320" w:lineRule="exact"/>
        <w:outlineLvl w:val="9"/>
        <w:rPr>
          <w:sz w:val="24"/>
        </w:rPr>
      </w:pPr>
      <w:r>
        <w:rPr>
          <w:sz w:val="24"/>
        </w:rPr>
        <w:t>During my stay in China, I shall abide by the laws and decrees of the Chinese government, and will not participate in any activities in China which are deemed to be adverse to the social order of China and are inappropriate to the capacity as a student.</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3. </w:t>
      </w:r>
      <w:r>
        <w:rPr>
          <w:rFonts w:hint="eastAsia" w:ascii="仿宋_GB2312" w:eastAsia="仿宋_GB2312" w:cs="仿宋_GB2312"/>
          <w:sz w:val="24"/>
        </w:rPr>
        <w:t>在学期间，遵守学校的校纪、校规，全力投入学习和研究工作，尊重学校的教学安排。</w:t>
      </w:r>
    </w:p>
    <w:p>
      <w:pPr>
        <w:pageBreakBefore w:val="0"/>
        <w:kinsoku/>
        <w:overflowPunct/>
        <w:topLinePunct w:val="0"/>
        <w:autoSpaceDE/>
        <w:autoSpaceDN/>
        <w:bidi w:val="0"/>
        <w:spacing w:line="320" w:lineRule="exact"/>
        <w:outlineLvl w:val="9"/>
        <w:rPr>
          <w:sz w:val="24"/>
        </w:rPr>
      </w:pPr>
      <w:r>
        <w:rPr>
          <w:sz w:val="24"/>
        </w:rPr>
        <w:t>During my study in China, I shall abide by the rules and regulations of the host university, and concentrate on my studies and researches, and follow the teaching programs arranged by the university.</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4. </w:t>
      </w:r>
      <w:r>
        <w:rPr>
          <w:rFonts w:hint="eastAsia" w:ascii="仿宋_GB2312" w:eastAsia="仿宋_GB2312" w:cs="仿宋_GB2312"/>
          <w:sz w:val="24"/>
        </w:rPr>
        <w:t>按规定期限修完学业，按期回国，不无故在华滞留。</w:t>
      </w:r>
      <w:r>
        <w:rPr>
          <w:rFonts w:hint="eastAsia" w:cs="宋体"/>
          <w:sz w:val="24"/>
        </w:rPr>
        <w:t>　</w:t>
      </w:r>
    </w:p>
    <w:p>
      <w:pPr>
        <w:pageBreakBefore w:val="0"/>
        <w:kinsoku/>
        <w:overflowPunct/>
        <w:topLinePunct w:val="0"/>
        <w:autoSpaceDE/>
        <w:autoSpaceDN/>
        <w:bidi w:val="0"/>
        <w:spacing w:line="320" w:lineRule="exact"/>
        <w:outlineLvl w:val="9"/>
        <w:rPr>
          <w:sz w:val="24"/>
        </w:rPr>
      </w:pPr>
      <w:r>
        <w:rPr>
          <w:sz w:val="24"/>
        </w:rPr>
        <w:t>I shall return to my home country as soon as I complete my scheduled program in China, and will not extend my stay without valid reasons.</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5. </w:t>
      </w:r>
      <w:r>
        <w:rPr>
          <w:rFonts w:hint="eastAsia" w:ascii="仿宋_GB2312" w:eastAsia="仿宋_GB2312" w:cs="仿宋_GB2312"/>
          <w:sz w:val="24"/>
        </w:rPr>
        <w:t>如违反上述保证而受到中国法律、法规或校纪、校规的惩处，我愿意接受中止或取消奖学金及其它相应的处罚。</w:t>
      </w:r>
    </w:p>
    <w:p>
      <w:pPr>
        <w:pageBreakBefore w:val="0"/>
        <w:kinsoku/>
        <w:overflowPunct/>
        <w:topLinePunct w:val="0"/>
        <w:autoSpaceDE/>
        <w:autoSpaceDN/>
        <w:bidi w:val="0"/>
        <w:spacing w:line="320" w:lineRule="exact"/>
        <w:outlineLvl w:val="9"/>
        <w:rPr>
          <w:sz w:val="24"/>
        </w:rPr>
      </w:pPr>
      <w:r>
        <w:rPr>
          <w:sz w:val="24"/>
        </w:rPr>
        <w:t>If I am judged by the Chinese laws and decrees and the rules and regulations of the university as having violated any of the above, I will not lodge any appeal against the decision of withdrawing my scholarship, or other penalties.</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rFonts w:hint="eastAsia" w:ascii="仿宋_GB2312" w:eastAsia="仿宋_GB2312" w:cs="仿宋_GB2312"/>
          <w:sz w:val="24"/>
        </w:rPr>
        <w:t>申请人签字</w:t>
      </w:r>
      <w:r>
        <w:rPr>
          <w:sz w:val="24"/>
        </w:rPr>
        <w:t xml:space="preserve">/Signature of Applicant:____________________________ </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rFonts w:hint="eastAsia" w:ascii="仿宋_GB2312" w:eastAsia="仿宋_GB2312" w:cs="仿宋_GB2312"/>
          <w:sz w:val="24"/>
        </w:rPr>
        <w:t>日期</w:t>
      </w:r>
      <w:r>
        <w:rPr>
          <w:sz w:val="24"/>
        </w:rPr>
        <w:t>/Date:____________________</w:t>
      </w: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jc w:val="center"/>
        <w:outlineLvl w:val="9"/>
        <w:rPr>
          <w:rFonts w:ascii="楷体_GB2312" w:eastAsia="楷体_GB2312"/>
          <w:szCs w:val="28"/>
        </w:rPr>
      </w:pPr>
    </w:p>
    <w:tbl>
      <w:tblPr>
        <w:tblStyle w:val="14"/>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
        <w:gridCol w:w="306"/>
        <w:gridCol w:w="2576"/>
        <w:gridCol w:w="3969"/>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exact"/>
          <w:jc w:val="center"/>
        </w:trPr>
        <w:tc>
          <w:tcPr>
            <w:tcW w:w="7196" w:type="dxa"/>
            <w:gridSpan w:val="4"/>
            <w:noWrap w:val="0"/>
            <w:vAlign w:val="center"/>
          </w:tcPr>
          <w:p>
            <w:pPr>
              <w:pageBreakBefore w:val="0"/>
              <w:numPr>
                <w:ilvl w:val="0"/>
                <w:numId w:val="15"/>
              </w:numPr>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申请人基本情况</w:t>
            </w:r>
            <w:r>
              <w:rPr>
                <w:rFonts w:eastAsia="仿宋_GB2312"/>
                <w:b/>
                <w:bCs/>
                <w:sz w:val="24"/>
              </w:rPr>
              <w:t>/Information of the Candidate</w:t>
            </w:r>
          </w:p>
        </w:tc>
        <w:tc>
          <w:tcPr>
            <w:tcW w:w="1732" w:type="dxa"/>
            <w:vMerge w:val="restart"/>
            <w:noWrap w:val="0"/>
            <w:vAlign w:val="center"/>
          </w:tcPr>
          <w:p>
            <w:pPr>
              <w:pageBreakBefore w:val="0"/>
              <w:widowControl/>
              <w:kinsoku/>
              <w:overflowPunct/>
              <w:topLinePunct w:val="0"/>
              <w:autoSpaceDE/>
              <w:autoSpaceDN/>
              <w:bidi w:val="0"/>
              <w:jc w:val="center"/>
              <w:outlineLvl w:val="9"/>
              <w:rPr>
                <w:rFonts w:eastAsia="仿宋_GB2312"/>
                <w:sz w:val="24"/>
              </w:rPr>
            </w:pPr>
            <w:r>
              <w:rPr>
                <w:rFonts w:hint="eastAsia" w:eastAsia="仿宋_GB2312" w:cs="仿宋_GB2312"/>
                <w:sz w:val="24"/>
              </w:rPr>
              <w:t>照片</w:t>
            </w:r>
          </w:p>
          <w:p>
            <w:pPr>
              <w:pageBreakBefore w:val="0"/>
              <w:kinsoku/>
              <w:overflowPunct/>
              <w:topLinePunct w:val="0"/>
              <w:autoSpaceDE/>
              <w:autoSpaceDN/>
              <w:bidi w:val="0"/>
              <w:spacing w:line="280" w:lineRule="exact"/>
              <w:jc w:val="center"/>
              <w:outlineLvl w:val="9"/>
              <w:rPr>
                <w:rFonts w:eastAsia="仿宋_GB2312"/>
              </w:rPr>
            </w:pPr>
            <w:r>
              <w:rPr>
                <w:rFonts w:eastAsia="仿宋_GB2312"/>
              </w:rPr>
              <w:t>(</w:t>
            </w:r>
            <w:r>
              <w:rPr>
                <w:rFonts w:hint="eastAsia" w:eastAsia="仿宋_GB2312" w:cs="仿宋_GB2312"/>
              </w:rPr>
              <w:t>小二寸</w:t>
            </w:r>
            <w:r>
              <w:rPr>
                <w:rFonts w:eastAsia="仿宋_GB2312"/>
              </w:rPr>
              <w:t>)</w:t>
            </w:r>
          </w:p>
          <w:p>
            <w:pPr>
              <w:pageBreakBefore w:val="0"/>
              <w:kinsoku/>
              <w:overflowPunct/>
              <w:topLinePunct w:val="0"/>
              <w:autoSpaceDE/>
              <w:autoSpaceDN/>
              <w:bidi w:val="0"/>
              <w:spacing w:line="280" w:lineRule="exact"/>
              <w:jc w:val="center"/>
              <w:outlineLvl w:val="9"/>
              <w:rPr>
                <w:rFonts w:eastAsia="仿宋_GB2312"/>
                <w:sz w:val="24"/>
              </w:rPr>
            </w:pPr>
            <w:r>
              <w:rPr>
                <w:rFonts w:eastAsia="仿宋_GB2312"/>
              </w:rPr>
              <w:t>35mm×45mm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3227" w:type="dxa"/>
            <w:gridSpan w:val="3"/>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姓</w:t>
            </w:r>
            <w:r>
              <w:rPr>
                <w:rFonts w:eastAsia="仿宋_GB2312"/>
                <w:sz w:val="24"/>
              </w:rPr>
              <w:t>/Family Name:</w:t>
            </w:r>
          </w:p>
        </w:tc>
        <w:tc>
          <w:tcPr>
            <w:tcW w:w="3969" w:type="dxa"/>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名</w:t>
            </w:r>
            <w:r>
              <w:rPr>
                <w:rFonts w:eastAsia="仿宋_GB2312"/>
                <w:sz w:val="24"/>
              </w:rPr>
              <w:t>/Given Name:</w:t>
            </w:r>
          </w:p>
        </w:tc>
        <w:tc>
          <w:tcPr>
            <w:tcW w:w="1732" w:type="dxa"/>
            <w:vMerge w:val="continue"/>
            <w:noWrap w:val="0"/>
            <w:vAlign w:val="top"/>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6" w:hRule="exact"/>
          <w:jc w:val="center"/>
        </w:trPr>
        <w:tc>
          <w:tcPr>
            <w:tcW w:w="3227" w:type="dxa"/>
            <w:gridSpan w:val="3"/>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性别</w:t>
            </w:r>
            <w:r>
              <w:rPr>
                <w:rFonts w:eastAsia="仿宋_GB2312"/>
                <w:sz w:val="24"/>
              </w:rPr>
              <w:t>/Gender:</w:t>
            </w:r>
          </w:p>
        </w:tc>
        <w:tc>
          <w:tcPr>
            <w:tcW w:w="3969" w:type="dxa"/>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国籍</w:t>
            </w:r>
            <w:r>
              <w:rPr>
                <w:rFonts w:eastAsia="仿宋_GB2312"/>
                <w:sz w:val="24"/>
              </w:rPr>
              <w:t>/Nationality:</w:t>
            </w:r>
          </w:p>
        </w:tc>
        <w:tc>
          <w:tcPr>
            <w:tcW w:w="1732" w:type="dxa"/>
            <w:vMerge w:val="continue"/>
            <w:noWrap w:val="0"/>
            <w:vAlign w:val="top"/>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3227" w:type="dxa"/>
            <w:gridSpan w:val="3"/>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出生日期</w:t>
            </w:r>
            <w:r>
              <w:rPr>
                <w:rFonts w:eastAsia="仿宋_GB2312"/>
                <w:sz w:val="24"/>
              </w:rPr>
              <w:t>/D.O.B.:</w:t>
            </w:r>
          </w:p>
        </w:tc>
        <w:tc>
          <w:tcPr>
            <w:tcW w:w="3969" w:type="dxa"/>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护照号码</w:t>
            </w:r>
            <w:r>
              <w:rPr>
                <w:rFonts w:eastAsia="仿宋_GB2312"/>
                <w:sz w:val="24"/>
              </w:rPr>
              <w:t>/Passport No.:</w:t>
            </w:r>
          </w:p>
        </w:tc>
        <w:tc>
          <w:tcPr>
            <w:tcW w:w="1732" w:type="dxa"/>
            <w:vMerge w:val="continue"/>
            <w:noWrap w:val="0"/>
            <w:vAlign w:val="top"/>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jc w:val="center"/>
        </w:trPr>
        <w:tc>
          <w:tcPr>
            <w:tcW w:w="8928" w:type="dxa"/>
            <w:gridSpan w:val="5"/>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eastAsia="仿宋_GB2312"/>
                <w:b/>
                <w:bCs/>
                <w:sz w:val="24"/>
              </w:rPr>
              <w:t xml:space="preserve">2. </w:t>
            </w:r>
            <w:r>
              <w:rPr>
                <w:rFonts w:hint="eastAsia" w:eastAsia="仿宋_GB2312" w:cs="仿宋_GB2312"/>
                <w:b/>
                <w:bCs/>
                <w:sz w:val="24"/>
              </w:rPr>
              <w:t>所在学院</w:t>
            </w:r>
            <w:r>
              <w:rPr>
                <w:rFonts w:eastAsia="仿宋_GB2312"/>
                <w:b/>
                <w:bCs/>
                <w:sz w:val="24"/>
              </w:rPr>
              <w:t>/Department</w:t>
            </w:r>
            <w:r>
              <w:rPr>
                <w:rFonts w:hint="eastAsia" w:eastAsia="仿宋_GB2312" w:cs="仿宋_GB2312"/>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atLeast"/>
          <w:jc w:val="center"/>
        </w:trPr>
        <w:tc>
          <w:tcPr>
            <w:tcW w:w="345" w:type="dxa"/>
            <w:vMerge w:val="restart"/>
            <w:noWrap w:val="0"/>
            <w:vAlign w:val="center"/>
          </w:tcPr>
          <w:p>
            <w:pPr>
              <w:pageBreakBefore w:val="0"/>
              <w:kinsoku/>
              <w:overflowPunct/>
              <w:topLinePunct w:val="0"/>
              <w:autoSpaceDE/>
              <w:autoSpaceDN/>
              <w:bidi w:val="0"/>
              <w:spacing w:line="280" w:lineRule="exact"/>
              <w:jc w:val="center"/>
              <w:outlineLvl w:val="9"/>
              <w:rPr>
                <w:rFonts w:eastAsia="仿宋_GB2312"/>
                <w:b/>
                <w:bCs/>
                <w:sz w:val="24"/>
              </w:rPr>
            </w:pPr>
            <w:r>
              <w:rPr>
                <w:rFonts w:hint="eastAsia" w:eastAsia="仿宋_GB2312"/>
                <w:b/>
                <w:bCs/>
                <w:sz w:val="24"/>
              </w:rPr>
              <w:t>3</w:t>
            </w:r>
          </w:p>
        </w:tc>
        <w:tc>
          <w:tcPr>
            <w:tcW w:w="8583" w:type="dxa"/>
            <w:gridSpan w:val="4"/>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专业</w:t>
            </w:r>
            <w:r>
              <w:rPr>
                <w:rFonts w:eastAsia="仿宋_GB2312"/>
                <w:b/>
                <w:bCs/>
                <w:sz w:val="24"/>
              </w:rPr>
              <w:t xml:space="preserve">/Major: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jc w:val="center"/>
        </w:trPr>
        <w:tc>
          <w:tcPr>
            <w:tcW w:w="345" w:type="dxa"/>
            <w:vMerge w:val="continue"/>
            <w:noWrap w:val="0"/>
            <w:vAlign w:val="center"/>
          </w:tcPr>
          <w:p>
            <w:pPr>
              <w:pageBreakBefore w:val="0"/>
              <w:kinsoku/>
              <w:overflowPunct/>
              <w:topLinePunct w:val="0"/>
              <w:autoSpaceDE/>
              <w:autoSpaceDN/>
              <w:bidi w:val="0"/>
              <w:spacing w:line="280" w:lineRule="exact"/>
              <w:outlineLvl w:val="9"/>
              <w:rPr>
                <w:rFonts w:eastAsia="仿宋_GB2312"/>
                <w:sz w:val="24"/>
              </w:rPr>
            </w:pPr>
          </w:p>
        </w:tc>
        <w:tc>
          <w:tcPr>
            <w:tcW w:w="8583" w:type="dxa"/>
            <w:gridSpan w:val="4"/>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入学时间</w:t>
            </w:r>
            <w:r>
              <w:rPr>
                <w:rFonts w:eastAsia="仿宋_GB2312"/>
                <w:b/>
                <w:bCs/>
                <w:sz w:val="24"/>
              </w:rPr>
              <w:t>/Date of Enrollment: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4" w:hRule="atLeast"/>
          <w:jc w:val="center"/>
        </w:trPr>
        <w:tc>
          <w:tcPr>
            <w:tcW w:w="8928" w:type="dxa"/>
            <w:gridSpan w:val="5"/>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b/>
                <w:bCs/>
                <w:sz w:val="24"/>
              </w:rPr>
              <w:t>4</w:t>
            </w:r>
            <w:r>
              <w:rPr>
                <w:rFonts w:eastAsia="仿宋_GB2312"/>
                <w:b/>
                <w:bCs/>
                <w:sz w:val="24"/>
              </w:rPr>
              <w:t xml:space="preserve">. </w:t>
            </w:r>
            <w:r>
              <w:rPr>
                <w:rFonts w:hint="eastAsia" w:eastAsia="仿宋_GB2312" w:cs="仿宋_GB2312"/>
                <w:b/>
                <w:bCs/>
                <w:sz w:val="24"/>
              </w:rPr>
              <w:t>汉语能力</w:t>
            </w:r>
            <w:r>
              <w:rPr>
                <w:rFonts w:eastAsia="仿宋_GB2312"/>
                <w:b/>
                <w:bCs/>
                <w:sz w:val="24"/>
              </w:rPr>
              <w:t xml:space="preserve">/Chinese Language Proficiency: </w:t>
            </w:r>
          </w:p>
          <w:p>
            <w:pPr>
              <w:pageBreakBefore w:val="0"/>
              <w:kinsoku/>
              <w:overflowPunct/>
              <w:topLinePunct w:val="0"/>
              <w:autoSpaceDE/>
              <w:autoSpaceDN/>
              <w:bidi w:val="0"/>
              <w:spacing w:line="280" w:lineRule="exact"/>
              <w:ind w:firstLine="315" w:firstLineChars="150"/>
              <w:outlineLvl w:val="9"/>
              <w:rPr>
                <w:rFonts w:eastAsia="仿宋_GB2312"/>
                <w:b/>
                <w:bCs/>
                <w:sz w:val="24"/>
              </w:rPr>
            </w:pPr>
            <w:r>
              <w:rPr>
                <w:rFonts w:hint="eastAsia" w:eastAsia="仿宋_GB2312" w:cs="仿宋_GB2312"/>
              </w:rPr>
              <w:t>□很好</w:t>
            </w:r>
            <w:r>
              <w:rPr>
                <w:rFonts w:eastAsia="仿宋_GB2312"/>
              </w:rPr>
              <w:t xml:space="preserve">/Excellent; </w:t>
            </w:r>
            <w:r>
              <w:rPr>
                <w:rFonts w:hint="eastAsia" w:eastAsia="仿宋_GB2312" w:cs="仿宋_GB2312"/>
              </w:rPr>
              <w:t>□好</w:t>
            </w:r>
            <w:r>
              <w:rPr>
                <w:rFonts w:eastAsia="仿宋_GB2312"/>
              </w:rPr>
              <w:t xml:space="preserve">/Good; </w:t>
            </w:r>
            <w:r>
              <w:rPr>
                <w:rFonts w:hint="eastAsia" w:eastAsia="仿宋_GB2312" w:cs="仿宋_GB2312"/>
              </w:rPr>
              <w:t>□较好</w:t>
            </w:r>
            <w:r>
              <w:rPr>
                <w:rFonts w:eastAsia="仿宋_GB2312"/>
              </w:rPr>
              <w:t xml:space="preserve">/Fair; </w:t>
            </w:r>
            <w:r>
              <w:rPr>
                <w:rFonts w:hint="eastAsia" w:eastAsia="仿宋_GB2312" w:cs="仿宋_GB2312"/>
              </w:rPr>
              <w:t>□差</w:t>
            </w:r>
            <w:r>
              <w:rPr>
                <w:rFonts w:eastAsia="仿宋_GB2312"/>
              </w:rPr>
              <w:t xml:space="preserve">/Poor; </w:t>
            </w:r>
            <w:r>
              <w:rPr>
                <w:rFonts w:hint="eastAsia" w:eastAsia="仿宋_GB2312" w:cs="仿宋_GB2312"/>
              </w:rPr>
              <w:t>□不会</w:t>
            </w:r>
            <w:r>
              <w:rPr>
                <w:rFonts w:eastAsia="仿宋_GB2312"/>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noWrap w:val="0"/>
            <w:vAlign w:val="center"/>
          </w:tcPr>
          <w:p>
            <w:pPr>
              <w:pageBreakBefore w:val="0"/>
              <w:kinsoku/>
              <w:overflowPunct/>
              <w:topLinePunct w:val="0"/>
              <w:autoSpaceDE/>
              <w:autoSpaceDN/>
              <w:bidi w:val="0"/>
              <w:spacing w:line="280" w:lineRule="exact"/>
              <w:outlineLvl w:val="9"/>
              <w:rPr>
                <w:rFonts w:eastAsia="仿宋_GB2312"/>
                <w:sz w:val="24"/>
              </w:rPr>
            </w:pPr>
            <w:r>
              <w:rPr>
                <w:rFonts w:eastAsia="仿宋_GB2312"/>
                <w:sz w:val="24"/>
              </w:rPr>
              <w:t>HSK</w:t>
            </w:r>
            <w:r>
              <w:rPr>
                <w:rFonts w:hint="eastAsia" w:eastAsia="仿宋_GB2312" w:cs="仿宋_GB2312"/>
                <w:sz w:val="24"/>
              </w:rPr>
              <w:t>考试等级或其他类型汉语考试成绩</w:t>
            </w:r>
            <w:r>
              <w:rPr>
                <w:rFonts w:eastAsia="仿宋_GB2312"/>
                <w:sz w:val="24"/>
              </w:rPr>
              <w:t>/Level of New HSK Test or Other Certificates Which Can Show Your Chinese Level:</w:t>
            </w:r>
          </w:p>
          <w:p>
            <w:pPr>
              <w:pageBreakBefore w:val="0"/>
              <w:kinsoku/>
              <w:overflowPunct/>
              <w:topLinePunct w:val="0"/>
              <w:autoSpaceDE/>
              <w:autoSpaceDN/>
              <w:bidi w:val="0"/>
              <w:spacing w:line="280" w:lineRule="exact"/>
              <w:outlineLvl w:val="9"/>
              <w:rPr>
                <w:rFonts w:hint="eastAsia" w:eastAsia="仿宋_GB2312"/>
                <w:b/>
                <w:bCs/>
                <w:sz w:val="24"/>
              </w:rPr>
            </w:pPr>
          </w:p>
          <w:p>
            <w:pPr>
              <w:pageBreakBefore w:val="0"/>
              <w:kinsoku/>
              <w:overflowPunct/>
              <w:topLinePunct w:val="0"/>
              <w:autoSpaceDE/>
              <w:autoSpaceDN/>
              <w:bidi w:val="0"/>
              <w:spacing w:line="280" w:lineRule="exact"/>
              <w:outlineLvl w:val="9"/>
              <w:rPr>
                <w:rFonts w:hint="eastAsia" w:eastAsia="仿宋_GB2312"/>
                <w:b/>
                <w:bCs/>
                <w:sz w:val="24"/>
              </w:rPr>
            </w:pPr>
          </w:p>
          <w:p>
            <w:pPr>
              <w:pageBreakBefore w:val="0"/>
              <w:kinsoku/>
              <w:overflowPunct/>
              <w:topLinePunct w:val="0"/>
              <w:autoSpaceDE/>
              <w:autoSpaceDN/>
              <w:bidi w:val="0"/>
              <w:spacing w:line="280" w:lineRule="exact"/>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b/>
                <w:bCs/>
                <w:sz w:val="24"/>
              </w:rPr>
              <w:t>5</w:t>
            </w:r>
            <w:r>
              <w:rPr>
                <w:rFonts w:eastAsia="仿宋_GB2312"/>
                <w:b/>
                <w:bCs/>
                <w:sz w:val="24"/>
              </w:rPr>
              <w:t xml:space="preserve">. </w:t>
            </w:r>
            <w:r>
              <w:rPr>
                <w:rFonts w:hint="eastAsia" w:eastAsia="仿宋_GB2312" w:cs="仿宋_GB2312"/>
                <w:b/>
                <w:bCs/>
                <w:sz w:val="24"/>
              </w:rPr>
              <w:t>通讯地址、电话及电子邮件</w:t>
            </w:r>
            <w:r>
              <w:rPr>
                <w:rFonts w:eastAsia="仿宋_GB2312"/>
                <w:b/>
                <w:bCs/>
                <w:sz w:val="24"/>
              </w:rPr>
              <w:t>/Home Add., Tel. and E-mail.</w:t>
            </w:r>
            <w:r>
              <w:rPr>
                <w:rFonts w:hint="eastAsia" w:eastAsia="仿宋_GB2312" w:cs="仿宋_GB2312"/>
                <w:b/>
                <w:bCs/>
                <w:sz w:val="24"/>
              </w:rPr>
              <w:t>：</w:t>
            </w:r>
          </w:p>
          <w:p>
            <w:pPr>
              <w:pageBreakBefore w:val="0"/>
              <w:kinsoku/>
              <w:overflowPunct/>
              <w:topLinePunct w:val="0"/>
              <w:autoSpaceDE/>
              <w:autoSpaceDN/>
              <w:bidi w:val="0"/>
              <w:spacing w:line="280" w:lineRule="exact"/>
              <w:outlineLvl w:val="9"/>
              <w:rPr>
                <w:rFonts w:hint="eastAsia" w:eastAsia="仿宋_GB2312"/>
                <w:sz w:val="24"/>
              </w:rPr>
            </w:pPr>
          </w:p>
          <w:p>
            <w:pPr>
              <w:pageBreakBefore w:val="0"/>
              <w:kinsoku/>
              <w:overflowPunct/>
              <w:topLinePunct w:val="0"/>
              <w:autoSpaceDE/>
              <w:autoSpaceDN/>
              <w:bidi w:val="0"/>
              <w:spacing w:line="280" w:lineRule="exact"/>
              <w:outlineLvl w:val="9"/>
              <w:rPr>
                <w:rFonts w:hint="eastAsia" w:eastAsia="仿宋_GB2312"/>
                <w:sz w:val="24"/>
              </w:rPr>
            </w:pPr>
          </w:p>
          <w:p>
            <w:pPr>
              <w:pageBreakBefore w:val="0"/>
              <w:kinsoku/>
              <w:overflowPunct/>
              <w:topLinePunct w:val="0"/>
              <w:autoSpaceDE/>
              <w:autoSpaceDN/>
              <w:bidi w:val="0"/>
              <w:spacing w:line="280" w:lineRule="exact"/>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1" w:hRule="atLeast"/>
          <w:jc w:val="center"/>
        </w:trPr>
        <w:tc>
          <w:tcPr>
            <w:tcW w:w="8928" w:type="dxa"/>
            <w:gridSpan w:val="5"/>
            <w:noWrap w:val="0"/>
            <w:vAlign w:val="top"/>
          </w:tcPr>
          <w:p>
            <w:pPr>
              <w:pageBreakBefore w:val="0"/>
              <w:kinsoku/>
              <w:overflowPunct/>
              <w:topLinePunct w:val="0"/>
              <w:autoSpaceDE/>
              <w:autoSpaceDN/>
              <w:bidi w:val="0"/>
              <w:spacing w:line="440" w:lineRule="exact"/>
              <w:outlineLvl w:val="9"/>
              <w:rPr>
                <w:rFonts w:eastAsia="仿宋_GB2312"/>
                <w:b/>
                <w:bCs/>
                <w:sz w:val="24"/>
              </w:rPr>
            </w:pPr>
            <w:r>
              <w:rPr>
                <w:rFonts w:hint="eastAsia" w:eastAsia="仿宋_GB2312"/>
                <w:b/>
                <w:bCs/>
                <w:sz w:val="24"/>
              </w:rPr>
              <w:t>6</w:t>
            </w:r>
            <w:r>
              <w:rPr>
                <w:rFonts w:eastAsia="仿宋_GB2312"/>
                <w:b/>
                <w:bCs/>
                <w:sz w:val="24"/>
              </w:rPr>
              <w:t xml:space="preserve">. </w:t>
            </w:r>
            <w:r>
              <w:rPr>
                <w:rFonts w:hint="eastAsia" w:eastAsia="仿宋_GB2312" w:cs="仿宋_GB2312"/>
                <w:b/>
                <w:bCs/>
                <w:sz w:val="24"/>
              </w:rPr>
              <w:t>本人简历（从高中开始）</w:t>
            </w:r>
            <w:r>
              <w:rPr>
                <w:rFonts w:eastAsia="仿宋_GB2312"/>
                <w:b/>
                <w:bCs/>
                <w:sz w:val="24"/>
              </w:rPr>
              <w:t>/Curriculum Vitae Starting from High School</w:t>
            </w:r>
          </w:p>
          <w:p>
            <w:pPr>
              <w:pageBreakBefore w:val="0"/>
              <w:kinsoku/>
              <w:overflowPunct/>
              <w:topLinePunct w:val="0"/>
              <w:autoSpaceDE/>
              <w:autoSpaceDN/>
              <w:bidi w:val="0"/>
              <w:spacing w:line="440" w:lineRule="exact"/>
              <w:outlineLvl w:val="9"/>
              <w:rPr>
                <w:rFonts w:eastAsia="仿宋_GB2312"/>
                <w:sz w:val="24"/>
              </w:rPr>
            </w:pPr>
            <w:r>
              <w:rPr>
                <w:rFonts w:eastAsia="仿宋_GB2312"/>
                <w:sz w:val="24"/>
              </w:rPr>
              <w:t>(</w:t>
            </w:r>
            <w:r>
              <w:rPr>
                <w:rFonts w:hint="eastAsia" w:eastAsia="仿宋_GB2312" w:cs="仿宋_GB2312"/>
                <w:sz w:val="24"/>
              </w:rPr>
              <w:t>包括单位、时间（年月</w:t>
            </w:r>
            <w:r>
              <w:rPr>
                <w:rFonts w:eastAsia="仿宋_GB2312"/>
                <w:sz w:val="24"/>
              </w:rPr>
              <w:t>—</w:t>
            </w:r>
            <w:r>
              <w:rPr>
                <w:rFonts w:hint="eastAsia" w:eastAsia="仿宋_GB2312" w:cs="仿宋_GB2312"/>
                <w:sz w:val="24"/>
              </w:rPr>
              <w:t>年月）、主修专业</w:t>
            </w:r>
            <w:r>
              <w:rPr>
                <w:rFonts w:eastAsia="仿宋_GB2312"/>
                <w:sz w:val="24"/>
              </w:rPr>
              <w:t>/Previous and Current Education &amp; Employer, Years Attended(from/to)</w:t>
            </w:r>
            <w:r>
              <w:rPr>
                <w:rFonts w:hint="eastAsia" w:eastAsia="仿宋_GB2312" w:cs="仿宋_GB2312"/>
                <w:sz w:val="24"/>
              </w:rPr>
              <w:t>，</w:t>
            </w:r>
            <w:r>
              <w:rPr>
                <w:rFonts w:eastAsia="仿宋_GB2312"/>
                <w:sz w:val="24"/>
              </w:rPr>
              <w:t>Fields of Study)</w:t>
            </w:r>
          </w:p>
          <w:p>
            <w:pPr>
              <w:pageBreakBefore w:val="0"/>
              <w:kinsoku/>
              <w:overflowPunct/>
              <w:topLinePunct w:val="0"/>
              <w:autoSpaceDE/>
              <w:autoSpaceDN/>
              <w:bidi w:val="0"/>
              <w:spacing w:line="440" w:lineRule="exact"/>
              <w:outlineLvl w:val="9"/>
              <w:rPr>
                <w:rFonts w:eastAsia="仿宋_GB2312"/>
                <w:sz w:val="24"/>
              </w:rPr>
            </w:pPr>
          </w:p>
          <w:p>
            <w:pPr>
              <w:pageBreakBefore w:val="0"/>
              <w:kinsoku/>
              <w:overflowPunct/>
              <w:topLinePunct w:val="0"/>
              <w:autoSpaceDE/>
              <w:autoSpaceDN/>
              <w:bidi w:val="0"/>
              <w:spacing w:line="440" w:lineRule="exact"/>
              <w:outlineLvl w:val="9"/>
              <w:rPr>
                <w:rFonts w:eastAsia="仿宋_GB2312"/>
                <w:sz w:val="24"/>
              </w:rPr>
            </w:pPr>
          </w:p>
          <w:p>
            <w:pPr>
              <w:pageBreakBefore w:val="0"/>
              <w:kinsoku/>
              <w:overflowPunct/>
              <w:topLinePunct w:val="0"/>
              <w:autoSpaceDE/>
              <w:autoSpaceDN/>
              <w:bidi w:val="0"/>
              <w:spacing w:line="440" w:lineRule="exact"/>
              <w:outlineLvl w:val="9"/>
              <w:rPr>
                <w:rFonts w:hint="eastAsia" w:eastAsia="仿宋_GB2312"/>
                <w:sz w:val="24"/>
              </w:rPr>
            </w:pPr>
          </w:p>
          <w:p>
            <w:pPr>
              <w:pageBreakBefore w:val="0"/>
              <w:kinsoku/>
              <w:overflowPunct/>
              <w:topLinePunct w:val="0"/>
              <w:autoSpaceDE/>
              <w:autoSpaceDN/>
              <w:bidi w:val="0"/>
              <w:spacing w:line="440" w:lineRule="exact"/>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1" w:hRule="atLeast"/>
          <w:jc w:val="center"/>
        </w:trPr>
        <w:tc>
          <w:tcPr>
            <w:tcW w:w="8928" w:type="dxa"/>
            <w:gridSpan w:val="5"/>
            <w:noWrap w:val="0"/>
            <w:vAlign w:val="top"/>
          </w:tcPr>
          <w:p>
            <w:pPr>
              <w:pageBreakBefore w:val="0"/>
              <w:kinsoku/>
              <w:overflowPunct/>
              <w:topLinePunct w:val="0"/>
              <w:autoSpaceDE/>
              <w:autoSpaceDN/>
              <w:bidi w:val="0"/>
              <w:spacing w:line="440" w:lineRule="exact"/>
              <w:outlineLvl w:val="9"/>
              <w:rPr>
                <w:rFonts w:eastAsia="仿宋_GB2312"/>
                <w:sz w:val="24"/>
              </w:rPr>
            </w:pPr>
            <w:r>
              <w:rPr>
                <w:rFonts w:hint="eastAsia" w:eastAsia="仿宋_GB2312"/>
                <w:b/>
                <w:bCs/>
                <w:sz w:val="24"/>
              </w:rPr>
              <w:t>7</w:t>
            </w:r>
            <w:r>
              <w:rPr>
                <w:rFonts w:eastAsia="仿宋_GB2312"/>
                <w:b/>
                <w:bCs/>
                <w:sz w:val="24"/>
              </w:rPr>
              <w:t xml:space="preserve">. </w:t>
            </w:r>
            <w:r>
              <w:rPr>
                <w:rFonts w:hint="eastAsia" w:eastAsia="仿宋_GB2312" w:cs="仿宋_GB2312"/>
                <w:b/>
                <w:bCs/>
                <w:sz w:val="24"/>
              </w:rPr>
              <w:t>参加活动和获奖励情况</w:t>
            </w:r>
            <w:r>
              <w:rPr>
                <w:rFonts w:eastAsia="仿宋_GB2312"/>
                <w:b/>
                <w:bCs/>
                <w:sz w:val="24"/>
              </w:rPr>
              <w:t>/</w:t>
            </w:r>
            <w:r>
              <w:rPr>
                <w:rFonts w:eastAsia="仿宋_GB2312"/>
                <w:sz w:val="24"/>
              </w:rPr>
              <w:t>Activities and Honors</w:t>
            </w:r>
          </w:p>
          <w:p>
            <w:pPr>
              <w:pageBreakBefore w:val="0"/>
              <w:kinsoku/>
              <w:overflowPunct/>
              <w:topLinePunct w:val="0"/>
              <w:autoSpaceDE/>
              <w:autoSpaceDN/>
              <w:bidi w:val="0"/>
              <w:spacing w:line="440" w:lineRule="exact"/>
              <w:outlineLvl w:val="9"/>
              <w:rPr>
                <w:rFonts w:eastAsia="仿宋_GB2312"/>
                <w:b/>
                <w:bCs/>
                <w:sz w:val="24"/>
              </w:rPr>
            </w:pPr>
          </w:p>
          <w:p>
            <w:pPr>
              <w:pageBreakBefore w:val="0"/>
              <w:kinsoku/>
              <w:overflowPunct/>
              <w:topLinePunct w:val="0"/>
              <w:autoSpaceDE/>
              <w:autoSpaceDN/>
              <w:bidi w:val="0"/>
              <w:spacing w:line="440" w:lineRule="exact"/>
              <w:outlineLvl w:val="9"/>
              <w:rPr>
                <w:rFonts w:hint="eastAsia" w:eastAsia="仿宋_GB2312"/>
                <w:b/>
                <w:bCs/>
                <w:sz w:val="24"/>
              </w:rPr>
            </w:pPr>
          </w:p>
          <w:p>
            <w:pPr>
              <w:pageBreakBefore w:val="0"/>
              <w:kinsoku/>
              <w:overflowPunct/>
              <w:topLinePunct w:val="0"/>
              <w:autoSpaceDE/>
              <w:autoSpaceDN/>
              <w:bidi w:val="0"/>
              <w:spacing w:line="440" w:lineRule="exact"/>
              <w:outlineLvl w:val="9"/>
              <w:rPr>
                <w:rFonts w:eastAsia="仿宋_GB2312"/>
                <w:b/>
                <w:bCs/>
                <w:sz w:val="24"/>
              </w:rPr>
            </w:pPr>
          </w:p>
          <w:p>
            <w:pPr>
              <w:pageBreakBefore w:val="0"/>
              <w:kinsoku/>
              <w:overflowPunct/>
              <w:topLinePunct w:val="0"/>
              <w:autoSpaceDE/>
              <w:autoSpaceDN/>
              <w:bidi w:val="0"/>
              <w:spacing w:line="440" w:lineRule="exact"/>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91" w:hRule="atLeast"/>
          <w:jc w:val="center"/>
        </w:trPr>
        <w:tc>
          <w:tcPr>
            <w:tcW w:w="8928" w:type="dxa"/>
            <w:gridSpan w:val="5"/>
            <w:noWrap w:val="0"/>
            <w:vAlign w:val="top"/>
          </w:tcPr>
          <w:p>
            <w:pPr>
              <w:pageBreakBefore w:val="0"/>
              <w:kinsoku/>
              <w:overflowPunct/>
              <w:topLinePunct w:val="0"/>
              <w:autoSpaceDE/>
              <w:autoSpaceDN/>
              <w:bidi w:val="0"/>
              <w:outlineLvl w:val="9"/>
              <w:rPr>
                <w:sz w:val="24"/>
              </w:rPr>
            </w:pPr>
            <w:r>
              <w:rPr>
                <w:rFonts w:hint="eastAsia" w:eastAsia="仿宋_GB2312"/>
                <w:b/>
                <w:bCs/>
                <w:sz w:val="24"/>
              </w:rPr>
              <w:t>8</w:t>
            </w:r>
            <w:r>
              <w:rPr>
                <w:rFonts w:eastAsia="仿宋_GB2312"/>
                <w:b/>
                <w:bCs/>
                <w:sz w:val="24"/>
              </w:rPr>
              <w:t>.</w:t>
            </w:r>
            <w:r>
              <w:rPr>
                <w:rFonts w:hint="eastAsia" w:eastAsia="仿宋_GB2312" w:cs="仿宋_GB2312"/>
                <w:b/>
                <w:bCs/>
                <w:sz w:val="24"/>
              </w:rPr>
              <w:t>高中会考</w:t>
            </w:r>
            <w:r>
              <w:rPr>
                <w:rFonts w:hint="eastAsia" w:ascii="仿宋_GB2312" w:eastAsia="仿宋_GB2312" w:cs="仿宋_GB2312"/>
                <w:b/>
                <w:bCs/>
                <w:sz w:val="24"/>
              </w:rPr>
              <w:t>课程成绩</w:t>
            </w:r>
            <w:r>
              <w:rPr>
                <w:rFonts w:eastAsia="仿宋_GB2312"/>
                <w:b/>
                <w:bCs/>
                <w:sz w:val="24"/>
              </w:rPr>
              <w:t>/</w:t>
            </w:r>
            <w:r>
              <w:rPr>
                <w:sz w:val="24"/>
              </w:rPr>
              <w:t>Courses and Scores of High School Graduate Test</w:t>
            </w:r>
          </w:p>
          <w:tbl>
            <w:tblPr>
              <w:tblStyle w:val="14"/>
              <w:tblW w:w="85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851"/>
              <w:gridCol w:w="340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320" w:lineRule="exact"/>
                    <w:jc w:val="center"/>
                    <w:outlineLvl w:val="9"/>
                    <w:rPr>
                      <w:sz w:val="24"/>
                    </w:rPr>
                  </w:pPr>
                  <w:r>
                    <w:rPr>
                      <w:rFonts w:hint="eastAsia" w:ascii="仿宋_GB2312" w:eastAsia="仿宋_GB2312" w:cs="仿宋_GB2312"/>
                      <w:sz w:val="24"/>
                    </w:rPr>
                    <w:t>课程名称</w:t>
                  </w:r>
                  <w:r>
                    <w:rPr>
                      <w:sz w:val="24"/>
                    </w:rPr>
                    <w:t>Course</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320" w:lineRule="exact"/>
                    <w:jc w:val="center"/>
                    <w:outlineLvl w:val="9"/>
                    <w:rPr>
                      <w:sz w:val="24"/>
                    </w:rPr>
                  </w:pPr>
                  <w:r>
                    <w:rPr>
                      <w:sz w:val="24"/>
                    </w:rPr>
                    <w:t>Score</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320" w:lineRule="exact"/>
                    <w:jc w:val="center"/>
                    <w:outlineLvl w:val="9"/>
                    <w:rPr>
                      <w:sz w:val="24"/>
                    </w:rPr>
                  </w:pPr>
                  <w:r>
                    <w:rPr>
                      <w:rFonts w:hint="eastAsia" w:ascii="仿宋_GB2312" w:eastAsia="仿宋_GB2312" w:cs="仿宋_GB2312"/>
                      <w:sz w:val="24"/>
                    </w:rPr>
                    <w:t>课程名称</w:t>
                  </w:r>
                  <w:r>
                    <w:rPr>
                      <w:sz w:val="24"/>
                    </w:rPr>
                    <w:t>Course</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320" w:lineRule="exact"/>
                    <w:jc w:val="center"/>
                    <w:outlineLvl w:val="9"/>
                    <w:rPr>
                      <w:sz w:val="24"/>
                    </w:rPr>
                  </w:pPr>
                  <w:r>
                    <w:rPr>
                      <w:sz w:val="24"/>
                    </w:rPr>
                    <w:t>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bl>
          <w:p>
            <w:pPr>
              <w:pageBreakBefore w:val="0"/>
              <w:kinsoku/>
              <w:overflowPunct/>
              <w:topLinePunct w:val="0"/>
              <w:autoSpaceDE/>
              <w:autoSpaceDN/>
              <w:bidi w:val="0"/>
              <w:outlineLvl w:val="9"/>
            </w:pPr>
            <w:r>
              <w:rPr>
                <w:rFonts w:hint="eastAsia" w:eastAsia="仿宋_GB2312"/>
                <w:b/>
                <w:bCs/>
                <w:sz w:val="24"/>
              </w:rPr>
              <w:t>9</w:t>
            </w:r>
            <w:r>
              <w:rPr>
                <w:rFonts w:eastAsia="仿宋_GB2312"/>
                <w:b/>
                <w:bCs/>
                <w:sz w:val="24"/>
              </w:rPr>
              <w:t>.</w:t>
            </w:r>
            <w:r>
              <w:rPr>
                <w:rFonts w:hint="eastAsia" w:eastAsia="仿宋_GB2312" w:cs="仿宋_GB2312"/>
                <w:b/>
                <w:bCs/>
                <w:sz w:val="24"/>
              </w:rPr>
              <w:t>拟申请奖学金等级</w:t>
            </w:r>
            <w:r>
              <w:rPr>
                <w:rFonts w:eastAsia="仿宋_GB2312"/>
                <w:b/>
                <w:bCs/>
                <w:sz w:val="24"/>
              </w:rPr>
              <w:t>/</w:t>
            </w:r>
            <w:r>
              <w:t xml:space="preserve"> Level of Scholarship Applied for</w:t>
            </w:r>
          </w:p>
          <w:p>
            <w:pPr>
              <w:pageBreakBefore w:val="0"/>
              <w:kinsoku/>
              <w:overflowPunct/>
              <w:topLinePunct w:val="0"/>
              <w:autoSpaceDE/>
              <w:autoSpaceDN/>
              <w:bidi w:val="0"/>
              <w:ind w:firstLine="210" w:firstLineChars="100"/>
              <w:outlineLvl w:val="9"/>
              <w:rPr>
                <w:rFonts w:ascii="宋体" w:hAnsi="宋体" w:cs="宋体"/>
              </w:rPr>
            </w:pPr>
            <w:r>
              <w:rPr>
                <w:rFonts w:hint="eastAsia" w:ascii="宋体" w:hAnsi="宋体" w:cs="宋体"/>
              </w:rPr>
              <w:t>□一等奖学金</w:t>
            </w:r>
            <w:r>
              <w:rPr>
                <w:rFonts w:ascii="宋体" w:hAnsi="宋体" w:cs="宋体"/>
                <w:b/>
                <w:bCs/>
              </w:rPr>
              <w:t>/</w:t>
            </w:r>
            <w:r>
              <w:rPr>
                <w:rFonts w:ascii="宋体" w:hAnsi="宋体" w:cs="宋体"/>
              </w:rPr>
              <w:t xml:space="preserve"> First          </w:t>
            </w:r>
            <w:r>
              <w:rPr>
                <w:rFonts w:hint="eastAsia" w:ascii="宋体" w:hAnsi="宋体" w:cs="宋体"/>
              </w:rPr>
              <w:t>□二等奖学金</w:t>
            </w:r>
            <w:r>
              <w:rPr>
                <w:rFonts w:ascii="宋体" w:hAnsi="宋体" w:cs="宋体"/>
                <w:b/>
                <w:bCs/>
              </w:rPr>
              <w:t>/</w:t>
            </w:r>
            <w:r>
              <w:rPr>
                <w:rFonts w:ascii="宋体" w:hAnsi="宋体" w:cs="宋体"/>
              </w:rPr>
              <w:t xml:space="preserve"> Second       </w:t>
            </w:r>
          </w:p>
          <w:p>
            <w:pPr>
              <w:pageBreakBefore w:val="0"/>
              <w:kinsoku/>
              <w:overflowPunct/>
              <w:topLinePunct w:val="0"/>
              <w:autoSpaceDE/>
              <w:autoSpaceDN/>
              <w:bidi w:val="0"/>
              <w:outlineLvl w:val="9"/>
              <w:rPr>
                <w:rFonts w:hint="eastAsia" w:ascii="仿宋_GB2312" w:eastAsia="仿宋_GB2312" w:cs="仿宋_GB2312"/>
                <w:sz w:val="24"/>
              </w:rPr>
            </w:pPr>
          </w:p>
          <w:p>
            <w:pPr>
              <w:pageBreakBefore w:val="0"/>
              <w:kinsoku/>
              <w:overflowPunct/>
              <w:topLinePunct w:val="0"/>
              <w:autoSpaceDE/>
              <w:autoSpaceDN/>
              <w:bidi w:val="0"/>
              <w:outlineLvl w:val="9"/>
              <w:rPr>
                <w:rFonts w:eastAsia="仿宋_GB2312"/>
                <w:sz w:val="24"/>
              </w:rPr>
            </w:pPr>
            <w:r>
              <w:rPr>
                <w:rFonts w:hint="eastAsia" w:ascii="仿宋_GB2312" w:eastAsia="仿宋_GB2312" w:cs="仿宋_GB2312"/>
                <w:sz w:val="24"/>
              </w:rPr>
              <w:t>本人签名</w:t>
            </w:r>
            <w:r>
              <w:rPr>
                <w:rFonts w:ascii="仿宋_GB2312" w:eastAsia="仿宋_GB2312" w:cs="仿宋_GB2312"/>
                <w:sz w:val="24"/>
              </w:rPr>
              <w:t>/</w:t>
            </w:r>
            <w:r>
              <w:rPr>
                <w:sz w:val="24"/>
              </w:rPr>
              <w:t>Signature of Applicant</w:t>
            </w:r>
            <w:r>
              <w:rPr>
                <w:rFonts w:hint="eastAsia" w:eastAsia="仿宋_GB2312" w:cs="仿宋_GB2312"/>
                <w:sz w:val="24"/>
              </w:rPr>
              <w:t>：</w:t>
            </w:r>
          </w:p>
          <w:p>
            <w:pPr>
              <w:pageBreakBefore w:val="0"/>
              <w:kinsoku/>
              <w:overflowPunct/>
              <w:topLinePunct w:val="0"/>
              <w:autoSpaceDE/>
              <w:autoSpaceDN/>
              <w:bidi w:val="0"/>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0" w:hRule="atLeast"/>
          <w:jc w:val="center"/>
        </w:trPr>
        <w:tc>
          <w:tcPr>
            <w:tcW w:w="651" w:type="dxa"/>
            <w:gridSpan w:val="2"/>
            <w:noWrap w:val="0"/>
            <w:vAlign w:val="center"/>
          </w:tcPr>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二级学院评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审</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意</w:t>
            </w:r>
          </w:p>
          <w:p>
            <w:pPr>
              <w:pageBreakBefore w:val="0"/>
              <w:kinsoku/>
              <w:overflowPunct/>
              <w:topLinePunct w:val="0"/>
              <w:autoSpaceDE/>
              <w:autoSpaceDN/>
              <w:bidi w:val="0"/>
              <w:spacing w:line="320" w:lineRule="exact"/>
              <w:jc w:val="center"/>
              <w:outlineLvl w:val="9"/>
              <w:rPr>
                <w:rFonts w:ascii="仿宋_GB2312"/>
                <w:b/>
                <w:bCs/>
              </w:rPr>
            </w:pPr>
            <w:r>
              <w:rPr>
                <w:rFonts w:hint="eastAsia" w:ascii="仿宋_GB2312" w:cs="宋体"/>
                <w:b/>
                <w:bCs/>
                <w:szCs w:val="28"/>
              </w:rPr>
              <w:t>见</w:t>
            </w:r>
          </w:p>
        </w:tc>
        <w:tc>
          <w:tcPr>
            <w:tcW w:w="8277" w:type="dxa"/>
            <w:gridSpan w:val="3"/>
            <w:noWrap w:val="0"/>
            <w:vAlign w:val="center"/>
          </w:tcPr>
          <w:p>
            <w:pPr>
              <w:pageBreakBefore w:val="0"/>
              <w:kinsoku/>
              <w:overflowPunct/>
              <w:topLinePunct w:val="0"/>
              <w:autoSpaceDE/>
              <w:autoSpaceDN/>
              <w:bidi w:val="0"/>
              <w:jc w:val="center"/>
              <w:outlineLvl w:val="9"/>
              <w:rPr>
                <w:rFonts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jc w:val="center"/>
              <w:outlineLvl w:val="9"/>
              <w:rPr>
                <w:rFonts w:ascii="仿宋_GB2312"/>
              </w:rPr>
            </w:pPr>
          </w:p>
          <w:p>
            <w:pPr>
              <w:pageBreakBefore w:val="0"/>
              <w:kinsoku/>
              <w:overflowPunct/>
              <w:topLinePunct w:val="0"/>
              <w:autoSpaceDE/>
              <w:autoSpaceDN/>
              <w:bidi w:val="0"/>
              <w:ind w:firstLine="600" w:firstLineChars="250"/>
              <w:outlineLvl w:val="9"/>
              <w:rPr>
                <w:rFonts w:hint="eastAsia" w:ascii="仿宋_GB2312" w:eastAsia="仿宋_GB2312" w:cs="仿宋_GB2312"/>
                <w:sz w:val="24"/>
              </w:rPr>
            </w:pPr>
            <w:r>
              <w:rPr>
                <w:rFonts w:hint="eastAsia" w:ascii="仿宋_GB2312" w:eastAsia="仿宋_GB2312" w:cs="仿宋_GB2312"/>
                <w:sz w:val="24"/>
              </w:rPr>
              <w:t>负责人：</w:t>
            </w:r>
          </w:p>
          <w:p>
            <w:pPr>
              <w:pageBreakBefore w:val="0"/>
              <w:kinsoku/>
              <w:overflowPunct/>
              <w:topLinePunct w:val="0"/>
              <w:autoSpaceDE/>
              <w:autoSpaceDN/>
              <w:bidi w:val="0"/>
              <w:ind w:firstLine="4440" w:firstLineChars="1850"/>
              <w:outlineLvl w:val="9"/>
              <w:rPr>
                <w:rFonts w:ascii="仿宋_GB2312" w:eastAsia="仿宋_GB2312"/>
                <w:sz w:val="24"/>
              </w:rPr>
            </w:pPr>
            <w:r>
              <w:rPr>
                <w:rFonts w:hint="eastAsia" w:ascii="仿宋_GB2312" w:eastAsia="仿宋_GB2312" w:cs="仿宋_GB2312"/>
                <w:sz w:val="24"/>
              </w:rPr>
              <w:t>（盖章）</w:t>
            </w:r>
          </w:p>
          <w:p>
            <w:pPr>
              <w:pageBreakBefore w:val="0"/>
              <w:kinsoku/>
              <w:overflowPunct/>
              <w:topLinePunct w:val="0"/>
              <w:autoSpaceDE/>
              <w:autoSpaceDN/>
              <w:bidi w:val="0"/>
              <w:ind w:firstLine="120" w:firstLineChars="50"/>
              <w:outlineLvl w:val="9"/>
              <w:rPr>
                <w:rFonts w:ascii="仿宋_GB2312" w:eastAsia="仿宋_GB2312"/>
                <w:sz w:val="24"/>
              </w:rPr>
            </w:pPr>
          </w:p>
          <w:p>
            <w:pPr>
              <w:pageBreakBefore w:val="0"/>
              <w:kinsoku/>
              <w:overflowPunct/>
              <w:topLinePunct w:val="0"/>
              <w:autoSpaceDE/>
              <w:autoSpaceDN/>
              <w:bidi w:val="0"/>
              <w:jc w:val="center"/>
              <w:outlineLvl w:val="9"/>
              <w:rPr>
                <w:rFonts w:ascii="仿宋_GB2312" w:eastAsia="仿宋_GB2312"/>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2" w:hRule="atLeast"/>
          <w:jc w:val="center"/>
        </w:trPr>
        <w:tc>
          <w:tcPr>
            <w:tcW w:w="651" w:type="dxa"/>
            <w:gridSpan w:val="2"/>
            <w:noWrap w:val="0"/>
            <w:vAlign w:val="center"/>
          </w:tcPr>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国际交流处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审</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意</w:t>
            </w:r>
          </w:p>
          <w:p>
            <w:pPr>
              <w:pageBreakBefore w:val="0"/>
              <w:kinsoku/>
              <w:overflowPunct/>
              <w:topLinePunct w:val="0"/>
              <w:autoSpaceDE/>
              <w:autoSpaceDN/>
              <w:bidi w:val="0"/>
              <w:spacing w:line="320" w:lineRule="exact"/>
              <w:jc w:val="center"/>
              <w:outlineLvl w:val="9"/>
              <w:rPr>
                <w:rFonts w:ascii="仿宋_GB2312"/>
                <w:b/>
                <w:bCs/>
              </w:rPr>
            </w:pPr>
            <w:r>
              <w:rPr>
                <w:rFonts w:hint="eastAsia" w:ascii="仿宋_GB2312" w:cs="宋体"/>
                <w:b/>
                <w:bCs/>
                <w:szCs w:val="28"/>
              </w:rPr>
              <w:t>见</w:t>
            </w:r>
          </w:p>
        </w:tc>
        <w:tc>
          <w:tcPr>
            <w:tcW w:w="8277" w:type="dxa"/>
            <w:gridSpan w:val="3"/>
            <w:noWrap w:val="0"/>
            <w:vAlign w:val="top"/>
          </w:tcPr>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ind w:firstLine="600" w:firstLineChars="250"/>
              <w:outlineLvl w:val="9"/>
              <w:rPr>
                <w:rFonts w:ascii="仿宋_GB2312" w:eastAsia="仿宋_GB2312" w:cs="仿宋_GB2312"/>
                <w:sz w:val="24"/>
              </w:rPr>
            </w:pPr>
          </w:p>
          <w:p>
            <w:pPr>
              <w:pageBreakBefore w:val="0"/>
              <w:kinsoku/>
              <w:overflowPunct/>
              <w:topLinePunct w:val="0"/>
              <w:autoSpaceDE/>
              <w:autoSpaceDN/>
              <w:bidi w:val="0"/>
              <w:ind w:firstLine="600" w:firstLineChars="250"/>
              <w:outlineLvl w:val="9"/>
              <w:rPr>
                <w:rFonts w:hint="eastAsia" w:ascii="仿宋_GB2312" w:eastAsia="仿宋_GB2312" w:cs="仿宋_GB2312"/>
                <w:sz w:val="24"/>
              </w:rPr>
            </w:pPr>
            <w:r>
              <w:rPr>
                <w:rFonts w:hint="eastAsia" w:ascii="仿宋_GB2312" w:eastAsia="仿宋_GB2312" w:cs="仿宋_GB2312"/>
                <w:sz w:val="24"/>
              </w:rPr>
              <w:t>负责人：</w:t>
            </w:r>
          </w:p>
          <w:p>
            <w:pPr>
              <w:pageBreakBefore w:val="0"/>
              <w:kinsoku/>
              <w:overflowPunct/>
              <w:topLinePunct w:val="0"/>
              <w:autoSpaceDE/>
              <w:autoSpaceDN/>
              <w:bidi w:val="0"/>
              <w:ind w:firstLine="4680" w:firstLineChars="1950"/>
              <w:outlineLvl w:val="9"/>
              <w:rPr>
                <w:rFonts w:ascii="仿宋_GB2312" w:eastAsia="仿宋_GB2312"/>
                <w:sz w:val="24"/>
              </w:rPr>
            </w:pPr>
            <w:r>
              <w:rPr>
                <w:rFonts w:hint="eastAsia" w:ascii="仿宋_GB2312" w:eastAsia="仿宋_GB2312" w:cs="仿宋_GB2312"/>
                <w:sz w:val="24"/>
              </w:rPr>
              <w:t>（盖章）</w:t>
            </w:r>
          </w:p>
          <w:p>
            <w:pPr>
              <w:pageBreakBefore w:val="0"/>
              <w:kinsoku/>
              <w:overflowPunct/>
              <w:topLinePunct w:val="0"/>
              <w:autoSpaceDE/>
              <w:autoSpaceDN/>
              <w:bidi w:val="0"/>
              <w:ind w:firstLine="120" w:firstLineChars="50"/>
              <w:outlineLvl w:val="9"/>
              <w:rPr>
                <w:rFonts w:ascii="仿宋_GB2312" w:eastAsia="仿宋_GB2312"/>
                <w:sz w:val="24"/>
              </w:rPr>
            </w:pPr>
          </w:p>
          <w:p>
            <w:pPr>
              <w:pageBreakBefore w:val="0"/>
              <w:kinsoku/>
              <w:overflowPunct/>
              <w:topLinePunct w:val="0"/>
              <w:autoSpaceDE/>
              <w:autoSpaceDN/>
              <w:bidi w:val="0"/>
              <w:jc w:val="center"/>
              <w:outlineLvl w:val="9"/>
              <w:rPr>
                <w:rFonts w:ascii="仿宋_GB2312" w:eastAsia="仿宋_GB2312"/>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73" w:hRule="atLeast"/>
          <w:jc w:val="center"/>
        </w:trPr>
        <w:tc>
          <w:tcPr>
            <w:tcW w:w="651" w:type="dxa"/>
            <w:gridSpan w:val="2"/>
            <w:noWrap w:val="0"/>
            <w:vAlign w:val="center"/>
          </w:tcPr>
          <w:p>
            <w:pPr>
              <w:pageBreakBefore w:val="0"/>
              <w:kinsoku/>
              <w:overflowPunct/>
              <w:topLinePunct w:val="0"/>
              <w:autoSpaceDE/>
              <w:autoSpaceDN/>
              <w:bidi w:val="0"/>
              <w:spacing w:line="320" w:lineRule="exact"/>
              <w:jc w:val="center"/>
              <w:outlineLvl w:val="9"/>
              <w:rPr>
                <w:rFonts w:cs="宋体"/>
                <w:b/>
                <w:bCs/>
                <w:szCs w:val="28"/>
              </w:rPr>
            </w:pPr>
            <w:r>
              <w:rPr>
                <w:rFonts w:hint="eastAsia" w:cs="宋体"/>
                <w:b/>
                <w:bCs/>
                <w:szCs w:val="28"/>
              </w:rPr>
              <w:t>学校</w:t>
            </w:r>
          </w:p>
          <w:p>
            <w:pPr>
              <w:pageBreakBefore w:val="0"/>
              <w:kinsoku/>
              <w:overflowPunct/>
              <w:topLinePunct w:val="0"/>
              <w:autoSpaceDE/>
              <w:autoSpaceDN/>
              <w:bidi w:val="0"/>
              <w:spacing w:line="320" w:lineRule="exact"/>
              <w:jc w:val="center"/>
              <w:outlineLvl w:val="9"/>
              <w:rPr>
                <w:rFonts w:cs="宋体"/>
                <w:b/>
                <w:bCs/>
                <w:szCs w:val="28"/>
              </w:rPr>
            </w:pPr>
            <w:r>
              <w:rPr>
                <w:rFonts w:hint="eastAsia" w:cs="宋体"/>
                <w:b/>
                <w:bCs/>
                <w:szCs w:val="28"/>
              </w:rPr>
              <w:t>奖学金</w:t>
            </w:r>
          </w:p>
          <w:p>
            <w:pPr>
              <w:pageBreakBefore w:val="0"/>
              <w:kinsoku/>
              <w:overflowPunct/>
              <w:topLinePunct w:val="0"/>
              <w:autoSpaceDE/>
              <w:autoSpaceDN/>
              <w:bidi w:val="0"/>
              <w:spacing w:line="320" w:lineRule="exact"/>
              <w:jc w:val="center"/>
              <w:outlineLvl w:val="9"/>
              <w:rPr>
                <w:rFonts w:cs="宋体"/>
                <w:b/>
                <w:bCs/>
                <w:szCs w:val="28"/>
              </w:rPr>
            </w:pPr>
            <w:r>
              <w:rPr>
                <w:rFonts w:hint="eastAsia" w:cs="宋体"/>
                <w:b/>
                <w:bCs/>
                <w:szCs w:val="28"/>
              </w:rPr>
              <w:t>评审工作领导小组意</w:t>
            </w:r>
          </w:p>
          <w:p>
            <w:pPr>
              <w:pageBreakBefore w:val="0"/>
              <w:kinsoku/>
              <w:overflowPunct/>
              <w:topLinePunct w:val="0"/>
              <w:autoSpaceDE/>
              <w:autoSpaceDN/>
              <w:bidi w:val="0"/>
              <w:spacing w:line="320" w:lineRule="exact"/>
              <w:jc w:val="center"/>
              <w:outlineLvl w:val="9"/>
              <w:rPr>
                <w:rFonts w:cs="宋体"/>
                <w:b/>
                <w:bCs/>
                <w:szCs w:val="28"/>
              </w:rPr>
            </w:pPr>
            <w:r>
              <w:rPr>
                <w:rFonts w:hint="eastAsia" w:cs="宋体"/>
                <w:b/>
                <w:bCs/>
                <w:szCs w:val="28"/>
              </w:rPr>
              <w:t>见</w:t>
            </w:r>
          </w:p>
        </w:tc>
        <w:tc>
          <w:tcPr>
            <w:tcW w:w="8277" w:type="dxa"/>
            <w:gridSpan w:val="3"/>
            <w:noWrap w:val="0"/>
            <w:vAlign w:val="top"/>
          </w:tcPr>
          <w:p>
            <w:pPr>
              <w:pageBreakBefore w:val="0"/>
              <w:kinsoku/>
              <w:overflowPunct/>
              <w:topLinePunct w:val="0"/>
              <w:autoSpaceDE/>
              <w:autoSpaceDN/>
              <w:bidi w:val="0"/>
              <w:spacing w:line="360" w:lineRule="auto"/>
              <w:ind w:firstLine="420" w:firstLineChars="200"/>
              <w:outlineLvl w:val="9"/>
              <w:rPr>
                <w:rFonts w:hint="eastAsia" w:ascii="仿宋_GB2312" w:eastAsia="仿宋_GB2312"/>
              </w:rPr>
            </w:pPr>
            <w:r>
              <w:rPr>
                <w:rFonts w:hint="eastAsia" w:ascii="仿宋_GB2312" w:eastAsia="仿宋_GB2312"/>
              </w:rPr>
              <w:t>经评审，并在校内公示   个工作日，无异议，现同意准该同学获得奖学金。                                       </w:t>
            </w:r>
          </w:p>
          <w:p>
            <w:pPr>
              <w:pageBreakBefore w:val="0"/>
              <w:kinsoku/>
              <w:overflowPunct/>
              <w:topLinePunct w:val="0"/>
              <w:autoSpaceDE/>
              <w:autoSpaceDN/>
              <w:bidi w:val="0"/>
              <w:outlineLvl w:val="9"/>
              <w:rPr>
                <w:rFonts w:hint="eastAsia" w:ascii="仿宋_GB2312" w:eastAsia="仿宋_GB2312"/>
              </w:rPr>
            </w:pPr>
          </w:p>
          <w:p>
            <w:pPr>
              <w:pageBreakBefore w:val="0"/>
              <w:kinsoku/>
              <w:overflowPunct/>
              <w:topLinePunct w:val="0"/>
              <w:autoSpaceDE/>
              <w:autoSpaceDN/>
              <w:bidi w:val="0"/>
              <w:outlineLvl w:val="9"/>
              <w:rPr>
                <w:rFonts w:hint="eastAsia" w:ascii="仿宋_GB2312" w:eastAsia="仿宋_GB2312"/>
              </w:rPr>
            </w:pPr>
          </w:p>
          <w:p>
            <w:pPr>
              <w:pageBreakBefore w:val="0"/>
              <w:kinsoku/>
              <w:overflowPunct/>
              <w:topLinePunct w:val="0"/>
              <w:autoSpaceDE/>
              <w:autoSpaceDN/>
              <w:bidi w:val="0"/>
              <w:ind w:firstLine="4680" w:firstLineChars="1950"/>
              <w:outlineLvl w:val="9"/>
              <w:rPr>
                <w:rFonts w:hint="eastAsia" w:ascii="仿宋_GB2312" w:eastAsia="仿宋_GB2312"/>
                <w:sz w:val="24"/>
              </w:rPr>
            </w:pPr>
            <w:r>
              <w:rPr>
                <w:rFonts w:hint="eastAsia" w:ascii="仿宋_GB2312" w:eastAsia="仿宋_GB2312" w:cs="仿宋_GB2312"/>
                <w:sz w:val="24"/>
              </w:rPr>
              <w:t>（学校盖章）</w:t>
            </w:r>
          </w:p>
          <w:p>
            <w:pPr>
              <w:pageBreakBefore w:val="0"/>
              <w:kinsoku/>
              <w:overflowPunct/>
              <w:topLinePunct w:val="0"/>
              <w:autoSpaceDE/>
              <w:autoSpaceDN/>
              <w:bidi w:val="0"/>
              <w:ind w:firstLine="120" w:firstLineChars="50"/>
              <w:outlineLvl w:val="9"/>
              <w:rPr>
                <w:rFonts w:hint="eastAsia" w:ascii="仿宋_GB2312" w:eastAsia="仿宋_GB2312"/>
                <w:sz w:val="24"/>
              </w:rPr>
            </w:pPr>
          </w:p>
          <w:p>
            <w:pPr>
              <w:pageBreakBefore w:val="0"/>
              <w:kinsoku/>
              <w:overflowPunct/>
              <w:topLinePunct w:val="0"/>
              <w:autoSpaceDE/>
              <w:autoSpaceDN/>
              <w:bidi w:val="0"/>
              <w:ind w:firstLine="4800" w:firstLineChars="2000"/>
              <w:outlineLvl w:val="9"/>
              <w:rPr>
                <w:rFonts w:hint="eastAsia" w:ascii="仿宋_GB2312" w:eastAsia="仿宋_GB2312"/>
                <w:sz w:val="24"/>
              </w:rPr>
            </w:pPr>
            <w:r>
              <w:rPr>
                <w:rFonts w:hint="eastAsia" w:ascii="仿宋_GB2312" w:eastAsia="仿宋_GB2312" w:cs="仿宋_GB2312"/>
                <w:sz w:val="24"/>
              </w:rPr>
              <w:t>年    月   日</w:t>
            </w:r>
          </w:p>
        </w:tc>
      </w:tr>
    </w:tbl>
    <w:p>
      <w:pPr>
        <w:pStyle w:val="10"/>
        <w:pageBreakBefore w:val="0"/>
        <w:widowControl w:val="0"/>
        <w:kinsoku/>
        <w:overflowPunct/>
        <w:topLinePunct w:val="0"/>
        <w:autoSpaceDE/>
        <w:autoSpaceDN/>
        <w:bidi w:val="0"/>
        <w:spacing w:before="0" w:beforeAutospacing="0" w:after="0" w:afterAutospacing="0" w:line="20" w:lineRule="exact"/>
        <w:ind w:firstLine="1520" w:firstLineChars="500"/>
        <w:outlineLvl w:val="9"/>
        <w:rPr>
          <w:rFonts w:hint="eastAsia" w:ascii="仿宋_GB2312" w:eastAsia="仿宋_GB2312"/>
          <w:spacing w:val="-8"/>
          <w:sz w:val="32"/>
          <w:szCs w:val="32"/>
        </w:rPr>
      </w:pPr>
    </w:p>
    <w:p>
      <w:pPr>
        <w:pStyle w:val="10"/>
        <w:pageBreakBefore w:val="0"/>
        <w:widowControl w:val="0"/>
        <w:kinsoku/>
        <w:overflowPunct/>
        <w:topLinePunct w:val="0"/>
        <w:autoSpaceDE/>
        <w:autoSpaceDN/>
        <w:bidi w:val="0"/>
        <w:spacing w:before="0" w:beforeAutospacing="0" w:after="0" w:afterAutospacing="0" w:line="20" w:lineRule="exact"/>
        <w:ind w:firstLine="1520" w:firstLineChars="500"/>
        <w:outlineLvl w:val="9"/>
        <w:rPr>
          <w:rFonts w:hint="eastAsia" w:ascii="仿宋_GB2312" w:eastAsia="仿宋_GB2312"/>
          <w:spacing w:val="-8"/>
          <w:sz w:val="32"/>
          <w:szCs w:val="32"/>
        </w:rPr>
      </w:pPr>
    </w:p>
    <w:p>
      <w:pPr>
        <w:pStyle w:val="10"/>
        <w:pageBreakBefore w:val="0"/>
        <w:widowControl w:val="0"/>
        <w:kinsoku/>
        <w:overflowPunct/>
        <w:topLinePunct w:val="0"/>
        <w:autoSpaceDE/>
        <w:autoSpaceDN/>
        <w:bidi w:val="0"/>
        <w:spacing w:before="0" w:beforeAutospacing="0" w:after="0" w:afterAutospacing="0" w:line="20" w:lineRule="exact"/>
        <w:ind w:firstLine="1520" w:firstLineChars="500"/>
        <w:outlineLvl w:val="9"/>
        <w:rPr>
          <w:rFonts w:hint="eastAsia" w:ascii="仿宋_GB2312" w:eastAsia="仿宋_GB2312"/>
          <w:spacing w:val="-8"/>
          <w:sz w:val="32"/>
          <w:szCs w:val="32"/>
        </w:rPr>
      </w:pPr>
    </w:p>
    <w:p>
      <w:pPr>
        <w:pStyle w:val="10"/>
        <w:pageBreakBefore w:val="0"/>
        <w:widowControl w:val="0"/>
        <w:kinsoku/>
        <w:overflowPunct/>
        <w:topLinePunct w:val="0"/>
        <w:autoSpaceDE/>
        <w:autoSpaceDN/>
        <w:bidi w:val="0"/>
        <w:spacing w:before="0" w:beforeAutospacing="0" w:after="0" w:afterAutospacing="0" w:line="20" w:lineRule="exact"/>
        <w:ind w:firstLine="1520" w:firstLineChars="500"/>
        <w:outlineLvl w:val="9"/>
        <w:rPr>
          <w:rFonts w:hint="eastAsia" w:ascii="仿宋_GB2312" w:eastAsia="仿宋_GB2312"/>
          <w:spacing w:val="-8"/>
          <w:sz w:val="32"/>
          <w:szCs w:val="32"/>
        </w:rPr>
      </w:pPr>
    </w:p>
    <w:p>
      <w:pPr>
        <w:pStyle w:val="10"/>
        <w:pageBreakBefore w:val="0"/>
        <w:widowControl w:val="0"/>
        <w:kinsoku/>
        <w:overflowPunct/>
        <w:topLinePunct w:val="0"/>
        <w:autoSpaceDE/>
        <w:autoSpaceDN/>
        <w:bidi w:val="0"/>
        <w:spacing w:before="0" w:beforeAutospacing="0" w:after="0" w:afterAutospacing="0" w:line="20" w:lineRule="exact"/>
        <w:ind w:firstLine="1520" w:firstLineChars="500"/>
        <w:outlineLvl w:val="9"/>
        <w:rPr>
          <w:rFonts w:hint="eastAsia" w:ascii="仿宋_GB2312" w:eastAsia="仿宋_GB2312"/>
          <w:spacing w:val="-8"/>
          <w:sz w:val="32"/>
          <w:szCs w:val="32"/>
        </w:rPr>
      </w:pPr>
    </w:p>
    <w:p>
      <w:pPr>
        <w:pStyle w:val="10"/>
        <w:pageBreakBefore w:val="0"/>
        <w:widowControl w:val="0"/>
        <w:kinsoku/>
        <w:overflowPunct/>
        <w:topLinePunct w:val="0"/>
        <w:autoSpaceDE/>
        <w:autoSpaceDN/>
        <w:bidi w:val="0"/>
        <w:spacing w:before="0" w:beforeAutospacing="0" w:after="0" w:afterAutospacing="0" w:line="20" w:lineRule="exact"/>
        <w:ind w:firstLine="1520" w:firstLineChars="500"/>
        <w:outlineLvl w:val="9"/>
        <w:rPr>
          <w:rFonts w:hint="eastAsia" w:ascii="仿宋_GB2312" w:eastAsia="仿宋_GB2312"/>
          <w:spacing w:val="-8"/>
          <w:sz w:val="32"/>
          <w:szCs w:val="32"/>
        </w:rPr>
      </w:pPr>
    </w:p>
    <w:p>
      <w:pPr>
        <w:pageBreakBefore w:val="0"/>
        <w:kinsoku/>
        <w:overflowPunct/>
        <w:topLinePunct w:val="0"/>
        <w:autoSpaceDE/>
        <w:autoSpaceDN/>
        <w:bidi w:val="0"/>
        <w:spacing w:line="596" w:lineRule="exact"/>
        <w:jc w:val="left"/>
        <w:outlineLvl w:val="9"/>
        <w:rPr>
          <w:rFonts w:hint="eastAsia" w:ascii="黑体" w:eastAsia="黑体"/>
          <w:sz w:val="32"/>
          <w:szCs w:val="32"/>
        </w:rPr>
      </w:pPr>
    </w:p>
    <w:p>
      <w:pPr>
        <w:pageBreakBefore w:val="0"/>
        <w:kinsoku/>
        <w:overflowPunct/>
        <w:topLinePunct w:val="0"/>
        <w:autoSpaceDE/>
        <w:autoSpaceDN/>
        <w:bidi w:val="0"/>
        <w:spacing w:line="596" w:lineRule="exact"/>
        <w:jc w:val="left"/>
        <w:outlineLvl w:val="9"/>
        <w:rPr>
          <w:rFonts w:hint="eastAsia" w:ascii="黑体" w:eastAsia="黑体"/>
          <w:sz w:val="32"/>
          <w:szCs w:val="32"/>
        </w:rPr>
      </w:pPr>
    </w:p>
    <w:p>
      <w:pPr>
        <w:pageBreakBefore w:val="0"/>
        <w:kinsoku/>
        <w:overflowPunct/>
        <w:topLinePunct w:val="0"/>
        <w:autoSpaceDE/>
        <w:autoSpaceDN/>
        <w:bidi w:val="0"/>
        <w:spacing w:line="596" w:lineRule="exact"/>
        <w:jc w:val="left"/>
        <w:outlineLvl w:val="9"/>
        <w:rPr>
          <w:rFonts w:ascii="黑体" w:eastAsia="黑体"/>
          <w:sz w:val="32"/>
          <w:szCs w:val="32"/>
        </w:rPr>
      </w:pPr>
      <w:r>
        <w:rPr>
          <w:rFonts w:hint="eastAsia" w:ascii="黑体" w:eastAsia="黑体"/>
          <w:sz w:val="32"/>
          <w:szCs w:val="32"/>
        </w:rPr>
        <w:t>附件</w:t>
      </w:r>
      <w:r>
        <w:rPr>
          <w:rFonts w:ascii="黑体" w:eastAsia="黑体"/>
          <w:sz w:val="32"/>
          <w:szCs w:val="32"/>
        </w:rPr>
        <w:t>2</w:t>
      </w:r>
      <w:r>
        <w:rPr>
          <w:rFonts w:hint="eastAsia" w:ascii="黑体" w:eastAsia="黑体"/>
          <w:sz w:val="32"/>
          <w:szCs w:val="32"/>
        </w:rPr>
        <w:t>:</w:t>
      </w:r>
    </w:p>
    <w:p>
      <w:pPr>
        <w:pageBreakBefore w:val="0"/>
        <w:kinsoku/>
        <w:overflowPunct/>
        <w:topLinePunct w:val="0"/>
        <w:autoSpaceDE/>
        <w:autoSpaceDN/>
        <w:bidi w:val="0"/>
        <w:ind w:right="1503"/>
        <w:jc w:val="center"/>
        <w:outlineLvl w:val="9"/>
        <w:rPr>
          <w:rFonts w:ascii="Calibri" w:hAnsi="Calibri" w:eastAsia="楷体_GB2312"/>
          <w:sz w:val="30"/>
          <w:szCs w:val="30"/>
        </w:rPr>
      </w:pPr>
      <w:bookmarkStart w:id="1766" w:name="_Toc5767_WPSOffice_Level1"/>
      <w:r>
        <w:rPr>
          <w:rFonts w:hint="eastAsia" w:ascii="Calibri" w:hAnsi="Calibri" w:eastAsia="楷体_GB2312" w:cs="楷体_GB2312"/>
          <w:sz w:val="30"/>
          <w:szCs w:val="30"/>
        </w:rPr>
        <w:t>编号</w:t>
      </w:r>
      <w:r>
        <w:rPr>
          <w:rFonts w:ascii="Calibri" w:hAnsi="Calibri" w:eastAsia="楷体_GB2312" w:cs="Calibri"/>
          <w:sz w:val="30"/>
          <w:szCs w:val="30"/>
        </w:rPr>
        <w:t>/No.</w:t>
      </w:r>
      <w:r>
        <w:rPr>
          <w:rFonts w:hint="eastAsia" w:ascii="Calibri" w:hAnsi="Calibri" w:eastAsia="楷体_GB2312" w:cs="楷体_GB2312"/>
          <w:sz w:val="30"/>
          <w:szCs w:val="30"/>
        </w:rPr>
        <w:t>：</w:t>
      </w:r>
      <w:bookmarkEnd w:id="1766"/>
    </w:p>
    <w:p>
      <w:pPr>
        <w:pageBreakBefore w:val="0"/>
        <w:kinsoku/>
        <w:overflowPunct/>
        <w:topLinePunct w:val="0"/>
        <w:autoSpaceDE/>
        <w:autoSpaceDN/>
        <w:bidi w:val="0"/>
        <w:jc w:val="center"/>
        <w:outlineLvl w:val="9"/>
        <w:rPr>
          <w:rFonts w:ascii="Calibri" w:hAnsi="Calibri" w:eastAsia="楷体_GB2312"/>
          <w:b/>
          <w:bCs/>
          <w:sz w:val="44"/>
          <w:szCs w:val="44"/>
        </w:rPr>
      </w:pPr>
    </w:p>
    <w:p>
      <w:pPr>
        <w:pageBreakBefore w:val="0"/>
        <w:kinsoku/>
        <w:overflowPunct/>
        <w:topLinePunct w:val="0"/>
        <w:autoSpaceDE/>
        <w:autoSpaceDN/>
        <w:bidi w:val="0"/>
        <w:jc w:val="center"/>
        <w:outlineLvl w:val="9"/>
        <w:rPr>
          <w:rFonts w:ascii="Calibri" w:hAnsi="Calibri" w:eastAsia="楷体_GB2312"/>
          <w:b/>
          <w:bCs/>
          <w:sz w:val="44"/>
          <w:szCs w:val="44"/>
        </w:rPr>
      </w:pPr>
      <w:r>
        <w:rPr>
          <w:rFonts w:hint="eastAsia" w:ascii="Calibri" w:hAnsi="Calibri" w:eastAsia="楷体_GB2312" w:cs="楷体_GB2312"/>
          <w:b/>
          <w:bCs/>
          <w:sz w:val="44"/>
          <w:szCs w:val="44"/>
        </w:rPr>
        <w:t>柳州职业技术学院</w:t>
      </w:r>
    </w:p>
    <w:p>
      <w:pPr>
        <w:pageBreakBefore w:val="0"/>
        <w:kinsoku/>
        <w:overflowPunct/>
        <w:topLinePunct w:val="0"/>
        <w:autoSpaceDE/>
        <w:autoSpaceDN/>
        <w:bidi w:val="0"/>
        <w:jc w:val="center"/>
        <w:outlineLvl w:val="9"/>
        <w:rPr>
          <w:rFonts w:ascii="Calibri" w:hAnsi="Calibri" w:eastAsia="楷体_GB2312"/>
          <w:b/>
          <w:bCs/>
          <w:sz w:val="44"/>
          <w:szCs w:val="44"/>
        </w:rPr>
      </w:pPr>
    </w:p>
    <w:p>
      <w:pPr>
        <w:pageBreakBefore w:val="0"/>
        <w:kinsoku/>
        <w:overflowPunct/>
        <w:topLinePunct w:val="0"/>
        <w:autoSpaceDE/>
        <w:autoSpaceDN/>
        <w:bidi w:val="0"/>
        <w:jc w:val="center"/>
        <w:outlineLvl w:val="9"/>
        <w:rPr>
          <w:rFonts w:ascii="黑体" w:hAnsi="华文中宋" w:eastAsia="黑体"/>
          <w:b/>
          <w:bCs/>
          <w:sz w:val="44"/>
          <w:szCs w:val="44"/>
        </w:rPr>
      </w:pPr>
      <w:r>
        <w:rPr>
          <w:rFonts w:hint="eastAsia" w:ascii="黑体" w:hAnsi="华文中宋" w:eastAsia="黑体" w:cs="黑体"/>
          <w:b/>
          <w:bCs/>
          <w:sz w:val="44"/>
          <w:szCs w:val="44"/>
        </w:rPr>
        <w:t>国际学生优秀学生奖学金申请表</w:t>
      </w:r>
    </w:p>
    <w:p>
      <w:pPr>
        <w:pageBreakBefore w:val="0"/>
        <w:kinsoku/>
        <w:overflowPunct/>
        <w:topLinePunct w:val="0"/>
        <w:autoSpaceDE/>
        <w:autoSpaceDN/>
        <w:bidi w:val="0"/>
        <w:jc w:val="center"/>
        <w:outlineLvl w:val="9"/>
        <w:rPr>
          <w:rFonts w:ascii="楷体_GB2312" w:hAnsi="Calibri" w:eastAsia="楷体_GB2312"/>
          <w:b/>
          <w:bCs/>
          <w:szCs w:val="28"/>
        </w:rPr>
      </w:pPr>
      <w:r>
        <w:rPr>
          <w:rFonts w:ascii="Calibri" w:hAnsi="Calibri" w:cs="Calibri"/>
          <w:b/>
          <w:bCs/>
          <w:color w:val="1B1B1B"/>
          <w:kern w:val="0"/>
          <w:szCs w:val="28"/>
          <w:u w:val="single"/>
        </w:rPr>
        <w:t>Application Form for Outstanding International Student Scholarship</w:t>
      </w:r>
    </w:p>
    <w:p>
      <w:pPr>
        <w:pageBreakBefore w:val="0"/>
        <w:kinsoku/>
        <w:overflowPunct/>
        <w:topLinePunct w:val="0"/>
        <w:autoSpaceDE/>
        <w:autoSpaceDN/>
        <w:bidi w:val="0"/>
        <w:spacing w:line="480" w:lineRule="auto"/>
        <w:outlineLvl w:val="9"/>
        <w:rPr>
          <w:rFonts w:ascii="仿宋_GB2312" w:hAnsi="Calibri" w:eastAsia="仿宋_GB2312"/>
          <w:sz w:val="32"/>
          <w:szCs w:val="32"/>
        </w:rPr>
      </w:pPr>
    </w:p>
    <w:p>
      <w:pPr>
        <w:pageBreakBefore w:val="0"/>
        <w:kinsoku/>
        <w:overflowPunct/>
        <w:topLinePunct w:val="0"/>
        <w:autoSpaceDE/>
        <w:autoSpaceDN/>
        <w:bidi w:val="0"/>
        <w:spacing w:line="480" w:lineRule="auto"/>
        <w:ind w:firstLine="480" w:firstLineChars="150"/>
        <w:outlineLvl w:val="9"/>
        <w:rPr>
          <w:rFonts w:ascii="仿宋_GB2312" w:hAnsi="Calibri" w:eastAsia="仿宋_GB2312"/>
          <w:sz w:val="32"/>
          <w:szCs w:val="32"/>
          <w:u w:val="thick"/>
        </w:rPr>
      </w:pPr>
      <w:r>
        <w:rPr>
          <w:rFonts w:hint="eastAsia" w:ascii="仿宋_GB2312" w:hAnsi="Calibri" w:eastAsia="仿宋_GB2312" w:cs="仿宋_GB2312"/>
          <w:sz w:val="32"/>
          <w:szCs w:val="32"/>
        </w:rPr>
        <w:t>学生姓名</w:t>
      </w:r>
      <w:r>
        <w:rPr>
          <w:rFonts w:ascii="仿宋_GB2312" w:hAnsi="Calibri" w:eastAsia="仿宋_GB2312" w:cs="仿宋_GB2312"/>
          <w:sz w:val="32"/>
          <w:szCs w:val="32"/>
        </w:rPr>
        <w:t>/CANDIDATE NAME:</w:t>
      </w:r>
    </w:p>
    <w:p>
      <w:pPr>
        <w:pageBreakBefore w:val="0"/>
        <w:kinsoku/>
        <w:overflowPunct/>
        <w:topLinePunct w:val="0"/>
        <w:autoSpaceDE/>
        <w:autoSpaceDN/>
        <w:bidi w:val="0"/>
        <w:spacing w:line="480" w:lineRule="auto"/>
        <w:ind w:firstLine="1120" w:firstLineChars="350"/>
        <w:outlineLvl w:val="9"/>
        <w:rPr>
          <w:rFonts w:ascii="仿宋_GB2312" w:hAnsi="Calibri" w:eastAsia="仿宋_GB2312"/>
          <w:b/>
          <w:bCs/>
          <w:sz w:val="32"/>
          <w:szCs w:val="32"/>
          <w:u w:val="thick"/>
        </w:rPr>
      </w:pPr>
      <w:r>
        <w:rPr>
          <w:rFonts w:hint="eastAsia" w:ascii="仿宋_GB2312" w:hAnsi="Calibri" w:eastAsia="仿宋_GB2312" w:cs="仿宋_GB2312"/>
          <w:sz w:val="32"/>
          <w:szCs w:val="32"/>
        </w:rPr>
        <w:t>所在学院</w:t>
      </w:r>
      <w:r>
        <w:rPr>
          <w:rFonts w:ascii="仿宋_GB2312" w:hAnsi="Calibri" w:eastAsia="仿宋_GB2312" w:cs="仿宋_GB2312"/>
          <w:sz w:val="32"/>
          <w:szCs w:val="32"/>
        </w:rPr>
        <w:t>/DEPARTMENT:</w:t>
      </w:r>
    </w:p>
    <w:p>
      <w:pPr>
        <w:pageBreakBefore w:val="0"/>
        <w:kinsoku/>
        <w:overflowPunct/>
        <w:topLinePunct w:val="0"/>
        <w:autoSpaceDE/>
        <w:autoSpaceDN/>
        <w:bidi w:val="0"/>
        <w:spacing w:line="480" w:lineRule="auto"/>
        <w:ind w:firstLine="1920" w:firstLineChars="600"/>
        <w:outlineLvl w:val="9"/>
        <w:rPr>
          <w:rFonts w:ascii="仿宋_GB2312" w:hAnsi="Calibri" w:eastAsia="仿宋_GB2312"/>
          <w:sz w:val="32"/>
          <w:szCs w:val="32"/>
        </w:rPr>
      </w:pPr>
      <w:r>
        <w:rPr>
          <w:rFonts w:hint="eastAsia" w:ascii="仿宋_GB2312" w:hAnsi="Calibri" w:eastAsia="仿宋_GB2312" w:cs="仿宋_GB2312"/>
          <w:sz w:val="32"/>
          <w:szCs w:val="32"/>
        </w:rPr>
        <w:t>专业名称</w:t>
      </w:r>
      <w:r>
        <w:rPr>
          <w:rFonts w:ascii="仿宋_GB2312" w:hAnsi="Calibri" w:eastAsia="仿宋_GB2312" w:cs="仿宋_GB2312"/>
          <w:sz w:val="32"/>
          <w:szCs w:val="32"/>
        </w:rPr>
        <w:t>/MAJOR:</w:t>
      </w:r>
    </w:p>
    <w:p>
      <w:pPr>
        <w:pageBreakBefore w:val="0"/>
        <w:kinsoku/>
        <w:overflowPunct/>
        <w:topLinePunct w:val="0"/>
        <w:autoSpaceDE/>
        <w:autoSpaceDN/>
        <w:bidi w:val="0"/>
        <w:jc w:val="center"/>
        <w:outlineLvl w:val="9"/>
        <w:rPr>
          <w:rFonts w:ascii="Calibri" w:hAnsi="Calibri" w:eastAsia="楷体_GB2312"/>
          <w:b/>
          <w:bCs/>
          <w:szCs w:val="28"/>
        </w:rPr>
      </w:pPr>
    </w:p>
    <w:p>
      <w:pPr>
        <w:pageBreakBefore w:val="0"/>
        <w:kinsoku/>
        <w:overflowPunct/>
        <w:topLinePunct w:val="0"/>
        <w:autoSpaceDE/>
        <w:autoSpaceDN/>
        <w:bidi w:val="0"/>
        <w:jc w:val="center"/>
        <w:outlineLvl w:val="9"/>
        <w:rPr>
          <w:rFonts w:ascii="Calibri" w:hAnsi="Calibri" w:eastAsia="楷体_GB2312"/>
          <w:b/>
          <w:bCs/>
          <w:szCs w:val="28"/>
        </w:rPr>
      </w:pPr>
    </w:p>
    <w:p>
      <w:pPr>
        <w:pageBreakBefore w:val="0"/>
        <w:kinsoku/>
        <w:overflowPunct/>
        <w:topLinePunct w:val="0"/>
        <w:autoSpaceDE/>
        <w:autoSpaceDN/>
        <w:bidi w:val="0"/>
        <w:jc w:val="center"/>
        <w:outlineLvl w:val="9"/>
        <w:rPr>
          <w:rFonts w:ascii="楷体_GB2312" w:hAnsi="Calibri" w:eastAsia="楷体_GB2312"/>
          <w:b/>
          <w:bCs/>
          <w:sz w:val="24"/>
          <w:u w:val="thick"/>
        </w:rPr>
      </w:pPr>
      <w:r>
        <w:rPr>
          <w:rFonts w:hint="eastAsia" w:ascii="楷体_GB2312" w:hAnsi="Calibri" w:eastAsia="楷体_GB2312" w:cs="楷体_GB2312"/>
          <w:sz w:val="24"/>
        </w:rPr>
        <w:t>填报日期</w:t>
      </w:r>
      <w:r>
        <w:rPr>
          <w:rFonts w:ascii="楷体_GB2312" w:hAnsi="Calibri" w:eastAsia="楷体_GB2312" w:cs="楷体_GB2312"/>
          <w:sz w:val="24"/>
        </w:rPr>
        <w:t>/DATE</w:t>
      </w:r>
      <w:r>
        <w:rPr>
          <w:rFonts w:hint="eastAsia" w:ascii="楷体_GB2312" w:hAnsi="Calibri" w:eastAsia="楷体_GB2312" w:cs="楷体_GB2312"/>
          <w:sz w:val="24"/>
        </w:rPr>
        <w:t>：年</w:t>
      </w:r>
      <w:r>
        <w:rPr>
          <w:rFonts w:ascii="楷体_GB2312" w:hAnsi="Calibri" w:eastAsia="楷体_GB2312" w:cs="楷体_GB2312"/>
          <w:sz w:val="24"/>
        </w:rPr>
        <w:t xml:space="preserve">/YEAR    </w:t>
      </w:r>
      <w:r>
        <w:rPr>
          <w:rFonts w:hint="eastAsia" w:ascii="楷体_GB2312" w:hAnsi="Calibri" w:eastAsia="楷体_GB2312" w:cs="楷体_GB2312"/>
          <w:sz w:val="24"/>
        </w:rPr>
        <w:t>月</w:t>
      </w:r>
      <w:r>
        <w:rPr>
          <w:rFonts w:ascii="楷体_GB2312" w:hAnsi="Calibri" w:eastAsia="楷体_GB2312" w:cs="楷体_GB2312"/>
          <w:sz w:val="24"/>
        </w:rPr>
        <w:t xml:space="preserve">/MONTH   </w:t>
      </w:r>
      <w:r>
        <w:rPr>
          <w:rFonts w:hint="eastAsia" w:ascii="楷体_GB2312" w:hAnsi="Calibri" w:eastAsia="楷体_GB2312" w:cs="楷体_GB2312"/>
          <w:sz w:val="24"/>
        </w:rPr>
        <w:t>日</w:t>
      </w:r>
      <w:r>
        <w:rPr>
          <w:rFonts w:ascii="楷体_GB2312" w:hAnsi="Calibri" w:eastAsia="楷体_GB2312" w:cs="楷体_GB2312"/>
          <w:sz w:val="24"/>
        </w:rPr>
        <w:t>/DAY</w:t>
      </w:r>
    </w:p>
    <w:p>
      <w:pPr>
        <w:pageBreakBefore w:val="0"/>
        <w:kinsoku/>
        <w:overflowPunct/>
        <w:topLinePunct w:val="0"/>
        <w:autoSpaceDE/>
        <w:autoSpaceDN/>
        <w:bidi w:val="0"/>
        <w:jc w:val="center"/>
        <w:outlineLvl w:val="9"/>
        <w:rPr>
          <w:rFonts w:ascii="楷体_GB2312" w:hAnsi="Calibri" w:eastAsia="楷体_GB2312"/>
          <w:szCs w:val="28"/>
        </w:rPr>
      </w:pPr>
    </w:p>
    <w:p>
      <w:pPr>
        <w:pageBreakBefore w:val="0"/>
        <w:kinsoku/>
        <w:overflowPunct/>
        <w:topLinePunct w:val="0"/>
        <w:autoSpaceDE/>
        <w:autoSpaceDN/>
        <w:bidi w:val="0"/>
        <w:jc w:val="center"/>
        <w:outlineLvl w:val="9"/>
        <w:rPr>
          <w:rFonts w:ascii="楷体_GB2312" w:hAnsi="Calibri" w:eastAsia="楷体_GB2312"/>
          <w:szCs w:val="28"/>
        </w:rPr>
      </w:pPr>
    </w:p>
    <w:p>
      <w:pPr>
        <w:pageBreakBefore w:val="0"/>
        <w:kinsoku/>
        <w:overflowPunct/>
        <w:topLinePunct w:val="0"/>
        <w:autoSpaceDE/>
        <w:autoSpaceDN/>
        <w:bidi w:val="0"/>
        <w:spacing w:line="300" w:lineRule="exact"/>
        <w:jc w:val="center"/>
        <w:outlineLvl w:val="9"/>
        <w:rPr>
          <w:rFonts w:ascii="楷体_GB2312" w:hAnsi="Calibri" w:eastAsia="楷体_GB2312"/>
          <w:szCs w:val="28"/>
        </w:rPr>
      </w:pPr>
      <w:r>
        <w:rPr>
          <w:rFonts w:hint="eastAsia" w:ascii="楷体_GB2312" w:hAnsi="Calibri" w:eastAsia="楷体_GB2312" w:cs="楷体_GB2312"/>
          <w:szCs w:val="28"/>
        </w:rPr>
        <w:t>柳州职业技术学院</w:t>
      </w:r>
    </w:p>
    <w:p>
      <w:pPr>
        <w:pageBreakBefore w:val="0"/>
        <w:kinsoku/>
        <w:overflowPunct/>
        <w:topLinePunct w:val="0"/>
        <w:autoSpaceDE/>
        <w:autoSpaceDN/>
        <w:bidi w:val="0"/>
        <w:spacing w:line="300" w:lineRule="exact"/>
        <w:ind w:firstLine="1680" w:firstLineChars="700"/>
        <w:outlineLvl w:val="9"/>
        <w:rPr>
          <w:rFonts w:hint="eastAsia" w:ascii="楷体_GB2312" w:hAnsi="Calibri" w:eastAsia="楷体_GB2312" w:cs="楷体_GB2312"/>
          <w:sz w:val="24"/>
        </w:rPr>
      </w:pPr>
      <w:r>
        <w:rPr>
          <w:rFonts w:hint="eastAsia" w:ascii="楷体_GB2312" w:hAnsi="Calibri" w:eastAsia="楷体_GB2312" w:cs="楷体_GB2312"/>
          <w:sz w:val="24"/>
        </w:rPr>
        <w:t>LIUZHOU</w:t>
      </w:r>
      <w:r>
        <w:rPr>
          <w:rFonts w:ascii="楷体_GB2312" w:hAnsi="Calibri" w:eastAsia="楷体_GB2312" w:cs="楷体_GB2312"/>
          <w:sz w:val="24"/>
        </w:rPr>
        <w:t xml:space="preserve"> VOCATIONAL &amp; TECHNICAL COLLEGE</w:t>
      </w:r>
    </w:p>
    <w:p>
      <w:pPr>
        <w:pageBreakBefore w:val="0"/>
        <w:kinsoku/>
        <w:overflowPunct/>
        <w:topLinePunct w:val="0"/>
        <w:autoSpaceDE/>
        <w:autoSpaceDN/>
        <w:bidi w:val="0"/>
        <w:spacing w:line="300" w:lineRule="exact"/>
        <w:ind w:firstLine="1680" w:firstLineChars="700"/>
        <w:outlineLvl w:val="9"/>
        <w:rPr>
          <w:rFonts w:ascii="楷体_GB2312" w:hAnsi="Calibri" w:eastAsia="楷体_GB2312"/>
          <w:sz w:val="24"/>
        </w:rPr>
      </w:pPr>
    </w:p>
    <w:p>
      <w:pPr>
        <w:pageBreakBefore w:val="0"/>
        <w:kinsoku/>
        <w:overflowPunct/>
        <w:topLinePunct w:val="0"/>
        <w:autoSpaceDE/>
        <w:autoSpaceDN/>
        <w:bidi w:val="0"/>
        <w:spacing w:line="320" w:lineRule="exact"/>
        <w:jc w:val="center"/>
        <w:outlineLvl w:val="9"/>
        <w:rPr>
          <w:b/>
          <w:bCs/>
          <w:szCs w:val="28"/>
        </w:rPr>
      </w:pPr>
      <w:r>
        <w:rPr>
          <w:rFonts w:hint="eastAsia" w:ascii="仿宋_GB2312" w:eastAsia="仿宋_GB2312" w:cs="仿宋_GB2312"/>
          <w:b/>
          <w:bCs/>
          <w:szCs w:val="28"/>
        </w:rPr>
        <w:t>申请人保证</w:t>
      </w:r>
      <w:r>
        <w:rPr>
          <w:rFonts w:ascii="仿宋_GB2312" w:eastAsia="仿宋_GB2312" w:cs="仿宋_GB2312"/>
          <w:b/>
          <w:bCs/>
          <w:szCs w:val="28"/>
        </w:rPr>
        <w:t>/</w:t>
      </w:r>
      <w:r>
        <w:rPr>
          <w:b/>
          <w:bCs/>
          <w:szCs w:val="28"/>
        </w:rPr>
        <w:t>I Hereby Affirm That</w:t>
      </w:r>
    </w:p>
    <w:p>
      <w:pPr>
        <w:pageBreakBefore w:val="0"/>
        <w:kinsoku/>
        <w:overflowPunct/>
        <w:topLinePunct w:val="0"/>
        <w:autoSpaceDE/>
        <w:autoSpaceDN/>
        <w:bidi w:val="0"/>
        <w:spacing w:line="320" w:lineRule="exact"/>
        <w:jc w:val="center"/>
        <w:outlineLvl w:val="9"/>
        <w:rPr>
          <w:b/>
          <w:bCs/>
          <w:sz w:val="24"/>
        </w:rPr>
      </w:pPr>
    </w:p>
    <w:p>
      <w:pPr>
        <w:pageBreakBefore w:val="0"/>
        <w:kinsoku/>
        <w:overflowPunct/>
        <w:topLinePunct w:val="0"/>
        <w:autoSpaceDE/>
        <w:autoSpaceDN/>
        <w:bidi w:val="0"/>
        <w:spacing w:line="320" w:lineRule="exact"/>
        <w:jc w:val="center"/>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1. </w:t>
      </w:r>
      <w:r>
        <w:rPr>
          <w:rFonts w:hint="eastAsia" w:ascii="仿宋_GB2312" w:eastAsia="仿宋_GB2312" w:cs="仿宋_GB2312"/>
          <w:sz w:val="24"/>
        </w:rPr>
        <w:t>申请表中所填写的内容和提供的材料真实无误。</w:t>
      </w:r>
    </w:p>
    <w:p>
      <w:pPr>
        <w:pageBreakBefore w:val="0"/>
        <w:kinsoku/>
        <w:overflowPunct/>
        <w:topLinePunct w:val="0"/>
        <w:autoSpaceDE/>
        <w:autoSpaceDN/>
        <w:bidi w:val="0"/>
        <w:spacing w:line="320" w:lineRule="exact"/>
        <w:outlineLvl w:val="9"/>
        <w:rPr>
          <w:sz w:val="24"/>
        </w:rPr>
      </w:pPr>
      <w:r>
        <w:rPr>
          <w:sz w:val="24"/>
        </w:rPr>
        <w:t>All information and materials given in this form are true and correct.</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2. </w:t>
      </w:r>
      <w:r>
        <w:rPr>
          <w:rFonts w:hint="eastAsia" w:ascii="仿宋_GB2312" w:eastAsia="仿宋_GB2312" w:cs="仿宋_GB2312"/>
          <w:sz w:val="24"/>
        </w:rPr>
        <w:t>在华期间，遵守中国的法律、法规，不从事任何危害中国社会秩序的、与本人来华学习身份不符合的活动。</w:t>
      </w:r>
    </w:p>
    <w:p>
      <w:pPr>
        <w:pageBreakBefore w:val="0"/>
        <w:kinsoku/>
        <w:overflowPunct/>
        <w:topLinePunct w:val="0"/>
        <w:autoSpaceDE/>
        <w:autoSpaceDN/>
        <w:bidi w:val="0"/>
        <w:spacing w:line="320" w:lineRule="exact"/>
        <w:outlineLvl w:val="9"/>
        <w:rPr>
          <w:sz w:val="24"/>
        </w:rPr>
      </w:pPr>
      <w:r>
        <w:rPr>
          <w:sz w:val="24"/>
        </w:rPr>
        <w:t>During my stay in China, I shall abide by the laws and decrees of the Chinese government, and will not participate in any activities in China which are deemed to be adverse to the social order of China and are inappropriate to the capacity as a student.</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3. </w:t>
      </w:r>
      <w:r>
        <w:rPr>
          <w:rFonts w:hint="eastAsia" w:ascii="仿宋_GB2312" w:eastAsia="仿宋_GB2312" w:cs="仿宋_GB2312"/>
          <w:sz w:val="24"/>
        </w:rPr>
        <w:t>在学期间，遵守学校的校纪、校规，全力投入学习和研究工作，尊重学校的教学安排。</w:t>
      </w:r>
    </w:p>
    <w:p>
      <w:pPr>
        <w:pageBreakBefore w:val="0"/>
        <w:kinsoku/>
        <w:overflowPunct/>
        <w:topLinePunct w:val="0"/>
        <w:autoSpaceDE/>
        <w:autoSpaceDN/>
        <w:bidi w:val="0"/>
        <w:spacing w:line="320" w:lineRule="exact"/>
        <w:outlineLvl w:val="9"/>
        <w:rPr>
          <w:sz w:val="24"/>
        </w:rPr>
      </w:pPr>
      <w:r>
        <w:rPr>
          <w:sz w:val="24"/>
        </w:rPr>
        <w:t>During my study in China, I shall abide by the rules and regulations of the host university, and concentrate on my studies and researches, and follow the teaching programs arranged by the university.</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4. </w:t>
      </w:r>
      <w:r>
        <w:rPr>
          <w:rFonts w:hint="eastAsia" w:ascii="仿宋_GB2312" w:eastAsia="仿宋_GB2312" w:cs="仿宋_GB2312"/>
          <w:sz w:val="24"/>
        </w:rPr>
        <w:t>按规定期限修完学业，按期回国，不无故在华滞留。</w:t>
      </w:r>
      <w:r>
        <w:rPr>
          <w:rFonts w:hint="eastAsia" w:cs="宋体"/>
          <w:sz w:val="24"/>
        </w:rPr>
        <w:t>　</w:t>
      </w:r>
    </w:p>
    <w:p>
      <w:pPr>
        <w:pageBreakBefore w:val="0"/>
        <w:kinsoku/>
        <w:overflowPunct/>
        <w:topLinePunct w:val="0"/>
        <w:autoSpaceDE/>
        <w:autoSpaceDN/>
        <w:bidi w:val="0"/>
        <w:spacing w:line="320" w:lineRule="exact"/>
        <w:outlineLvl w:val="9"/>
        <w:rPr>
          <w:sz w:val="24"/>
        </w:rPr>
      </w:pPr>
      <w:r>
        <w:rPr>
          <w:sz w:val="24"/>
        </w:rPr>
        <w:t>I shall return to my home country as soon as I complete my scheduled program in China, and will not extend my stay without valid reasons.</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5. </w:t>
      </w:r>
      <w:r>
        <w:rPr>
          <w:rFonts w:hint="eastAsia" w:ascii="仿宋_GB2312" w:eastAsia="仿宋_GB2312" w:cs="仿宋_GB2312"/>
          <w:sz w:val="24"/>
        </w:rPr>
        <w:t>如违反上述保证而受到中国法律、法规或校纪、校规</w:t>
      </w:r>
      <w:bookmarkStart w:id="1767" w:name="_Toc2738_WPSOffice_Level1"/>
      <w:r>
        <w:rPr>
          <w:rFonts w:hint="eastAsia" w:ascii="仿宋_GB2312" w:eastAsia="仿宋_GB2312" w:cs="仿宋_GB2312"/>
          <w:sz w:val="24"/>
        </w:rPr>
        <w:t>的惩处，我愿意接受中止或取消奖学金及其它相应的</w:t>
      </w:r>
      <w:bookmarkEnd w:id="1767"/>
      <w:r>
        <w:rPr>
          <w:rFonts w:hint="eastAsia" w:ascii="仿宋_GB2312" w:eastAsia="仿宋_GB2312" w:cs="仿宋_GB2312"/>
          <w:sz w:val="24"/>
        </w:rPr>
        <w:t>处罚。</w:t>
      </w:r>
    </w:p>
    <w:p>
      <w:pPr>
        <w:pageBreakBefore w:val="0"/>
        <w:kinsoku/>
        <w:overflowPunct/>
        <w:topLinePunct w:val="0"/>
        <w:autoSpaceDE/>
        <w:autoSpaceDN/>
        <w:bidi w:val="0"/>
        <w:spacing w:line="320" w:lineRule="exact"/>
        <w:outlineLvl w:val="9"/>
        <w:rPr>
          <w:sz w:val="24"/>
        </w:rPr>
      </w:pPr>
      <w:r>
        <w:rPr>
          <w:sz w:val="24"/>
        </w:rPr>
        <w:t>If I am judged by the Chinese laws and decrees and the rules and regulations of the university as having violated any of the above, I will not lodge any appeal against the decision of withdrawing my scholarship, or other penalties.</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rFonts w:hint="eastAsia" w:ascii="仿宋_GB2312" w:eastAsia="仿宋_GB2312" w:cs="仿宋_GB2312"/>
          <w:sz w:val="24"/>
        </w:rPr>
        <w:t>申请人签字</w:t>
      </w:r>
      <w:r>
        <w:rPr>
          <w:sz w:val="24"/>
        </w:rPr>
        <w:t xml:space="preserve">/Signature of Applicant:____________________________ </w:t>
      </w:r>
    </w:p>
    <w:p>
      <w:pPr>
        <w:pStyle w:val="10"/>
        <w:pageBreakBefore w:val="0"/>
        <w:widowControl w:val="0"/>
        <w:kinsoku/>
        <w:overflowPunct/>
        <w:topLinePunct w:val="0"/>
        <w:autoSpaceDE/>
        <w:autoSpaceDN/>
        <w:bidi w:val="0"/>
        <w:spacing w:before="0" w:beforeAutospacing="0" w:after="0" w:afterAutospacing="0" w:line="596" w:lineRule="exact"/>
        <w:outlineLvl w:val="9"/>
        <w:rPr>
          <w:rFonts w:hint="eastAsia" w:ascii="Times New Roman" w:hAnsi="Times New Roman"/>
          <w:kern w:val="2"/>
        </w:rPr>
      </w:pPr>
    </w:p>
    <w:p>
      <w:pPr>
        <w:pStyle w:val="10"/>
        <w:pageBreakBefore w:val="0"/>
        <w:widowControl w:val="0"/>
        <w:kinsoku/>
        <w:overflowPunct/>
        <w:topLinePunct w:val="0"/>
        <w:autoSpaceDE/>
        <w:autoSpaceDN/>
        <w:bidi w:val="0"/>
        <w:spacing w:before="0" w:beforeAutospacing="0" w:after="0" w:afterAutospacing="0" w:line="596" w:lineRule="exact"/>
        <w:outlineLvl w:val="9"/>
        <w:rPr>
          <w:rFonts w:hint="eastAsia"/>
        </w:rPr>
      </w:pPr>
      <w:r>
        <w:rPr>
          <w:rFonts w:hint="eastAsia" w:ascii="仿宋_GB2312" w:eastAsia="仿宋_GB2312" w:cs="仿宋_GB2312"/>
        </w:rPr>
        <w:t>日期</w:t>
      </w:r>
      <w:r>
        <w:t>/Date:___________________</w:t>
      </w:r>
    </w:p>
    <w:p>
      <w:pPr>
        <w:pStyle w:val="10"/>
        <w:pageBreakBefore w:val="0"/>
        <w:widowControl w:val="0"/>
        <w:kinsoku/>
        <w:overflowPunct/>
        <w:topLinePunct w:val="0"/>
        <w:autoSpaceDE/>
        <w:autoSpaceDN/>
        <w:bidi w:val="0"/>
        <w:spacing w:before="0" w:beforeAutospacing="0" w:after="0" w:afterAutospacing="0" w:line="596" w:lineRule="exact"/>
        <w:outlineLvl w:val="9"/>
        <w:rPr>
          <w:rFonts w:hint="eastAsia"/>
        </w:rPr>
      </w:pPr>
    </w:p>
    <w:tbl>
      <w:tblPr>
        <w:tblStyle w:val="14"/>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
        <w:gridCol w:w="306"/>
        <w:gridCol w:w="2576"/>
        <w:gridCol w:w="3969"/>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exact"/>
          <w:jc w:val="center"/>
        </w:trPr>
        <w:tc>
          <w:tcPr>
            <w:tcW w:w="7196" w:type="dxa"/>
            <w:gridSpan w:val="4"/>
            <w:noWrap w:val="0"/>
            <w:vAlign w:val="center"/>
          </w:tcPr>
          <w:p>
            <w:pPr>
              <w:pageBreakBefore w:val="0"/>
              <w:numPr>
                <w:ilvl w:val="0"/>
                <w:numId w:val="15"/>
              </w:numPr>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申请人基本情况</w:t>
            </w:r>
            <w:r>
              <w:rPr>
                <w:rFonts w:eastAsia="仿宋_GB2312"/>
                <w:b/>
                <w:bCs/>
                <w:sz w:val="24"/>
              </w:rPr>
              <w:t>/Information of the Candidate</w:t>
            </w:r>
          </w:p>
        </w:tc>
        <w:tc>
          <w:tcPr>
            <w:tcW w:w="1732" w:type="dxa"/>
            <w:vMerge w:val="restart"/>
            <w:noWrap w:val="0"/>
            <w:vAlign w:val="center"/>
          </w:tcPr>
          <w:p>
            <w:pPr>
              <w:pageBreakBefore w:val="0"/>
              <w:widowControl/>
              <w:kinsoku/>
              <w:overflowPunct/>
              <w:topLinePunct w:val="0"/>
              <w:autoSpaceDE/>
              <w:autoSpaceDN/>
              <w:bidi w:val="0"/>
              <w:jc w:val="center"/>
              <w:outlineLvl w:val="9"/>
              <w:rPr>
                <w:rFonts w:eastAsia="仿宋_GB2312"/>
                <w:sz w:val="24"/>
              </w:rPr>
            </w:pPr>
            <w:r>
              <w:rPr>
                <w:rFonts w:hint="eastAsia" w:eastAsia="仿宋_GB2312" w:cs="仿宋_GB2312"/>
                <w:sz w:val="24"/>
              </w:rPr>
              <w:t>照片</w:t>
            </w:r>
          </w:p>
          <w:p>
            <w:pPr>
              <w:pageBreakBefore w:val="0"/>
              <w:kinsoku/>
              <w:overflowPunct/>
              <w:topLinePunct w:val="0"/>
              <w:autoSpaceDE/>
              <w:autoSpaceDN/>
              <w:bidi w:val="0"/>
              <w:spacing w:line="280" w:lineRule="exact"/>
              <w:jc w:val="center"/>
              <w:outlineLvl w:val="9"/>
              <w:rPr>
                <w:rFonts w:eastAsia="仿宋_GB2312"/>
              </w:rPr>
            </w:pPr>
            <w:r>
              <w:rPr>
                <w:rFonts w:eastAsia="仿宋_GB2312"/>
              </w:rPr>
              <w:t>(</w:t>
            </w:r>
            <w:r>
              <w:rPr>
                <w:rFonts w:hint="eastAsia" w:eastAsia="仿宋_GB2312" w:cs="仿宋_GB2312"/>
              </w:rPr>
              <w:t>小二寸</w:t>
            </w:r>
            <w:r>
              <w:rPr>
                <w:rFonts w:eastAsia="仿宋_GB2312"/>
              </w:rPr>
              <w:t>)</w:t>
            </w:r>
          </w:p>
          <w:p>
            <w:pPr>
              <w:pageBreakBefore w:val="0"/>
              <w:kinsoku/>
              <w:overflowPunct/>
              <w:topLinePunct w:val="0"/>
              <w:autoSpaceDE/>
              <w:autoSpaceDN/>
              <w:bidi w:val="0"/>
              <w:spacing w:line="280" w:lineRule="exact"/>
              <w:jc w:val="center"/>
              <w:outlineLvl w:val="9"/>
              <w:rPr>
                <w:rFonts w:eastAsia="仿宋_GB2312"/>
                <w:sz w:val="24"/>
              </w:rPr>
            </w:pPr>
            <w:r>
              <w:rPr>
                <w:rFonts w:eastAsia="仿宋_GB2312"/>
              </w:rPr>
              <w:t>35mm×45mm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3227" w:type="dxa"/>
            <w:gridSpan w:val="3"/>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姓</w:t>
            </w:r>
            <w:r>
              <w:rPr>
                <w:rFonts w:eastAsia="仿宋_GB2312"/>
                <w:sz w:val="24"/>
              </w:rPr>
              <w:t>/Family Name:</w:t>
            </w:r>
          </w:p>
        </w:tc>
        <w:tc>
          <w:tcPr>
            <w:tcW w:w="3969" w:type="dxa"/>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名</w:t>
            </w:r>
            <w:r>
              <w:rPr>
                <w:rFonts w:eastAsia="仿宋_GB2312"/>
                <w:sz w:val="24"/>
              </w:rPr>
              <w:t>/Given Name:</w:t>
            </w:r>
          </w:p>
        </w:tc>
        <w:tc>
          <w:tcPr>
            <w:tcW w:w="1732" w:type="dxa"/>
            <w:vMerge w:val="continue"/>
            <w:noWrap w:val="0"/>
            <w:vAlign w:val="top"/>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6" w:hRule="exact"/>
          <w:jc w:val="center"/>
        </w:trPr>
        <w:tc>
          <w:tcPr>
            <w:tcW w:w="3227" w:type="dxa"/>
            <w:gridSpan w:val="3"/>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性别</w:t>
            </w:r>
            <w:r>
              <w:rPr>
                <w:rFonts w:eastAsia="仿宋_GB2312"/>
                <w:sz w:val="24"/>
              </w:rPr>
              <w:t>/Gender:</w:t>
            </w:r>
          </w:p>
        </w:tc>
        <w:tc>
          <w:tcPr>
            <w:tcW w:w="3969" w:type="dxa"/>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国籍</w:t>
            </w:r>
            <w:r>
              <w:rPr>
                <w:rFonts w:eastAsia="仿宋_GB2312"/>
                <w:sz w:val="24"/>
              </w:rPr>
              <w:t>/Nationality:</w:t>
            </w:r>
          </w:p>
        </w:tc>
        <w:tc>
          <w:tcPr>
            <w:tcW w:w="1732" w:type="dxa"/>
            <w:vMerge w:val="continue"/>
            <w:noWrap w:val="0"/>
            <w:vAlign w:val="top"/>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3227" w:type="dxa"/>
            <w:gridSpan w:val="3"/>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出生日期</w:t>
            </w:r>
            <w:r>
              <w:rPr>
                <w:rFonts w:eastAsia="仿宋_GB2312"/>
                <w:sz w:val="24"/>
              </w:rPr>
              <w:t>/D.O.B.:</w:t>
            </w:r>
          </w:p>
        </w:tc>
        <w:tc>
          <w:tcPr>
            <w:tcW w:w="3969" w:type="dxa"/>
            <w:noWrap w:val="0"/>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护照号码</w:t>
            </w:r>
            <w:r>
              <w:rPr>
                <w:rFonts w:eastAsia="仿宋_GB2312"/>
                <w:sz w:val="24"/>
              </w:rPr>
              <w:t>/Passport No.:</w:t>
            </w:r>
          </w:p>
        </w:tc>
        <w:tc>
          <w:tcPr>
            <w:tcW w:w="1732" w:type="dxa"/>
            <w:vMerge w:val="continue"/>
            <w:noWrap w:val="0"/>
            <w:vAlign w:val="top"/>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jc w:val="center"/>
        </w:trPr>
        <w:tc>
          <w:tcPr>
            <w:tcW w:w="8928" w:type="dxa"/>
            <w:gridSpan w:val="5"/>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eastAsia="仿宋_GB2312"/>
                <w:b/>
                <w:bCs/>
                <w:sz w:val="24"/>
              </w:rPr>
              <w:t xml:space="preserve">2. </w:t>
            </w:r>
            <w:r>
              <w:rPr>
                <w:rFonts w:hint="eastAsia" w:eastAsia="仿宋_GB2312" w:cs="仿宋_GB2312"/>
                <w:b/>
                <w:bCs/>
                <w:sz w:val="24"/>
              </w:rPr>
              <w:t>所在学院</w:t>
            </w:r>
            <w:r>
              <w:rPr>
                <w:rFonts w:eastAsia="仿宋_GB2312"/>
                <w:b/>
                <w:bCs/>
                <w:sz w:val="24"/>
              </w:rPr>
              <w:t>/Department</w:t>
            </w:r>
            <w:r>
              <w:rPr>
                <w:rFonts w:hint="eastAsia" w:eastAsia="仿宋_GB2312" w:cs="仿宋_GB2312"/>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atLeast"/>
          <w:jc w:val="center"/>
        </w:trPr>
        <w:tc>
          <w:tcPr>
            <w:tcW w:w="345" w:type="dxa"/>
            <w:vMerge w:val="restart"/>
            <w:noWrap w:val="0"/>
            <w:vAlign w:val="center"/>
          </w:tcPr>
          <w:p>
            <w:pPr>
              <w:pageBreakBefore w:val="0"/>
              <w:kinsoku/>
              <w:overflowPunct/>
              <w:topLinePunct w:val="0"/>
              <w:autoSpaceDE/>
              <w:autoSpaceDN/>
              <w:bidi w:val="0"/>
              <w:spacing w:line="280" w:lineRule="exact"/>
              <w:jc w:val="center"/>
              <w:outlineLvl w:val="9"/>
              <w:rPr>
                <w:rFonts w:eastAsia="仿宋_GB2312"/>
                <w:b/>
                <w:bCs/>
                <w:sz w:val="24"/>
              </w:rPr>
            </w:pPr>
            <w:r>
              <w:rPr>
                <w:rFonts w:hint="eastAsia" w:eastAsia="仿宋_GB2312"/>
                <w:b/>
                <w:bCs/>
                <w:sz w:val="24"/>
              </w:rPr>
              <w:t>3</w:t>
            </w:r>
          </w:p>
        </w:tc>
        <w:tc>
          <w:tcPr>
            <w:tcW w:w="8583" w:type="dxa"/>
            <w:gridSpan w:val="4"/>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专业</w:t>
            </w:r>
            <w:r>
              <w:rPr>
                <w:rFonts w:eastAsia="仿宋_GB2312"/>
                <w:b/>
                <w:bCs/>
                <w:sz w:val="24"/>
              </w:rPr>
              <w:t xml:space="preserve">/Major: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jc w:val="center"/>
        </w:trPr>
        <w:tc>
          <w:tcPr>
            <w:tcW w:w="345" w:type="dxa"/>
            <w:vMerge w:val="continue"/>
            <w:noWrap w:val="0"/>
            <w:vAlign w:val="center"/>
          </w:tcPr>
          <w:p>
            <w:pPr>
              <w:pageBreakBefore w:val="0"/>
              <w:kinsoku/>
              <w:overflowPunct/>
              <w:topLinePunct w:val="0"/>
              <w:autoSpaceDE/>
              <w:autoSpaceDN/>
              <w:bidi w:val="0"/>
              <w:spacing w:line="280" w:lineRule="exact"/>
              <w:outlineLvl w:val="9"/>
              <w:rPr>
                <w:rFonts w:eastAsia="仿宋_GB2312"/>
                <w:sz w:val="24"/>
              </w:rPr>
            </w:pPr>
          </w:p>
        </w:tc>
        <w:tc>
          <w:tcPr>
            <w:tcW w:w="8583" w:type="dxa"/>
            <w:gridSpan w:val="4"/>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入学时间</w:t>
            </w:r>
            <w:r>
              <w:rPr>
                <w:rFonts w:eastAsia="仿宋_GB2312"/>
                <w:b/>
                <w:bCs/>
                <w:sz w:val="24"/>
              </w:rPr>
              <w:t>/Date of Enrollment: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b/>
                <w:bCs/>
                <w:sz w:val="24"/>
              </w:rPr>
              <w:t>4</w:t>
            </w:r>
            <w:r>
              <w:rPr>
                <w:rFonts w:eastAsia="仿宋_GB2312"/>
                <w:b/>
                <w:bCs/>
                <w:sz w:val="24"/>
              </w:rPr>
              <w:t xml:space="preserve">. </w:t>
            </w:r>
            <w:r>
              <w:rPr>
                <w:rFonts w:hint="eastAsia" w:eastAsia="仿宋_GB2312" w:cs="仿宋_GB2312"/>
                <w:b/>
                <w:bCs/>
                <w:sz w:val="24"/>
              </w:rPr>
              <w:t>汉语能力</w:t>
            </w:r>
            <w:r>
              <w:rPr>
                <w:rFonts w:eastAsia="仿宋_GB2312"/>
                <w:b/>
                <w:bCs/>
                <w:sz w:val="24"/>
              </w:rPr>
              <w:t xml:space="preserve">/Chinese Language Proficiency: </w:t>
            </w:r>
          </w:p>
          <w:p>
            <w:pPr>
              <w:pageBreakBefore w:val="0"/>
              <w:kinsoku/>
              <w:overflowPunct/>
              <w:topLinePunct w:val="0"/>
              <w:autoSpaceDE/>
              <w:autoSpaceDN/>
              <w:bidi w:val="0"/>
              <w:spacing w:line="280" w:lineRule="exact"/>
              <w:ind w:firstLine="315" w:firstLineChars="150"/>
              <w:outlineLvl w:val="9"/>
              <w:rPr>
                <w:rFonts w:eastAsia="仿宋_GB2312"/>
                <w:b/>
                <w:bCs/>
                <w:sz w:val="24"/>
              </w:rPr>
            </w:pPr>
            <w:r>
              <w:rPr>
                <w:rFonts w:hint="eastAsia" w:eastAsia="仿宋_GB2312" w:cs="仿宋_GB2312"/>
              </w:rPr>
              <w:t>□很好</w:t>
            </w:r>
            <w:r>
              <w:rPr>
                <w:rFonts w:eastAsia="仿宋_GB2312"/>
              </w:rPr>
              <w:t xml:space="preserve">/Excellent; </w:t>
            </w:r>
            <w:r>
              <w:rPr>
                <w:rFonts w:hint="eastAsia" w:eastAsia="仿宋_GB2312" w:cs="仿宋_GB2312"/>
              </w:rPr>
              <w:t>□好</w:t>
            </w:r>
            <w:r>
              <w:rPr>
                <w:rFonts w:eastAsia="仿宋_GB2312"/>
              </w:rPr>
              <w:t xml:space="preserve">/Good; </w:t>
            </w:r>
            <w:r>
              <w:rPr>
                <w:rFonts w:hint="eastAsia" w:eastAsia="仿宋_GB2312" w:cs="仿宋_GB2312"/>
              </w:rPr>
              <w:t>□较好</w:t>
            </w:r>
            <w:r>
              <w:rPr>
                <w:rFonts w:eastAsia="仿宋_GB2312"/>
              </w:rPr>
              <w:t xml:space="preserve">/Fair; </w:t>
            </w:r>
            <w:r>
              <w:rPr>
                <w:rFonts w:hint="eastAsia" w:eastAsia="仿宋_GB2312" w:cs="仿宋_GB2312"/>
              </w:rPr>
              <w:t>□差</w:t>
            </w:r>
            <w:r>
              <w:rPr>
                <w:rFonts w:eastAsia="仿宋_GB2312"/>
              </w:rPr>
              <w:t xml:space="preserve">/Poor; </w:t>
            </w:r>
            <w:r>
              <w:rPr>
                <w:rFonts w:hint="eastAsia" w:eastAsia="仿宋_GB2312" w:cs="仿宋_GB2312"/>
              </w:rPr>
              <w:t>□不会</w:t>
            </w:r>
            <w:r>
              <w:rPr>
                <w:rFonts w:eastAsia="仿宋_GB2312"/>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noWrap w:val="0"/>
            <w:vAlign w:val="center"/>
          </w:tcPr>
          <w:p>
            <w:pPr>
              <w:pageBreakBefore w:val="0"/>
              <w:kinsoku/>
              <w:overflowPunct/>
              <w:topLinePunct w:val="0"/>
              <w:autoSpaceDE/>
              <w:autoSpaceDN/>
              <w:bidi w:val="0"/>
              <w:spacing w:line="280" w:lineRule="exact"/>
              <w:outlineLvl w:val="9"/>
              <w:rPr>
                <w:rFonts w:eastAsia="仿宋_GB2312"/>
                <w:sz w:val="24"/>
              </w:rPr>
            </w:pPr>
            <w:r>
              <w:rPr>
                <w:rFonts w:eastAsia="仿宋_GB2312"/>
                <w:sz w:val="24"/>
              </w:rPr>
              <w:t>HSK</w:t>
            </w:r>
            <w:r>
              <w:rPr>
                <w:rFonts w:hint="eastAsia" w:eastAsia="仿宋_GB2312" w:cs="仿宋_GB2312"/>
                <w:sz w:val="24"/>
              </w:rPr>
              <w:t>考试等级或其他类型汉语考试成绩</w:t>
            </w:r>
            <w:r>
              <w:rPr>
                <w:rFonts w:eastAsia="仿宋_GB2312"/>
                <w:sz w:val="24"/>
              </w:rPr>
              <w:t>/Level of New HSK Test or Other Certificates Which Can Show Your Chinese Level:</w:t>
            </w:r>
          </w:p>
          <w:p>
            <w:pPr>
              <w:pageBreakBefore w:val="0"/>
              <w:kinsoku/>
              <w:overflowPunct/>
              <w:topLinePunct w:val="0"/>
              <w:autoSpaceDE/>
              <w:autoSpaceDN/>
              <w:bidi w:val="0"/>
              <w:spacing w:line="280" w:lineRule="exact"/>
              <w:outlineLvl w:val="9"/>
              <w:rPr>
                <w:rFonts w:hint="eastAsia" w:eastAsia="仿宋_GB2312"/>
                <w:b/>
                <w:bCs/>
                <w:sz w:val="24"/>
              </w:rPr>
            </w:pPr>
          </w:p>
          <w:p>
            <w:pPr>
              <w:pageBreakBefore w:val="0"/>
              <w:kinsoku/>
              <w:overflowPunct/>
              <w:topLinePunct w:val="0"/>
              <w:autoSpaceDE/>
              <w:autoSpaceDN/>
              <w:bidi w:val="0"/>
              <w:spacing w:line="280" w:lineRule="exact"/>
              <w:outlineLvl w:val="9"/>
              <w:rPr>
                <w:rFonts w:hint="eastAsia" w:eastAsia="仿宋_GB2312"/>
                <w:b/>
                <w:bCs/>
                <w:sz w:val="24"/>
              </w:rPr>
            </w:pPr>
          </w:p>
          <w:p>
            <w:pPr>
              <w:pageBreakBefore w:val="0"/>
              <w:kinsoku/>
              <w:overflowPunct/>
              <w:topLinePunct w:val="0"/>
              <w:autoSpaceDE/>
              <w:autoSpaceDN/>
              <w:bidi w:val="0"/>
              <w:spacing w:line="280" w:lineRule="exact"/>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noWrap w:val="0"/>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b/>
                <w:bCs/>
                <w:sz w:val="24"/>
              </w:rPr>
              <w:t>5</w:t>
            </w:r>
            <w:r>
              <w:rPr>
                <w:rFonts w:eastAsia="仿宋_GB2312"/>
                <w:b/>
                <w:bCs/>
                <w:sz w:val="24"/>
              </w:rPr>
              <w:t xml:space="preserve">. </w:t>
            </w:r>
            <w:r>
              <w:rPr>
                <w:rFonts w:hint="eastAsia" w:eastAsia="仿宋_GB2312" w:cs="仿宋_GB2312"/>
                <w:b/>
                <w:bCs/>
                <w:sz w:val="24"/>
              </w:rPr>
              <w:t>通讯地址、电话及电子邮件</w:t>
            </w:r>
            <w:r>
              <w:rPr>
                <w:rFonts w:eastAsia="仿宋_GB2312"/>
                <w:b/>
                <w:bCs/>
                <w:sz w:val="24"/>
              </w:rPr>
              <w:t>/Home Add., Tel. and E-mail.</w:t>
            </w:r>
            <w:r>
              <w:rPr>
                <w:rFonts w:hint="eastAsia" w:eastAsia="仿宋_GB2312" w:cs="仿宋_GB2312"/>
                <w:b/>
                <w:bCs/>
                <w:sz w:val="24"/>
              </w:rPr>
              <w:t>：</w:t>
            </w:r>
          </w:p>
          <w:p>
            <w:pPr>
              <w:pageBreakBefore w:val="0"/>
              <w:kinsoku/>
              <w:overflowPunct/>
              <w:topLinePunct w:val="0"/>
              <w:autoSpaceDE/>
              <w:autoSpaceDN/>
              <w:bidi w:val="0"/>
              <w:spacing w:line="280" w:lineRule="exact"/>
              <w:outlineLvl w:val="9"/>
              <w:rPr>
                <w:rFonts w:eastAsia="仿宋_GB2312"/>
                <w:b/>
                <w:bCs/>
                <w:sz w:val="24"/>
              </w:rPr>
            </w:pPr>
          </w:p>
          <w:p>
            <w:pPr>
              <w:pageBreakBefore w:val="0"/>
              <w:kinsoku/>
              <w:overflowPunct/>
              <w:topLinePunct w:val="0"/>
              <w:autoSpaceDE/>
              <w:autoSpaceDN/>
              <w:bidi w:val="0"/>
              <w:spacing w:line="280" w:lineRule="exact"/>
              <w:outlineLvl w:val="9"/>
              <w:rPr>
                <w:rFonts w:hint="eastAsia" w:eastAsia="仿宋_GB2312"/>
                <w:sz w:val="24"/>
              </w:rPr>
            </w:pPr>
          </w:p>
          <w:p>
            <w:pPr>
              <w:pageBreakBefore w:val="0"/>
              <w:kinsoku/>
              <w:overflowPunct/>
              <w:topLinePunct w:val="0"/>
              <w:autoSpaceDE/>
              <w:autoSpaceDN/>
              <w:bidi w:val="0"/>
              <w:spacing w:line="280" w:lineRule="exact"/>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2" w:hRule="atLeast"/>
          <w:jc w:val="center"/>
        </w:trPr>
        <w:tc>
          <w:tcPr>
            <w:tcW w:w="8928" w:type="dxa"/>
            <w:gridSpan w:val="5"/>
            <w:noWrap w:val="0"/>
            <w:vAlign w:val="top"/>
          </w:tcPr>
          <w:p>
            <w:pPr>
              <w:pageBreakBefore w:val="0"/>
              <w:kinsoku/>
              <w:overflowPunct/>
              <w:topLinePunct w:val="0"/>
              <w:autoSpaceDE/>
              <w:autoSpaceDN/>
              <w:bidi w:val="0"/>
              <w:spacing w:line="440" w:lineRule="exact"/>
              <w:outlineLvl w:val="9"/>
              <w:rPr>
                <w:rFonts w:eastAsia="仿宋_GB2312"/>
                <w:b/>
                <w:bCs/>
                <w:sz w:val="24"/>
              </w:rPr>
            </w:pPr>
            <w:r>
              <w:rPr>
                <w:rFonts w:hint="eastAsia" w:eastAsia="仿宋_GB2312"/>
                <w:b/>
                <w:bCs/>
                <w:sz w:val="24"/>
              </w:rPr>
              <w:t>6</w:t>
            </w:r>
            <w:r>
              <w:rPr>
                <w:rFonts w:eastAsia="仿宋_GB2312"/>
                <w:b/>
                <w:bCs/>
                <w:sz w:val="24"/>
              </w:rPr>
              <w:t xml:space="preserve">. </w:t>
            </w:r>
            <w:r>
              <w:rPr>
                <w:rFonts w:hint="eastAsia" w:eastAsia="仿宋_GB2312" w:cs="仿宋_GB2312"/>
                <w:b/>
                <w:bCs/>
                <w:sz w:val="24"/>
              </w:rPr>
              <w:t>本人简历（从高中开始）</w:t>
            </w:r>
            <w:r>
              <w:rPr>
                <w:rFonts w:eastAsia="仿宋_GB2312"/>
                <w:b/>
                <w:bCs/>
                <w:sz w:val="24"/>
              </w:rPr>
              <w:t>/Curriculum Vitae Starting from High School</w:t>
            </w:r>
          </w:p>
          <w:p>
            <w:pPr>
              <w:pageBreakBefore w:val="0"/>
              <w:kinsoku/>
              <w:overflowPunct/>
              <w:topLinePunct w:val="0"/>
              <w:autoSpaceDE/>
              <w:autoSpaceDN/>
              <w:bidi w:val="0"/>
              <w:spacing w:line="440" w:lineRule="exact"/>
              <w:outlineLvl w:val="9"/>
              <w:rPr>
                <w:rFonts w:eastAsia="仿宋_GB2312"/>
                <w:sz w:val="24"/>
              </w:rPr>
            </w:pPr>
            <w:r>
              <w:rPr>
                <w:rFonts w:eastAsia="仿宋_GB2312"/>
                <w:sz w:val="24"/>
              </w:rPr>
              <w:t>(</w:t>
            </w:r>
            <w:r>
              <w:rPr>
                <w:rFonts w:hint="eastAsia" w:eastAsia="仿宋_GB2312" w:cs="仿宋_GB2312"/>
                <w:sz w:val="24"/>
              </w:rPr>
              <w:t>包括单位、时间（年月</w:t>
            </w:r>
            <w:r>
              <w:rPr>
                <w:rFonts w:eastAsia="仿宋_GB2312"/>
                <w:sz w:val="24"/>
              </w:rPr>
              <w:t>—</w:t>
            </w:r>
            <w:r>
              <w:rPr>
                <w:rFonts w:hint="eastAsia" w:eastAsia="仿宋_GB2312" w:cs="仿宋_GB2312"/>
                <w:sz w:val="24"/>
              </w:rPr>
              <w:t>年月）、主修专业</w:t>
            </w:r>
            <w:r>
              <w:rPr>
                <w:rFonts w:eastAsia="仿宋_GB2312"/>
                <w:sz w:val="24"/>
              </w:rPr>
              <w:t>/Previous and Current Education &amp; Employer, Years Attended(from/to)</w:t>
            </w:r>
            <w:r>
              <w:rPr>
                <w:rFonts w:hint="eastAsia" w:eastAsia="仿宋_GB2312" w:cs="仿宋_GB2312"/>
                <w:sz w:val="24"/>
              </w:rPr>
              <w:t>，</w:t>
            </w:r>
            <w:r>
              <w:rPr>
                <w:rFonts w:eastAsia="仿宋_GB2312"/>
                <w:sz w:val="24"/>
              </w:rPr>
              <w:t>Fields of Study)</w:t>
            </w:r>
          </w:p>
          <w:p>
            <w:pPr>
              <w:pageBreakBefore w:val="0"/>
              <w:kinsoku/>
              <w:overflowPunct/>
              <w:topLinePunct w:val="0"/>
              <w:autoSpaceDE/>
              <w:autoSpaceDN/>
              <w:bidi w:val="0"/>
              <w:spacing w:line="440" w:lineRule="exact"/>
              <w:outlineLvl w:val="9"/>
              <w:rPr>
                <w:rFonts w:eastAsia="仿宋_GB2312"/>
                <w:sz w:val="24"/>
              </w:rPr>
            </w:pPr>
          </w:p>
          <w:p>
            <w:pPr>
              <w:pageBreakBefore w:val="0"/>
              <w:kinsoku/>
              <w:overflowPunct/>
              <w:topLinePunct w:val="0"/>
              <w:autoSpaceDE/>
              <w:autoSpaceDN/>
              <w:bidi w:val="0"/>
              <w:spacing w:line="440" w:lineRule="exact"/>
              <w:outlineLvl w:val="9"/>
              <w:rPr>
                <w:rFonts w:hint="eastAsia" w:eastAsia="仿宋_GB2312"/>
                <w:sz w:val="24"/>
              </w:rPr>
            </w:pPr>
          </w:p>
          <w:p>
            <w:pPr>
              <w:pageBreakBefore w:val="0"/>
              <w:kinsoku/>
              <w:overflowPunct/>
              <w:topLinePunct w:val="0"/>
              <w:autoSpaceDE/>
              <w:autoSpaceDN/>
              <w:bidi w:val="0"/>
              <w:spacing w:line="440" w:lineRule="exact"/>
              <w:outlineLvl w:val="9"/>
              <w:rPr>
                <w:rFonts w:eastAsia="仿宋_GB2312"/>
                <w:sz w:val="24"/>
              </w:rPr>
            </w:pPr>
          </w:p>
          <w:p>
            <w:pPr>
              <w:pageBreakBefore w:val="0"/>
              <w:kinsoku/>
              <w:overflowPunct/>
              <w:topLinePunct w:val="0"/>
              <w:autoSpaceDE/>
              <w:autoSpaceDN/>
              <w:bidi w:val="0"/>
              <w:spacing w:line="440" w:lineRule="exact"/>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2" w:hRule="atLeast"/>
          <w:jc w:val="center"/>
        </w:trPr>
        <w:tc>
          <w:tcPr>
            <w:tcW w:w="8928" w:type="dxa"/>
            <w:gridSpan w:val="5"/>
            <w:noWrap w:val="0"/>
            <w:vAlign w:val="top"/>
          </w:tcPr>
          <w:p>
            <w:pPr>
              <w:pageBreakBefore w:val="0"/>
              <w:kinsoku/>
              <w:overflowPunct/>
              <w:topLinePunct w:val="0"/>
              <w:autoSpaceDE/>
              <w:autoSpaceDN/>
              <w:bidi w:val="0"/>
              <w:spacing w:line="440" w:lineRule="exact"/>
              <w:outlineLvl w:val="9"/>
              <w:rPr>
                <w:rFonts w:eastAsia="仿宋_GB2312"/>
                <w:sz w:val="24"/>
              </w:rPr>
            </w:pPr>
            <w:r>
              <w:rPr>
                <w:rFonts w:hint="eastAsia" w:eastAsia="仿宋_GB2312"/>
                <w:b/>
                <w:bCs/>
                <w:sz w:val="24"/>
              </w:rPr>
              <w:t>7</w:t>
            </w:r>
            <w:r>
              <w:rPr>
                <w:rFonts w:eastAsia="仿宋_GB2312"/>
                <w:b/>
                <w:bCs/>
                <w:sz w:val="24"/>
              </w:rPr>
              <w:t xml:space="preserve">. </w:t>
            </w:r>
            <w:r>
              <w:rPr>
                <w:rFonts w:hint="eastAsia" w:eastAsia="仿宋_GB2312" w:cs="仿宋_GB2312"/>
                <w:b/>
                <w:bCs/>
                <w:sz w:val="24"/>
              </w:rPr>
              <w:t>参加活动和获奖励情况</w:t>
            </w:r>
            <w:r>
              <w:rPr>
                <w:rFonts w:eastAsia="仿宋_GB2312"/>
                <w:b/>
                <w:bCs/>
                <w:sz w:val="24"/>
              </w:rPr>
              <w:t>/</w:t>
            </w:r>
            <w:r>
              <w:rPr>
                <w:rFonts w:eastAsia="仿宋_GB2312"/>
                <w:sz w:val="24"/>
              </w:rPr>
              <w:t>Activities and Honors</w:t>
            </w:r>
          </w:p>
          <w:p>
            <w:pPr>
              <w:pageBreakBefore w:val="0"/>
              <w:kinsoku/>
              <w:overflowPunct/>
              <w:topLinePunct w:val="0"/>
              <w:autoSpaceDE/>
              <w:autoSpaceDN/>
              <w:bidi w:val="0"/>
              <w:spacing w:line="440" w:lineRule="exact"/>
              <w:outlineLvl w:val="9"/>
              <w:rPr>
                <w:rFonts w:eastAsia="仿宋_GB2312"/>
                <w:b/>
                <w:bCs/>
                <w:sz w:val="24"/>
              </w:rPr>
            </w:pPr>
          </w:p>
          <w:p>
            <w:pPr>
              <w:pageBreakBefore w:val="0"/>
              <w:kinsoku/>
              <w:overflowPunct/>
              <w:topLinePunct w:val="0"/>
              <w:autoSpaceDE/>
              <w:autoSpaceDN/>
              <w:bidi w:val="0"/>
              <w:spacing w:line="440" w:lineRule="exact"/>
              <w:outlineLvl w:val="9"/>
              <w:rPr>
                <w:rFonts w:hint="eastAsia" w:eastAsia="仿宋_GB2312"/>
                <w:b/>
                <w:bCs/>
                <w:sz w:val="24"/>
              </w:rPr>
            </w:pPr>
          </w:p>
          <w:p>
            <w:pPr>
              <w:pageBreakBefore w:val="0"/>
              <w:kinsoku/>
              <w:overflowPunct/>
              <w:topLinePunct w:val="0"/>
              <w:autoSpaceDE/>
              <w:autoSpaceDN/>
              <w:bidi w:val="0"/>
              <w:spacing w:line="440" w:lineRule="exact"/>
              <w:outlineLvl w:val="9"/>
              <w:rPr>
                <w:rFonts w:eastAsia="仿宋_GB2312"/>
                <w:b/>
                <w:bCs/>
                <w:sz w:val="24"/>
              </w:rPr>
            </w:pPr>
          </w:p>
          <w:p>
            <w:pPr>
              <w:pageBreakBefore w:val="0"/>
              <w:kinsoku/>
              <w:overflowPunct/>
              <w:topLinePunct w:val="0"/>
              <w:autoSpaceDE/>
              <w:autoSpaceDN/>
              <w:bidi w:val="0"/>
              <w:spacing w:line="440" w:lineRule="exact"/>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91" w:hRule="atLeast"/>
          <w:jc w:val="center"/>
        </w:trPr>
        <w:tc>
          <w:tcPr>
            <w:tcW w:w="8928" w:type="dxa"/>
            <w:gridSpan w:val="5"/>
            <w:noWrap w:val="0"/>
            <w:vAlign w:val="top"/>
          </w:tcPr>
          <w:p>
            <w:pPr>
              <w:pageBreakBefore w:val="0"/>
              <w:kinsoku/>
              <w:overflowPunct/>
              <w:topLinePunct w:val="0"/>
              <w:autoSpaceDE/>
              <w:autoSpaceDN/>
              <w:bidi w:val="0"/>
              <w:outlineLvl w:val="9"/>
              <w:rPr>
                <w:sz w:val="24"/>
              </w:rPr>
            </w:pPr>
            <w:r>
              <w:rPr>
                <w:rFonts w:hint="eastAsia" w:eastAsia="仿宋_GB2312"/>
                <w:b/>
                <w:bCs/>
                <w:sz w:val="24"/>
              </w:rPr>
              <w:t>8</w:t>
            </w:r>
            <w:r>
              <w:rPr>
                <w:rFonts w:eastAsia="仿宋_GB2312"/>
                <w:b/>
                <w:bCs/>
                <w:sz w:val="24"/>
              </w:rPr>
              <w:t>.</w:t>
            </w:r>
            <w:r>
              <w:rPr>
                <w:rFonts w:hint="eastAsia" w:eastAsia="仿宋_GB2312" w:cs="仿宋_GB2312"/>
                <w:b/>
                <w:bCs/>
                <w:sz w:val="24"/>
              </w:rPr>
              <w:t>高中会考</w:t>
            </w:r>
            <w:r>
              <w:rPr>
                <w:rFonts w:hint="eastAsia" w:ascii="仿宋_GB2312" w:eastAsia="仿宋_GB2312" w:cs="仿宋_GB2312"/>
                <w:b/>
                <w:bCs/>
                <w:sz w:val="24"/>
              </w:rPr>
              <w:t>课程成绩</w:t>
            </w:r>
            <w:r>
              <w:rPr>
                <w:rFonts w:eastAsia="仿宋_GB2312"/>
                <w:b/>
                <w:bCs/>
                <w:sz w:val="24"/>
              </w:rPr>
              <w:t>/</w:t>
            </w:r>
            <w:r>
              <w:rPr>
                <w:sz w:val="24"/>
              </w:rPr>
              <w:t>Courses and Scores of High School Graduate Test</w:t>
            </w:r>
          </w:p>
          <w:tbl>
            <w:tblPr>
              <w:tblStyle w:val="14"/>
              <w:tblW w:w="85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851"/>
              <w:gridCol w:w="340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340" w:lineRule="exact"/>
                    <w:jc w:val="center"/>
                    <w:outlineLvl w:val="9"/>
                    <w:rPr>
                      <w:sz w:val="24"/>
                    </w:rPr>
                  </w:pPr>
                  <w:r>
                    <w:rPr>
                      <w:rFonts w:hint="eastAsia" w:ascii="仿宋_GB2312" w:eastAsia="仿宋_GB2312" w:cs="仿宋_GB2312"/>
                      <w:sz w:val="24"/>
                    </w:rPr>
                    <w:t>课程名称</w:t>
                  </w:r>
                  <w:r>
                    <w:rPr>
                      <w:sz w:val="24"/>
                    </w:rPr>
                    <w:t>Course</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340" w:lineRule="exact"/>
                    <w:jc w:val="center"/>
                    <w:outlineLvl w:val="9"/>
                    <w:rPr>
                      <w:sz w:val="24"/>
                    </w:rPr>
                  </w:pPr>
                  <w:r>
                    <w:rPr>
                      <w:sz w:val="24"/>
                    </w:rPr>
                    <w:t>Score</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340" w:lineRule="exact"/>
                    <w:jc w:val="center"/>
                    <w:outlineLvl w:val="9"/>
                    <w:rPr>
                      <w:sz w:val="24"/>
                    </w:rPr>
                  </w:pPr>
                  <w:r>
                    <w:rPr>
                      <w:rFonts w:hint="eastAsia" w:ascii="仿宋_GB2312" w:eastAsia="仿宋_GB2312" w:cs="仿宋_GB2312"/>
                      <w:sz w:val="24"/>
                    </w:rPr>
                    <w:t>课程名称</w:t>
                  </w:r>
                  <w:r>
                    <w:rPr>
                      <w:sz w:val="24"/>
                    </w:rPr>
                    <w:t>Course</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340" w:lineRule="exact"/>
                    <w:jc w:val="center"/>
                    <w:outlineLvl w:val="9"/>
                    <w:rPr>
                      <w:sz w:val="24"/>
                    </w:rPr>
                  </w:pPr>
                  <w:r>
                    <w:rPr>
                      <w:sz w:val="24"/>
                    </w:rPr>
                    <w:t>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jc w:val="center"/>
                    <w:outlineLvl w:val="9"/>
                    <w:rPr>
                      <w:sz w:val="24"/>
                    </w:rPr>
                  </w:pPr>
                </w:p>
              </w:tc>
            </w:tr>
          </w:tbl>
          <w:p>
            <w:pPr>
              <w:pageBreakBefore w:val="0"/>
              <w:kinsoku/>
              <w:overflowPunct/>
              <w:topLinePunct w:val="0"/>
              <w:autoSpaceDE/>
              <w:autoSpaceDN/>
              <w:bidi w:val="0"/>
              <w:outlineLvl w:val="9"/>
            </w:pPr>
            <w:r>
              <w:rPr>
                <w:rFonts w:hint="eastAsia" w:eastAsia="仿宋_GB2312"/>
                <w:b/>
                <w:bCs/>
                <w:sz w:val="24"/>
              </w:rPr>
              <w:t>9</w:t>
            </w:r>
            <w:r>
              <w:rPr>
                <w:rFonts w:eastAsia="仿宋_GB2312"/>
                <w:b/>
                <w:bCs/>
                <w:sz w:val="24"/>
              </w:rPr>
              <w:t>.</w:t>
            </w:r>
            <w:r>
              <w:rPr>
                <w:rFonts w:hint="eastAsia" w:eastAsia="仿宋_GB2312" w:cs="仿宋_GB2312"/>
                <w:b/>
                <w:bCs/>
                <w:sz w:val="24"/>
              </w:rPr>
              <w:t>拟申请奖学金等级</w:t>
            </w:r>
            <w:r>
              <w:rPr>
                <w:rFonts w:eastAsia="仿宋_GB2312"/>
                <w:b/>
                <w:bCs/>
                <w:sz w:val="24"/>
              </w:rPr>
              <w:t>/</w:t>
            </w:r>
            <w:r>
              <w:t xml:space="preserve"> Level of Scholarship Applied for</w:t>
            </w:r>
          </w:p>
          <w:p>
            <w:pPr>
              <w:pageBreakBefore w:val="0"/>
              <w:kinsoku/>
              <w:overflowPunct/>
              <w:topLinePunct w:val="0"/>
              <w:autoSpaceDE/>
              <w:autoSpaceDN/>
              <w:bidi w:val="0"/>
              <w:ind w:firstLine="210" w:firstLineChars="100"/>
              <w:outlineLvl w:val="9"/>
              <w:rPr>
                <w:rFonts w:hint="eastAsia" w:ascii="宋体" w:hAnsi="宋体" w:cs="宋体"/>
              </w:rPr>
            </w:pPr>
            <w:r>
              <w:rPr>
                <w:rFonts w:hint="eastAsia" w:ascii="宋体" w:hAnsi="宋体" w:cs="宋体"/>
              </w:rPr>
              <w:t>□一等奖学金</w:t>
            </w:r>
            <w:r>
              <w:rPr>
                <w:rFonts w:ascii="宋体" w:hAnsi="宋体" w:cs="宋体"/>
                <w:b/>
                <w:bCs/>
              </w:rPr>
              <w:t>/</w:t>
            </w:r>
            <w:r>
              <w:rPr>
                <w:rFonts w:ascii="宋体" w:hAnsi="宋体" w:cs="宋体"/>
              </w:rPr>
              <w:t xml:space="preserve"> First          </w:t>
            </w:r>
            <w:r>
              <w:rPr>
                <w:rFonts w:hint="eastAsia" w:ascii="宋体" w:hAnsi="宋体" w:cs="宋体"/>
              </w:rPr>
              <w:t>□二等奖学金</w:t>
            </w:r>
            <w:r>
              <w:rPr>
                <w:rFonts w:ascii="宋体" w:hAnsi="宋体" w:cs="宋体"/>
                <w:b/>
                <w:bCs/>
              </w:rPr>
              <w:t>/</w:t>
            </w:r>
            <w:r>
              <w:rPr>
                <w:rFonts w:ascii="宋体" w:hAnsi="宋体" w:cs="宋体"/>
              </w:rPr>
              <w:t xml:space="preserve"> Second       </w:t>
            </w:r>
          </w:p>
          <w:p>
            <w:pPr>
              <w:pageBreakBefore w:val="0"/>
              <w:kinsoku/>
              <w:overflowPunct/>
              <w:topLinePunct w:val="0"/>
              <w:autoSpaceDE/>
              <w:autoSpaceDN/>
              <w:bidi w:val="0"/>
              <w:ind w:firstLine="210" w:firstLineChars="100"/>
              <w:outlineLvl w:val="9"/>
              <w:rPr>
                <w:rFonts w:ascii="宋体" w:hAnsi="宋体" w:cs="宋体"/>
              </w:rPr>
            </w:pPr>
          </w:p>
          <w:p>
            <w:pPr>
              <w:pageBreakBefore w:val="0"/>
              <w:kinsoku/>
              <w:overflowPunct/>
              <w:topLinePunct w:val="0"/>
              <w:autoSpaceDE/>
              <w:autoSpaceDN/>
              <w:bidi w:val="0"/>
              <w:outlineLvl w:val="9"/>
              <w:rPr>
                <w:rFonts w:hint="eastAsia" w:eastAsia="仿宋_GB2312" w:cs="仿宋_GB2312"/>
                <w:sz w:val="24"/>
              </w:rPr>
            </w:pPr>
            <w:r>
              <w:rPr>
                <w:rFonts w:hint="eastAsia" w:ascii="仿宋_GB2312" w:eastAsia="仿宋_GB2312" w:cs="仿宋_GB2312"/>
                <w:sz w:val="24"/>
              </w:rPr>
              <w:t>本人签名</w:t>
            </w:r>
            <w:r>
              <w:rPr>
                <w:rFonts w:ascii="仿宋_GB2312" w:eastAsia="仿宋_GB2312" w:cs="仿宋_GB2312"/>
                <w:sz w:val="24"/>
              </w:rPr>
              <w:t>/</w:t>
            </w:r>
            <w:r>
              <w:rPr>
                <w:sz w:val="24"/>
              </w:rPr>
              <w:t>Signature of Applicant</w:t>
            </w:r>
            <w:r>
              <w:rPr>
                <w:rFonts w:hint="eastAsia" w:eastAsia="仿宋_GB2312" w:cs="仿宋_GB2312"/>
                <w:sz w:val="24"/>
              </w:rPr>
              <w:t>：</w:t>
            </w:r>
          </w:p>
          <w:p>
            <w:pPr>
              <w:pageBreakBefore w:val="0"/>
              <w:kinsoku/>
              <w:overflowPunct/>
              <w:topLinePunct w:val="0"/>
              <w:autoSpaceDE/>
              <w:autoSpaceDN/>
              <w:bidi w:val="0"/>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16" w:hRule="atLeast"/>
          <w:jc w:val="center"/>
        </w:trPr>
        <w:tc>
          <w:tcPr>
            <w:tcW w:w="8928" w:type="dxa"/>
            <w:gridSpan w:val="5"/>
            <w:noWrap w:val="0"/>
            <w:vAlign w:val="top"/>
          </w:tcPr>
          <w:p>
            <w:pPr>
              <w:pageBreakBefore w:val="0"/>
              <w:kinsoku/>
              <w:overflowPunct/>
              <w:topLinePunct w:val="0"/>
              <w:autoSpaceDE/>
              <w:autoSpaceDN/>
              <w:bidi w:val="0"/>
              <w:spacing w:line="400" w:lineRule="exact"/>
              <w:outlineLvl w:val="9"/>
              <w:rPr>
                <w:rFonts w:eastAsia="仿宋_GB2312"/>
                <w:b/>
                <w:bCs/>
                <w:sz w:val="24"/>
              </w:rPr>
            </w:pPr>
            <w:r>
              <w:rPr>
                <w:rFonts w:eastAsia="仿宋_GB2312"/>
                <w:b/>
                <w:bCs/>
                <w:sz w:val="24"/>
              </w:rPr>
              <w:t>1</w:t>
            </w:r>
            <w:r>
              <w:rPr>
                <w:rFonts w:hint="eastAsia" w:eastAsia="仿宋_GB2312"/>
                <w:b/>
                <w:bCs/>
                <w:sz w:val="24"/>
              </w:rPr>
              <w:t>0</w:t>
            </w:r>
            <w:r>
              <w:rPr>
                <w:rFonts w:eastAsia="仿宋_GB2312"/>
                <w:b/>
                <w:bCs/>
                <w:sz w:val="24"/>
              </w:rPr>
              <w:t xml:space="preserve">. </w:t>
            </w:r>
            <w:r>
              <w:rPr>
                <w:rFonts w:hint="eastAsia" w:eastAsia="仿宋_GB2312" w:cs="仿宋_GB2312"/>
                <w:b/>
                <w:bCs/>
                <w:sz w:val="24"/>
              </w:rPr>
              <w:t>国际学生所在学院管理部门对申请人考勤、遵守纪律及操行等情况进行鉴定</w:t>
            </w:r>
          </w:p>
          <w:p>
            <w:pPr>
              <w:pageBreakBefore w:val="0"/>
              <w:kinsoku/>
              <w:overflowPunct/>
              <w:topLinePunct w:val="0"/>
              <w:autoSpaceDE/>
              <w:autoSpaceDN/>
              <w:bidi w:val="0"/>
              <w:spacing w:line="400" w:lineRule="exact"/>
              <w:ind w:firstLine="240" w:firstLineChars="100"/>
              <w:outlineLvl w:val="9"/>
              <w:rPr>
                <w:rFonts w:eastAsia="仿宋_GB2312"/>
                <w:sz w:val="24"/>
              </w:rPr>
            </w:pPr>
            <w:r>
              <w:rPr>
                <w:rFonts w:hint="eastAsia" w:eastAsia="仿宋_GB2312" w:cs="仿宋_GB2312"/>
                <w:sz w:val="24"/>
              </w:rPr>
              <w:t>（该项由留学生所在学院填写</w:t>
            </w:r>
            <w:r>
              <w:rPr>
                <w:rFonts w:eastAsia="仿宋_GB2312"/>
                <w:sz w:val="24"/>
              </w:rPr>
              <w:t>/ For Department Use Only</w:t>
            </w:r>
            <w:r>
              <w:rPr>
                <w:rFonts w:hint="eastAsia" w:eastAsia="仿宋_GB2312" w:cs="仿宋_GB2312"/>
                <w:sz w:val="24"/>
              </w:rPr>
              <w:t>）</w:t>
            </w:r>
          </w:p>
          <w:p>
            <w:pPr>
              <w:pageBreakBefore w:val="0"/>
              <w:kinsoku/>
              <w:overflowPunct/>
              <w:topLinePunct w:val="0"/>
              <w:autoSpaceDE/>
              <w:autoSpaceDN/>
              <w:bidi w:val="0"/>
              <w:spacing w:line="400" w:lineRule="exact"/>
              <w:outlineLvl w:val="9"/>
              <w:rPr>
                <w:rFonts w:hint="eastAsia" w:eastAsia="仿宋_GB2312"/>
                <w:sz w:val="24"/>
              </w:rPr>
            </w:pPr>
          </w:p>
          <w:p>
            <w:pPr>
              <w:pageBreakBefore w:val="0"/>
              <w:kinsoku/>
              <w:overflowPunct/>
              <w:topLinePunct w:val="0"/>
              <w:autoSpaceDE/>
              <w:autoSpaceDN/>
              <w:bidi w:val="0"/>
              <w:spacing w:line="400" w:lineRule="exact"/>
              <w:outlineLvl w:val="9"/>
              <w:rPr>
                <w:rFonts w:eastAsia="仿宋_GB2312"/>
                <w:sz w:val="24"/>
              </w:rPr>
            </w:pPr>
          </w:p>
          <w:p>
            <w:pPr>
              <w:pageBreakBefore w:val="0"/>
              <w:kinsoku/>
              <w:overflowPunct/>
              <w:topLinePunct w:val="0"/>
              <w:autoSpaceDE/>
              <w:autoSpaceDN/>
              <w:bidi w:val="0"/>
              <w:spacing w:line="400" w:lineRule="exact"/>
              <w:outlineLvl w:val="9"/>
              <w:rPr>
                <w:rFonts w:eastAsia="仿宋_GB2312"/>
                <w:sz w:val="24"/>
              </w:rPr>
            </w:pPr>
            <w:r>
              <w:rPr>
                <w:rFonts w:hint="eastAsia" w:eastAsia="仿宋_GB2312" w:cs="仿宋_GB2312"/>
                <w:sz w:val="24"/>
              </w:rPr>
              <w:t>鉴定人签名：</w:t>
            </w:r>
          </w:p>
          <w:p>
            <w:pPr>
              <w:pageBreakBefore w:val="0"/>
              <w:kinsoku/>
              <w:overflowPunct/>
              <w:topLinePunct w:val="0"/>
              <w:autoSpaceDE/>
              <w:autoSpaceDN/>
              <w:bidi w:val="0"/>
              <w:spacing w:line="400" w:lineRule="exact"/>
              <w:outlineLvl w:val="9"/>
              <w:rPr>
                <w:rFonts w:hint="eastAsia" w:eastAsia="仿宋_GB2312"/>
                <w:b/>
                <w:bCs/>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1" w:hRule="atLeast"/>
          <w:jc w:val="center"/>
        </w:trPr>
        <w:tc>
          <w:tcPr>
            <w:tcW w:w="651" w:type="dxa"/>
            <w:gridSpan w:val="2"/>
            <w:noWrap w:val="0"/>
            <w:vAlign w:val="center"/>
          </w:tcPr>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二级学院评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审</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意</w:t>
            </w:r>
          </w:p>
          <w:p>
            <w:pPr>
              <w:pageBreakBefore w:val="0"/>
              <w:kinsoku/>
              <w:overflowPunct/>
              <w:topLinePunct w:val="0"/>
              <w:autoSpaceDE/>
              <w:autoSpaceDN/>
              <w:bidi w:val="0"/>
              <w:spacing w:line="320" w:lineRule="exact"/>
              <w:jc w:val="center"/>
              <w:outlineLvl w:val="9"/>
              <w:rPr>
                <w:rFonts w:ascii="仿宋_GB2312"/>
                <w:b/>
                <w:bCs/>
              </w:rPr>
            </w:pPr>
            <w:r>
              <w:rPr>
                <w:rFonts w:hint="eastAsia" w:ascii="仿宋_GB2312" w:cs="宋体"/>
                <w:b/>
                <w:bCs/>
                <w:szCs w:val="28"/>
              </w:rPr>
              <w:t>见</w:t>
            </w:r>
          </w:p>
        </w:tc>
        <w:tc>
          <w:tcPr>
            <w:tcW w:w="8277" w:type="dxa"/>
            <w:gridSpan w:val="3"/>
            <w:noWrap w:val="0"/>
            <w:vAlign w:val="center"/>
          </w:tcPr>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ind w:firstLine="600" w:firstLineChars="250"/>
              <w:outlineLvl w:val="9"/>
              <w:rPr>
                <w:rFonts w:hint="eastAsia" w:ascii="仿宋_GB2312" w:eastAsia="仿宋_GB2312" w:cs="仿宋_GB2312"/>
                <w:sz w:val="24"/>
              </w:rPr>
            </w:pPr>
            <w:r>
              <w:rPr>
                <w:rFonts w:hint="eastAsia" w:ascii="仿宋_GB2312" w:eastAsia="仿宋_GB2312" w:cs="仿宋_GB2312"/>
                <w:sz w:val="24"/>
              </w:rPr>
              <w:t>负责人：</w:t>
            </w:r>
          </w:p>
          <w:p>
            <w:pPr>
              <w:pageBreakBefore w:val="0"/>
              <w:kinsoku/>
              <w:overflowPunct/>
              <w:topLinePunct w:val="0"/>
              <w:autoSpaceDE/>
              <w:autoSpaceDN/>
              <w:bidi w:val="0"/>
              <w:ind w:firstLine="4440" w:firstLineChars="1850"/>
              <w:outlineLvl w:val="9"/>
              <w:rPr>
                <w:rFonts w:ascii="仿宋_GB2312" w:eastAsia="仿宋_GB2312"/>
                <w:sz w:val="24"/>
              </w:rPr>
            </w:pPr>
            <w:r>
              <w:rPr>
                <w:rFonts w:hint="eastAsia" w:ascii="仿宋_GB2312" w:eastAsia="仿宋_GB2312" w:cs="仿宋_GB2312"/>
                <w:sz w:val="24"/>
              </w:rPr>
              <w:t>（盖章）</w:t>
            </w:r>
          </w:p>
          <w:p>
            <w:pPr>
              <w:pageBreakBefore w:val="0"/>
              <w:kinsoku/>
              <w:overflowPunct/>
              <w:topLinePunct w:val="0"/>
              <w:autoSpaceDE/>
              <w:autoSpaceDN/>
              <w:bidi w:val="0"/>
              <w:jc w:val="center"/>
              <w:outlineLvl w:val="9"/>
              <w:rPr>
                <w:rFonts w:ascii="仿宋_GB2312" w:eastAsia="仿宋_GB2312"/>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62" w:hRule="atLeast"/>
          <w:jc w:val="center"/>
        </w:trPr>
        <w:tc>
          <w:tcPr>
            <w:tcW w:w="651" w:type="dxa"/>
            <w:gridSpan w:val="2"/>
            <w:noWrap w:val="0"/>
            <w:vAlign w:val="center"/>
          </w:tcPr>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国际交流处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审</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意</w:t>
            </w:r>
          </w:p>
          <w:p>
            <w:pPr>
              <w:pageBreakBefore w:val="0"/>
              <w:kinsoku/>
              <w:overflowPunct/>
              <w:topLinePunct w:val="0"/>
              <w:autoSpaceDE/>
              <w:autoSpaceDN/>
              <w:bidi w:val="0"/>
              <w:spacing w:line="320" w:lineRule="exact"/>
              <w:jc w:val="center"/>
              <w:outlineLvl w:val="9"/>
              <w:rPr>
                <w:rFonts w:ascii="仿宋_GB2312"/>
                <w:b/>
                <w:bCs/>
              </w:rPr>
            </w:pPr>
            <w:r>
              <w:rPr>
                <w:rFonts w:hint="eastAsia" w:ascii="仿宋_GB2312" w:cs="宋体"/>
                <w:b/>
                <w:bCs/>
                <w:szCs w:val="28"/>
              </w:rPr>
              <w:t>见</w:t>
            </w:r>
          </w:p>
        </w:tc>
        <w:tc>
          <w:tcPr>
            <w:tcW w:w="8277" w:type="dxa"/>
            <w:gridSpan w:val="3"/>
            <w:noWrap w:val="0"/>
            <w:vAlign w:val="top"/>
          </w:tcPr>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ind w:firstLine="600" w:firstLineChars="250"/>
              <w:outlineLvl w:val="9"/>
              <w:rPr>
                <w:rFonts w:hint="eastAsia" w:ascii="仿宋_GB2312" w:eastAsia="仿宋_GB2312" w:cs="仿宋_GB2312"/>
                <w:sz w:val="24"/>
              </w:rPr>
            </w:pPr>
            <w:r>
              <w:rPr>
                <w:rFonts w:hint="eastAsia" w:ascii="仿宋_GB2312" w:eastAsia="仿宋_GB2312" w:cs="仿宋_GB2312"/>
                <w:sz w:val="24"/>
              </w:rPr>
              <w:t>负责人：</w:t>
            </w:r>
          </w:p>
          <w:p>
            <w:pPr>
              <w:pageBreakBefore w:val="0"/>
              <w:kinsoku/>
              <w:overflowPunct/>
              <w:topLinePunct w:val="0"/>
              <w:autoSpaceDE/>
              <w:autoSpaceDN/>
              <w:bidi w:val="0"/>
              <w:ind w:firstLine="4680" w:firstLineChars="1950"/>
              <w:outlineLvl w:val="9"/>
              <w:rPr>
                <w:rFonts w:hint="eastAsia" w:ascii="仿宋_GB2312" w:eastAsia="仿宋_GB2312" w:cs="仿宋_GB2312"/>
                <w:sz w:val="24"/>
              </w:rPr>
            </w:pPr>
            <w:r>
              <w:rPr>
                <w:rFonts w:hint="eastAsia" w:ascii="仿宋_GB2312" w:eastAsia="仿宋_GB2312" w:cs="仿宋_GB2312"/>
                <w:sz w:val="24"/>
              </w:rPr>
              <w:t>（盖章）</w:t>
            </w:r>
          </w:p>
          <w:p>
            <w:pPr>
              <w:pageBreakBefore w:val="0"/>
              <w:kinsoku/>
              <w:overflowPunct/>
              <w:topLinePunct w:val="0"/>
              <w:autoSpaceDE/>
              <w:autoSpaceDN/>
              <w:bidi w:val="0"/>
              <w:ind w:firstLine="4680" w:firstLineChars="1950"/>
              <w:outlineLvl w:val="9"/>
              <w:rPr>
                <w:rFonts w:ascii="仿宋_GB2312" w:eastAsia="仿宋_GB2312"/>
                <w:sz w:val="24"/>
              </w:rPr>
            </w:pPr>
          </w:p>
          <w:p>
            <w:pPr>
              <w:pageBreakBefore w:val="0"/>
              <w:kinsoku/>
              <w:overflowPunct/>
              <w:topLinePunct w:val="0"/>
              <w:autoSpaceDE/>
              <w:autoSpaceDN/>
              <w:bidi w:val="0"/>
              <w:jc w:val="center"/>
              <w:outlineLvl w:val="9"/>
              <w:rPr>
                <w:rFonts w:ascii="仿宋_GB2312" w:eastAsia="仿宋_GB2312"/>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2" w:hRule="atLeast"/>
          <w:jc w:val="center"/>
        </w:trPr>
        <w:tc>
          <w:tcPr>
            <w:tcW w:w="651" w:type="dxa"/>
            <w:gridSpan w:val="2"/>
            <w:noWrap w:val="0"/>
            <w:vAlign w:val="center"/>
          </w:tcPr>
          <w:p>
            <w:pPr>
              <w:pageBreakBefore w:val="0"/>
              <w:kinsoku/>
              <w:overflowPunct/>
              <w:topLinePunct w:val="0"/>
              <w:autoSpaceDE/>
              <w:autoSpaceDN/>
              <w:bidi w:val="0"/>
              <w:spacing w:line="300" w:lineRule="exact"/>
              <w:jc w:val="center"/>
              <w:outlineLvl w:val="9"/>
              <w:rPr>
                <w:rFonts w:cs="宋体"/>
                <w:b/>
                <w:bCs/>
                <w:szCs w:val="28"/>
              </w:rPr>
            </w:pPr>
            <w:r>
              <w:rPr>
                <w:rFonts w:hint="eastAsia" w:cs="宋体"/>
                <w:b/>
                <w:bCs/>
                <w:szCs w:val="28"/>
              </w:rPr>
              <w:t>学校</w:t>
            </w:r>
          </w:p>
          <w:p>
            <w:pPr>
              <w:pageBreakBefore w:val="0"/>
              <w:kinsoku/>
              <w:overflowPunct/>
              <w:topLinePunct w:val="0"/>
              <w:autoSpaceDE/>
              <w:autoSpaceDN/>
              <w:bidi w:val="0"/>
              <w:spacing w:line="300" w:lineRule="exact"/>
              <w:jc w:val="center"/>
              <w:outlineLvl w:val="9"/>
              <w:rPr>
                <w:rFonts w:cs="宋体"/>
                <w:b/>
                <w:bCs/>
                <w:szCs w:val="28"/>
              </w:rPr>
            </w:pPr>
            <w:r>
              <w:rPr>
                <w:rFonts w:hint="eastAsia" w:cs="宋体"/>
                <w:b/>
                <w:bCs/>
                <w:szCs w:val="28"/>
              </w:rPr>
              <w:t>奖学金</w:t>
            </w:r>
          </w:p>
          <w:p>
            <w:pPr>
              <w:pageBreakBefore w:val="0"/>
              <w:kinsoku/>
              <w:overflowPunct/>
              <w:topLinePunct w:val="0"/>
              <w:autoSpaceDE/>
              <w:autoSpaceDN/>
              <w:bidi w:val="0"/>
              <w:spacing w:line="300" w:lineRule="exact"/>
              <w:jc w:val="center"/>
              <w:outlineLvl w:val="9"/>
              <w:rPr>
                <w:rFonts w:cs="宋体"/>
                <w:b/>
                <w:bCs/>
                <w:szCs w:val="28"/>
              </w:rPr>
            </w:pPr>
            <w:r>
              <w:rPr>
                <w:rFonts w:hint="eastAsia" w:cs="宋体"/>
                <w:b/>
                <w:bCs/>
                <w:szCs w:val="28"/>
              </w:rPr>
              <w:t>评审工作领导小组意</w:t>
            </w:r>
          </w:p>
          <w:p>
            <w:pPr>
              <w:pageBreakBefore w:val="0"/>
              <w:kinsoku/>
              <w:overflowPunct/>
              <w:topLinePunct w:val="0"/>
              <w:autoSpaceDE/>
              <w:autoSpaceDN/>
              <w:bidi w:val="0"/>
              <w:spacing w:line="300" w:lineRule="exact"/>
              <w:jc w:val="center"/>
              <w:outlineLvl w:val="9"/>
              <w:rPr>
                <w:rFonts w:cs="宋体"/>
                <w:b/>
                <w:bCs/>
                <w:szCs w:val="28"/>
              </w:rPr>
            </w:pPr>
            <w:r>
              <w:rPr>
                <w:rFonts w:hint="eastAsia" w:cs="宋体"/>
                <w:b/>
                <w:bCs/>
                <w:szCs w:val="28"/>
              </w:rPr>
              <w:t>见</w:t>
            </w:r>
          </w:p>
        </w:tc>
        <w:tc>
          <w:tcPr>
            <w:tcW w:w="8277" w:type="dxa"/>
            <w:gridSpan w:val="3"/>
            <w:noWrap w:val="0"/>
            <w:vAlign w:val="top"/>
          </w:tcPr>
          <w:p>
            <w:pPr>
              <w:pageBreakBefore w:val="0"/>
              <w:kinsoku/>
              <w:overflowPunct/>
              <w:topLinePunct w:val="0"/>
              <w:autoSpaceDE/>
              <w:autoSpaceDN/>
              <w:bidi w:val="0"/>
              <w:spacing w:line="360" w:lineRule="auto"/>
              <w:ind w:firstLine="420" w:firstLineChars="200"/>
              <w:outlineLvl w:val="9"/>
              <w:rPr>
                <w:rFonts w:ascii="仿宋_GB2312"/>
              </w:rPr>
            </w:pPr>
            <w:r>
              <w:t xml:space="preserve">经评审，并在校内公示 </w:t>
            </w:r>
            <w:r>
              <w:rPr>
                <w:rFonts w:hint="eastAsia"/>
              </w:rPr>
              <w:t xml:space="preserve">  </w:t>
            </w:r>
            <w:r>
              <w:t>个工作日，无异议，现</w:t>
            </w:r>
            <w:r>
              <w:rPr>
                <w:rFonts w:hint="eastAsia"/>
              </w:rPr>
              <w:t>同意</w:t>
            </w:r>
            <w:r>
              <w:t>准该同学获得奖学金。                                       </w:t>
            </w: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ind w:firstLine="4680" w:firstLineChars="1950"/>
              <w:outlineLvl w:val="9"/>
              <w:rPr>
                <w:rFonts w:ascii="仿宋_GB2312" w:eastAsia="仿宋_GB2312"/>
                <w:sz w:val="24"/>
              </w:rPr>
            </w:pPr>
            <w:r>
              <w:rPr>
                <w:rFonts w:hint="eastAsia" w:ascii="仿宋_GB2312" w:eastAsia="仿宋_GB2312" w:cs="仿宋_GB2312"/>
                <w:sz w:val="24"/>
              </w:rPr>
              <w:t>（学校盖章）</w:t>
            </w:r>
          </w:p>
          <w:p>
            <w:pPr>
              <w:pageBreakBefore w:val="0"/>
              <w:kinsoku/>
              <w:overflowPunct/>
              <w:topLinePunct w:val="0"/>
              <w:autoSpaceDE/>
              <w:autoSpaceDN/>
              <w:bidi w:val="0"/>
              <w:ind w:firstLine="120" w:firstLineChars="50"/>
              <w:outlineLvl w:val="9"/>
              <w:rPr>
                <w:rFonts w:ascii="仿宋_GB2312" w:eastAsia="仿宋_GB2312"/>
                <w:sz w:val="24"/>
              </w:rPr>
            </w:pPr>
          </w:p>
          <w:p>
            <w:pPr>
              <w:pageBreakBefore w:val="0"/>
              <w:kinsoku/>
              <w:overflowPunct/>
              <w:topLinePunct w:val="0"/>
              <w:autoSpaceDE/>
              <w:autoSpaceDN/>
              <w:bidi w:val="0"/>
              <w:ind w:firstLine="4800" w:firstLineChars="2000"/>
              <w:outlineLvl w:val="9"/>
              <w:rPr>
                <w:rFonts w:ascii="仿宋_GB2312" w:eastAsia="仿宋_GB2312"/>
                <w:sz w:val="24"/>
              </w:rPr>
            </w:pPr>
            <w:r>
              <w:rPr>
                <w:rFonts w:hint="eastAsia" w:ascii="仿宋_GB2312" w:eastAsia="仿宋_GB2312" w:cs="仿宋_GB2312"/>
                <w:sz w:val="24"/>
              </w:rPr>
              <w:t>年    月   日</w:t>
            </w:r>
          </w:p>
        </w:tc>
      </w:tr>
    </w:tbl>
    <w:p>
      <w:pPr>
        <w:pageBreakBefore w:val="0"/>
        <w:kinsoku/>
        <w:overflowPunct/>
        <w:topLinePunct w:val="0"/>
        <w:autoSpaceDE/>
        <w:autoSpaceDN/>
        <w:bidi w:val="0"/>
        <w:outlineLvl w:val="9"/>
        <w:rPr>
          <w:rFonts w:hint="eastAsia" w:ascii="仿宋_GB2312" w:eastAsia="仿宋_GB2312"/>
          <w:sz w:val="32"/>
          <w:szCs w:val="32"/>
          <w:lang w:eastAsia="zh-CN"/>
        </w:rPr>
      </w:pPr>
      <w:r>
        <w:rPr>
          <w:rFonts w:hint="eastAsia" w:ascii="仿宋_GB2312" w:eastAsia="仿宋_GB2312"/>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bookmarkStart w:id="1768" w:name="_Toc17964"/>
      <w:bookmarkStart w:id="1769" w:name="_Toc7294"/>
      <w:bookmarkStart w:id="1770" w:name="_Toc16324_WPSOffice_Level1"/>
      <w:bookmarkStart w:id="1771" w:name="_Toc18585"/>
      <w:r>
        <w:rPr>
          <w:rFonts w:hint="eastAsia"/>
          <w:b/>
          <w:color w:val="000000"/>
          <w:sz w:val="36"/>
          <w:szCs w:val="36"/>
        </w:rPr>
        <w:t>柳州职业技术学院国际学生“校长奖学金”管理办法（试行）</w:t>
      </w:r>
      <w:bookmarkEnd w:id="1768"/>
      <w:bookmarkEnd w:id="1769"/>
      <w:bookmarkEnd w:id="1770"/>
      <w:bookmarkEnd w:id="1771"/>
    </w:p>
    <w:p>
      <w:pPr>
        <w:pageBreakBefore w:val="0"/>
        <w:widowControl/>
        <w:kinsoku/>
        <w:overflowPunct/>
        <w:topLinePunct w:val="0"/>
        <w:autoSpaceDE/>
        <w:autoSpaceDN/>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柳职院字〔2021〕13号)</w:t>
      </w:r>
    </w:p>
    <w:p>
      <w:pPr>
        <w:pageBreakBefore w:val="0"/>
        <w:kinsoku/>
        <w:overflowPunct/>
        <w:topLinePunct w:val="0"/>
        <w:autoSpaceDE/>
        <w:autoSpaceDN/>
        <w:bidi w:val="0"/>
        <w:spacing w:line="596" w:lineRule="exact"/>
        <w:jc w:val="center"/>
        <w:outlineLvl w:val="9"/>
        <w:rPr>
          <w:rFonts w:hint="eastAsia" w:ascii="Calibri" w:hAnsi="Calibri"/>
          <w:b/>
          <w:color w:val="000000"/>
          <w:sz w:val="36"/>
          <w:szCs w:val="36"/>
        </w:rPr>
      </w:pPr>
    </w:p>
    <w:p>
      <w:pPr>
        <w:pageBreakBefore w:val="0"/>
        <w:kinsoku/>
        <w:overflowPunct/>
        <w:topLinePunct w:val="0"/>
        <w:autoSpaceDE/>
        <w:autoSpaceDN/>
        <w:bidi w:val="0"/>
        <w:spacing w:line="580" w:lineRule="exact"/>
        <w:ind w:firstLine="3502" w:firstLineChars="1090"/>
        <w:outlineLvl w:val="9"/>
        <w:rPr>
          <w:rFonts w:ascii="黑体" w:eastAsia="黑体"/>
          <w:b/>
          <w:bCs/>
          <w:color w:val="000000"/>
          <w:sz w:val="32"/>
          <w:szCs w:val="32"/>
        </w:rPr>
      </w:pPr>
      <w:bookmarkStart w:id="1772" w:name="_Toc16323_WPSOffice_Level1"/>
      <w:r>
        <w:rPr>
          <w:rFonts w:hint="eastAsia" w:ascii="黑体" w:eastAsia="黑体" w:cs="黑体"/>
          <w:b/>
          <w:bCs/>
          <w:color w:val="000000"/>
          <w:sz w:val="32"/>
          <w:szCs w:val="32"/>
        </w:rPr>
        <w:t>第一章  总则</w:t>
      </w:r>
      <w:bookmarkEnd w:id="1772"/>
    </w:p>
    <w:p>
      <w:pPr>
        <w:pageBreakBefore w:val="0"/>
        <w:kinsoku/>
        <w:overflowPunct/>
        <w:topLinePunct w:val="0"/>
        <w:autoSpaceDE/>
        <w:autoSpaceDN/>
        <w:bidi w:val="0"/>
        <w:spacing w:line="580" w:lineRule="exact"/>
        <w:ind w:firstLine="610" w:firstLineChars="196"/>
        <w:outlineLvl w:val="9"/>
        <w:rPr>
          <w:rFonts w:hint="eastAsia" w:ascii="仿宋_GB2312" w:eastAsia="仿宋_GB2312"/>
          <w:color w:val="000000"/>
          <w:sz w:val="31"/>
          <w:szCs w:val="31"/>
        </w:rPr>
      </w:pPr>
      <w:r>
        <w:rPr>
          <w:rFonts w:hint="eastAsia" w:ascii="仿宋_GB2312" w:eastAsia="仿宋_GB2312" w:cs="仿宋_GB2312"/>
          <w:b/>
          <w:bCs/>
          <w:color w:val="000000"/>
          <w:sz w:val="31"/>
          <w:szCs w:val="31"/>
        </w:rPr>
        <w:t xml:space="preserve">第一条  </w:t>
      </w:r>
      <w:r>
        <w:rPr>
          <w:rFonts w:hint="eastAsia" w:ascii="仿宋_GB2312" w:eastAsia="仿宋_GB2312" w:cs="仿宋_GB2312"/>
          <w:color w:val="000000"/>
          <w:sz w:val="31"/>
          <w:szCs w:val="31"/>
        </w:rPr>
        <w:t>为吸引更多优秀的</w:t>
      </w:r>
      <w:r>
        <w:rPr>
          <w:rFonts w:hint="eastAsia" w:ascii="仿宋_GB2312" w:eastAsia="仿宋_GB2312" w:cs="仿宋_GB2312"/>
          <w:sz w:val="31"/>
          <w:szCs w:val="31"/>
        </w:rPr>
        <w:t>国际</w:t>
      </w:r>
      <w:r>
        <w:rPr>
          <w:rFonts w:hint="eastAsia" w:ascii="仿宋_GB2312" w:eastAsia="仿宋_GB2312" w:cs="仿宋_GB2312"/>
          <w:color w:val="000000"/>
          <w:sz w:val="31"/>
          <w:szCs w:val="31"/>
        </w:rPr>
        <w:t>学生到我</w:t>
      </w:r>
      <w:r>
        <w:rPr>
          <w:rFonts w:hint="eastAsia" w:ascii="仿宋_GB2312" w:eastAsia="仿宋_GB2312" w:cs="仿宋_GB2312"/>
          <w:sz w:val="31"/>
          <w:szCs w:val="31"/>
        </w:rPr>
        <w:t>校</w:t>
      </w:r>
      <w:r>
        <w:rPr>
          <w:rFonts w:hint="eastAsia" w:ascii="仿宋_GB2312" w:eastAsia="仿宋_GB2312" w:cs="仿宋_GB2312"/>
          <w:color w:val="000000"/>
          <w:sz w:val="31"/>
          <w:szCs w:val="31"/>
        </w:rPr>
        <w:t>就读，营造良好的学习氛围，提高学</w:t>
      </w:r>
      <w:r>
        <w:rPr>
          <w:rFonts w:hint="eastAsia" w:ascii="仿宋_GB2312" w:eastAsia="仿宋_GB2312" w:cs="仿宋_GB2312"/>
          <w:sz w:val="31"/>
          <w:szCs w:val="31"/>
        </w:rPr>
        <w:t>校</w:t>
      </w:r>
      <w:r>
        <w:rPr>
          <w:rFonts w:hint="eastAsia" w:ascii="仿宋_GB2312" w:eastAsia="仿宋_GB2312" w:cs="仿宋_GB2312"/>
          <w:color w:val="000000"/>
          <w:sz w:val="31"/>
          <w:szCs w:val="31"/>
        </w:rPr>
        <w:t>的国际办学水平，特设立</w:t>
      </w:r>
      <w:r>
        <w:rPr>
          <w:rFonts w:hint="eastAsia" w:ascii="仿宋_GB2312" w:eastAsia="仿宋_GB2312" w:cs="仿宋_GB2312"/>
          <w:sz w:val="31"/>
          <w:szCs w:val="31"/>
        </w:rPr>
        <w:t>柳州</w:t>
      </w:r>
      <w:r>
        <w:rPr>
          <w:rFonts w:hint="eastAsia" w:ascii="仿宋_GB2312" w:eastAsia="仿宋_GB2312" w:cs="仿宋_GB2312"/>
          <w:color w:val="000000"/>
          <w:sz w:val="31"/>
          <w:szCs w:val="31"/>
        </w:rPr>
        <w:t>职业技术学院国际学生“校长奖学金”（以下简称奖学金）。为规范奖学金制度，制定本办法。</w:t>
      </w:r>
    </w:p>
    <w:p>
      <w:pPr>
        <w:pageBreakBefore w:val="0"/>
        <w:kinsoku/>
        <w:overflowPunct/>
        <w:topLinePunct w:val="0"/>
        <w:autoSpaceDE/>
        <w:autoSpaceDN/>
        <w:bidi w:val="0"/>
        <w:spacing w:line="580" w:lineRule="exact"/>
        <w:ind w:firstLine="610" w:firstLineChars="196"/>
        <w:outlineLvl w:val="9"/>
        <w:rPr>
          <w:rFonts w:hint="eastAsia" w:ascii="仿宋_GB2312" w:eastAsia="仿宋_GB2312"/>
          <w:color w:val="000000"/>
          <w:sz w:val="31"/>
          <w:szCs w:val="31"/>
        </w:rPr>
      </w:pPr>
      <w:r>
        <w:rPr>
          <w:rFonts w:hint="eastAsia" w:ascii="仿宋_GB2312" w:eastAsia="仿宋_GB2312" w:cs="仿宋_GB2312"/>
          <w:b/>
          <w:bCs/>
          <w:color w:val="000000"/>
          <w:sz w:val="31"/>
          <w:szCs w:val="31"/>
        </w:rPr>
        <w:t xml:space="preserve">第二条  </w:t>
      </w:r>
      <w:r>
        <w:rPr>
          <w:rFonts w:hint="eastAsia" w:ascii="仿宋_GB2312" w:eastAsia="仿宋_GB2312" w:cs="仿宋_GB2312"/>
          <w:color w:val="000000"/>
          <w:sz w:val="31"/>
          <w:szCs w:val="31"/>
        </w:rPr>
        <w:t>奖学金由</w:t>
      </w:r>
      <w:r>
        <w:rPr>
          <w:rFonts w:hint="eastAsia" w:ascii="仿宋_GB2312" w:eastAsia="仿宋_GB2312" w:cs="仿宋_GB2312"/>
          <w:sz w:val="31"/>
          <w:szCs w:val="31"/>
        </w:rPr>
        <w:t>柳州</w:t>
      </w:r>
      <w:r>
        <w:rPr>
          <w:rFonts w:hint="eastAsia" w:ascii="仿宋_GB2312" w:eastAsia="仿宋_GB2312" w:cs="仿宋_GB2312"/>
          <w:color w:val="000000"/>
          <w:sz w:val="31"/>
          <w:szCs w:val="31"/>
        </w:rPr>
        <w:t>职业技术学院专项经费支出，并纳入学院财务部门预算。</w:t>
      </w:r>
    </w:p>
    <w:p>
      <w:pPr>
        <w:pageBreakBefore w:val="0"/>
        <w:kinsoku/>
        <w:overflowPunct/>
        <w:topLinePunct w:val="0"/>
        <w:autoSpaceDE/>
        <w:autoSpaceDN/>
        <w:bidi w:val="0"/>
        <w:spacing w:line="580" w:lineRule="exact"/>
        <w:ind w:firstLine="610" w:firstLineChars="196"/>
        <w:outlineLvl w:val="9"/>
        <w:rPr>
          <w:rFonts w:hint="eastAsia" w:ascii="仿宋_GB2312" w:eastAsia="仿宋_GB2312"/>
          <w:color w:val="000000"/>
          <w:sz w:val="31"/>
          <w:szCs w:val="31"/>
        </w:rPr>
      </w:pPr>
      <w:r>
        <w:rPr>
          <w:rFonts w:hint="eastAsia" w:ascii="仿宋_GB2312" w:eastAsia="仿宋_GB2312" w:cs="仿宋_GB2312"/>
          <w:b/>
          <w:bCs/>
          <w:color w:val="000000"/>
          <w:sz w:val="31"/>
          <w:szCs w:val="31"/>
        </w:rPr>
        <w:t xml:space="preserve">第三条  </w:t>
      </w:r>
      <w:r>
        <w:rPr>
          <w:rFonts w:hint="eastAsia" w:ascii="仿宋_GB2312" w:eastAsia="仿宋_GB2312" w:cs="仿宋_GB2312"/>
          <w:color w:val="000000"/>
          <w:sz w:val="31"/>
          <w:szCs w:val="31"/>
        </w:rPr>
        <w:t>本奖学金奖励对华友好、</w:t>
      </w:r>
      <w:r>
        <w:rPr>
          <w:rFonts w:hint="eastAsia" w:ascii="仿宋_GB2312" w:eastAsia="仿宋_GB2312" w:cs="仿宋_GB2312"/>
          <w:sz w:val="31"/>
          <w:szCs w:val="31"/>
        </w:rPr>
        <w:t>品学兼优</w:t>
      </w:r>
      <w:r>
        <w:rPr>
          <w:rFonts w:hint="eastAsia" w:ascii="仿宋_GB2312" w:eastAsia="仿宋_GB2312" w:cs="仿宋_GB2312"/>
          <w:color w:val="000000"/>
          <w:sz w:val="31"/>
          <w:szCs w:val="31"/>
        </w:rPr>
        <w:t>的</w:t>
      </w:r>
      <w:r>
        <w:rPr>
          <w:rFonts w:hint="eastAsia" w:ascii="仿宋_GB2312" w:eastAsia="仿宋_GB2312" w:cs="仿宋_GB2312"/>
          <w:sz w:val="31"/>
          <w:szCs w:val="31"/>
        </w:rPr>
        <w:t>国际</w:t>
      </w:r>
      <w:r>
        <w:rPr>
          <w:rFonts w:hint="eastAsia" w:ascii="仿宋_GB2312" w:eastAsia="仿宋_GB2312" w:cs="仿宋_GB2312"/>
          <w:color w:val="000000"/>
          <w:sz w:val="31"/>
          <w:szCs w:val="31"/>
        </w:rPr>
        <w:t>学生。</w:t>
      </w:r>
    </w:p>
    <w:p>
      <w:pPr>
        <w:pageBreakBefore w:val="0"/>
        <w:kinsoku/>
        <w:overflowPunct/>
        <w:topLinePunct w:val="0"/>
        <w:autoSpaceDE/>
        <w:autoSpaceDN/>
        <w:bidi w:val="0"/>
        <w:spacing w:line="580" w:lineRule="exact"/>
        <w:ind w:firstLine="610" w:firstLineChars="196"/>
        <w:outlineLvl w:val="9"/>
        <w:rPr>
          <w:rFonts w:hint="eastAsia" w:ascii="仿宋_GB2312" w:eastAsia="仿宋_GB2312" w:cs="仿宋_GB2312"/>
          <w:sz w:val="31"/>
          <w:szCs w:val="31"/>
        </w:rPr>
      </w:pPr>
      <w:r>
        <w:rPr>
          <w:rFonts w:hint="eastAsia" w:ascii="仿宋_GB2312" w:eastAsia="仿宋_GB2312" w:cs="仿宋_GB2312"/>
          <w:b/>
          <w:bCs/>
          <w:color w:val="000000"/>
          <w:sz w:val="31"/>
          <w:szCs w:val="31"/>
        </w:rPr>
        <w:t xml:space="preserve">第四条  </w:t>
      </w:r>
      <w:r>
        <w:rPr>
          <w:rFonts w:hint="eastAsia" w:ascii="仿宋_GB2312" w:eastAsia="仿宋_GB2312" w:cs="仿宋_GB2312"/>
          <w:color w:val="000000"/>
          <w:sz w:val="31"/>
          <w:szCs w:val="31"/>
        </w:rPr>
        <w:t>本奖学金适用于到我</w:t>
      </w:r>
      <w:r>
        <w:rPr>
          <w:rFonts w:hint="eastAsia" w:ascii="仿宋_GB2312" w:eastAsia="仿宋_GB2312" w:cs="仿宋_GB2312"/>
          <w:sz w:val="31"/>
          <w:szCs w:val="31"/>
        </w:rPr>
        <w:t>校</w:t>
      </w:r>
      <w:r>
        <w:rPr>
          <w:rFonts w:hint="eastAsia" w:ascii="仿宋_GB2312" w:eastAsia="仿宋_GB2312" w:cs="仿宋_GB2312"/>
          <w:color w:val="000000"/>
          <w:sz w:val="31"/>
          <w:szCs w:val="31"/>
        </w:rPr>
        <w:t>接受学历教育或半年以上语言培训及专业交流，</w:t>
      </w:r>
      <w:r>
        <w:rPr>
          <w:rFonts w:hint="eastAsia" w:ascii="仿宋_GB2312" w:eastAsia="仿宋_GB2312" w:cs="仿宋_GB2312"/>
          <w:sz w:val="31"/>
          <w:szCs w:val="31"/>
        </w:rPr>
        <w:t>且未获得中国政府</w:t>
      </w:r>
      <w:bookmarkStart w:id="1773" w:name="_Toc7790_WPSOffice_Level1"/>
      <w:r>
        <w:rPr>
          <w:rFonts w:hint="eastAsia" w:ascii="仿宋_GB2312" w:eastAsia="仿宋_GB2312" w:cs="仿宋_GB2312"/>
          <w:sz w:val="31"/>
          <w:szCs w:val="31"/>
        </w:rPr>
        <w:t>其他各类奖学金的国际</w:t>
      </w:r>
      <w:r>
        <w:rPr>
          <w:rFonts w:hint="eastAsia" w:ascii="仿宋_GB2312" w:eastAsia="仿宋_GB2312" w:cs="仿宋_GB2312"/>
          <w:color w:val="000000"/>
          <w:sz w:val="31"/>
          <w:szCs w:val="31"/>
        </w:rPr>
        <w:t>学生。</w:t>
      </w:r>
    </w:p>
    <w:p>
      <w:pPr>
        <w:pageBreakBefore w:val="0"/>
        <w:kinsoku/>
        <w:overflowPunct/>
        <w:topLinePunct w:val="0"/>
        <w:autoSpaceDE/>
        <w:autoSpaceDN/>
        <w:bidi w:val="0"/>
        <w:spacing w:line="580" w:lineRule="exact"/>
        <w:ind w:firstLine="610" w:firstLineChars="196"/>
        <w:outlineLvl w:val="9"/>
        <w:rPr>
          <w:rFonts w:hint="eastAsia" w:ascii="仿宋_GB2312" w:eastAsia="仿宋_GB2312" w:cs="仿宋_GB2312"/>
          <w:color w:val="000000"/>
          <w:sz w:val="31"/>
          <w:szCs w:val="31"/>
        </w:rPr>
      </w:pPr>
      <w:r>
        <w:rPr>
          <w:rFonts w:hint="eastAsia" w:ascii="仿宋_GB2312" w:eastAsia="仿宋_GB2312" w:cs="仿宋_GB2312"/>
          <w:b/>
          <w:bCs/>
          <w:color w:val="000000"/>
          <w:sz w:val="31"/>
          <w:szCs w:val="31"/>
        </w:rPr>
        <w:t xml:space="preserve">第五条  </w:t>
      </w:r>
      <w:r>
        <w:rPr>
          <w:rFonts w:hint="eastAsia" w:ascii="仿宋_GB2312" w:eastAsia="仿宋_GB2312" w:cs="仿宋_GB2312"/>
          <w:color w:val="000000"/>
          <w:sz w:val="31"/>
          <w:szCs w:val="31"/>
        </w:rPr>
        <w:t>本奖学金</w:t>
      </w:r>
      <w:bookmarkEnd w:id="1773"/>
      <w:r>
        <w:rPr>
          <w:rFonts w:hint="eastAsia" w:ascii="仿宋_GB2312" w:eastAsia="仿宋_GB2312" w:cs="仿宋_GB2312"/>
          <w:color w:val="000000"/>
          <w:sz w:val="31"/>
          <w:szCs w:val="31"/>
        </w:rPr>
        <w:t>每</w:t>
      </w:r>
      <w:r>
        <w:rPr>
          <w:rFonts w:hint="eastAsia" w:ascii="仿宋_GB2312" w:eastAsia="仿宋_GB2312" w:cs="仿宋_GB2312"/>
          <w:sz w:val="31"/>
          <w:szCs w:val="31"/>
        </w:rPr>
        <w:t>半</w:t>
      </w:r>
      <w:r>
        <w:rPr>
          <w:rFonts w:hint="eastAsia" w:ascii="仿宋_GB2312" w:eastAsia="仿宋_GB2312" w:cs="仿宋_GB2312"/>
          <w:color w:val="000000"/>
          <w:sz w:val="31"/>
          <w:szCs w:val="31"/>
        </w:rPr>
        <w:t>年评审一次。</w:t>
      </w:r>
    </w:p>
    <w:p>
      <w:pPr>
        <w:pageBreakBefore w:val="0"/>
        <w:kinsoku/>
        <w:overflowPunct/>
        <w:topLinePunct w:val="0"/>
        <w:autoSpaceDE/>
        <w:autoSpaceDN/>
        <w:bidi w:val="0"/>
        <w:spacing w:line="580" w:lineRule="exact"/>
        <w:ind w:firstLine="607" w:firstLineChars="196"/>
        <w:outlineLvl w:val="9"/>
        <w:rPr>
          <w:rFonts w:ascii="仿宋_GB2312" w:eastAsia="仿宋_GB2312"/>
          <w:color w:val="000000"/>
          <w:sz w:val="31"/>
          <w:szCs w:val="31"/>
        </w:rPr>
      </w:pPr>
    </w:p>
    <w:p>
      <w:pPr>
        <w:pageBreakBefore w:val="0"/>
        <w:kinsoku/>
        <w:overflowPunct/>
        <w:topLinePunct w:val="0"/>
        <w:autoSpaceDE/>
        <w:autoSpaceDN/>
        <w:bidi w:val="0"/>
        <w:spacing w:line="580" w:lineRule="exact"/>
        <w:ind w:firstLine="2538" w:firstLineChars="790"/>
        <w:outlineLvl w:val="9"/>
        <w:rPr>
          <w:rFonts w:ascii="黑体" w:eastAsia="黑体"/>
          <w:b/>
          <w:bCs/>
          <w:color w:val="000000"/>
          <w:sz w:val="32"/>
          <w:szCs w:val="32"/>
        </w:rPr>
      </w:pPr>
      <w:bookmarkStart w:id="1774" w:name="_Toc20112_WPSOffice_Level1"/>
      <w:r>
        <w:rPr>
          <w:rFonts w:hint="eastAsia" w:ascii="黑体" w:eastAsia="黑体" w:cs="黑体"/>
          <w:b/>
          <w:bCs/>
          <w:color w:val="000000"/>
          <w:sz w:val="32"/>
          <w:szCs w:val="32"/>
        </w:rPr>
        <w:t>第二章  奖学金类</w:t>
      </w:r>
      <w:bookmarkStart w:id="1775" w:name="_Toc14813_WPSOffice_Level1"/>
      <w:r>
        <w:rPr>
          <w:rFonts w:hint="eastAsia" w:ascii="黑体" w:eastAsia="黑体" w:cs="黑体"/>
          <w:b/>
          <w:bCs/>
          <w:color w:val="000000"/>
          <w:sz w:val="32"/>
          <w:szCs w:val="32"/>
        </w:rPr>
        <w:t>别及评审条件</w:t>
      </w:r>
      <w:bookmarkEnd w:id="1774"/>
    </w:p>
    <w:p>
      <w:pPr>
        <w:pageBreakBefore w:val="0"/>
        <w:kinsoku/>
        <w:overflowPunct/>
        <w:topLinePunct w:val="0"/>
        <w:autoSpaceDE/>
        <w:autoSpaceDN/>
        <w:bidi w:val="0"/>
        <w:spacing w:line="580" w:lineRule="exact"/>
        <w:ind w:firstLine="622" w:firstLineChars="200"/>
        <w:outlineLvl w:val="9"/>
        <w:rPr>
          <w:rFonts w:ascii="仿宋_GB2312" w:eastAsia="仿宋_GB2312"/>
          <w:color w:val="000000"/>
          <w:sz w:val="31"/>
          <w:szCs w:val="31"/>
        </w:rPr>
      </w:pPr>
      <w:r>
        <w:rPr>
          <w:rFonts w:hint="eastAsia" w:ascii="仿宋_GB2312" w:eastAsia="仿宋_GB2312" w:cs="仿宋_GB2312"/>
          <w:b/>
          <w:bCs/>
          <w:color w:val="000000"/>
          <w:sz w:val="31"/>
          <w:szCs w:val="31"/>
        </w:rPr>
        <w:t>第六</w:t>
      </w:r>
      <w:bookmarkEnd w:id="1775"/>
      <w:r>
        <w:rPr>
          <w:rFonts w:hint="eastAsia" w:ascii="仿宋_GB2312" w:eastAsia="仿宋_GB2312" w:cs="仿宋_GB2312"/>
          <w:b/>
          <w:bCs/>
          <w:color w:val="000000"/>
          <w:sz w:val="31"/>
          <w:szCs w:val="31"/>
        </w:rPr>
        <w:t xml:space="preserve">条  </w:t>
      </w:r>
      <w:r>
        <w:rPr>
          <w:rFonts w:hint="eastAsia" w:ascii="仿宋_GB2312" w:eastAsia="仿宋_GB2312" w:cs="仿宋_GB2312"/>
          <w:sz w:val="31"/>
          <w:szCs w:val="31"/>
        </w:rPr>
        <w:t>国际</w:t>
      </w:r>
      <w:r>
        <w:rPr>
          <w:rFonts w:hint="eastAsia" w:ascii="仿宋_GB2312" w:eastAsia="仿宋_GB2312" w:cs="仿宋_GB2312"/>
          <w:color w:val="000000"/>
          <w:sz w:val="31"/>
          <w:szCs w:val="31"/>
        </w:rPr>
        <w:t>学生奖学金分为新生奖学金、优秀学生奖学金、国际工匠学院学生奖学金。</w:t>
      </w:r>
    </w:p>
    <w:p>
      <w:pPr>
        <w:pageBreakBefore w:val="0"/>
        <w:kinsoku/>
        <w:overflowPunct/>
        <w:topLinePunct w:val="0"/>
        <w:autoSpaceDE/>
        <w:autoSpaceDN/>
        <w:bidi w:val="0"/>
        <w:spacing w:line="580" w:lineRule="exact"/>
        <w:ind w:firstLine="643" w:firstLineChars="200"/>
        <w:outlineLvl w:val="9"/>
        <w:rPr>
          <w:rFonts w:ascii="仿宋_GB2312" w:eastAsia="仿宋_GB2312" w:cs="仿宋_GB2312"/>
          <w:sz w:val="31"/>
          <w:szCs w:val="31"/>
        </w:rPr>
      </w:pPr>
      <w:r>
        <w:rPr>
          <w:rFonts w:hint="eastAsia" w:ascii="楷体_GB2312" w:eastAsia="楷体_GB2312"/>
          <w:b/>
          <w:sz w:val="32"/>
          <w:szCs w:val="32"/>
        </w:rPr>
        <w:t>（一）新生奖学金</w:t>
      </w:r>
      <w:r>
        <w:rPr>
          <w:rFonts w:hint="eastAsia" w:ascii="仿宋_GB2312" w:eastAsia="仿宋_GB2312" w:cs="仿宋_GB2312"/>
          <w:b/>
          <w:bCs/>
          <w:color w:val="000000"/>
          <w:sz w:val="31"/>
          <w:szCs w:val="31"/>
        </w:rPr>
        <w:t>：</w:t>
      </w:r>
      <w:r>
        <w:rPr>
          <w:rFonts w:hint="eastAsia" w:ascii="仿宋_GB2312" w:eastAsia="仿宋_GB2312" w:cs="仿宋_GB2312"/>
          <w:color w:val="000000"/>
          <w:sz w:val="31"/>
          <w:szCs w:val="31"/>
        </w:rPr>
        <w:t>该类奖学金</w:t>
      </w:r>
      <w:r>
        <w:rPr>
          <w:rFonts w:hint="eastAsia" w:ascii="仿宋_GB2312" w:eastAsia="仿宋_GB2312" w:cs="仿宋_GB2312"/>
          <w:sz w:val="31"/>
          <w:szCs w:val="31"/>
        </w:rPr>
        <w:t>用于奖励申请在我校就读的国际学生新生。</w:t>
      </w:r>
    </w:p>
    <w:p>
      <w:pPr>
        <w:pageBreakBefore w:val="0"/>
        <w:kinsoku/>
        <w:overflowPunct/>
        <w:topLinePunct w:val="0"/>
        <w:autoSpaceDE/>
        <w:autoSpaceDN/>
        <w:bidi w:val="0"/>
        <w:spacing w:line="580" w:lineRule="exact"/>
        <w:ind w:firstLine="622" w:firstLineChars="200"/>
        <w:outlineLvl w:val="9"/>
        <w:rPr>
          <w:rFonts w:ascii="仿宋_GB2312" w:eastAsia="仿宋_GB2312" w:cs="仿宋_GB2312"/>
          <w:b/>
          <w:sz w:val="31"/>
          <w:szCs w:val="31"/>
        </w:rPr>
      </w:pPr>
      <w:r>
        <w:rPr>
          <w:rFonts w:hint="eastAsia" w:ascii="仿宋_GB2312" w:eastAsia="仿宋_GB2312" w:cs="仿宋_GB2312"/>
          <w:b/>
          <w:sz w:val="31"/>
          <w:szCs w:val="31"/>
        </w:rPr>
        <w:t>1.新生奖学金发放标准</w:t>
      </w:r>
    </w:p>
    <w:p>
      <w:pPr>
        <w:pageBreakBefore w:val="0"/>
        <w:kinsoku/>
        <w:overflowPunct/>
        <w:topLinePunct w:val="0"/>
        <w:autoSpaceDE/>
        <w:autoSpaceDN/>
        <w:bidi w:val="0"/>
        <w:spacing w:line="580" w:lineRule="exact"/>
        <w:ind w:firstLine="620" w:firstLineChars="200"/>
        <w:outlineLvl w:val="9"/>
        <w:rPr>
          <w:rFonts w:hint="eastAsia" w:ascii="仿宋_GB2312" w:eastAsia="仿宋_GB2312" w:cs="仿宋_GB2312"/>
          <w:sz w:val="31"/>
          <w:szCs w:val="31"/>
        </w:rPr>
      </w:pPr>
      <w:r>
        <w:rPr>
          <w:rFonts w:hint="eastAsia" w:eastAsia="仿宋_GB2312"/>
          <w:color w:val="000000"/>
          <w:sz w:val="31"/>
          <w:szCs w:val="31"/>
        </w:rPr>
        <w:t>（1）新生奖学金原则上在新生申请入学时一次性发放，10人以上批量到学校学习的新生除外；</w:t>
      </w:r>
    </w:p>
    <w:p>
      <w:pPr>
        <w:pageBreakBefore w:val="0"/>
        <w:kinsoku/>
        <w:overflowPunct/>
        <w:topLinePunct w:val="0"/>
        <w:autoSpaceDE/>
        <w:autoSpaceDN/>
        <w:bidi w:val="0"/>
        <w:spacing w:line="580" w:lineRule="exact"/>
        <w:ind w:firstLine="620" w:firstLineChars="200"/>
        <w:outlineLvl w:val="9"/>
        <w:rPr>
          <w:rFonts w:hint="eastAsia" w:ascii="仿宋_GB2312" w:eastAsia="仿宋_GB2312" w:cs="仿宋_GB2312"/>
          <w:sz w:val="31"/>
          <w:szCs w:val="31"/>
        </w:rPr>
      </w:pPr>
      <w:r>
        <w:rPr>
          <w:rFonts w:hint="eastAsia" w:ascii="仿宋_GB2312" w:eastAsia="仿宋_GB2312" w:cs="仿宋_GB2312"/>
          <w:color w:val="000000"/>
          <w:sz w:val="31"/>
          <w:szCs w:val="31"/>
        </w:rPr>
        <w:t>（2）根据国际学生所申请专业一年的学费收费标准发放；</w:t>
      </w:r>
    </w:p>
    <w:p>
      <w:pPr>
        <w:pageBreakBefore w:val="0"/>
        <w:kinsoku/>
        <w:overflowPunct/>
        <w:topLinePunct w:val="0"/>
        <w:autoSpaceDE/>
        <w:autoSpaceDN/>
        <w:bidi w:val="0"/>
        <w:spacing w:line="580" w:lineRule="exact"/>
        <w:ind w:firstLine="620" w:firstLineChars="200"/>
        <w:outlineLvl w:val="9"/>
        <w:rPr>
          <w:rFonts w:ascii="仿宋_GB2312" w:eastAsia="仿宋_GB2312" w:cs="仿宋_GB2312"/>
          <w:sz w:val="31"/>
          <w:szCs w:val="31"/>
        </w:rPr>
      </w:pPr>
      <w:r>
        <w:rPr>
          <w:rFonts w:hint="eastAsia" w:ascii="仿宋_GB2312" w:eastAsia="仿宋_GB2312" w:cs="仿宋_GB2312"/>
          <w:sz w:val="31"/>
          <w:szCs w:val="31"/>
        </w:rPr>
        <w:t>（3）HSK优于三级的国际学生，每高一级则额外奖励300元。</w:t>
      </w:r>
    </w:p>
    <w:p>
      <w:pPr>
        <w:pageBreakBefore w:val="0"/>
        <w:kinsoku/>
        <w:overflowPunct/>
        <w:topLinePunct w:val="0"/>
        <w:autoSpaceDE/>
        <w:autoSpaceDN/>
        <w:bidi w:val="0"/>
        <w:spacing w:line="580" w:lineRule="exact"/>
        <w:ind w:firstLine="620" w:firstLineChars="200"/>
        <w:outlineLvl w:val="9"/>
        <w:rPr>
          <w:rFonts w:ascii="仿宋_GB2312" w:eastAsia="仿宋_GB2312"/>
          <w:b/>
          <w:bCs/>
          <w:color w:val="000000"/>
          <w:sz w:val="31"/>
          <w:szCs w:val="31"/>
        </w:rPr>
      </w:pPr>
      <w:r>
        <w:rPr>
          <w:rFonts w:hint="eastAsia" w:eastAsia="仿宋_GB2312"/>
          <w:bCs/>
          <w:sz w:val="31"/>
          <w:szCs w:val="31"/>
        </w:rPr>
        <w:t xml:space="preserve">2. </w:t>
      </w:r>
      <w:r>
        <w:rPr>
          <w:rFonts w:hint="eastAsia" w:ascii="仿宋_GB2312" w:eastAsia="仿宋_GB2312" w:cs="仿宋_GB2312"/>
          <w:b/>
          <w:bCs/>
          <w:color w:val="000000"/>
          <w:sz w:val="31"/>
          <w:szCs w:val="31"/>
        </w:rPr>
        <w:t>新生奖学金评审条件</w:t>
      </w:r>
    </w:p>
    <w:p>
      <w:pPr>
        <w:pageBreakBefore w:val="0"/>
        <w:kinsoku/>
        <w:overflowPunct/>
        <w:topLinePunct w:val="0"/>
        <w:autoSpaceDE/>
        <w:autoSpaceDN/>
        <w:bidi w:val="0"/>
        <w:spacing w:line="580" w:lineRule="exact"/>
        <w:ind w:firstLine="560"/>
        <w:outlineLvl w:val="9"/>
        <w:rPr>
          <w:rFonts w:ascii="仿宋_GB2312" w:eastAsia="仿宋_GB2312"/>
          <w:color w:val="000000"/>
          <w:sz w:val="31"/>
          <w:szCs w:val="31"/>
        </w:rPr>
      </w:pPr>
      <w:r>
        <w:rPr>
          <w:rFonts w:hint="eastAsia" w:ascii="仿宋_GB2312" w:eastAsia="仿宋_GB2312" w:cs="仿宋_GB2312"/>
          <w:sz w:val="31"/>
          <w:szCs w:val="31"/>
        </w:rPr>
        <w:t>（1）</w:t>
      </w:r>
      <w:r>
        <w:rPr>
          <w:rFonts w:hint="eastAsia" w:ascii="仿宋_GB2312" w:eastAsia="仿宋_GB2312" w:cs="仿宋_GB2312"/>
          <w:color w:val="000000"/>
          <w:sz w:val="31"/>
          <w:szCs w:val="31"/>
        </w:rPr>
        <w:t>申请者为大一新生，具有相当于中国高级中学毕业的学历或证书；</w:t>
      </w:r>
    </w:p>
    <w:p>
      <w:pPr>
        <w:pageBreakBefore w:val="0"/>
        <w:kinsoku/>
        <w:overflowPunct/>
        <w:topLinePunct w:val="0"/>
        <w:autoSpaceDE/>
        <w:autoSpaceDN/>
        <w:bidi w:val="0"/>
        <w:spacing w:line="580" w:lineRule="exact"/>
        <w:ind w:firstLine="560"/>
        <w:outlineLvl w:val="9"/>
        <w:rPr>
          <w:rFonts w:ascii="仿宋_GB2312" w:eastAsia="仿宋_GB2312"/>
          <w:color w:val="000000"/>
          <w:sz w:val="31"/>
          <w:szCs w:val="31"/>
        </w:rPr>
      </w:pPr>
      <w:r>
        <w:rPr>
          <w:rFonts w:hint="eastAsia" w:ascii="仿宋_GB2312" w:eastAsia="仿宋_GB2312" w:cs="仿宋_GB2312"/>
          <w:sz w:val="31"/>
          <w:szCs w:val="31"/>
        </w:rPr>
        <w:t>（2）申请人须拥有外国国籍，持有外国护照，对华友好，身体</w:t>
      </w:r>
      <w:r>
        <w:rPr>
          <w:rFonts w:hint="eastAsia" w:ascii="仿宋_GB2312" w:eastAsia="仿宋_GB2312" w:cs="仿宋_GB2312"/>
          <w:color w:val="000000"/>
          <w:sz w:val="31"/>
          <w:szCs w:val="31"/>
        </w:rPr>
        <w:t>健康；</w:t>
      </w:r>
    </w:p>
    <w:p>
      <w:pPr>
        <w:pageBreakBefore w:val="0"/>
        <w:kinsoku/>
        <w:overflowPunct/>
        <w:topLinePunct w:val="0"/>
        <w:autoSpaceDE/>
        <w:autoSpaceDN/>
        <w:bidi w:val="0"/>
        <w:spacing w:line="580" w:lineRule="exact"/>
        <w:ind w:firstLine="560"/>
        <w:outlineLvl w:val="9"/>
        <w:rPr>
          <w:rFonts w:ascii="仿宋_GB2312" w:eastAsia="仿宋_GB2312" w:cs="仿宋_GB2312"/>
          <w:sz w:val="31"/>
          <w:szCs w:val="31"/>
        </w:rPr>
      </w:pPr>
      <w:r>
        <w:rPr>
          <w:rFonts w:hint="eastAsia" w:ascii="仿宋_GB2312" w:eastAsia="仿宋_GB2312" w:cs="仿宋_GB2312"/>
          <w:sz w:val="31"/>
          <w:szCs w:val="31"/>
        </w:rPr>
        <w:t>（3）学习刻苦，态度端正，无拖欠各类学杂费现</w:t>
      </w:r>
      <w:bookmarkStart w:id="1776" w:name="_Toc18202_WPSOffice_Level1"/>
      <w:r>
        <w:rPr>
          <w:rFonts w:hint="eastAsia" w:ascii="仿宋_GB2312" w:eastAsia="仿宋_GB2312" w:cs="仿宋_GB2312"/>
          <w:sz w:val="31"/>
          <w:szCs w:val="31"/>
        </w:rPr>
        <w:t>象；</w:t>
      </w:r>
    </w:p>
    <w:p>
      <w:pPr>
        <w:pageBreakBefore w:val="0"/>
        <w:kinsoku/>
        <w:overflowPunct/>
        <w:topLinePunct w:val="0"/>
        <w:autoSpaceDE/>
        <w:autoSpaceDN/>
        <w:bidi w:val="0"/>
        <w:spacing w:line="580" w:lineRule="exact"/>
        <w:ind w:firstLine="560"/>
        <w:outlineLvl w:val="9"/>
        <w:rPr>
          <w:rFonts w:ascii="仿宋_GB2312" w:eastAsia="仿宋_GB2312" w:cs="仿宋_GB2312"/>
          <w:sz w:val="31"/>
          <w:szCs w:val="31"/>
        </w:rPr>
      </w:pPr>
      <w:r>
        <w:rPr>
          <w:rFonts w:hint="eastAsia" w:ascii="仿宋_GB2312" w:eastAsia="仿宋_GB2312" w:cs="仿宋_GB2312"/>
          <w:sz w:val="31"/>
          <w:szCs w:val="31"/>
        </w:rPr>
        <w:t>（4）按时报到注册</w:t>
      </w:r>
      <w:bookmarkEnd w:id="1776"/>
      <w:r>
        <w:rPr>
          <w:rFonts w:hint="eastAsia" w:ascii="仿宋_GB2312" w:eastAsia="仿宋_GB2312" w:cs="仿宋_GB2312"/>
          <w:sz w:val="31"/>
          <w:szCs w:val="31"/>
        </w:rPr>
        <w:t>，遵守中国政府的法律法规，遵守柳州职业技术学院的规章制度；</w:t>
      </w:r>
    </w:p>
    <w:p>
      <w:pPr>
        <w:pageBreakBefore w:val="0"/>
        <w:kinsoku/>
        <w:overflowPunct/>
        <w:topLinePunct w:val="0"/>
        <w:autoSpaceDE/>
        <w:autoSpaceDN/>
        <w:bidi w:val="0"/>
        <w:spacing w:line="580" w:lineRule="exact"/>
        <w:ind w:firstLine="560"/>
        <w:outlineLvl w:val="9"/>
        <w:rPr>
          <w:rFonts w:hint="eastAsia" w:ascii="仿宋_GB2312" w:eastAsia="仿宋_GB2312" w:cs="仿宋_GB2312"/>
          <w:sz w:val="31"/>
          <w:szCs w:val="31"/>
        </w:rPr>
      </w:pPr>
      <w:r>
        <w:rPr>
          <w:rFonts w:hint="eastAsia" w:ascii="仿宋_GB2312" w:eastAsia="仿宋_GB2312" w:cs="仿宋_GB2312"/>
          <w:sz w:val="31"/>
          <w:szCs w:val="31"/>
        </w:rPr>
        <w:t>（5）达到HSK三级以上或者通过学校相应汉语水平测试，</w:t>
      </w:r>
      <w:r>
        <w:rPr>
          <w:rFonts w:hint="eastAsia" w:eastAsia="仿宋_GB2312"/>
          <w:color w:val="000000"/>
          <w:sz w:val="31"/>
          <w:szCs w:val="31"/>
        </w:rPr>
        <w:t>10人以上批量到学校学习的新生除外</w:t>
      </w:r>
      <w:r>
        <w:rPr>
          <w:rFonts w:hint="eastAsia" w:ascii="仿宋_GB2312" w:eastAsia="仿宋_GB2312" w:cs="仿宋_GB2312"/>
          <w:sz w:val="31"/>
          <w:szCs w:val="31"/>
        </w:rPr>
        <w:t>。</w:t>
      </w:r>
    </w:p>
    <w:p>
      <w:pPr>
        <w:pageBreakBefore w:val="0"/>
        <w:kinsoku/>
        <w:overflowPunct/>
        <w:topLinePunct w:val="0"/>
        <w:autoSpaceDE/>
        <w:autoSpaceDN/>
        <w:bidi w:val="0"/>
        <w:spacing w:line="580" w:lineRule="exact"/>
        <w:ind w:firstLine="622" w:firstLineChars="200"/>
        <w:outlineLvl w:val="9"/>
        <w:rPr>
          <w:rFonts w:ascii="仿宋_GB2312" w:eastAsia="仿宋_GB2312" w:cs="仿宋_GB2312"/>
          <w:sz w:val="31"/>
          <w:szCs w:val="31"/>
        </w:rPr>
      </w:pPr>
      <w:r>
        <w:rPr>
          <w:rFonts w:hint="eastAsia" w:ascii="仿宋_GB2312" w:eastAsia="仿宋_GB2312" w:cs="仿宋_GB2312"/>
          <w:b/>
          <w:bCs/>
          <w:color w:val="000000"/>
          <w:sz w:val="31"/>
          <w:szCs w:val="31"/>
        </w:rPr>
        <w:t>3. 非国际合作办学项目，但10人以上集体报名参加半年以上语言学习或学历教育的，在校期间每年/学期按学费标准50%发放奖学金。</w:t>
      </w:r>
    </w:p>
    <w:p>
      <w:pPr>
        <w:pageBreakBefore w:val="0"/>
        <w:kinsoku/>
        <w:overflowPunct/>
        <w:topLinePunct w:val="0"/>
        <w:autoSpaceDE/>
        <w:autoSpaceDN/>
        <w:bidi w:val="0"/>
        <w:spacing w:line="580" w:lineRule="exact"/>
        <w:ind w:firstLine="643" w:firstLineChars="200"/>
        <w:outlineLvl w:val="9"/>
        <w:rPr>
          <w:rFonts w:ascii="仿宋_GB2312" w:eastAsia="仿宋_GB2312" w:cs="仿宋_GB2312"/>
          <w:sz w:val="31"/>
          <w:szCs w:val="31"/>
        </w:rPr>
      </w:pPr>
      <w:r>
        <w:rPr>
          <w:rFonts w:hint="eastAsia" w:ascii="楷体_GB2312" w:eastAsia="楷体_GB2312"/>
          <w:b/>
          <w:sz w:val="32"/>
          <w:szCs w:val="32"/>
        </w:rPr>
        <w:t>（二）优秀学生奖学金：</w:t>
      </w:r>
      <w:r>
        <w:rPr>
          <w:rFonts w:hint="eastAsia" w:ascii="仿宋_GB2312" w:eastAsia="仿宋_GB2312" w:cs="仿宋_GB2312"/>
          <w:color w:val="000000"/>
          <w:sz w:val="31"/>
          <w:szCs w:val="31"/>
        </w:rPr>
        <w:t>该类奖学金</w:t>
      </w:r>
      <w:r>
        <w:rPr>
          <w:rFonts w:hint="eastAsia" w:ascii="仿宋_GB2312" w:eastAsia="仿宋_GB2312" w:cs="仿宋_GB2312"/>
          <w:sz w:val="31"/>
          <w:szCs w:val="31"/>
        </w:rPr>
        <w:t>用于奖励在我校就读一年以上的学习成绩优秀、品学兼优的国际</w:t>
      </w:r>
      <w:r>
        <w:rPr>
          <w:rFonts w:hint="eastAsia" w:ascii="仿宋_GB2312" w:eastAsia="仿宋_GB2312" w:cs="仿宋_GB2312"/>
          <w:color w:val="000000"/>
          <w:sz w:val="31"/>
          <w:szCs w:val="31"/>
        </w:rPr>
        <w:t>学生</w:t>
      </w:r>
      <w:r>
        <w:rPr>
          <w:rFonts w:hint="eastAsia" w:ascii="仿宋_GB2312" w:eastAsia="仿宋_GB2312" w:cs="仿宋_GB2312"/>
          <w:sz w:val="31"/>
          <w:szCs w:val="31"/>
        </w:rPr>
        <w:t>。</w:t>
      </w:r>
    </w:p>
    <w:p>
      <w:pPr>
        <w:pageBreakBefore w:val="0"/>
        <w:kinsoku/>
        <w:overflowPunct/>
        <w:topLinePunct w:val="0"/>
        <w:autoSpaceDE/>
        <w:autoSpaceDN/>
        <w:bidi w:val="0"/>
        <w:spacing w:line="580" w:lineRule="exact"/>
        <w:ind w:firstLine="622" w:firstLineChars="200"/>
        <w:outlineLvl w:val="9"/>
        <w:rPr>
          <w:rFonts w:ascii="仿宋_GB2312" w:eastAsia="仿宋_GB2312" w:cs="仿宋_GB2312"/>
          <w:b/>
          <w:sz w:val="31"/>
          <w:szCs w:val="31"/>
        </w:rPr>
      </w:pPr>
      <w:r>
        <w:rPr>
          <w:rFonts w:hint="eastAsia" w:ascii="仿宋_GB2312" w:eastAsia="仿宋_GB2312" w:cs="仿宋_GB2312"/>
          <w:b/>
          <w:sz w:val="31"/>
          <w:szCs w:val="31"/>
        </w:rPr>
        <w:t>1.优秀学生奖学金等级：</w:t>
      </w:r>
    </w:p>
    <w:p>
      <w:pPr>
        <w:pageBreakBefore w:val="0"/>
        <w:kinsoku/>
        <w:overflowPunct/>
        <w:topLinePunct w:val="0"/>
        <w:autoSpaceDE/>
        <w:autoSpaceDN/>
        <w:bidi w:val="0"/>
        <w:spacing w:line="580" w:lineRule="exact"/>
        <w:ind w:firstLine="620" w:firstLineChars="200"/>
        <w:outlineLvl w:val="9"/>
        <w:rPr>
          <w:rFonts w:ascii="仿宋_GB2312" w:eastAsia="仿宋_GB2312" w:cs="仿宋_GB2312"/>
          <w:sz w:val="31"/>
          <w:szCs w:val="31"/>
        </w:rPr>
      </w:pPr>
      <w:r>
        <w:rPr>
          <w:rFonts w:hint="eastAsia" w:ascii="仿宋_GB2312" w:eastAsia="仿宋_GB2312" w:cs="仿宋_GB2312"/>
          <w:sz w:val="31"/>
          <w:szCs w:val="31"/>
        </w:rPr>
        <w:t>该类奖学金分三个等级，分别为一等奖学金、二等奖学金、三等奖学金。其中一等奖学金8000元，二等奖学金6000元，三等奖学金4000元。评比主要依据国际学生在校表现进行评定。申请人必须是按时注册，正常在校学习者，休学、停学者不在评审范围内。</w:t>
      </w:r>
    </w:p>
    <w:p>
      <w:pPr>
        <w:pageBreakBefore w:val="0"/>
        <w:kinsoku/>
        <w:overflowPunct/>
        <w:topLinePunct w:val="0"/>
        <w:autoSpaceDE/>
        <w:autoSpaceDN/>
        <w:bidi w:val="0"/>
        <w:spacing w:line="580" w:lineRule="exact"/>
        <w:ind w:firstLine="622" w:firstLineChars="200"/>
        <w:outlineLvl w:val="9"/>
        <w:rPr>
          <w:rFonts w:ascii="仿宋_GB2312" w:eastAsia="仿宋_GB2312" w:cs="仿宋_GB2312"/>
          <w:sz w:val="31"/>
          <w:szCs w:val="31"/>
        </w:rPr>
      </w:pPr>
      <w:r>
        <w:rPr>
          <w:rFonts w:hint="eastAsia" w:ascii="仿宋_GB2312" w:eastAsia="仿宋_GB2312" w:cs="仿宋_GB2312"/>
          <w:b/>
          <w:sz w:val="31"/>
          <w:szCs w:val="31"/>
        </w:rPr>
        <w:t>2.优秀学生奖学金评审条件：</w:t>
      </w:r>
      <w:r>
        <w:rPr>
          <w:rFonts w:hint="eastAsia" w:ascii="仿宋_GB2312" w:eastAsia="仿宋_GB2312" w:cs="仿宋_GB2312"/>
          <w:sz w:val="31"/>
          <w:szCs w:val="31"/>
        </w:rPr>
        <w:t>各科考试、考核成绩；学习态度和考勤；行为表现与奖惩；</w:t>
      </w:r>
    </w:p>
    <w:p>
      <w:pPr>
        <w:pageBreakBefore w:val="0"/>
        <w:kinsoku/>
        <w:overflowPunct/>
        <w:topLinePunct w:val="0"/>
        <w:autoSpaceDE/>
        <w:autoSpaceDN/>
        <w:bidi w:val="0"/>
        <w:spacing w:line="580" w:lineRule="exact"/>
        <w:ind w:firstLine="560"/>
        <w:outlineLvl w:val="9"/>
        <w:rPr>
          <w:rFonts w:hint="eastAsia" w:ascii="仿宋_GB2312" w:eastAsia="仿宋_GB2312" w:cs="仿宋_GB2312"/>
          <w:color w:val="000000"/>
          <w:sz w:val="31"/>
          <w:szCs w:val="31"/>
        </w:rPr>
      </w:pPr>
      <w:r>
        <w:rPr>
          <w:rFonts w:hint="eastAsia" w:eastAsia="仿宋_GB2312"/>
          <w:color w:val="000000"/>
          <w:sz w:val="31"/>
          <w:szCs w:val="31"/>
        </w:rPr>
        <w:t>（1）</w:t>
      </w:r>
      <w:r>
        <w:rPr>
          <w:rFonts w:hint="eastAsia" w:ascii="仿宋_GB2312" w:eastAsia="仿宋_GB2312" w:cs="仿宋_GB2312"/>
          <w:sz w:val="31"/>
          <w:szCs w:val="31"/>
        </w:rPr>
        <w:t>国际</w:t>
      </w:r>
      <w:r>
        <w:rPr>
          <w:rFonts w:hint="eastAsia" w:ascii="仿宋_GB2312" w:eastAsia="仿宋_GB2312" w:cs="仿宋_GB2312"/>
          <w:color w:val="000000"/>
          <w:sz w:val="31"/>
          <w:szCs w:val="31"/>
        </w:rPr>
        <w:t>学生在本校就读第一学年和</w:t>
      </w:r>
      <w:r>
        <w:rPr>
          <w:rFonts w:hint="eastAsia" w:ascii="仿宋_GB2312" w:eastAsia="仿宋_GB2312" w:cs="仿宋_GB2312"/>
          <w:sz w:val="31"/>
          <w:szCs w:val="31"/>
        </w:rPr>
        <w:t>第二学年结束各评一次</w:t>
      </w:r>
      <w:r>
        <w:rPr>
          <w:rFonts w:hint="eastAsia" w:ascii="仿宋_GB2312" w:eastAsia="仿宋_GB2312" w:cs="仿宋_GB2312"/>
          <w:color w:val="000000"/>
          <w:sz w:val="31"/>
          <w:szCs w:val="31"/>
        </w:rPr>
        <w:t>，符合相应条件的可申请该类奖学金；</w:t>
      </w:r>
    </w:p>
    <w:p>
      <w:pPr>
        <w:pageBreakBefore w:val="0"/>
        <w:kinsoku/>
        <w:overflowPunct/>
        <w:topLinePunct w:val="0"/>
        <w:autoSpaceDE/>
        <w:autoSpaceDN/>
        <w:bidi w:val="0"/>
        <w:spacing w:line="580" w:lineRule="exact"/>
        <w:ind w:firstLine="560"/>
        <w:outlineLvl w:val="9"/>
        <w:rPr>
          <w:rFonts w:ascii="仿宋_GB2312" w:eastAsia="仿宋_GB2312"/>
          <w:color w:val="000000"/>
          <w:sz w:val="31"/>
          <w:szCs w:val="31"/>
        </w:rPr>
      </w:pPr>
      <w:r>
        <w:rPr>
          <w:rFonts w:hint="eastAsia" w:ascii="仿宋_GB2312" w:eastAsia="仿宋_GB2312" w:cs="仿宋_GB2312"/>
          <w:color w:val="000000"/>
          <w:sz w:val="31"/>
          <w:szCs w:val="31"/>
        </w:rPr>
        <w:t>（2）申请人须拥有外国国籍，持有外国护照，对华友好，身体健康；</w:t>
      </w:r>
    </w:p>
    <w:p>
      <w:pPr>
        <w:pageBreakBefore w:val="0"/>
        <w:kinsoku/>
        <w:overflowPunct/>
        <w:topLinePunct w:val="0"/>
        <w:autoSpaceDE/>
        <w:autoSpaceDN/>
        <w:bidi w:val="0"/>
        <w:spacing w:line="580" w:lineRule="exact"/>
        <w:ind w:firstLine="560"/>
        <w:outlineLvl w:val="9"/>
        <w:rPr>
          <w:rFonts w:ascii="仿宋_GB2312" w:eastAsia="仿宋_GB2312"/>
          <w:color w:val="000000"/>
          <w:sz w:val="31"/>
          <w:szCs w:val="31"/>
        </w:rPr>
      </w:pPr>
      <w:r>
        <w:rPr>
          <w:rFonts w:hint="eastAsia" w:eastAsia="仿宋_GB2312"/>
          <w:color w:val="000000"/>
          <w:sz w:val="31"/>
          <w:szCs w:val="31"/>
        </w:rPr>
        <w:t>（3）</w:t>
      </w:r>
      <w:r>
        <w:rPr>
          <w:rFonts w:hint="eastAsia" w:ascii="仿宋_GB2312" w:eastAsia="仿宋_GB2312" w:cs="仿宋_GB2312"/>
          <w:color w:val="000000"/>
          <w:sz w:val="31"/>
          <w:szCs w:val="31"/>
        </w:rPr>
        <w:t>学习刻苦，态度端正，无拖欠各类学杂费现象；</w:t>
      </w:r>
    </w:p>
    <w:p>
      <w:pPr>
        <w:pageBreakBefore w:val="0"/>
        <w:kinsoku/>
        <w:overflowPunct/>
        <w:topLinePunct w:val="0"/>
        <w:autoSpaceDE/>
        <w:autoSpaceDN/>
        <w:bidi w:val="0"/>
        <w:spacing w:line="580" w:lineRule="exact"/>
        <w:ind w:firstLine="560"/>
        <w:outlineLvl w:val="9"/>
        <w:rPr>
          <w:rFonts w:ascii="仿宋_GB2312" w:eastAsia="仿宋_GB2312"/>
          <w:color w:val="000000"/>
          <w:sz w:val="31"/>
          <w:szCs w:val="31"/>
          <w:shd w:val="pct10" w:color="auto" w:fill="FFFFFF"/>
        </w:rPr>
      </w:pPr>
      <w:r>
        <w:rPr>
          <w:rFonts w:hint="eastAsia" w:eastAsia="仿宋_GB2312"/>
          <w:color w:val="000000"/>
          <w:sz w:val="31"/>
          <w:szCs w:val="31"/>
        </w:rPr>
        <w:t>（4）</w:t>
      </w:r>
      <w:r>
        <w:rPr>
          <w:rFonts w:hint="eastAsia" w:ascii="仿宋_GB2312" w:eastAsia="仿宋_GB2312" w:cs="仿宋_GB2312"/>
          <w:color w:val="000000"/>
          <w:sz w:val="31"/>
          <w:szCs w:val="31"/>
        </w:rPr>
        <w:t>遵守中国政府的法律法规，遵守</w:t>
      </w:r>
      <w:r>
        <w:rPr>
          <w:rFonts w:hint="eastAsia" w:ascii="仿宋_GB2312" w:eastAsia="仿宋_GB2312" w:cs="仿宋_GB2312"/>
          <w:sz w:val="31"/>
          <w:szCs w:val="31"/>
        </w:rPr>
        <w:t>柳州</w:t>
      </w:r>
      <w:r>
        <w:rPr>
          <w:rFonts w:hint="eastAsia" w:ascii="仿宋_GB2312" w:eastAsia="仿宋_GB2312" w:cs="仿宋_GB2312"/>
          <w:color w:val="000000"/>
          <w:sz w:val="31"/>
          <w:szCs w:val="31"/>
        </w:rPr>
        <w:t>职业技术学院的规章制度,</w:t>
      </w:r>
      <w:r>
        <w:t xml:space="preserve"> </w:t>
      </w:r>
      <w:r>
        <w:rPr>
          <w:rFonts w:ascii="仿宋_GB2312" w:eastAsia="仿宋_GB2312" w:cs="仿宋_GB2312"/>
          <w:color w:val="000000"/>
          <w:sz w:val="31"/>
          <w:szCs w:val="31"/>
        </w:rPr>
        <w:t>未受到学校通报批评、纪律处分</w:t>
      </w:r>
      <w:r>
        <w:rPr>
          <w:rFonts w:hint="eastAsia" w:ascii="仿宋_GB2312" w:eastAsia="仿宋_GB2312" w:cs="仿宋_GB2312"/>
          <w:color w:val="000000"/>
          <w:sz w:val="31"/>
          <w:szCs w:val="31"/>
        </w:rPr>
        <w:t>；</w:t>
      </w:r>
    </w:p>
    <w:p>
      <w:pPr>
        <w:pageBreakBefore w:val="0"/>
        <w:kinsoku/>
        <w:overflowPunct/>
        <w:topLinePunct w:val="0"/>
        <w:autoSpaceDE/>
        <w:autoSpaceDN/>
        <w:bidi w:val="0"/>
        <w:spacing w:line="580" w:lineRule="exact"/>
        <w:ind w:firstLine="560"/>
        <w:outlineLvl w:val="9"/>
        <w:rPr>
          <w:rFonts w:ascii="仿宋_GB2312" w:eastAsia="仿宋_GB2312"/>
          <w:color w:val="000000"/>
          <w:sz w:val="31"/>
          <w:szCs w:val="31"/>
        </w:rPr>
      </w:pPr>
      <w:r>
        <w:rPr>
          <w:rFonts w:hint="eastAsia" w:eastAsia="仿宋_GB2312"/>
          <w:color w:val="000000"/>
          <w:sz w:val="31"/>
          <w:szCs w:val="31"/>
        </w:rPr>
        <w:t>（5）</w:t>
      </w:r>
      <w:r>
        <w:rPr>
          <w:rFonts w:hint="eastAsia" w:ascii="仿宋_GB2312" w:eastAsia="仿宋_GB2312" w:cs="仿宋_GB2312"/>
          <w:color w:val="000000"/>
          <w:sz w:val="31"/>
          <w:szCs w:val="31"/>
        </w:rPr>
        <w:t>积极参加各类艺术、体育、文化交流活动或比赛，成绩突出者优先考虑。</w:t>
      </w:r>
    </w:p>
    <w:p>
      <w:pPr>
        <w:pageBreakBefore w:val="0"/>
        <w:kinsoku/>
        <w:overflowPunct/>
        <w:topLinePunct w:val="0"/>
        <w:autoSpaceDE/>
        <w:autoSpaceDN/>
        <w:bidi w:val="0"/>
        <w:spacing w:line="580" w:lineRule="exact"/>
        <w:ind w:firstLine="560"/>
        <w:outlineLvl w:val="9"/>
        <w:rPr>
          <w:rFonts w:ascii="仿宋_GB2312" w:eastAsia="仿宋_GB2312" w:cs="仿宋_GB2312"/>
          <w:sz w:val="31"/>
          <w:szCs w:val="31"/>
        </w:rPr>
      </w:pPr>
      <w:r>
        <w:rPr>
          <w:rFonts w:hint="eastAsia" w:eastAsia="仿宋_GB2312"/>
          <w:bCs/>
          <w:sz w:val="31"/>
          <w:szCs w:val="31"/>
        </w:rPr>
        <w:t>（6）</w:t>
      </w:r>
      <w:r>
        <w:rPr>
          <w:rFonts w:hint="eastAsia" w:ascii="仿宋_GB2312" w:eastAsia="仿宋_GB2312" w:cs="仿宋_GB2312"/>
          <w:bCs/>
          <w:sz w:val="31"/>
          <w:szCs w:val="31"/>
        </w:rPr>
        <w:t>优秀学生奖学金等级评定：</w:t>
      </w:r>
      <w:r>
        <w:rPr>
          <w:rFonts w:hint="eastAsia" w:ascii="仿宋_GB2312" w:eastAsia="仿宋_GB2312" w:cs="仿宋_GB2312"/>
          <w:color w:val="000000"/>
          <w:sz w:val="31"/>
          <w:szCs w:val="31"/>
        </w:rPr>
        <w:t>对提交优秀奖学金申请的学</w:t>
      </w:r>
      <w:r>
        <w:rPr>
          <w:rFonts w:hint="eastAsia" w:ascii="仿宋_GB2312" w:eastAsia="仿宋_GB2312" w:cs="仿宋_GB2312"/>
          <w:sz w:val="31"/>
          <w:szCs w:val="31"/>
        </w:rPr>
        <w:t>生</w:t>
      </w:r>
      <w:r>
        <w:rPr>
          <w:rFonts w:hint="eastAsia" w:ascii="仿宋_GB2312" w:eastAsia="仿宋_GB2312" w:cs="仿宋_GB2312"/>
          <w:color w:val="000000"/>
          <w:sz w:val="31"/>
          <w:szCs w:val="31"/>
        </w:rPr>
        <w:t>各科成绩进行</w:t>
      </w:r>
      <w:r>
        <w:rPr>
          <w:rFonts w:hint="eastAsia" w:ascii="仿宋_GB2312" w:eastAsia="仿宋_GB2312" w:cs="仿宋_GB2312"/>
          <w:sz w:val="31"/>
          <w:szCs w:val="31"/>
        </w:rPr>
        <w:t>考核</w:t>
      </w:r>
      <w:r>
        <w:rPr>
          <w:rFonts w:hint="eastAsia" w:ascii="仿宋_GB2312" w:eastAsia="仿宋_GB2312" w:cs="仿宋_GB2312"/>
          <w:color w:val="000000"/>
          <w:sz w:val="31"/>
          <w:szCs w:val="31"/>
        </w:rPr>
        <w:t>，</w:t>
      </w:r>
      <w:r>
        <w:rPr>
          <w:rFonts w:hint="eastAsia" w:ascii="仿宋_GB2312" w:eastAsia="仿宋_GB2312" w:cs="仿宋_GB2312"/>
          <w:sz w:val="31"/>
          <w:szCs w:val="31"/>
        </w:rPr>
        <w:t>并</w:t>
      </w:r>
      <w:r>
        <w:rPr>
          <w:rFonts w:hint="eastAsia" w:ascii="仿宋_GB2312" w:eastAsia="仿宋_GB2312" w:cs="仿宋_GB2312"/>
          <w:color w:val="000000"/>
          <w:sz w:val="31"/>
          <w:szCs w:val="31"/>
        </w:rPr>
        <w:t>结合在校其他表现进行综合评定。</w:t>
      </w:r>
    </w:p>
    <w:p>
      <w:pPr>
        <w:pageBreakBefore w:val="0"/>
        <w:kinsoku/>
        <w:overflowPunct/>
        <w:topLinePunct w:val="0"/>
        <w:autoSpaceDE/>
        <w:autoSpaceDN/>
        <w:bidi w:val="0"/>
        <w:spacing w:line="580" w:lineRule="exact"/>
        <w:ind w:firstLine="560"/>
        <w:outlineLvl w:val="9"/>
        <w:rPr>
          <w:rFonts w:hint="eastAsia" w:ascii="仿宋_GB2312" w:eastAsia="仿宋_GB2312" w:cs="仿宋_GB2312"/>
          <w:sz w:val="31"/>
          <w:szCs w:val="31"/>
        </w:rPr>
      </w:pPr>
      <w:r>
        <w:rPr>
          <w:rFonts w:eastAsia="仿宋_GB2312"/>
          <w:sz w:val="31"/>
          <w:szCs w:val="31"/>
        </w:rPr>
        <w:t>①</w:t>
      </w:r>
      <w:r>
        <w:rPr>
          <w:rFonts w:hint="eastAsia" w:ascii="仿宋_GB2312" w:eastAsia="仿宋_GB2312" w:cs="仿宋_GB2312"/>
          <w:sz w:val="31"/>
          <w:szCs w:val="31"/>
        </w:rPr>
        <w:t>一等奖学金：无不及格科目，平均成绩在80分及以上；</w:t>
      </w:r>
    </w:p>
    <w:p>
      <w:pPr>
        <w:pageBreakBefore w:val="0"/>
        <w:kinsoku/>
        <w:overflowPunct/>
        <w:topLinePunct w:val="0"/>
        <w:autoSpaceDE/>
        <w:autoSpaceDN/>
        <w:bidi w:val="0"/>
        <w:spacing w:line="580" w:lineRule="exact"/>
        <w:ind w:firstLine="560"/>
        <w:outlineLvl w:val="9"/>
        <w:rPr>
          <w:rFonts w:ascii="仿宋_GB2312" w:eastAsia="仿宋_GB2312" w:cs="仿宋_GB2312"/>
          <w:sz w:val="31"/>
          <w:szCs w:val="31"/>
        </w:rPr>
      </w:pPr>
      <w:r>
        <w:rPr>
          <w:rFonts w:eastAsia="仿宋_GB2312"/>
          <w:sz w:val="31"/>
          <w:szCs w:val="31"/>
        </w:rPr>
        <w:t>②</w:t>
      </w:r>
      <w:r>
        <w:rPr>
          <w:rFonts w:hint="eastAsia" w:ascii="仿宋_GB2312" w:eastAsia="仿宋_GB2312" w:cs="仿宋_GB2312"/>
          <w:sz w:val="31"/>
          <w:szCs w:val="31"/>
        </w:rPr>
        <w:t>二等奖学金：无不及格科目，平均成绩在75分及</w:t>
      </w:r>
      <w:bookmarkStart w:id="1777" w:name="_Toc5752_WPSOffice_Level1"/>
      <w:r>
        <w:rPr>
          <w:rFonts w:hint="eastAsia" w:ascii="仿宋_GB2312" w:eastAsia="仿宋_GB2312" w:cs="仿宋_GB2312"/>
          <w:sz w:val="31"/>
          <w:szCs w:val="31"/>
        </w:rPr>
        <w:t>以上；</w:t>
      </w:r>
    </w:p>
    <w:p>
      <w:pPr>
        <w:pageBreakBefore w:val="0"/>
        <w:kinsoku/>
        <w:overflowPunct/>
        <w:topLinePunct w:val="0"/>
        <w:autoSpaceDE/>
        <w:autoSpaceDN/>
        <w:bidi w:val="0"/>
        <w:spacing w:line="580" w:lineRule="exact"/>
        <w:ind w:firstLine="560"/>
        <w:outlineLvl w:val="9"/>
        <w:rPr>
          <w:rFonts w:hint="eastAsia" w:ascii="仿宋_GB2312" w:eastAsia="仿宋_GB2312" w:cs="仿宋_GB2312"/>
          <w:sz w:val="31"/>
          <w:szCs w:val="31"/>
        </w:rPr>
      </w:pPr>
      <w:r>
        <w:rPr>
          <w:rFonts w:eastAsia="仿宋_GB2312"/>
          <w:sz w:val="31"/>
          <w:szCs w:val="31"/>
        </w:rPr>
        <w:t>③</w:t>
      </w:r>
      <w:r>
        <w:rPr>
          <w:rFonts w:hint="eastAsia" w:ascii="仿宋_GB2312" w:eastAsia="仿宋_GB2312" w:cs="仿宋_GB2312"/>
          <w:sz w:val="31"/>
          <w:szCs w:val="31"/>
        </w:rPr>
        <w:t>三等奖学金：无不及格科</w:t>
      </w:r>
      <w:bookmarkEnd w:id="1777"/>
      <w:r>
        <w:rPr>
          <w:rFonts w:hint="eastAsia" w:ascii="仿宋_GB2312" w:eastAsia="仿宋_GB2312" w:cs="仿宋_GB2312"/>
          <w:sz w:val="31"/>
          <w:szCs w:val="31"/>
        </w:rPr>
        <w:t>目，平均成绩在70分及以上。</w:t>
      </w:r>
    </w:p>
    <w:p>
      <w:pPr>
        <w:pageBreakBefore w:val="0"/>
        <w:kinsoku/>
        <w:overflowPunct/>
        <w:topLinePunct w:val="0"/>
        <w:autoSpaceDE/>
        <w:autoSpaceDN/>
        <w:bidi w:val="0"/>
        <w:spacing w:line="580" w:lineRule="exact"/>
        <w:ind w:firstLine="560"/>
        <w:outlineLvl w:val="9"/>
        <w:rPr>
          <w:rFonts w:ascii="仿宋_GB2312" w:eastAsia="仿宋_GB2312" w:cs="仿宋_GB2312"/>
          <w:sz w:val="31"/>
          <w:szCs w:val="31"/>
        </w:rPr>
      </w:pPr>
      <w:r>
        <w:rPr>
          <w:rFonts w:hint="eastAsia" w:ascii="仿宋_GB2312" w:eastAsia="仿宋_GB2312" w:cs="仿宋_GB2312"/>
          <w:sz w:val="31"/>
          <w:szCs w:val="31"/>
        </w:rPr>
        <w:t>（7）</w:t>
      </w:r>
      <w:r>
        <w:rPr>
          <w:rFonts w:hint="eastAsia" w:ascii="仿宋_GB2312" w:eastAsia="仿宋_GB2312" w:cs="仿宋_GB2312"/>
          <w:b/>
          <w:bCs/>
          <w:color w:val="000000"/>
          <w:sz w:val="31"/>
          <w:szCs w:val="31"/>
        </w:rPr>
        <w:t>非国际合作办学项目，但10人以上集体报名，已经享受过学费标准50%奖学金的学生，可参加优秀奖学金评选，但各级奖励金额减少50%。</w:t>
      </w:r>
    </w:p>
    <w:p>
      <w:pPr>
        <w:pageBreakBefore w:val="0"/>
        <w:kinsoku/>
        <w:overflowPunct/>
        <w:topLinePunct w:val="0"/>
        <w:autoSpaceDE/>
        <w:autoSpaceDN/>
        <w:bidi w:val="0"/>
        <w:spacing w:line="580" w:lineRule="exact"/>
        <w:ind w:firstLine="643" w:firstLineChars="200"/>
        <w:outlineLvl w:val="9"/>
        <w:rPr>
          <w:rFonts w:hint="eastAsia" w:ascii="仿宋_GB2312" w:eastAsia="仿宋_GB2312" w:cs="仿宋_GB2312"/>
          <w:sz w:val="31"/>
          <w:szCs w:val="31"/>
        </w:rPr>
      </w:pPr>
      <w:r>
        <w:rPr>
          <w:rFonts w:hint="eastAsia" w:ascii="楷体_GB2312" w:eastAsia="楷体_GB2312"/>
          <w:b/>
          <w:sz w:val="32"/>
          <w:szCs w:val="32"/>
        </w:rPr>
        <w:t>（三）国际工匠学院奖学金：</w:t>
      </w:r>
      <w:r>
        <w:rPr>
          <w:rFonts w:hint="eastAsia" w:ascii="仿宋_GB2312" w:eastAsia="仿宋_GB2312" w:cs="仿宋_GB2312"/>
          <w:sz w:val="31"/>
          <w:szCs w:val="31"/>
        </w:rPr>
        <w:t>该类奖学金用于奖励我校与企业合作，在境外设立的国际工匠学院的，通过选拔到我校留学的优秀国际学生。</w:t>
      </w:r>
    </w:p>
    <w:p>
      <w:pPr>
        <w:pageBreakBefore w:val="0"/>
        <w:kinsoku/>
        <w:overflowPunct/>
        <w:topLinePunct w:val="0"/>
        <w:autoSpaceDE/>
        <w:autoSpaceDN/>
        <w:bidi w:val="0"/>
        <w:spacing w:line="580" w:lineRule="exact"/>
        <w:ind w:firstLine="622" w:firstLineChars="200"/>
        <w:outlineLvl w:val="9"/>
        <w:rPr>
          <w:rFonts w:hint="eastAsia" w:ascii="仿宋_GB2312" w:eastAsia="仿宋_GB2312" w:cs="仿宋_GB2312"/>
          <w:b/>
          <w:sz w:val="31"/>
          <w:szCs w:val="31"/>
        </w:rPr>
      </w:pPr>
      <w:r>
        <w:rPr>
          <w:rFonts w:hint="eastAsia" w:ascii="仿宋_GB2312" w:eastAsia="仿宋_GB2312" w:cs="仿宋_GB2312"/>
          <w:b/>
          <w:sz w:val="31"/>
          <w:szCs w:val="31"/>
        </w:rPr>
        <w:t>1. 国际工匠学院国际学生奖学金标准</w:t>
      </w:r>
    </w:p>
    <w:p>
      <w:pPr>
        <w:pageBreakBefore w:val="0"/>
        <w:kinsoku/>
        <w:overflowPunct/>
        <w:topLinePunct w:val="0"/>
        <w:autoSpaceDE/>
        <w:autoSpaceDN/>
        <w:bidi w:val="0"/>
        <w:spacing w:line="580" w:lineRule="exact"/>
        <w:ind w:firstLine="620" w:firstLineChars="200"/>
        <w:outlineLvl w:val="9"/>
        <w:rPr>
          <w:rFonts w:hint="eastAsia" w:ascii="仿宋_GB2312" w:eastAsia="仿宋_GB2312" w:cs="仿宋_GB2312"/>
          <w:sz w:val="31"/>
          <w:szCs w:val="31"/>
        </w:rPr>
      </w:pPr>
      <w:r>
        <w:rPr>
          <w:rFonts w:hint="eastAsia" w:ascii="仿宋_GB2312" w:eastAsia="仿宋_GB2312" w:cs="仿宋_GB2312"/>
          <w:sz w:val="31"/>
          <w:szCs w:val="31"/>
        </w:rPr>
        <w:t>（1）国际工匠学院国际学生享受等同于全额学费、4-6人间住宿费全免标准的奖学金。</w:t>
      </w:r>
    </w:p>
    <w:p>
      <w:pPr>
        <w:pageBreakBefore w:val="0"/>
        <w:kinsoku/>
        <w:overflowPunct/>
        <w:topLinePunct w:val="0"/>
        <w:autoSpaceDE/>
        <w:autoSpaceDN/>
        <w:bidi w:val="0"/>
        <w:spacing w:line="580" w:lineRule="exact"/>
        <w:ind w:firstLine="620" w:firstLineChars="200"/>
        <w:outlineLvl w:val="9"/>
        <w:rPr>
          <w:rFonts w:hint="eastAsia" w:ascii="仿宋_GB2312" w:eastAsia="仿宋_GB2312" w:cs="仿宋_GB2312"/>
          <w:sz w:val="31"/>
          <w:szCs w:val="31"/>
        </w:rPr>
      </w:pPr>
      <w:r>
        <w:rPr>
          <w:rFonts w:hint="eastAsia" w:ascii="仿宋_GB2312" w:eastAsia="仿宋_GB2312" w:cs="仿宋_GB2312"/>
          <w:sz w:val="31"/>
          <w:szCs w:val="31"/>
        </w:rPr>
        <w:t>（2）成绩优秀的学生，另外给予每月400、600元奖学金。</w:t>
      </w:r>
    </w:p>
    <w:p>
      <w:pPr>
        <w:pageBreakBefore w:val="0"/>
        <w:kinsoku/>
        <w:overflowPunct/>
        <w:topLinePunct w:val="0"/>
        <w:autoSpaceDE/>
        <w:autoSpaceDN/>
        <w:bidi w:val="0"/>
        <w:spacing w:line="580" w:lineRule="exact"/>
        <w:ind w:firstLine="622" w:firstLineChars="200"/>
        <w:outlineLvl w:val="9"/>
        <w:rPr>
          <w:rFonts w:hint="eastAsia" w:ascii="仿宋_GB2312" w:eastAsia="仿宋_GB2312" w:cs="仿宋_GB2312"/>
          <w:b/>
          <w:sz w:val="31"/>
          <w:szCs w:val="31"/>
        </w:rPr>
      </w:pPr>
      <w:r>
        <w:rPr>
          <w:rFonts w:hint="eastAsia" w:ascii="仿宋_GB2312" w:eastAsia="仿宋_GB2312" w:cs="仿宋_GB2312"/>
          <w:b/>
          <w:sz w:val="31"/>
          <w:szCs w:val="31"/>
        </w:rPr>
        <w:t>2. 国际工匠学院国际学生奖学金评审条件</w:t>
      </w:r>
    </w:p>
    <w:p>
      <w:pPr>
        <w:pageBreakBefore w:val="0"/>
        <w:kinsoku/>
        <w:overflowPunct/>
        <w:topLinePunct w:val="0"/>
        <w:autoSpaceDE/>
        <w:autoSpaceDN/>
        <w:bidi w:val="0"/>
        <w:spacing w:line="580" w:lineRule="exact"/>
        <w:ind w:firstLine="620" w:firstLineChars="200"/>
        <w:outlineLvl w:val="9"/>
        <w:rPr>
          <w:rFonts w:hint="eastAsia" w:ascii="仿宋_GB2312" w:eastAsia="仿宋_GB2312" w:cs="仿宋_GB2312"/>
          <w:sz w:val="31"/>
          <w:szCs w:val="31"/>
        </w:rPr>
      </w:pPr>
      <w:r>
        <w:rPr>
          <w:rFonts w:hint="eastAsia" w:ascii="仿宋_GB2312" w:eastAsia="仿宋_GB2312" w:cs="仿宋_GB2312"/>
          <w:sz w:val="31"/>
          <w:szCs w:val="31"/>
        </w:rPr>
        <w:t>（1）国际学生应属于我校与企业合作，与海外院校或机构合作办学共建国际工匠学院项目下通过选拔，集体派出到我校学习的学生；</w:t>
      </w:r>
    </w:p>
    <w:p>
      <w:pPr>
        <w:pageBreakBefore w:val="0"/>
        <w:kinsoku/>
        <w:overflowPunct/>
        <w:topLinePunct w:val="0"/>
        <w:autoSpaceDE/>
        <w:autoSpaceDN/>
        <w:bidi w:val="0"/>
        <w:spacing w:line="580" w:lineRule="exact"/>
        <w:ind w:firstLine="620" w:firstLineChars="200"/>
        <w:outlineLvl w:val="9"/>
        <w:rPr>
          <w:rFonts w:hint="eastAsia" w:ascii="仿宋_GB2312" w:eastAsia="仿宋_GB2312" w:cs="仿宋_GB2312"/>
          <w:color w:val="000000"/>
          <w:sz w:val="31"/>
          <w:szCs w:val="31"/>
        </w:rPr>
      </w:pPr>
      <w:r>
        <w:rPr>
          <w:rFonts w:hint="eastAsia" w:ascii="仿宋_GB2312" w:eastAsia="仿宋_GB2312" w:cs="仿宋_GB2312"/>
          <w:sz w:val="31"/>
          <w:szCs w:val="31"/>
        </w:rPr>
        <w:t>（2）</w:t>
      </w:r>
      <w:bookmarkStart w:id="1778" w:name="_Toc16916_WPSOffice_Level1"/>
      <w:r>
        <w:rPr>
          <w:rFonts w:hint="eastAsia" w:ascii="仿宋_GB2312" w:eastAsia="仿宋_GB2312" w:cs="仿宋_GB2312"/>
          <w:color w:val="000000"/>
          <w:sz w:val="31"/>
          <w:szCs w:val="31"/>
        </w:rPr>
        <w:t>学习刻苦，态度端</w:t>
      </w:r>
      <w:bookmarkEnd w:id="1778"/>
      <w:r>
        <w:rPr>
          <w:rFonts w:hint="eastAsia" w:ascii="仿宋_GB2312" w:eastAsia="仿宋_GB2312" w:cs="仿宋_GB2312"/>
          <w:color w:val="000000"/>
          <w:sz w:val="31"/>
          <w:szCs w:val="31"/>
        </w:rPr>
        <w:t>正，遵守国籍地及中国政府的法律法规，遵守所属国家院校及</w:t>
      </w:r>
      <w:r>
        <w:rPr>
          <w:rFonts w:hint="eastAsia" w:ascii="仿宋_GB2312" w:eastAsia="仿宋_GB2312" w:cs="仿宋_GB2312"/>
          <w:sz w:val="31"/>
          <w:szCs w:val="31"/>
        </w:rPr>
        <w:t>柳州</w:t>
      </w:r>
      <w:r>
        <w:rPr>
          <w:rFonts w:hint="eastAsia" w:ascii="仿宋_GB2312" w:eastAsia="仿宋_GB2312" w:cs="仿宋_GB2312"/>
          <w:color w:val="000000"/>
          <w:sz w:val="31"/>
          <w:szCs w:val="31"/>
        </w:rPr>
        <w:t>职业技术学院的规章制度,</w:t>
      </w:r>
      <w:r>
        <w:t xml:space="preserve"> </w:t>
      </w:r>
      <w:r>
        <w:rPr>
          <w:rFonts w:hint="eastAsia" w:ascii="仿宋_GB2312" w:eastAsia="仿宋_GB2312" w:cs="仿宋_GB2312"/>
          <w:color w:val="000000"/>
          <w:sz w:val="31"/>
          <w:szCs w:val="31"/>
        </w:rPr>
        <w:t>学习成绩优秀，</w:t>
      </w:r>
      <w:r>
        <w:rPr>
          <w:rFonts w:ascii="仿宋_GB2312" w:eastAsia="仿宋_GB2312" w:cs="仿宋_GB2312"/>
          <w:color w:val="000000"/>
          <w:sz w:val="31"/>
          <w:szCs w:val="31"/>
        </w:rPr>
        <w:t>未受到学校通报批评、纪律处分</w:t>
      </w:r>
      <w:r>
        <w:rPr>
          <w:rFonts w:hint="eastAsia" w:ascii="仿宋_GB2312" w:eastAsia="仿宋_GB2312" w:cs="仿宋_GB2312"/>
          <w:color w:val="000000"/>
          <w:sz w:val="31"/>
          <w:szCs w:val="31"/>
        </w:rPr>
        <w:t>；</w:t>
      </w:r>
    </w:p>
    <w:p>
      <w:pPr>
        <w:pageBreakBefore w:val="0"/>
        <w:kinsoku/>
        <w:overflowPunct/>
        <w:topLinePunct w:val="0"/>
        <w:autoSpaceDE/>
        <w:autoSpaceDN/>
        <w:bidi w:val="0"/>
        <w:spacing w:line="580" w:lineRule="exact"/>
        <w:ind w:firstLine="620" w:firstLineChars="200"/>
        <w:outlineLvl w:val="9"/>
        <w:rPr>
          <w:rFonts w:hint="eastAsia" w:ascii="仿宋_GB2312" w:eastAsia="仿宋_GB2312" w:cs="仿宋_GB2312"/>
          <w:color w:val="000000"/>
          <w:sz w:val="31"/>
          <w:szCs w:val="31"/>
        </w:rPr>
      </w:pPr>
      <w:r>
        <w:rPr>
          <w:rFonts w:hint="eastAsia" w:ascii="仿宋_GB2312" w:eastAsia="仿宋_GB2312" w:cs="仿宋_GB2312"/>
          <w:color w:val="000000"/>
          <w:sz w:val="31"/>
          <w:szCs w:val="31"/>
        </w:rPr>
        <w:t>（3）在我校学习期间参加HSK汉语水平考试达到4级以上，学校每月另外给予600元奖学金，达到3级以上，每月另外给予400元奖学金。</w:t>
      </w:r>
    </w:p>
    <w:p>
      <w:pPr>
        <w:pageBreakBefore w:val="0"/>
        <w:kinsoku/>
        <w:overflowPunct/>
        <w:topLinePunct w:val="0"/>
        <w:autoSpaceDE/>
        <w:autoSpaceDN/>
        <w:bidi w:val="0"/>
        <w:spacing w:line="580" w:lineRule="exact"/>
        <w:ind w:firstLine="620" w:firstLineChars="200"/>
        <w:outlineLvl w:val="9"/>
        <w:rPr>
          <w:rFonts w:ascii="仿宋_GB2312" w:eastAsia="仿宋_GB2312" w:cs="仿宋_GB2312"/>
          <w:color w:val="000000"/>
          <w:sz w:val="31"/>
          <w:szCs w:val="31"/>
        </w:rPr>
      </w:pPr>
      <w:r>
        <w:rPr>
          <w:rFonts w:hint="eastAsia" w:ascii="仿宋_GB2312" w:eastAsia="仿宋_GB2312" w:cs="仿宋_GB2312"/>
          <w:color w:val="000000"/>
          <w:sz w:val="31"/>
          <w:szCs w:val="31"/>
        </w:rPr>
        <w:t>（4）国际工匠学院国际学生不再参加新生奖学金、优秀奖学金等其他评选。</w:t>
      </w:r>
    </w:p>
    <w:p>
      <w:pPr>
        <w:pageBreakBefore w:val="0"/>
        <w:kinsoku/>
        <w:overflowPunct/>
        <w:topLinePunct w:val="0"/>
        <w:autoSpaceDE/>
        <w:autoSpaceDN/>
        <w:bidi w:val="0"/>
        <w:spacing w:line="580" w:lineRule="exact"/>
        <w:ind w:firstLine="620" w:firstLineChars="200"/>
        <w:outlineLvl w:val="9"/>
        <w:rPr>
          <w:rFonts w:ascii="仿宋_GB2312" w:eastAsia="仿宋_GB2312" w:cs="仿宋_GB2312"/>
          <w:color w:val="000000"/>
          <w:sz w:val="31"/>
          <w:szCs w:val="31"/>
        </w:rPr>
      </w:pPr>
    </w:p>
    <w:p>
      <w:pPr>
        <w:pageBreakBefore w:val="0"/>
        <w:kinsoku/>
        <w:overflowPunct/>
        <w:topLinePunct w:val="0"/>
        <w:autoSpaceDE/>
        <w:autoSpaceDN/>
        <w:bidi w:val="0"/>
        <w:spacing w:line="580" w:lineRule="exact"/>
        <w:ind w:firstLine="2224" w:firstLineChars="695"/>
        <w:outlineLvl w:val="9"/>
        <w:rPr>
          <w:rFonts w:ascii="黑体" w:eastAsia="黑体"/>
          <w:color w:val="000000"/>
          <w:sz w:val="32"/>
          <w:szCs w:val="32"/>
          <w:highlight w:val="yellow"/>
        </w:rPr>
      </w:pPr>
      <w:bookmarkStart w:id="1779" w:name="_Toc12287_WPSOffice_Level1"/>
      <w:r>
        <w:rPr>
          <w:rFonts w:hint="eastAsia" w:ascii="黑体" w:eastAsia="黑体" w:cs="黑体"/>
          <w:color w:val="000000"/>
          <w:sz w:val="32"/>
          <w:szCs w:val="32"/>
        </w:rPr>
        <w:t>第三章  申请、评审及发放</w:t>
      </w:r>
      <w:bookmarkEnd w:id="1779"/>
    </w:p>
    <w:p>
      <w:pPr>
        <w:pageBreakBefore w:val="0"/>
        <w:kinsoku/>
        <w:overflowPunct/>
        <w:topLinePunct w:val="0"/>
        <w:autoSpaceDE/>
        <w:autoSpaceDN/>
        <w:bidi w:val="0"/>
        <w:spacing w:line="580" w:lineRule="exact"/>
        <w:ind w:firstLine="622" w:firstLineChars="200"/>
        <w:outlineLvl w:val="9"/>
        <w:rPr>
          <w:rFonts w:ascii="仿宋_GB2312" w:eastAsia="仿宋_GB2312"/>
          <w:color w:val="000000"/>
          <w:sz w:val="31"/>
          <w:szCs w:val="31"/>
        </w:rPr>
      </w:pPr>
      <w:r>
        <w:rPr>
          <w:rFonts w:hint="eastAsia" w:ascii="仿宋_GB2312" w:eastAsia="仿宋_GB2312" w:cs="仿宋_GB2312"/>
          <w:b/>
          <w:bCs/>
          <w:color w:val="000000"/>
          <w:sz w:val="31"/>
          <w:szCs w:val="31"/>
        </w:rPr>
        <w:t xml:space="preserve">第七条  </w:t>
      </w:r>
      <w:r>
        <w:rPr>
          <w:rFonts w:hint="eastAsia" w:ascii="仿宋_GB2312" w:eastAsia="仿宋_GB2312" w:cs="仿宋_GB2312"/>
          <w:color w:val="000000"/>
          <w:sz w:val="31"/>
          <w:szCs w:val="31"/>
        </w:rPr>
        <w:t>新生奖学金申请者须准备以下材料，并在开学一个月内提交（需要提供证书原件的由学</w:t>
      </w:r>
      <w:r>
        <w:rPr>
          <w:rFonts w:hint="eastAsia" w:ascii="仿宋_GB2312" w:eastAsia="仿宋_GB2312" w:cs="仿宋_GB2312"/>
          <w:sz w:val="31"/>
          <w:szCs w:val="31"/>
        </w:rPr>
        <w:t>校</w:t>
      </w:r>
      <w:r>
        <w:rPr>
          <w:rFonts w:hint="eastAsia" w:ascii="仿宋_GB2312" w:eastAsia="仿宋_GB2312" w:cs="仿宋_GB2312"/>
          <w:color w:val="000000"/>
          <w:sz w:val="31"/>
          <w:szCs w:val="31"/>
        </w:rPr>
        <w:t>国际交流</w:t>
      </w:r>
      <w:r>
        <w:rPr>
          <w:rFonts w:hint="eastAsia" w:ascii="仿宋_GB2312" w:eastAsia="仿宋_GB2312" w:cs="仿宋_GB2312"/>
          <w:sz w:val="31"/>
          <w:szCs w:val="31"/>
        </w:rPr>
        <w:t>处</w:t>
      </w:r>
      <w:r>
        <w:rPr>
          <w:rFonts w:hint="eastAsia" w:ascii="仿宋_GB2312" w:eastAsia="仿宋_GB2312" w:cs="仿宋_GB2312"/>
          <w:color w:val="000000"/>
          <w:sz w:val="31"/>
          <w:szCs w:val="31"/>
        </w:rPr>
        <w:t>负责老师审核原件后交还学生并在复印件上签名、加盖部门公章；非英文或中文证书须附该证书英文翻译件）。</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1</w:t>
      </w:r>
      <w:r>
        <w:rPr>
          <w:rFonts w:hint="eastAsia" w:eastAsia="仿宋_GB2312" w:cs="仿宋_GB2312"/>
          <w:color w:val="000000"/>
          <w:sz w:val="31"/>
          <w:szCs w:val="31"/>
        </w:rPr>
        <w:t>）</w:t>
      </w:r>
      <w:r>
        <w:rPr>
          <w:rFonts w:hint="eastAsia" w:ascii="仿宋_GB2312" w:eastAsia="仿宋_GB2312" w:cs="仿宋_GB2312"/>
          <w:color w:val="000000"/>
          <w:sz w:val="31"/>
          <w:szCs w:val="31"/>
        </w:rPr>
        <w:t>《</w:t>
      </w:r>
      <w:r>
        <w:rPr>
          <w:rFonts w:hint="eastAsia" w:ascii="仿宋_GB2312" w:eastAsia="仿宋_GB2312" w:cs="仿宋_GB2312"/>
          <w:sz w:val="31"/>
          <w:szCs w:val="31"/>
        </w:rPr>
        <w:t>柳州</w:t>
      </w:r>
      <w:r>
        <w:rPr>
          <w:rFonts w:hint="eastAsia" w:ascii="仿宋_GB2312" w:eastAsia="仿宋_GB2312" w:cs="仿宋_GB2312"/>
          <w:color w:val="000000"/>
          <w:sz w:val="31"/>
          <w:szCs w:val="31"/>
        </w:rPr>
        <w:t>职业技术学院国际学生新生奖学金申请表》，用中文或英文填写（</w:t>
      </w:r>
      <w:r>
        <w:rPr>
          <w:rFonts w:eastAsia="仿宋_GB2312"/>
          <w:color w:val="000000"/>
          <w:sz w:val="31"/>
          <w:szCs w:val="31"/>
        </w:rPr>
        <w:t>2</w:t>
      </w:r>
      <w:r>
        <w:rPr>
          <w:rFonts w:hint="eastAsia" w:ascii="仿宋_GB2312" w:eastAsia="仿宋_GB2312" w:cs="仿宋_GB2312"/>
          <w:color w:val="000000"/>
          <w:sz w:val="31"/>
          <w:szCs w:val="31"/>
        </w:rPr>
        <w:t>份）；</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2</w:t>
      </w:r>
      <w:r>
        <w:rPr>
          <w:rFonts w:hint="eastAsia" w:eastAsia="仿宋_GB2312" w:cs="仿宋_GB2312"/>
          <w:color w:val="000000"/>
          <w:sz w:val="31"/>
          <w:szCs w:val="31"/>
        </w:rPr>
        <w:t>）</w:t>
      </w:r>
      <w:r>
        <w:rPr>
          <w:rFonts w:hint="eastAsia" w:ascii="仿宋_GB2312" w:eastAsia="仿宋_GB2312" w:cs="仿宋_GB2312"/>
          <w:color w:val="000000"/>
          <w:sz w:val="31"/>
          <w:szCs w:val="31"/>
        </w:rPr>
        <w:t>经当地教育部门认证的高中毕业证书及会考成绩单、高中所有课程成绩单原件及复印件（</w:t>
      </w:r>
      <w:r>
        <w:rPr>
          <w:rFonts w:eastAsia="仿宋_GB2312"/>
          <w:color w:val="000000"/>
          <w:sz w:val="31"/>
          <w:szCs w:val="31"/>
        </w:rPr>
        <w:t>2</w:t>
      </w:r>
      <w:r>
        <w:rPr>
          <w:rFonts w:hint="eastAsia" w:ascii="仿宋_GB2312" w:eastAsia="仿宋_GB2312" w:cs="仿宋_GB2312"/>
          <w:color w:val="000000"/>
          <w:sz w:val="31"/>
          <w:szCs w:val="31"/>
        </w:rPr>
        <w:t>份）；</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3</w:t>
      </w:r>
      <w:r>
        <w:rPr>
          <w:rFonts w:hint="eastAsia" w:eastAsia="仿宋_GB2312" w:cs="仿宋_GB2312"/>
          <w:color w:val="000000"/>
          <w:sz w:val="31"/>
          <w:szCs w:val="31"/>
        </w:rPr>
        <w:t>）</w:t>
      </w:r>
      <w:r>
        <w:rPr>
          <w:rFonts w:eastAsia="仿宋_GB2312"/>
          <w:color w:val="000000"/>
          <w:sz w:val="31"/>
          <w:szCs w:val="31"/>
        </w:rPr>
        <w:t>HSK</w:t>
      </w:r>
      <w:r>
        <w:rPr>
          <w:rFonts w:hint="eastAsia" w:ascii="仿宋_GB2312" w:eastAsia="仿宋_GB2312" w:cs="仿宋_GB2312"/>
          <w:color w:val="000000"/>
          <w:sz w:val="31"/>
          <w:szCs w:val="31"/>
        </w:rPr>
        <w:t>等级证书及参加各类艺术、体育、文化交流活动或比赛获得的校级以上（含校级）奖项的证书原件及复印件</w:t>
      </w:r>
      <w:r>
        <w:rPr>
          <w:rFonts w:eastAsia="仿宋_GB2312"/>
          <w:color w:val="000000"/>
          <w:sz w:val="31"/>
          <w:szCs w:val="31"/>
        </w:rPr>
        <w:t>2</w:t>
      </w:r>
      <w:r>
        <w:rPr>
          <w:rFonts w:hint="eastAsia" w:ascii="仿宋_GB2312" w:eastAsia="仿宋_GB2312" w:cs="仿宋_GB2312"/>
          <w:color w:val="000000"/>
          <w:sz w:val="31"/>
          <w:szCs w:val="31"/>
        </w:rPr>
        <w:t>份（没有则不提供）；</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hint="eastAsia" w:eastAsia="仿宋_GB2312"/>
          <w:color w:val="000000"/>
          <w:sz w:val="31"/>
          <w:szCs w:val="31"/>
        </w:rPr>
        <w:t>4</w:t>
      </w:r>
      <w:r>
        <w:rPr>
          <w:rFonts w:hint="eastAsia" w:eastAsia="仿宋_GB2312" w:cs="仿宋_GB2312"/>
          <w:color w:val="000000"/>
          <w:sz w:val="31"/>
          <w:szCs w:val="31"/>
        </w:rPr>
        <w:t>）</w:t>
      </w:r>
      <w:r>
        <w:rPr>
          <w:rFonts w:hint="eastAsia" w:ascii="仿宋_GB2312" w:eastAsia="仿宋_GB2312" w:cs="仿宋_GB2312"/>
          <w:color w:val="000000"/>
          <w:sz w:val="31"/>
          <w:szCs w:val="31"/>
        </w:rPr>
        <w:t>申请人的护照复印件（</w:t>
      </w:r>
      <w:r>
        <w:rPr>
          <w:rFonts w:eastAsia="仿宋_GB2312"/>
          <w:color w:val="000000"/>
          <w:sz w:val="31"/>
          <w:szCs w:val="31"/>
        </w:rPr>
        <w:t>2</w:t>
      </w:r>
      <w:r>
        <w:rPr>
          <w:rFonts w:hint="eastAsia" w:ascii="仿宋_GB2312" w:eastAsia="仿宋_GB2312" w:cs="仿宋_GB2312"/>
          <w:color w:val="000000"/>
          <w:sz w:val="31"/>
          <w:szCs w:val="31"/>
        </w:rPr>
        <w:t>份）；</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hint="eastAsia" w:eastAsia="仿宋_GB2312"/>
          <w:color w:val="000000"/>
          <w:sz w:val="31"/>
          <w:szCs w:val="31"/>
        </w:rPr>
        <w:t>5</w:t>
      </w:r>
      <w:r>
        <w:rPr>
          <w:rFonts w:hint="eastAsia" w:eastAsia="仿宋_GB2312" w:cs="仿宋_GB2312"/>
          <w:color w:val="000000"/>
          <w:sz w:val="31"/>
          <w:szCs w:val="31"/>
        </w:rPr>
        <w:t>）</w:t>
      </w:r>
      <w:r>
        <w:rPr>
          <w:rFonts w:hint="eastAsia" w:ascii="仿宋_GB2312" w:eastAsia="仿宋_GB2312" w:cs="仿宋_GB2312"/>
          <w:color w:val="000000"/>
          <w:sz w:val="31"/>
          <w:szCs w:val="31"/>
        </w:rPr>
        <w:t>中国卫生检验检疫部门颁发的体检合格证明原件及复印件（</w:t>
      </w:r>
      <w:r>
        <w:rPr>
          <w:rFonts w:ascii="仿宋_GB2312" w:eastAsia="仿宋_GB2312" w:cs="仿宋_GB2312"/>
          <w:color w:val="000000"/>
          <w:sz w:val="31"/>
          <w:szCs w:val="31"/>
        </w:rPr>
        <w:t>2</w:t>
      </w:r>
      <w:r>
        <w:rPr>
          <w:rFonts w:hint="eastAsia" w:ascii="仿宋_GB2312" w:eastAsia="仿宋_GB2312" w:cs="仿宋_GB2312"/>
          <w:color w:val="000000"/>
          <w:sz w:val="31"/>
          <w:szCs w:val="31"/>
        </w:rPr>
        <w:t>份）；</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hint="eastAsia" w:eastAsia="仿宋_GB2312"/>
          <w:color w:val="000000"/>
          <w:sz w:val="31"/>
          <w:szCs w:val="31"/>
        </w:rPr>
        <w:t>6</w:t>
      </w:r>
      <w:r>
        <w:rPr>
          <w:rFonts w:hint="eastAsia" w:eastAsia="仿宋_GB2312" w:cs="仿宋_GB2312"/>
          <w:color w:val="000000"/>
          <w:sz w:val="31"/>
          <w:szCs w:val="31"/>
        </w:rPr>
        <w:t>）</w:t>
      </w:r>
      <w:r>
        <w:rPr>
          <w:rFonts w:hint="eastAsia" w:ascii="仿宋_GB2312" w:eastAsia="仿宋_GB2312" w:cs="仿宋_GB2312"/>
          <w:color w:val="000000"/>
          <w:sz w:val="31"/>
          <w:szCs w:val="31"/>
        </w:rPr>
        <w:t>申请人近期</w:t>
      </w:r>
      <w:r>
        <w:rPr>
          <w:rFonts w:eastAsia="仿宋_GB2312"/>
          <w:color w:val="000000"/>
          <w:sz w:val="31"/>
          <w:szCs w:val="31"/>
        </w:rPr>
        <w:t>2</w:t>
      </w:r>
      <w:r>
        <w:rPr>
          <w:rFonts w:hint="eastAsia" w:ascii="仿宋_GB2312" w:eastAsia="仿宋_GB2312" w:cs="仿宋_GB2312"/>
          <w:color w:val="000000"/>
          <w:sz w:val="31"/>
          <w:szCs w:val="31"/>
        </w:rPr>
        <w:t>寸免冠证件照片（</w:t>
      </w:r>
      <w:r>
        <w:rPr>
          <w:rFonts w:eastAsia="仿宋_GB2312"/>
          <w:color w:val="000000"/>
          <w:sz w:val="31"/>
          <w:szCs w:val="31"/>
        </w:rPr>
        <w:t>2</w:t>
      </w:r>
      <w:r>
        <w:rPr>
          <w:rFonts w:hint="eastAsia" w:ascii="仿宋_GB2312" w:eastAsia="仿宋_GB2312" w:cs="仿宋_GB2312"/>
          <w:color w:val="000000"/>
          <w:sz w:val="31"/>
          <w:szCs w:val="31"/>
        </w:rPr>
        <w:t>张）。</w:t>
      </w:r>
    </w:p>
    <w:p>
      <w:pPr>
        <w:pageBreakBefore w:val="0"/>
        <w:kinsoku/>
        <w:overflowPunct/>
        <w:topLinePunct w:val="0"/>
        <w:autoSpaceDE/>
        <w:autoSpaceDN/>
        <w:bidi w:val="0"/>
        <w:spacing w:line="580" w:lineRule="exact"/>
        <w:ind w:firstLine="622" w:firstLineChars="200"/>
        <w:outlineLvl w:val="9"/>
        <w:rPr>
          <w:rFonts w:ascii="仿宋_GB2312" w:eastAsia="仿宋_GB2312"/>
          <w:color w:val="000000"/>
          <w:sz w:val="31"/>
          <w:szCs w:val="31"/>
        </w:rPr>
      </w:pPr>
      <w:r>
        <w:rPr>
          <w:rFonts w:hint="eastAsia" w:ascii="仿宋_GB2312" w:eastAsia="仿宋_GB2312" w:cs="仿宋_GB2312"/>
          <w:b/>
          <w:bCs/>
          <w:color w:val="000000"/>
          <w:sz w:val="31"/>
          <w:szCs w:val="31"/>
        </w:rPr>
        <w:t xml:space="preserve">第八条  </w:t>
      </w:r>
      <w:r>
        <w:rPr>
          <w:rFonts w:hint="eastAsia" w:ascii="仿宋_GB2312" w:eastAsia="仿宋_GB2312" w:cs="仿宋_GB2312"/>
          <w:color w:val="000000"/>
          <w:sz w:val="31"/>
          <w:szCs w:val="31"/>
        </w:rPr>
        <w:t>优秀学生奖学金申请者须准备以下材料，并在每学年9月底提交（需要提供证书原件的由各</w:t>
      </w:r>
      <w:r>
        <w:rPr>
          <w:rFonts w:hint="eastAsia" w:ascii="仿宋_GB2312" w:eastAsia="仿宋_GB2312" w:cs="仿宋_GB2312"/>
          <w:sz w:val="31"/>
          <w:szCs w:val="31"/>
        </w:rPr>
        <w:t>二级学院</w:t>
      </w:r>
      <w:r>
        <w:rPr>
          <w:rFonts w:hint="eastAsia" w:ascii="仿宋_GB2312" w:eastAsia="仿宋_GB2312" w:cs="仿宋_GB2312"/>
          <w:color w:val="000000"/>
          <w:sz w:val="31"/>
          <w:szCs w:val="31"/>
        </w:rPr>
        <w:t>负责老师审核原件后交还学生并在复印件上签名、加盖</w:t>
      </w:r>
      <w:r>
        <w:rPr>
          <w:rFonts w:hint="eastAsia" w:ascii="仿宋_GB2312" w:eastAsia="仿宋_GB2312" w:cs="仿宋_GB2312"/>
          <w:sz w:val="31"/>
          <w:szCs w:val="31"/>
        </w:rPr>
        <w:t>二级学院</w:t>
      </w:r>
      <w:r>
        <w:rPr>
          <w:rFonts w:hint="eastAsia" w:ascii="仿宋_GB2312" w:eastAsia="仿宋_GB2312" w:cs="仿宋_GB2312"/>
          <w:color w:val="000000"/>
          <w:sz w:val="31"/>
          <w:szCs w:val="31"/>
        </w:rPr>
        <w:t>公章；英文证书须附该证书中文翻译件）。</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1</w:t>
      </w:r>
      <w:r>
        <w:rPr>
          <w:rFonts w:hint="eastAsia" w:eastAsia="仿宋_GB2312" w:cs="仿宋_GB2312"/>
          <w:color w:val="000000"/>
          <w:sz w:val="31"/>
          <w:szCs w:val="31"/>
        </w:rPr>
        <w:t>）</w:t>
      </w:r>
      <w:r>
        <w:rPr>
          <w:rFonts w:hint="eastAsia" w:ascii="仿宋_GB2312" w:eastAsia="仿宋_GB2312" w:cs="仿宋_GB2312"/>
          <w:color w:val="000000"/>
          <w:sz w:val="31"/>
          <w:szCs w:val="31"/>
        </w:rPr>
        <w:t>《</w:t>
      </w:r>
      <w:r>
        <w:rPr>
          <w:rFonts w:hint="eastAsia" w:ascii="仿宋_GB2312" w:eastAsia="仿宋_GB2312" w:cs="仿宋_GB2312"/>
          <w:sz w:val="31"/>
          <w:szCs w:val="31"/>
        </w:rPr>
        <w:t>柳州</w:t>
      </w:r>
      <w:r>
        <w:rPr>
          <w:rFonts w:hint="eastAsia" w:ascii="仿宋_GB2312" w:eastAsia="仿宋_GB2312" w:cs="仿宋_GB2312"/>
          <w:color w:val="000000"/>
          <w:sz w:val="31"/>
          <w:szCs w:val="31"/>
        </w:rPr>
        <w:t>职业技术学院国际学生优秀学生奖学金申请表》，用中文或英文填写（</w:t>
      </w:r>
      <w:r>
        <w:rPr>
          <w:rFonts w:eastAsia="仿宋_GB2312"/>
          <w:color w:val="000000"/>
          <w:sz w:val="31"/>
          <w:szCs w:val="31"/>
        </w:rPr>
        <w:t>2</w:t>
      </w:r>
      <w:r>
        <w:rPr>
          <w:rFonts w:hint="eastAsia" w:ascii="仿宋_GB2312" w:eastAsia="仿宋_GB2312" w:cs="仿宋_GB2312"/>
          <w:color w:val="000000"/>
          <w:sz w:val="31"/>
          <w:szCs w:val="31"/>
        </w:rPr>
        <w:t>份）；</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2</w:t>
      </w:r>
      <w:r>
        <w:rPr>
          <w:rFonts w:hint="eastAsia" w:eastAsia="仿宋_GB2312" w:cs="仿宋_GB2312"/>
          <w:color w:val="000000"/>
          <w:sz w:val="31"/>
          <w:szCs w:val="31"/>
        </w:rPr>
        <w:t>）</w:t>
      </w:r>
      <w:r>
        <w:rPr>
          <w:rFonts w:hint="eastAsia" w:ascii="仿宋_GB2312" w:eastAsia="仿宋_GB2312" w:cs="仿宋_GB2312"/>
          <w:sz w:val="31"/>
          <w:szCs w:val="31"/>
        </w:rPr>
        <w:t>二级学院</w:t>
      </w:r>
      <w:r>
        <w:rPr>
          <w:rFonts w:hint="eastAsia" w:ascii="仿宋_GB2312" w:eastAsia="仿宋_GB2312" w:cs="仿宋_GB2312"/>
          <w:color w:val="000000"/>
          <w:sz w:val="31"/>
          <w:szCs w:val="31"/>
        </w:rPr>
        <w:t>提供的该</w:t>
      </w:r>
      <w:r>
        <w:rPr>
          <w:rFonts w:hint="eastAsia" w:ascii="仿宋_GB2312" w:eastAsia="仿宋_GB2312" w:cs="仿宋_GB2312"/>
          <w:sz w:val="31"/>
          <w:szCs w:val="31"/>
        </w:rPr>
        <w:t>国际</w:t>
      </w:r>
      <w:r>
        <w:rPr>
          <w:rFonts w:hint="eastAsia" w:ascii="仿宋_GB2312" w:eastAsia="仿宋_GB2312" w:cs="仿宋_GB2312"/>
          <w:color w:val="000000"/>
          <w:sz w:val="31"/>
          <w:szCs w:val="31"/>
        </w:rPr>
        <w:t>学生学年成绩单原件及复印件（</w:t>
      </w:r>
      <w:r>
        <w:rPr>
          <w:rFonts w:eastAsia="仿宋_GB2312"/>
          <w:color w:val="000000"/>
          <w:sz w:val="31"/>
          <w:szCs w:val="31"/>
        </w:rPr>
        <w:t>1</w:t>
      </w:r>
      <w:r>
        <w:rPr>
          <w:rFonts w:hint="eastAsia" w:ascii="仿宋_GB2312" w:eastAsia="仿宋_GB2312" w:cs="仿宋_GB2312"/>
          <w:color w:val="000000"/>
          <w:sz w:val="31"/>
          <w:szCs w:val="31"/>
        </w:rPr>
        <w:t>份）；</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3</w:t>
      </w:r>
      <w:r>
        <w:rPr>
          <w:rFonts w:hint="eastAsia" w:eastAsia="仿宋_GB2312" w:cs="仿宋_GB2312"/>
          <w:color w:val="000000"/>
          <w:sz w:val="31"/>
          <w:szCs w:val="31"/>
        </w:rPr>
        <w:t>）</w:t>
      </w:r>
      <w:r>
        <w:rPr>
          <w:rFonts w:hint="eastAsia" w:ascii="仿宋_GB2312" w:eastAsia="仿宋_GB2312" w:cs="仿宋_GB2312"/>
          <w:color w:val="000000"/>
          <w:sz w:val="31"/>
          <w:szCs w:val="31"/>
        </w:rPr>
        <w:t>参加各类艺术、体育、文化交流活动或比赛，成绩显著获得校级以上（含校级）奖项的证书原件及复印件一份（没有则不提供）；</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4</w:t>
      </w:r>
      <w:r>
        <w:rPr>
          <w:rFonts w:hint="eastAsia" w:eastAsia="仿宋_GB2312" w:cs="仿宋_GB2312"/>
          <w:color w:val="000000"/>
          <w:sz w:val="31"/>
          <w:szCs w:val="31"/>
        </w:rPr>
        <w:t>）</w:t>
      </w:r>
      <w:r>
        <w:rPr>
          <w:rFonts w:hint="eastAsia" w:ascii="仿宋_GB2312" w:eastAsia="仿宋_GB2312" w:cs="仿宋_GB2312"/>
          <w:color w:val="000000"/>
          <w:sz w:val="31"/>
          <w:szCs w:val="31"/>
        </w:rPr>
        <w:t>申请人的护照复印件（</w:t>
      </w:r>
      <w:r>
        <w:rPr>
          <w:rFonts w:eastAsia="仿宋_GB2312"/>
          <w:color w:val="000000"/>
          <w:sz w:val="31"/>
          <w:szCs w:val="31"/>
        </w:rPr>
        <w:t>2</w:t>
      </w:r>
      <w:r>
        <w:rPr>
          <w:rFonts w:hint="eastAsia" w:ascii="仿宋_GB2312" w:eastAsia="仿宋_GB2312" w:cs="仿宋_GB2312"/>
          <w:color w:val="000000"/>
          <w:sz w:val="31"/>
          <w:szCs w:val="31"/>
        </w:rPr>
        <w:t>份）；</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5</w:t>
      </w:r>
      <w:r>
        <w:rPr>
          <w:rFonts w:hint="eastAsia" w:eastAsia="仿宋_GB2312" w:cs="仿宋_GB2312"/>
          <w:color w:val="000000"/>
          <w:sz w:val="31"/>
          <w:szCs w:val="31"/>
        </w:rPr>
        <w:t>）</w:t>
      </w:r>
      <w:r>
        <w:rPr>
          <w:rFonts w:hint="eastAsia" w:ascii="仿宋_GB2312" w:eastAsia="仿宋_GB2312" w:cs="仿宋_GB2312"/>
          <w:color w:val="000000"/>
          <w:sz w:val="31"/>
          <w:szCs w:val="31"/>
        </w:rPr>
        <w:t>申请人近期</w:t>
      </w:r>
      <w:r>
        <w:rPr>
          <w:rFonts w:eastAsia="仿宋_GB2312"/>
          <w:color w:val="000000"/>
          <w:sz w:val="31"/>
          <w:szCs w:val="31"/>
        </w:rPr>
        <w:t>2</w:t>
      </w:r>
      <w:r>
        <w:rPr>
          <w:rFonts w:hint="eastAsia" w:ascii="仿宋_GB2312" w:eastAsia="仿宋_GB2312" w:cs="仿宋_GB2312"/>
          <w:color w:val="000000"/>
          <w:sz w:val="31"/>
          <w:szCs w:val="31"/>
        </w:rPr>
        <w:t>寸免冠证件照片（</w:t>
      </w:r>
      <w:r>
        <w:rPr>
          <w:rFonts w:eastAsia="仿宋_GB2312"/>
          <w:color w:val="000000"/>
          <w:sz w:val="31"/>
          <w:szCs w:val="31"/>
        </w:rPr>
        <w:t>2</w:t>
      </w:r>
      <w:r>
        <w:rPr>
          <w:rFonts w:hint="eastAsia" w:ascii="仿宋_GB2312" w:eastAsia="仿宋_GB2312" w:cs="仿宋_GB2312"/>
          <w:color w:val="000000"/>
          <w:sz w:val="31"/>
          <w:szCs w:val="31"/>
        </w:rPr>
        <w:t>张）。</w:t>
      </w:r>
    </w:p>
    <w:p>
      <w:pPr>
        <w:pageBreakBefore w:val="0"/>
        <w:kinsoku/>
        <w:overflowPunct/>
        <w:topLinePunct w:val="0"/>
        <w:autoSpaceDE/>
        <w:autoSpaceDN/>
        <w:bidi w:val="0"/>
        <w:spacing w:line="580" w:lineRule="exact"/>
        <w:ind w:firstLine="560"/>
        <w:outlineLvl w:val="9"/>
        <w:rPr>
          <w:rFonts w:hint="eastAsia" w:ascii="仿宋_GB2312" w:eastAsia="仿宋_GB2312" w:cs="仿宋_GB2312"/>
          <w:color w:val="000000"/>
          <w:sz w:val="31"/>
          <w:szCs w:val="31"/>
        </w:rPr>
      </w:pPr>
      <w:r>
        <w:rPr>
          <w:rFonts w:hint="eastAsia" w:ascii="仿宋_GB2312" w:eastAsia="仿宋_GB2312" w:cs="仿宋_GB2312"/>
          <w:b/>
          <w:bCs/>
          <w:color w:val="000000"/>
          <w:sz w:val="31"/>
          <w:szCs w:val="31"/>
        </w:rPr>
        <w:t xml:space="preserve">第九条  </w:t>
      </w:r>
      <w:r>
        <w:rPr>
          <w:rFonts w:hint="eastAsia" w:ascii="仿宋_GB2312" w:eastAsia="仿宋_GB2312" w:cs="仿宋_GB2312"/>
          <w:color w:val="000000"/>
          <w:sz w:val="31"/>
          <w:szCs w:val="31"/>
        </w:rPr>
        <w:t>国际工匠学院国际学生奖学金申请由国际交流处协调合作办学院校统一提供。</w:t>
      </w:r>
    </w:p>
    <w:p>
      <w:pPr>
        <w:pageBreakBefore w:val="0"/>
        <w:kinsoku/>
        <w:overflowPunct/>
        <w:topLinePunct w:val="0"/>
        <w:autoSpaceDE/>
        <w:autoSpaceDN/>
        <w:bidi w:val="0"/>
        <w:spacing w:line="580" w:lineRule="exact"/>
        <w:ind w:firstLine="560"/>
        <w:outlineLvl w:val="9"/>
        <w:rPr>
          <w:rFonts w:hint="eastAsia" w:ascii="仿宋_GB2312" w:eastAsia="仿宋_GB2312" w:cs="仿宋_GB2312"/>
          <w:color w:val="000000"/>
          <w:sz w:val="31"/>
          <w:szCs w:val="31"/>
        </w:rPr>
      </w:pPr>
      <w:r>
        <w:rPr>
          <w:rFonts w:hint="eastAsia" w:ascii="仿宋_GB2312" w:eastAsia="仿宋_GB2312" w:cs="仿宋_GB2312"/>
          <w:color w:val="000000"/>
          <w:sz w:val="31"/>
          <w:szCs w:val="31"/>
        </w:rPr>
        <w:t>（1）海外合作办学院校提供学生花名册，加盖学校公章；</w:t>
      </w:r>
    </w:p>
    <w:p>
      <w:pPr>
        <w:pageBreakBefore w:val="0"/>
        <w:kinsoku/>
        <w:overflowPunct/>
        <w:topLinePunct w:val="0"/>
        <w:autoSpaceDE/>
        <w:autoSpaceDN/>
        <w:bidi w:val="0"/>
        <w:spacing w:line="580" w:lineRule="exact"/>
        <w:ind w:firstLine="560"/>
        <w:outlineLvl w:val="9"/>
        <w:rPr>
          <w:rFonts w:hint="eastAsia" w:ascii="仿宋_GB2312" w:eastAsia="仿宋_GB2312" w:cs="仿宋_GB2312"/>
          <w:color w:val="000000"/>
          <w:sz w:val="31"/>
          <w:szCs w:val="31"/>
        </w:rPr>
      </w:pPr>
      <w:r>
        <w:rPr>
          <w:rFonts w:hint="eastAsia" w:ascii="仿宋_GB2312" w:eastAsia="仿宋_GB2312" w:cs="仿宋_GB2312"/>
          <w:color w:val="000000"/>
          <w:sz w:val="31"/>
          <w:szCs w:val="31"/>
        </w:rPr>
        <w:t>（2）学生在合作办学院校学习期间成绩单及综合素质鉴定表原件或复印件（1份）；</w:t>
      </w:r>
    </w:p>
    <w:p>
      <w:pPr>
        <w:pageBreakBefore w:val="0"/>
        <w:kinsoku/>
        <w:overflowPunct/>
        <w:topLinePunct w:val="0"/>
        <w:autoSpaceDE/>
        <w:autoSpaceDN/>
        <w:bidi w:val="0"/>
        <w:spacing w:line="580" w:lineRule="exact"/>
        <w:ind w:firstLine="560"/>
        <w:outlineLvl w:val="9"/>
        <w:rPr>
          <w:rFonts w:hint="eastAsia" w:ascii="仿宋_GB2312" w:eastAsia="仿宋_GB2312" w:cs="仿宋_GB2312"/>
          <w:color w:val="000000"/>
          <w:sz w:val="31"/>
          <w:szCs w:val="31"/>
        </w:rPr>
      </w:pPr>
      <w:r>
        <w:rPr>
          <w:rFonts w:hint="eastAsia" w:ascii="仿宋_GB2312" w:eastAsia="仿宋_GB2312" w:cs="仿宋_GB2312"/>
          <w:color w:val="000000"/>
          <w:sz w:val="31"/>
          <w:szCs w:val="31"/>
        </w:rPr>
        <w:t>（3）学生的护照复印件（2份）；</w:t>
      </w:r>
    </w:p>
    <w:p>
      <w:pPr>
        <w:pageBreakBefore w:val="0"/>
        <w:kinsoku/>
        <w:overflowPunct/>
        <w:topLinePunct w:val="0"/>
        <w:autoSpaceDE/>
        <w:autoSpaceDN/>
        <w:bidi w:val="0"/>
        <w:spacing w:line="580" w:lineRule="exact"/>
        <w:ind w:firstLine="560"/>
        <w:outlineLvl w:val="9"/>
        <w:rPr>
          <w:rFonts w:hint="eastAsia" w:ascii="仿宋_GB2312" w:eastAsia="仿宋_GB2312" w:cs="仿宋_GB2312"/>
          <w:color w:val="000000"/>
          <w:sz w:val="31"/>
          <w:szCs w:val="31"/>
        </w:rPr>
      </w:pPr>
      <w:r>
        <w:rPr>
          <w:rFonts w:hint="eastAsia" w:ascii="仿宋_GB2312" w:eastAsia="仿宋_GB2312" w:cs="仿宋_GB2312"/>
          <w:color w:val="000000"/>
          <w:sz w:val="31"/>
          <w:szCs w:val="31"/>
        </w:rPr>
        <w:t>（4）学生近期2寸免冠证件照片（2张）；</w:t>
      </w:r>
    </w:p>
    <w:p>
      <w:pPr>
        <w:pageBreakBefore w:val="0"/>
        <w:kinsoku/>
        <w:overflowPunct/>
        <w:topLinePunct w:val="0"/>
        <w:autoSpaceDE/>
        <w:autoSpaceDN/>
        <w:bidi w:val="0"/>
        <w:spacing w:line="580" w:lineRule="exact"/>
        <w:ind w:firstLine="560"/>
        <w:outlineLvl w:val="9"/>
        <w:rPr>
          <w:rFonts w:ascii="仿宋_GB2312" w:eastAsia="仿宋_GB2312" w:cs="仿宋_GB2312"/>
          <w:color w:val="000000"/>
          <w:sz w:val="31"/>
          <w:szCs w:val="31"/>
        </w:rPr>
      </w:pPr>
      <w:r>
        <w:rPr>
          <w:rFonts w:hint="eastAsia" w:ascii="仿宋_GB2312" w:eastAsia="仿宋_GB2312" w:cs="仿宋_GB2312"/>
          <w:color w:val="000000"/>
          <w:sz w:val="31"/>
          <w:szCs w:val="31"/>
        </w:rPr>
        <w:t>（5）HSK考试合格证书复印件（2份）。</w:t>
      </w:r>
    </w:p>
    <w:p>
      <w:pPr>
        <w:pageBreakBefore w:val="0"/>
        <w:kinsoku/>
        <w:overflowPunct/>
        <w:topLinePunct w:val="0"/>
        <w:autoSpaceDE/>
        <w:autoSpaceDN/>
        <w:bidi w:val="0"/>
        <w:spacing w:line="580" w:lineRule="exact"/>
        <w:ind w:firstLine="560"/>
        <w:outlineLvl w:val="9"/>
        <w:rPr>
          <w:rFonts w:ascii="仿宋_GB2312" w:eastAsia="仿宋_GB2312" w:cs="仿宋_GB2312"/>
          <w:sz w:val="31"/>
          <w:szCs w:val="31"/>
        </w:rPr>
      </w:pPr>
      <w:r>
        <w:rPr>
          <w:rFonts w:hint="eastAsia" w:ascii="仿宋_GB2312" w:eastAsia="仿宋_GB2312" w:cs="仿宋_GB2312"/>
          <w:b/>
          <w:bCs/>
          <w:color w:val="000000"/>
          <w:sz w:val="31"/>
          <w:szCs w:val="31"/>
        </w:rPr>
        <w:t xml:space="preserve">第十条 </w:t>
      </w:r>
      <w:r>
        <w:rPr>
          <w:rFonts w:hint="eastAsia" w:ascii="仿宋_GB2312" w:eastAsia="仿宋_GB2312" w:cs="仿宋_GB2312"/>
          <w:color w:val="000000"/>
          <w:sz w:val="31"/>
          <w:szCs w:val="31"/>
        </w:rPr>
        <w:t>报到注册时，国际学生提出新生奖学金申请后，由国际交流处审核，</w:t>
      </w:r>
      <w:r>
        <w:rPr>
          <w:rFonts w:hint="eastAsia" w:eastAsia="仿宋_GB2312" w:cs="仿宋_GB2312"/>
          <w:color w:val="000000"/>
          <w:sz w:val="31"/>
          <w:szCs w:val="31"/>
        </w:rPr>
        <w:t>并确定初审名单，在院内公示5个工作日，</w:t>
      </w:r>
      <w:r>
        <w:rPr>
          <w:rFonts w:eastAsia="仿宋_GB2312" w:cs="仿宋_GB2312"/>
          <w:color w:val="000000"/>
          <w:sz w:val="31"/>
          <w:szCs w:val="31"/>
        </w:rPr>
        <w:t>公示无异议后，</w:t>
      </w:r>
      <w:r>
        <w:rPr>
          <w:rFonts w:hint="eastAsia" w:eastAsia="仿宋_GB2312" w:cs="仿宋_GB2312"/>
          <w:color w:val="000000"/>
          <w:sz w:val="31"/>
          <w:szCs w:val="31"/>
        </w:rPr>
        <w:t>由国际交流处</w:t>
      </w:r>
      <w:r>
        <w:rPr>
          <w:rFonts w:eastAsia="仿宋_GB2312" w:cs="仿宋_GB2312"/>
          <w:color w:val="000000"/>
          <w:sz w:val="31"/>
          <w:szCs w:val="31"/>
        </w:rPr>
        <w:t>汇总</w:t>
      </w:r>
      <w:r>
        <w:rPr>
          <w:rFonts w:hint="eastAsia" w:eastAsia="仿宋_GB2312" w:cs="仿宋_GB2312"/>
          <w:color w:val="000000"/>
          <w:sz w:val="31"/>
          <w:szCs w:val="31"/>
        </w:rPr>
        <w:t>，</w:t>
      </w:r>
      <w:bookmarkStart w:id="1780" w:name="OLE_LINK3"/>
      <w:r>
        <w:rPr>
          <w:rFonts w:ascii="仿宋_GB2312" w:eastAsia="仿宋_GB2312" w:cs="仿宋_GB2312"/>
          <w:sz w:val="31"/>
          <w:szCs w:val="31"/>
        </w:rPr>
        <w:t>提出当年获奖学生建议名单，报学校</w:t>
      </w:r>
      <w:r>
        <w:rPr>
          <w:rFonts w:hint="eastAsia" w:ascii="仿宋_GB2312" w:eastAsia="仿宋_GB2312" w:cs="仿宋_GB2312"/>
          <w:sz w:val="31"/>
          <w:szCs w:val="31"/>
        </w:rPr>
        <w:t>国际学生奖学金</w:t>
      </w:r>
      <w:r>
        <w:rPr>
          <w:rFonts w:hint="eastAsia" w:ascii="仿宋_GB2312" w:hAnsi="宋体" w:eastAsia="仿宋_GB2312" w:cs="仿宋_GB2312"/>
          <w:kern w:val="0"/>
          <w:sz w:val="31"/>
          <w:szCs w:val="31"/>
        </w:rPr>
        <w:t>评审工作领导小组</w:t>
      </w:r>
      <w:r>
        <w:rPr>
          <w:rFonts w:ascii="仿宋_GB2312" w:eastAsia="仿宋_GB2312" w:cs="仿宋_GB2312"/>
          <w:sz w:val="31"/>
          <w:szCs w:val="31"/>
        </w:rPr>
        <w:t>审批。</w:t>
      </w:r>
      <w:bookmarkEnd w:id="1780"/>
    </w:p>
    <w:p>
      <w:pPr>
        <w:pageBreakBefore w:val="0"/>
        <w:kinsoku/>
        <w:overflowPunct/>
        <w:topLinePunct w:val="0"/>
        <w:autoSpaceDE/>
        <w:autoSpaceDN/>
        <w:bidi w:val="0"/>
        <w:spacing w:line="580" w:lineRule="exact"/>
        <w:ind w:firstLine="560"/>
        <w:outlineLvl w:val="9"/>
        <w:rPr>
          <w:rFonts w:ascii="仿宋_GB2312" w:eastAsia="仿宋_GB2312" w:cs="仿宋_GB2312"/>
          <w:sz w:val="31"/>
          <w:szCs w:val="31"/>
        </w:rPr>
      </w:pPr>
      <w:r>
        <w:rPr>
          <w:rFonts w:hint="eastAsia" w:ascii="仿宋_GB2312" w:eastAsia="仿宋_GB2312" w:cs="仿宋_GB2312"/>
          <w:b/>
          <w:bCs/>
          <w:color w:val="000000"/>
          <w:sz w:val="31"/>
          <w:szCs w:val="31"/>
        </w:rPr>
        <w:t xml:space="preserve">第十一条  </w:t>
      </w:r>
      <w:r>
        <w:rPr>
          <w:rFonts w:hint="eastAsia" w:eastAsia="仿宋_GB2312" w:cs="仿宋_GB2312"/>
          <w:color w:val="000000"/>
          <w:sz w:val="31"/>
          <w:szCs w:val="31"/>
        </w:rPr>
        <w:t>在校国际学生在开学一个月内提出优秀学生奖学金申请后，由申请人所在二级学院对其上一学年各科成绩及在校其他表现进行初审，并确定初审名单，在院内公示5个工作日，</w:t>
      </w:r>
      <w:r>
        <w:rPr>
          <w:rFonts w:eastAsia="仿宋_GB2312" w:cs="仿宋_GB2312"/>
          <w:color w:val="000000"/>
          <w:sz w:val="31"/>
          <w:szCs w:val="31"/>
        </w:rPr>
        <w:t>公示无异议后，将初评的学生名单</w:t>
      </w:r>
      <w:r>
        <w:rPr>
          <w:rFonts w:hint="eastAsia" w:eastAsia="仿宋_GB2312" w:cs="仿宋_GB2312"/>
          <w:color w:val="000000"/>
          <w:sz w:val="31"/>
          <w:szCs w:val="31"/>
        </w:rPr>
        <w:t>报国际交流处</w:t>
      </w:r>
      <w:r>
        <w:rPr>
          <w:rFonts w:eastAsia="仿宋_GB2312" w:cs="仿宋_GB2312"/>
          <w:color w:val="000000"/>
          <w:sz w:val="31"/>
          <w:szCs w:val="31"/>
        </w:rPr>
        <w:t>汇总、审核</w:t>
      </w:r>
      <w:r>
        <w:rPr>
          <w:rFonts w:hint="eastAsia" w:eastAsia="仿宋_GB2312" w:cs="仿宋_GB2312"/>
          <w:color w:val="000000"/>
          <w:sz w:val="31"/>
          <w:szCs w:val="31"/>
        </w:rPr>
        <w:t>，</w:t>
      </w:r>
      <w:r>
        <w:rPr>
          <w:rFonts w:ascii="仿宋_GB2312" w:eastAsia="仿宋_GB2312" w:cs="仿宋_GB2312"/>
          <w:sz w:val="31"/>
          <w:szCs w:val="31"/>
        </w:rPr>
        <w:t>提出当年获奖学生建议名单，报学校</w:t>
      </w:r>
      <w:r>
        <w:rPr>
          <w:rFonts w:hint="eastAsia" w:ascii="仿宋_GB2312" w:eastAsia="仿宋_GB2312" w:cs="仿宋_GB2312"/>
          <w:sz w:val="31"/>
          <w:szCs w:val="31"/>
        </w:rPr>
        <w:t>国际学生奖学金</w:t>
      </w:r>
      <w:r>
        <w:rPr>
          <w:rFonts w:hint="eastAsia" w:ascii="仿宋_GB2312" w:hAnsi="宋体" w:eastAsia="仿宋_GB2312" w:cs="仿宋_GB2312"/>
          <w:kern w:val="0"/>
          <w:sz w:val="31"/>
          <w:szCs w:val="31"/>
        </w:rPr>
        <w:t>评审工作领导小组</w:t>
      </w:r>
      <w:r>
        <w:rPr>
          <w:rFonts w:ascii="仿宋_GB2312" w:eastAsia="仿宋_GB2312" w:cs="仿宋_GB2312"/>
          <w:sz w:val="31"/>
          <w:szCs w:val="31"/>
        </w:rPr>
        <w:t>审批。</w:t>
      </w:r>
    </w:p>
    <w:p>
      <w:pPr>
        <w:pageBreakBefore w:val="0"/>
        <w:kinsoku/>
        <w:overflowPunct/>
        <w:topLinePunct w:val="0"/>
        <w:autoSpaceDE/>
        <w:autoSpaceDN/>
        <w:bidi w:val="0"/>
        <w:spacing w:line="580" w:lineRule="exact"/>
        <w:ind w:firstLine="560"/>
        <w:outlineLvl w:val="9"/>
        <w:rPr>
          <w:rFonts w:ascii="仿宋_GB2312" w:eastAsia="仿宋_GB2312" w:cs="仿宋_GB2312"/>
          <w:sz w:val="31"/>
          <w:szCs w:val="31"/>
        </w:rPr>
      </w:pPr>
      <w:r>
        <w:rPr>
          <w:rFonts w:hint="eastAsia" w:ascii="仿宋_GB2312" w:hAnsi="宋体" w:eastAsia="仿宋_GB2312" w:cs="仿宋_GB2312"/>
          <w:b/>
          <w:bCs/>
          <w:color w:val="000000"/>
          <w:kern w:val="0"/>
          <w:sz w:val="31"/>
          <w:szCs w:val="31"/>
        </w:rPr>
        <w:t>第十二条</w:t>
      </w:r>
      <w:r>
        <w:rPr>
          <w:rFonts w:hint="eastAsia" w:ascii="仿宋_GB2312" w:eastAsia="仿宋_GB2312" w:cs="仿宋_GB2312"/>
          <w:sz w:val="31"/>
          <w:szCs w:val="31"/>
        </w:rPr>
        <w:t xml:space="preserve">  国际工匠学院国际学生在来华前，由合作院校提交名单及相关材料，经国际交流处审核后</w:t>
      </w:r>
      <w:r>
        <w:rPr>
          <w:rFonts w:ascii="仿宋_GB2312" w:eastAsia="仿宋_GB2312" w:cs="仿宋_GB2312"/>
          <w:sz w:val="31"/>
          <w:szCs w:val="31"/>
        </w:rPr>
        <w:t>提出</w:t>
      </w:r>
      <w:r>
        <w:rPr>
          <w:rFonts w:hint="eastAsia" w:ascii="仿宋_GB2312" w:eastAsia="仿宋_GB2312" w:cs="仿宋_GB2312"/>
          <w:sz w:val="31"/>
          <w:szCs w:val="31"/>
        </w:rPr>
        <w:t>奖学金建议方案及名单</w:t>
      </w:r>
      <w:r>
        <w:rPr>
          <w:rFonts w:ascii="仿宋_GB2312" w:eastAsia="仿宋_GB2312" w:cs="仿宋_GB2312"/>
          <w:sz w:val="31"/>
          <w:szCs w:val="31"/>
        </w:rPr>
        <w:t>，报学校</w:t>
      </w:r>
      <w:r>
        <w:rPr>
          <w:rFonts w:hint="eastAsia" w:ascii="仿宋_GB2312" w:eastAsia="仿宋_GB2312" w:cs="仿宋_GB2312"/>
          <w:sz w:val="31"/>
          <w:szCs w:val="31"/>
        </w:rPr>
        <w:t>国际学生奖学金</w:t>
      </w:r>
      <w:r>
        <w:rPr>
          <w:rFonts w:hint="eastAsia" w:ascii="仿宋_GB2312" w:hAnsi="宋体" w:eastAsia="仿宋_GB2312" w:cs="仿宋_GB2312"/>
          <w:kern w:val="0"/>
          <w:sz w:val="31"/>
          <w:szCs w:val="31"/>
        </w:rPr>
        <w:t>评审工作领导小组</w:t>
      </w:r>
      <w:r>
        <w:rPr>
          <w:rFonts w:ascii="仿宋_GB2312" w:eastAsia="仿宋_GB2312" w:cs="仿宋_GB2312"/>
          <w:sz w:val="31"/>
          <w:szCs w:val="31"/>
        </w:rPr>
        <w:t>审批。</w:t>
      </w:r>
    </w:p>
    <w:p>
      <w:pPr>
        <w:pageBreakBefore w:val="0"/>
        <w:kinsoku/>
        <w:overflowPunct/>
        <w:topLinePunct w:val="0"/>
        <w:autoSpaceDE/>
        <w:autoSpaceDN/>
        <w:bidi w:val="0"/>
        <w:spacing w:line="580" w:lineRule="exact"/>
        <w:ind w:firstLine="622" w:firstLineChars="200"/>
        <w:outlineLvl w:val="9"/>
        <w:rPr>
          <w:rFonts w:ascii="仿宋_GB2312" w:eastAsia="仿宋_GB2312"/>
          <w:color w:val="000000"/>
          <w:sz w:val="31"/>
          <w:szCs w:val="31"/>
        </w:rPr>
      </w:pPr>
      <w:r>
        <w:rPr>
          <w:rFonts w:hint="eastAsia" w:ascii="仿宋_GB2312" w:hAnsi="宋体" w:eastAsia="仿宋_GB2312" w:cs="仿宋_GB2312"/>
          <w:b/>
          <w:bCs/>
          <w:color w:val="000000"/>
          <w:kern w:val="0"/>
          <w:sz w:val="31"/>
          <w:szCs w:val="31"/>
        </w:rPr>
        <w:t xml:space="preserve">第十三条  </w:t>
      </w:r>
      <w:r>
        <w:rPr>
          <w:rFonts w:hint="eastAsia" w:ascii="仿宋_GB2312" w:eastAsia="仿宋_GB2312" w:cs="仿宋_GB2312"/>
          <w:color w:val="000000"/>
          <w:sz w:val="31"/>
          <w:szCs w:val="31"/>
        </w:rPr>
        <w:t>评审体现公开、公平、公正原则，评审结果在</w:t>
      </w:r>
      <w:r>
        <w:rPr>
          <w:rFonts w:ascii="仿宋_GB2312" w:eastAsia="仿宋_GB2312" w:cs="仿宋_GB2312"/>
          <w:sz w:val="31"/>
          <w:szCs w:val="31"/>
        </w:rPr>
        <w:t>全校范围</w:t>
      </w:r>
      <w:r>
        <w:rPr>
          <w:rFonts w:hint="eastAsia" w:ascii="仿宋_GB2312" w:eastAsia="仿宋_GB2312" w:cs="仿宋_GB2312"/>
          <w:color w:val="000000"/>
          <w:sz w:val="31"/>
          <w:szCs w:val="31"/>
        </w:rPr>
        <w:t>内公示</w:t>
      </w:r>
      <w:r>
        <w:rPr>
          <w:rFonts w:eastAsia="仿宋_GB2312"/>
          <w:color w:val="000000"/>
          <w:sz w:val="31"/>
          <w:szCs w:val="31"/>
        </w:rPr>
        <w:t>5</w:t>
      </w:r>
      <w:r>
        <w:rPr>
          <w:rFonts w:hint="eastAsia" w:ascii="仿宋_GB2312" w:eastAsia="仿宋_GB2312" w:cs="仿宋_GB2312"/>
          <w:color w:val="000000"/>
          <w:sz w:val="31"/>
          <w:szCs w:val="31"/>
        </w:rPr>
        <w:t>个工作日。</w:t>
      </w:r>
    </w:p>
    <w:p>
      <w:pPr>
        <w:pageBreakBefore w:val="0"/>
        <w:kinsoku/>
        <w:overflowPunct/>
        <w:topLinePunct w:val="0"/>
        <w:autoSpaceDE/>
        <w:autoSpaceDN/>
        <w:bidi w:val="0"/>
        <w:spacing w:line="580" w:lineRule="exact"/>
        <w:ind w:firstLine="622" w:firstLineChars="200"/>
        <w:outlineLvl w:val="9"/>
        <w:rPr>
          <w:rFonts w:hint="eastAsia" w:ascii="仿宋_GB2312" w:eastAsia="仿宋_GB2312" w:cs="仿宋_GB2312"/>
          <w:color w:val="000000"/>
          <w:sz w:val="31"/>
          <w:szCs w:val="31"/>
        </w:rPr>
      </w:pPr>
      <w:r>
        <w:rPr>
          <w:rFonts w:hint="eastAsia" w:ascii="仿宋_GB2312" w:eastAsia="仿宋_GB2312" w:cs="仿宋_GB2312"/>
          <w:b/>
          <w:bCs/>
          <w:color w:val="000000"/>
          <w:sz w:val="31"/>
          <w:szCs w:val="31"/>
        </w:rPr>
        <w:t>第十四条</w:t>
      </w:r>
      <w:r>
        <w:rPr>
          <w:rFonts w:hint="eastAsia" w:ascii="仿宋_GB2312" w:eastAsia="仿宋_GB2312" w:cs="仿宋_GB2312"/>
          <w:color w:val="000000"/>
          <w:sz w:val="31"/>
          <w:szCs w:val="31"/>
        </w:rPr>
        <w:t>　国际学生奖学金在国际学生缴清学杂费的前提下发放。国际工匠学院优秀学生奖学金在学生提交HSK考试相关材料后按月发放。</w:t>
      </w:r>
    </w:p>
    <w:p>
      <w:pPr>
        <w:pageBreakBefore w:val="0"/>
        <w:kinsoku/>
        <w:overflowPunct/>
        <w:topLinePunct w:val="0"/>
        <w:autoSpaceDE/>
        <w:autoSpaceDN/>
        <w:bidi w:val="0"/>
        <w:spacing w:line="580" w:lineRule="exact"/>
        <w:ind w:firstLine="620" w:firstLineChars="200"/>
        <w:outlineLvl w:val="9"/>
        <w:rPr>
          <w:rFonts w:ascii="仿宋_GB2312" w:eastAsia="仿宋_GB2312"/>
          <w:color w:val="000000"/>
          <w:sz w:val="31"/>
          <w:szCs w:val="31"/>
        </w:rPr>
      </w:pPr>
    </w:p>
    <w:p>
      <w:pPr>
        <w:pageBreakBefore w:val="0"/>
        <w:widowControl/>
        <w:shd w:val="clear" w:color="auto" w:fill="FFFFFF"/>
        <w:kinsoku/>
        <w:overflowPunct/>
        <w:topLinePunct w:val="0"/>
        <w:autoSpaceDE/>
        <w:autoSpaceDN/>
        <w:bidi w:val="0"/>
        <w:spacing w:line="580" w:lineRule="exact"/>
        <w:ind w:firstLine="2891" w:firstLineChars="900"/>
        <w:jc w:val="left"/>
        <w:outlineLvl w:val="9"/>
        <w:rPr>
          <w:rFonts w:ascii="黑体" w:eastAsia="黑体"/>
          <w:b/>
          <w:color w:val="000000"/>
          <w:kern w:val="0"/>
          <w:sz w:val="32"/>
          <w:szCs w:val="32"/>
        </w:rPr>
      </w:pPr>
      <w:bookmarkStart w:id="1781" w:name="_Toc29601_WPSOffice_Level1"/>
      <w:r>
        <w:rPr>
          <w:rFonts w:hint="eastAsia" w:ascii="黑体" w:hAnsi="宋体" w:eastAsia="黑体" w:cs="黑体"/>
          <w:b/>
          <w:color w:val="000000"/>
          <w:kern w:val="0"/>
          <w:sz w:val="32"/>
          <w:szCs w:val="32"/>
        </w:rPr>
        <w:t>第四章  奖学金评审机构</w:t>
      </w:r>
      <w:bookmarkEnd w:id="1781"/>
    </w:p>
    <w:p>
      <w:pPr>
        <w:pageBreakBefore w:val="0"/>
        <w:widowControl/>
        <w:shd w:val="clear" w:color="auto" w:fill="FFFFFF"/>
        <w:kinsoku/>
        <w:overflowPunct/>
        <w:topLinePunct w:val="0"/>
        <w:autoSpaceDE/>
        <w:autoSpaceDN/>
        <w:bidi w:val="0"/>
        <w:spacing w:line="580" w:lineRule="exact"/>
        <w:ind w:firstLine="560"/>
        <w:jc w:val="left"/>
        <w:outlineLvl w:val="9"/>
        <w:rPr>
          <w:rFonts w:ascii="仿宋_GB2312" w:eastAsia="仿宋_GB2312"/>
          <w:color w:val="000000"/>
          <w:kern w:val="0"/>
          <w:sz w:val="31"/>
          <w:szCs w:val="31"/>
        </w:rPr>
      </w:pPr>
      <w:r>
        <w:rPr>
          <w:rFonts w:hint="eastAsia" w:ascii="仿宋_GB2312" w:hAnsi="宋体" w:eastAsia="仿宋_GB2312" w:cs="仿宋_GB2312"/>
          <w:b/>
          <w:bCs/>
          <w:color w:val="000000"/>
          <w:kern w:val="0"/>
          <w:sz w:val="31"/>
          <w:szCs w:val="31"/>
        </w:rPr>
        <w:t>第十五条</w:t>
      </w:r>
      <w:r>
        <w:rPr>
          <w:rFonts w:eastAsia="仿宋_GB2312"/>
          <w:color w:val="000000"/>
          <w:kern w:val="0"/>
          <w:sz w:val="31"/>
          <w:szCs w:val="31"/>
        </w:rPr>
        <w:t> </w:t>
      </w:r>
      <w:r>
        <w:rPr>
          <w:rFonts w:hint="eastAsia" w:eastAsia="仿宋_GB2312"/>
          <w:color w:val="000000"/>
          <w:kern w:val="0"/>
          <w:sz w:val="31"/>
          <w:szCs w:val="31"/>
        </w:rPr>
        <w:t xml:space="preserve">  </w:t>
      </w:r>
      <w:r>
        <w:rPr>
          <w:rFonts w:hint="eastAsia" w:ascii="仿宋_GB2312" w:hAnsi="宋体" w:eastAsia="仿宋_GB2312" w:cs="仿宋_GB2312"/>
          <w:color w:val="000000"/>
          <w:kern w:val="0"/>
          <w:sz w:val="31"/>
          <w:szCs w:val="31"/>
        </w:rPr>
        <w:t>奖学金的评审由</w:t>
      </w:r>
      <w:r>
        <w:rPr>
          <w:rFonts w:hint="eastAsia" w:ascii="仿宋_GB2312" w:hAnsi="宋体" w:eastAsia="仿宋_GB2312" w:cs="仿宋_GB2312"/>
          <w:kern w:val="0"/>
          <w:sz w:val="31"/>
          <w:szCs w:val="31"/>
        </w:rPr>
        <w:t>柳州职业技术学院国际学生奖学金评审工作领导小组</w:t>
      </w:r>
      <w:r>
        <w:rPr>
          <w:rFonts w:hint="eastAsia" w:ascii="仿宋_GB2312" w:hAnsi="宋体" w:eastAsia="仿宋_GB2312" w:cs="仿宋_GB2312"/>
          <w:color w:val="000000"/>
          <w:kern w:val="0"/>
          <w:sz w:val="31"/>
          <w:szCs w:val="31"/>
        </w:rPr>
        <w:t>负责。</w:t>
      </w:r>
    </w:p>
    <w:p>
      <w:pPr>
        <w:pageBreakBefore w:val="0"/>
        <w:kinsoku/>
        <w:overflowPunct/>
        <w:topLinePunct w:val="0"/>
        <w:autoSpaceDE/>
        <w:autoSpaceDN/>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（一）评审工作领导小组组成</w:t>
      </w:r>
    </w:p>
    <w:p>
      <w:pPr>
        <w:pageBreakBefore w:val="0"/>
        <w:widowControl/>
        <w:shd w:val="clear" w:color="auto" w:fill="FFFFFF"/>
        <w:kinsoku/>
        <w:overflowPunct/>
        <w:topLinePunct w:val="0"/>
        <w:autoSpaceDE/>
        <w:autoSpaceDN/>
        <w:bidi w:val="0"/>
        <w:spacing w:line="580" w:lineRule="exact"/>
        <w:ind w:firstLine="560"/>
        <w:jc w:val="left"/>
        <w:outlineLvl w:val="9"/>
        <w:rPr>
          <w:rFonts w:ascii="仿宋_GB2312" w:eastAsia="仿宋_GB2312"/>
          <w:color w:val="000000"/>
          <w:kern w:val="0"/>
          <w:sz w:val="31"/>
          <w:szCs w:val="31"/>
        </w:rPr>
      </w:pPr>
      <w:r>
        <w:rPr>
          <w:rFonts w:hint="eastAsia" w:ascii="仿宋_GB2312" w:hAnsi="宋体" w:eastAsia="仿宋_GB2312" w:cs="仿宋_GB2312"/>
          <w:kern w:val="0"/>
          <w:sz w:val="31"/>
          <w:szCs w:val="31"/>
        </w:rPr>
        <w:t>评审工作领导小组组长</w:t>
      </w:r>
      <w:r>
        <w:rPr>
          <w:rFonts w:hint="eastAsia" w:ascii="仿宋_GB2312" w:hAnsi="宋体" w:eastAsia="仿宋_GB2312" w:cs="仿宋_GB2312"/>
          <w:color w:val="000000"/>
          <w:kern w:val="0"/>
          <w:sz w:val="31"/>
          <w:szCs w:val="31"/>
        </w:rPr>
        <w:t>由</w:t>
      </w:r>
      <w:r>
        <w:rPr>
          <w:rFonts w:hint="eastAsia" w:ascii="仿宋_GB2312" w:hAnsi="宋体" w:eastAsia="仿宋_GB2312" w:cs="仿宋_GB2312"/>
          <w:kern w:val="0"/>
          <w:sz w:val="31"/>
          <w:szCs w:val="31"/>
        </w:rPr>
        <w:t>校</w:t>
      </w:r>
      <w:r>
        <w:rPr>
          <w:rFonts w:hint="eastAsia" w:ascii="仿宋_GB2312" w:hAnsi="宋体" w:eastAsia="仿宋_GB2312" w:cs="仿宋_GB2312"/>
          <w:color w:val="000000"/>
          <w:kern w:val="0"/>
          <w:sz w:val="31"/>
          <w:szCs w:val="31"/>
        </w:rPr>
        <w:t>长担任。</w:t>
      </w:r>
    </w:p>
    <w:p>
      <w:pPr>
        <w:pageBreakBefore w:val="0"/>
        <w:widowControl/>
        <w:shd w:val="clear" w:color="auto" w:fill="FFFFFF"/>
        <w:kinsoku/>
        <w:overflowPunct/>
        <w:topLinePunct w:val="0"/>
        <w:autoSpaceDE/>
        <w:autoSpaceDN/>
        <w:bidi w:val="0"/>
        <w:spacing w:line="580" w:lineRule="exact"/>
        <w:ind w:firstLine="560"/>
        <w:jc w:val="left"/>
        <w:outlineLvl w:val="9"/>
        <w:rPr>
          <w:rFonts w:ascii="仿宋_GB2312" w:eastAsia="仿宋_GB2312"/>
          <w:color w:val="000000"/>
          <w:kern w:val="0"/>
          <w:sz w:val="31"/>
          <w:szCs w:val="31"/>
        </w:rPr>
      </w:pPr>
      <w:r>
        <w:rPr>
          <w:rFonts w:hint="eastAsia" w:ascii="仿宋_GB2312" w:hAnsi="宋体" w:eastAsia="仿宋_GB2312" w:cs="仿宋_GB2312"/>
          <w:kern w:val="0"/>
          <w:sz w:val="31"/>
          <w:szCs w:val="31"/>
        </w:rPr>
        <w:t>评审工作领导小组</w:t>
      </w:r>
      <w:r>
        <w:rPr>
          <w:rFonts w:hint="eastAsia" w:ascii="仿宋_GB2312" w:hAnsi="宋体" w:eastAsia="仿宋_GB2312" w:cs="仿宋_GB2312"/>
          <w:color w:val="000000"/>
          <w:kern w:val="0"/>
          <w:sz w:val="31"/>
          <w:szCs w:val="31"/>
        </w:rPr>
        <w:t>副组长由主管学生、国际交流工作的</w:t>
      </w:r>
      <w:r>
        <w:rPr>
          <w:rFonts w:hint="eastAsia" w:ascii="仿宋_GB2312" w:hAnsi="宋体" w:eastAsia="仿宋_GB2312" w:cs="仿宋_GB2312"/>
          <w:kern w:val="0"/>
          <w:sz w:val="31"/>
          <w:szCs w:val="31"/>
        </w:rPr>
        <w:t>校</w:t>
      </w:r>
      <w:r>
        <w:rPr>
          <w:rFonts w:hint="eastAsia" w:ascii="仿宋_GB2312" w:hAnsi="宋体" w:eastAsia="仿宋_GB2312" w:cs="仿宋_GB2312"/>
          <w:color w:val="000000"/>
          <w:kern w:val="0"/>
          <w:sz w:val="31"/>
          <w:szCs w:val="31"/>
        </w:rPr>
        <w:t>领导担任。</w:t>
      </w:r>
    </w:p>
    <w:p>
      <w:pPr>
        <w:pageBreakBefore w:val="0"/>
        <w:widowControl/>
        <w:shd w:val="clear" w:color="auto" w:fill="FFFFFF"/>
        <w:kinsoku/>
        <w:overflowPunct/>
        <w:topLinePunct w:val="0"/>
        <w:autoSpaceDE/>
        <w:autoSpaceDN/>
        <w:bidi w:val="0"/>
        <w:spacing w:line="580" w:lineRule="exact"/>
        <w:ind w:firstLine="560"/>
        <w:jc w:val="left"/>
        <w:outlineLvl w:val="9"/>
        <w:rPr>
          <w:rFonts w:ascii="仿宋_GB2312" w:eastAsia="仿宋_GB2312"/>
          <w:color w:val="000000"/>
          <w:kern w:val="0"/>
          <w:sz w:val="31"/>
          <w:szCs w:val="31"/>
        </w:rPr>
      </w:pPr>
      <w:r>
        <w:rPr>
          <w:rFonts w:hint="eastAsia" w:ascii="仿宋_GB2312" w:hAnsi="宋体" w:eastAsia="仿宋_GB2312" w:cs="仿宋_GB2312"/>
          <w:kern w:val="0"/>
          <w:sz w:val="31"/>
          <w:szCs w:val="31"/>
        </w:rPr>
        <w:t>评审工作领导小组</w:t>
      </w:r>
      <w:r>
        <w:rPr>
          <w:rFonts w:hint="eastAsia" w:ascii="仿宋_GB2312" w:hAnsi="宋体" w:eastAsia="仿宋_GB2312" w:cs="仿宋_GB2312"/>
          <w:color w:val="000000"/>
          <w:kern w:val="0"/>
          <w:sz w:val="31"/>
          <w:szCs w:val="31"/>
        </w:rPr>
        <w:t>成员包括：</w:t>
      </w:r>
      <w:r>
        <w:rPr>
          <w:rFonts w:hint="eastAsia" w:ascii="仿宋_GB2312" w:hAnsi="宋体" w:eastAsia="仿宋_GB2312" w:cs="仿宋_GB2312"/>
          <w:kern w:val="0"/>
          <w:sz w:val="31"/>
          <w:szCs w:val="31"/>
        </w:rPr>
        <w:t>国际交流处、</w:t>
      </w:r>
      <w:r>
        <w:rPr>
          <w:rFonts w:hint="eastAsia" w:ascii="仿宋_GB2312" w:hAnsi="宋体" w:eastAsia="仿宋_GB2312" w:cs="仿宋_GB2312"/>
          <w:color w:val="000000"/>
          <w:kern w:val="0"/>
          <w:sz w:val="31"/>
          <w:szCs w:val="31"/>
        </w:rPr>
        <w:t>教务</w:t>
      </w:r>
      <w:r>
        <w:rPr>
          <w:rFonts w:hint="eastAsia" w:ascii="仿宋_GB2312" w:hAnsi="宋体" w:eastAsia="仿宋_GB2312" w:cs="仿宋_GB2312"/>
          <w:kern w:val="0"/>
          <w:sz w:val="31"/>
          <w:szCs w:val="31"/>
        </w:rPr>
        <w:t>与实训管理处、</w:t>
      </w:r>
      <w:r>
        <w:rPr>
          <w:rFonts w:hint="eastAsia" w:ascii="仿宋_GB2312" w:hAnsi="宋体" w:eastAsia="仿宋_GB2312" w:cs="仿宋_GB2312"/>
          <w:color w:val="000000"/>
          <w:kern w:val="0"/>
          <w:sz w:val="31"/>
          <w:szCs w:val="31"/>
        </w:rPr>
        <w:t>学生工作</w:t>
      </w:r>
      <w:r>
        <w:rPr>
          <w:rFonts w:hint="eastAsia" w:ascii="仿宋_GB2312" w:hAnsi="宋体" w:eastAsia="仿宋_GB2312" w:cs="仿宋_GB2312"/>
          <w:kern w:val="0"/>
          <w:sz w:val="31"/>
          <w:szCs w:val="31"/>
        </w:rPr>
        <w:t>处</w:t>
      </w:r>
      <w:r>
        <w:rPr>
          <w:rFonts w:hint="eastAsia" w:ascii="仿宋_GB2312" w:hAnsi="宋体" w:eastAsia="仿宋_GB2312" w:cs="仿宋_GB2312"/>
          <w:color w:val="000000"/>
          <w:kern w:val="0"/>
          <w:sz w:val="31"/>
          <w:szCs w:val="31"/>
        </w:rPr>
        <w:t>、</w:t>
      </w:r>
      <w:r>
        <w:rPr>
          <w:rFonts w:hint="eastAsia" w:ascii="仿宋_GB2312" w:hAnsi="宋体" w:eastAsia="仿宋_GB2312" w:cs="仿宋_GB2312"/>
          <w:kern w:val="0"/>
          <w:sz w:val="31"/>
          <w:szCs w:val="31"/>
        </w:rPr>
        <w:t>国际</w:t>
      </w:r>
      <w:r>
        <w:rPr>
          <w:rFonts w:hint="eastAsia" w:ascii="仿宋_GB2312" w:hAnsi="宋体" w:eastAsia="仿宋_GB2312" w:cs="仿宋_GB2312"/>
          <w:color w:val="000000"/>
          <w:kern w:val="0"/>
          <w:sz w:val="31"/>
          <w:szCs w:val="31"/>
        </w:rPr>
        <w:t>学生所在各</w:t>
      </w:r>
      <w:r>
        <w:rPr>
          <w:rFonts w:hint="eastAsia" w:ascii="仿宋_GB2312" w:hAnsi="宋体" w:eastAsia="仿宋_GB2312" w:cs="仿宋_GB2312"/>
          <w:kern w:val="0"/>
          <w:sz w:val="31"/>
          <w:szCs w:val="31"/>
        </w:rPr>
        <w:t>二级学院</w:t>
      </w:r>
      <w:r>
        <w:rPr>
          <w:rFonts w:hint="eastAsia" w:ascii="仿宋_GB2312" w:hAnsi="宋体" w:eastAsia="仿宋_GB2312" w:cs="仿宋_GB2312"/>
          <w:color w:val="000000"/>
          <w:kern w:val="0"/>
          <w:sz w:val="31"/>
          <w:szCs w:val="31"/>
        </w:rPr>
        <w:t>负责人。</w:t>
      </w:r>
    </w:p>
    <w:p>
      <w:pPr>
        <w:pageBreakBefore w:val="0"/>
        <w:kinsoku/>
        <w:overflowPunct/>
        <w:topLinePunct w:val="0"/>
        <w:autoSpaceDE/>
        <w:autoSpaceDN/>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（二）评审工作领导小组职责</w:t>
      </w:r>
    </w:p>
    <w:p>
      <w:pPr>
        <w:pageBreakBefore w:val="0"/>
        <w:widowControl/>
        <w:shd w:val="clear" w:color="auto" w:fill="FFFFFF"/>
        <w:kinsoku/>
        <w:overflowPunct/>
        <w:topLinePunct w:val="0"/>
        <w:autoSpaceDE/>
        <w:autoSpaceDN/>
        <w:bidi w:val="0"/>
        <w:spacing w:line="580" w:lineRule="exact"/>
        <w:ind w:firstLine="560"/>
        <w:jc w:val="left"/>
        <w:outlineLvl w:val="9"/>
        <w:rPr>
          <w:rFonts w:ascii="仿宋_GB2312" w:eastAsia="仿宋_GB2312"/>
          <w:color w:val="000000"/>
          <w:kern w:val="0"/>
          <w:sz w:val="31"/>
          <w:szCs w:val="31"/>
        </w:rPr>
      </w:pPr>
      <w:r>
        <w:rPr>
          <w:rFonts w:hint="eastAsia" w:eastAsia="仿宋_GB2312" w:cs="仿宋_GB2312"/>
          <w:color w:val="000000"/>
          <w:kern w:val="0"/>
          <w:sz w:val="31"/>
          <w:szCs w:val="31"/>
        </w:rPr>
        <w:t>（</w:t>
      </w:r>
      <w:r>
        <w:rPr>
          <w:rFonts w:eastAsia="仿宋_GB2312"/>
          <w:color w:val="000000"/>
          <w:kern w:val="0"/>
          <w:sz w:val="31"/>
          <w:szCs w:val="31"/>
        </w:rPr>
        <w:t>1</w:t>
      </w:r>
      <w:r>
        <w:rPr>
          <w:rFonts w:hint="eastAsia" w:eastAsia="仿宋_GB2312" w:cs="仿宋_GB2312"/>
          <w:color w:val="000000"/>
          <w:kern w:val="0"/>
          <w:sz w:val="31"/>
          <w:szCs w:val="31"/>
        </w:rPr>
        <w:t>）</w:t>
      </w:r>
      <w:r>
        <w:rPr>
          <w:rFonts w:eastAsia="仿宋_GB2312"/>
          <w:color w:val="000000"/>
          <w:kern w:val="0"/>
          <w:sz w:val="31"/>
          <w:szCs w:val="31"/>
        </w:rPr>
        <w:t> </w:t>
      </w:r>
      <w:r>
        <w:rPr>
          <w:rFonts w:hint="eastAsia" w:ascii="仿宋_GB2312" w:hAnsi="宋体" w:eastAsia="仿宋_GB2312" w:cs="仿宋_GB2312"/>
          <w:color w:val="000000"/>
          <w:kern w:val="0"/>
          <w:sz w:val="31"/>
          <w:szCs w:val="31"/>
        </w:rPr>
        <w:t>评审并决定</w:t>
      </w:r>
      <w:r>
        <w:rPr>
          <w:rFonts w:hint="eastAsia" w:ascii="仿宋_GB2312" w:hAnsi="宋体" w:eastAsia="仿宋_GB2312" w:cs="仿宋_GB2312"/>
          <w:kern w:val="0"/>
          <w:sz w:val="31"/>
          <w:szCs w:val="31"/>
        </w:rPr>
        <w:t>国际</w:t>
      </w:r>
      <w:r>
        <w:rPr>
          <w:rFonts w:hint="eastAsia" w:ascii="仿宋_GB2312" w:hAnsi="宋体" w:eastAsia="仿宋_GB2312" w:cs="仿宋_GB2312"/>
          <w:color w:val="000000"/>
          <w:kern w:val="0"/>
          <w:sz w:val="31"/>
          <w:szCs w:val="31"/>
        </w:rPr>
        <w:t>学生新生奖学金获得者名单；</w:t>
      </w:r>
    </w:p>
    <w:p>
      <w:pPr>
        <w:pageBreakBefore w:val="0"/>
        <w:widowControl/>
        <w:shd w:val="clear" w:color="auto" w:fill="FFFFFF"/>
        <w:kinsoku/>
        <w:overflowPunct/>
        <w:topLinePunct w:val="0"/>
        <w:autoSpaceDE/>
        <w:autoSpaceDN/>
        <w:bidi w:val="0"/>
        <w:spacing w:line="580" w:lineRule="exact"/>
        <w:ind w:firstLine="560"/>
        <w:jc w:val="left"/>
        <w:outlineLvl w:val="9"/>
        <w:rPr>
          <w:rFonts w:ascii="仿宋_GB2312" w:eastAsia="仿宋_GB2312"/>
          <w:color w:val="000000"/>
          <w:kern w:val="0"/>
          <w:sz w:val="31"/>
          <w:szCs w:val="31"/>
        </w:rPr>
      </w:pPr>
      <w:r>
        <w:rPr>
          <w:rFonts w:hint="eastAsia" w:eastAsia="仿宋_GB2312" w:cs="仿宋_GB2312"/>
          <w:color w:val="000000"/>
          <w:kern w:val="0"/>
          <w:sz w:val="31"/>
          <w:szCs w:val="31"/>
        </w:rPr>
        <w:t>（</w:t>
      </w:r>
      <w:r>
        <w:rPr>
          <w:rFonts w:eastAsia="仿宋_GB2312"/>
          <w:color w:val="000000"/>
          <w:kern w:val="0"/>
          <w:sz w:val="31"/>
          <w:szCs w:val="31"/>
        </w:rPr>
        <w:t>2</w:t>
      </w:r>
      <w:r>
        <w:rPr>
          <w:rFonts w:hint="eastAsia" w:eastAsia="仿宋_GB2312" w:cs="仿宋_GB2312"/>
          <w:color w:val="000000"/>
          <w:kern w:val="0"/>
          <w:sz w:val="31"/>
          <w:szCs w:val="31"/>
        </w:rPr>
        <w:t>）</w:t>
      </w:r>
      <w:r>
        <w:rPr>
          <w:rFonts w:hint="eastAsia" w:ascii="仿宋_GB2312" w:hAnsi="宋体" w:eastAsia="仿宋_GB2312" w:cs="仿宋_GB2312"/>
          <w:color w:val="000000"/>
          <w:kern w:val="0"/>
          <w:sz w:val="31"/>
          <w:szCs w:val="31"/>
        </w:rPr>
        <w:t>评审并决定</w:t>
      </w:r>
      <w:r>
        <w:rPr>
          <w:rFonts w:hint="eastAsia" w:ascii="仿宋_GB2312" w:hAnsi="宋体" w:eastAsia="仿宋_GB2312" w:cs="仿宋_GB2312"/>
          <w:kern w:val="0"/>
          <w:sz w:val="31"/>
          <w:szCs w:val="31"/>
        </w:rPr>
        <w:t>国际</w:t>
      </w:r>
      <w:r>
        <w:rPr>
          <w:rFonts w:hint="eastAsia" w:ascii="仿宋_GB2312" w:hAnsi="宋体" w:eastAsia="仿宋_GB2312" w:cs="仿宋_GB2312"/>
          <w:color w:val="000000"/>
          <w:kern w:val="0"/>
          <w:sz w:val="31"/>
          <w:szCs w:val="31"/>
        </w:rPr>
        <w:t>学生优秀学生奖学金获得者名单；</w:t>
      </w:r>
    </w:p>
    <w:p>
      <w:pPr>
        <w:pageBreakBefore w:val="0"/>
        <w:widowControl/>
        <w:shd w:val="clear" w:color="auto" w:fill="FFFFFF"/>
        <w:kinsoku/>
        <w:overflowPunct/>
        <w:topLinePunct w:val="0"/>
        <w:autoSpaceDE/>
        <w:autoSpaceDN/>
        <w:bidi w:val="0"/>
        <w:spacing w:line="580" w:lineRule="exact"/>
        <w:ind w:firstLine="560"/>
        <w:jc w:val="left"/>
        <w:outlineLvl w:val="9"/>
        <w:rPr>
          <w:rFonts w:ascii="仿宋_GB2312" w:eastAsia="仿宋_GB2312"/>
          <w:color w:val="000000"/>
          <w:kern w:val="0"/>
          <w:sz w:val="31"/>
          <w:szCs w:val="31"/>
        </w:rPr>
      </w:pPr>
      <w:r>
        <w:rPr>
          <w:rFonts w:hint="eastAsia" w:eastAsia="仿宋_GB2312" w:cs="仿宋_GB2312"/>
          <w:color w:val="000000"/>
          <w:kern w:val="0"/>
          <w:sz w:val="31"/>
          <w:szCs w:val="31"/>
        </w:rPr>
        <w:t>（</w:t>
      </w:r>
      <w:r>
        <w:rPr>
          <w:rFonts w:eastAsia="仿宋_GB2312"/>
          <w:color w:val="000000"/>
          <w:kern w:val="0"/>
          <w:sz w:val="31"/>
          <w:szCs w:val="31"/>
        </w:rPr>
        <w:t>3</w:t>
      </w:r>
      <w:r>
        <w:rPr>
          <w:rFonts w:hint="eastAsia" w:eastAsia="仿宋_GB2312" w:cs="仿宋_GB2312"/>
          <w:color w:val="000000"/>
          <w:kern w:val="0"/>
          <w:sz w:val="31"/>
          <w:szCs w:val="31"/>
        </w:rPr>
        <w:t>）</w:t>
      </w:r>
      <w:r>
        <w:rPr>
          <w:rFonts w:hint="eastAsia" w:ascii="仿宋_GB2312" w:hAnsi="宋体" w:eastAsia="仿宋_GB2312" w:cs="仿宋_GB2312"/>
          <w:color w:val="000000"/>
          <w:kern w:val="0"/>
          <w:sz w:val="31"/>
          <w:szCs w:val="31"/>
        </w:rPr>
        <w:t>评审并决定</w:t>
      </w:r>
      <w:r>
        <w:rPr>
          <w:rFonts w:hint="eastAsia" w:ascii="仿宋_GB2312" w:hAnsi="宋体" w:eastAsia="仿宋_GB2312" w:cs="仿宋_GB2312"/>
          <w:kern w:val="0"/>
          <w:sz w:val="31"/>
          <w:szCs w:val="31"/>
        </w:rPr>
        <w:t>国际工匠学院国际</w:t>
      </w:r>
      <w:r>
        <w:rPr>
          <w:rFonts w:hint="eastAsia" w:ascii="仿宋_GB2312" w:hAnsi="宋体" w:eastAsia="仿宋_GB2312" w:cs="仿宋_GB2312"/>
          <w:color w:val="000000"/>
          <w:kern w:val="0"/>
          <w:sz w:val="31"/>
          <w:szCs w:val="31"/>
        </w:rPr>
        <w:t>学生奖学金获得者名单；</w:t>
      </w:r>
    </w:p>
    <w:p>
      <w:pPr>
        <w:pageBreakBefore w:val="0"/>
        <w:widowControl/>
        <w:shd w:val="clear" w:color="auto" w:fill="FFFFFF"/>
        <w:kinsoku/>
        <w:overflowPunct/>
        <w:topLinePunct w:val="0"/>
        <w:autoSpaceDE/>
        <w:autoSpaceDN/>
        <w:bidi w:val="0"/>
        <w:spacing w:line="580" w:lineRule="exact"/>
        <w:ind w:firstLine="560"/>
        <w:jc w:val="left"/>
        <w:outlineLvl w:val="9"/>
        <w:rPr>
          <w:rFonts w:ascii="仿宋_GB2312" w:eastAsia="仿宋_GB2312"/>
          <w:color w:val="000000"/>
          <w:kern w:val="0"/>
          <w:sz w:val="31"/>
          <w:szCs w:val="31"/>
        </w:rPr>
      </w:pPr>
    </w:p>
    <w:p>
      <w:pPr>
        <w:pageBreakBefore w:val="0"/>
        <w:widowControl/>
        <w:shd w:val="clear" w:color="auto" w:fill="FFFFFF"/>
        <w:kinsoku/>
        <w:overflowPunct/>
        <w:topLinePunct w:val="0"/>
        <w:autoSpaceDE/>
        <w:autoSpaceDN/>
        <w:bidi w:val="0"/>
        <w:spacing w:line="580" w:lineRule="exact"/>
        <w:ind w:firstLine="560"/>
        <w:jc w:val="left"/>
        <w:outlineLvl w:val="9"/>
        <w:rPr>
          <w:rFonts w:hint="eastAsia" w:eastAsia="仿宋_GB2312" w:cs="仿宋_GB2312"/>
          <w:color w:val="000000"/>
          <w:kern w:val="0"/>
          <w:sz w:val="31"/>
          <w:szCs w:val="31"/>
        </w:rPr>
      </w:pPr>
      <w:r>
        <w:rPr>
          <w:rFonts w:hint="eastAsia" w:eastAsia="仿宋_GB2312" w:cs="仿宋_GB2312"/>
          <w:color w:val="000000"/>
          <w:kern w:val="0"/>
          <w:sz w:val="31"/>
          <w:szCs w:val="31"/>
        </w:rPr>
        <w:t>（</w:t>
      </w:r>
      <w:r>
        <w:rPr>
          <w:rFonts w:eastAsia="仿宋_GB2312"/>
          <w:color w:val="000000"/>
          <w:kern w:val="0"/>
          <w:sz w:val="31"/>
          <w:szCs w:val="31"/>
        </w:rPr>
        <w:t>4</w:t>
      </w:r>
      <w:r>
        <w:rPr>
          <w:rFonts w:hint="eastAsia" w:eastAsia="仿宋_GB2312" w:cs="仿宋_GB2312"/>
          <w:color w:val="000000"/>
          <w:kern w:val="0"/>
          <w:sz w:val="31"/>
          <w:szCs w:val="31"/>
        </w:rPr>
        <w:t>）</w:t>
      </w:r>
      <w:r>
        <w:rPr>
          <w:rFonts w:hint="eastAsia" w:ascii="仿宋_GB2312" w:hAnsi="宋体" w:eastAsia="仿宋_GB2312" w:cs="仿宋_GB2312"/>
          <w:color w:val="000000"/>
          <w:kern w:val="0"/>
          <w:sz w:val="31"/>
          <w:szCs w:val="31"/>
        </w:rPr>
        <w:t>受理评奖中的争议事项，接受申诉和组织复议；</w:t>
      </w:r>
    </w:p>
    <w:p>
      <w:pPr>
        <w:pageBreakBefore w:val="0"/>
        <w:widowControl/>
        <w:shd w:val="clear" w:color="auto" w:fill="FFFFFF"/>
        <w:kinsoku/>
        <w:overflowPunct/>
        <w:topLinePunct w:val="0"/>
        <w:autoSpaceDE/>
        <w:autoSpaceDN/>
        <w:bidi w:val="0"/>
        <w:spacing w:line="580" w:lineRule="exact"/>
        <w:ind w:firstLine="560"/>
        <w:jc w:val="left"/>
        <w:outlineLvl w:val="9"/>
        <w:rPr>
          <w:rFonts w:hint="eastAsia" w:ascii="仿宋_GB2312" w:hAnsi="宋体" w:eastAsia="仿宋_GB2312" w:cs="仿宋_GB2312"/>
          <w:color w:val="000000"/>
          <w:kern w:val="0"/>
          <w:sz w:val="31"/>
          <w:szCs w:val="31"/>
        </w:rPr>
      </w:pPr>
      <w:r>
        <w:rPr>
          <w:rFonts w:hint="eastAsia" w:eastAsia="仿宋_GB2312" w:cs="仿宋_GB2312"/>
          <w:color w:val="000000"/>
          <w:kern w:val="0"/>
          <w:sz w:val="31"/>
          <w:szCs w:val="31"/>
        </w:rPr>
        <w:t>（5）</w:t>
      </w:r>
      <w:r>
        <w:rPr>
          <w:rFonts w:hint="eastAsia" w:ascii="仿宋_GB2312" w:hAnsi="宋体" w:eastAsia="仿宋_GB2312" w:cs="仿宋_GB2312"/>
          <w:color w:val="000000"/>
          <w:kern w:val="0"/>
          <w:sz w:val="31"/>
          <w:szCs w:val="31"/>
        </w:rPr>
        <w:t>对奖学金管理实施办法进行修订。</w:t>
      </w:r>
    </w:p>
    <w:p>
      <w:pPr>
        <w:pageBreakBefore w:val="0"/>
        <w:widowControl/>
        <w:shd w:val="clear" w:color="auto" w:fill="FFFFFF"/>
        <w:kinsoku/>
        <w:overflowPunct/>
        <w:topLinePunct w:val="0"/>
        <w:autoSpaceDE/>
        <w:autoSpaceDN/>
        <w:bidi w:val="0"/>
        <w:spacing w:line="580" w:lineRule="exact"/>
        <w:ind w:firstLine="560"/>
        <w:jc w:val="left"/>
        <w:outlineLvl w:val="9"/>
        <w:rPr>
          <w:rFonts w:ascii="仿宋_GB2312" w:eastAsia="仿宋_GB2312"/>
          <w:color w:val="000000"/>
          <w:kern w:val="0"/>
          <w:sz w:val="31"/>
          <w:szCs w:val="31"/>
        </w:rPr>
      </w:pPr>
    </w:p>
    <w:p>
      <w:pPr>
        <w:pageBreakBefore w:val="0"/>
        <w:kinsoku/>
        <w:overflowPunct/>
        <w:topLinePunct w:val="0"/>
        <w:autoSpaceDE/>
        <w:autoSpaceDN/>
        <w:bidi w:val="0"/>
        <w:spacing w:line="580" w:lineRule="exact"/>
        <w:ind w:firstLine="3180" w:firstLineChars="990"/>
        <w:outlineLvl w:val="9"/>
        <w:rPr>
          <w:rFonts w:ascii="黑体" w:eastAsia="黑体"/>
          <w:b/>
          <w:color w:val="000000"/>
          <w:sz w:val="32"/>
          <w:szCs w:val="32"/>
        </w:rPr>
      </w:pPr>
      <w:bookmarkStart w:id="1782" w:name="_Toc31901_WPSOffice_Level1"/>
      <w:r>
        <w:rPr>
          <w:rFonts w:hint="eastAsia" w:ascii="黑体" w:eastAsia="黑体" w:cs="黑体"/>
          <w:b/>
          <w:color w:val="000000"/>
          <w:sz w:val="32"/>
          <w:szCs w:val="32"/>
        </w:rPr>
        <w:t>第五章  奖学金取消</w:t>
      </w:r>
      <w:bookmarkEnd w:id="1782"/>
    </w:p>
    <w:p>
      <w:pPr>
        <w:pageBreakBefore w:val="0"/>
        <w:kinsoku/>
        <w:overflowPunct/>
        <w:topLinePunct w:val="0"/>
        <w:autoSpaceDE/>
        <w:autoSpaceDN/>
        <w:bidi w:val="0"/>
        <w:spacing w:line="580" w:lineRule="exact"/>
        <w:ind w:firstLine="622" w:firstLineChars="200"/>
        <w:outlineLvl w:val="9"/>
        <w:rPr>
          <w:rFonts w:ascii="仿宋_GB2312" w:eastAsia="仿宋_GB2312"/>
          <w:color w:val="000000"/>
          <w:sz w:val="31"/>
          <w:szCs w:val="31"/>
        </w:rPr>
      </w:pPr>
      <w:r>
        <w:rPr>
          <w:rFonts w:hint="eastAsia" w:ascii="仿宋_GB2312" w:eastAsia="仿宋_GB2312" w:cs="仿宋_GB2312"/>
          <w:b/>
          <w:bCs/>
          <w:color w:val="000000"/>
          <w:sz w:val="31"/>
          <w:szCs w:val="31"/>
        </w:rPr>
        <w:t xml:space="preserve">第十六条  </w:t>
      </w:r>
      <w:r>
        <w:rPr>
          <w:rFonts w:hint="eastAsia" w:ascii="仿宋_GB2312" w:eastAsia="仿宋_GB2312" w:cs="仿宋_GB2312"/>
          <w:color w:val="000000"/>
          <w:sz w:val="31"/>
          <w:szCs w:val="31"/>
        </w:rPr>
        <w:t>本学年获得奖学金的</w:t>
      </w:r>
      <w:r>
        <w:rPr>
          <w:rFonts w:hint="eastAsia" w:ascii="仿宋_GB2312" w:eastAsia="仿宋_GB2312" w:cs="仿宋_GB2312"/>
          <w:sz w:val="31"/>
          <w:szCs w:val="31"/>
        </w:rPr>
        <w:t>国际</w:t>
      </w:r>
      <w:r>
        <w:rPr>
          <w:rFonts w:hint="eastAsia" w:ascii="仿宋_GB2312" w:eastAsia="仿宋_GB2312" w:cs="仿宋_GB2312"/>
          <w:color w:val="000000"/>
          <w:sz w:val="31"/>
          <w:szCs w:val="31"/>
        </w:rPr>
        <w:t>学生，如在该学年中有下列情况之一者，即日</w:t>
      </w:r>
      <w:bookmarkStart w:id="1783" w:name="_Toc13641_WPSOffice_Level1"/>
      <w:r>
        <w:rPr>
          <w:rFonts w:hint="eastAsia" w:ascii="仿宋_GB2312" w:eastAsia="仿宋_GB2312" w:cs="仿宋_GB2312"/>
          <w:color w:val="000000"/>
          <w:sz w:val="31"/>
          <w:szCs w:val="31"/>
        </w:rPr>
        <w:t>起取消该生奖学金</w:t>
      </w:r>
      <w:bookmarkEnd w:id="1783"/>
      <w:r>
        <w:rPr>
          <w:rFonts w:hint="eastAsia" w:ascii="仿宋_GB2312" w:eastAsia="仿宋_GB2312" w:cs="仿宋_GB2312"/>
          <w:color w:val="000000"/>
          <w:sz w:val="31"/>
          <w:szCs w:val="31"/>
        </w:rPr>
        <w:t>领取资格。</w:t>
      </w:r>
    </w:p>
    <w:p>
      <w:pPr>
        <w:pageBreakBefore w:val="0"/>
        <w:kinsoku/>
        <w:overflowPunct/>
        <w:topLinePunct w:val="0"/>
        <w:autoSpaceDE/>
        <w:autoSpaceDN/>
        <w:bidi w:val="0"/>
        <w:spacing w:line="580" w:lineRule="exact"/>
        <w:ind w:firstLine="706" w:firstLineChars="228"/>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1</w:t>
      </w:r>
      <w:r>
        <w:rPr>
          <w:rFonts w:hint="eastAsia" w:eastAsia="仿宋_GB2312" w:cs="仿宋_GB2312"/>
          <w:color w:val="000000"/>
          <w:sz w:val="31"/>
          <w:szCs w:val="31"/>
        </w:rPr>
        <w:t>）</w:t>
      </w:r>
      <w:r>
        <w:rPr>
          <w:rFonts w:hint="eastAsia" w:ascii="仿宋_GB2312" w:eastAsia="仿宋_GB2312" w:cs="仿宋_GB2312"/>
          <w:color w:val="000000"/>
          <w:sz w:val="31"/>
          <w:szCs w:val="31"/>
        </w:rPr>
        <w:t>触犯中国法律、扰乱社会治安，或严重违反校纪校规者；</w:t>
      </w:r>
    </w:p>
    <w:p>
      <w:pPr>
        <w:pageBreakBefore w:val="0"/>
        <w:kinsoku/>
        <w:overflowPunct/>
        <w:topLinePunct w:val="0"/>
        <w:autoSpaceDE/>
        <w:autoSpaceDN/>
        <w:bidi w:val="0"/>
        <w:spacing w:line="580" w:lineRule="exact"/>
        <w:ind w:firstLine="706" w:firstLineChars="228"/>
        <w:outlineLvl w:val="9"/>
        <w:rPr>
          <w:rFonts w:ascii="仿宋_GB2312" w:eastAsia="仿宋_GB2312"/>
          <w:color w:val="000000"/>
          <w:sz w:val="31"/>
          <w:szCs w:val="31"/>
        </w:rPr>
      </w:pPr>
      <w:r>
        <w:rPr>
          <w:rFonts w:hint="eastAsia" w:eastAsia="仿宋_GB2312" w:cs="仿宋_GB2312"/>
          <w:color w:val="000000"/>
          <w:sz w:val="31"/>
          <w:szCs w:val="31"/>
        </w:rPr>
        <w:t>（</w:t>
      </w:r>
      <w:r>
        <w:rPr>
          <w:rFonts w:eastAsia="仿宋_GB2312"/>
          <w:color w:val="000000"/>
          <w:sz w:val="31"/>
          <w:szCs w:val="31"/>
        </w:rPr>
        <w:t>2</w:t>
      </w:r>
      <w:r>
        <w:rPr>
          <w:rFonts w:hint="eastAsia" w:eastAsia="仿宋_GB2312" w:cs="仿宋_GB2312"/>
          <w:color w:val="000000"/>
          <w:sz w:val="31"/>
          <w:szCs w:val="31"/>
        </w:rPr>
        <w:t>）</w:t>
      </w:r>
      <w:r>
        <w:rPr>
          <w:rFonts w:hint="eastAsia" w:ascii="仿宋_GB2312" w:eastAsia="仿宋_GB2312" w:cs="仿宋_GB2312"/>
          <w:color w:val="000000"/>
          <w:sz w:val="31"/>
          <w:szCs w:val="31"/>
        </w:rPr>
        <w:t>因个人原因中途休学、退学，及转学者；</w:t>
      </w:r>
    </w:p>
    <w:p>
      <w:pPr>
        <w:pageBreakBefore w:val="0"/>
        <w:kinsoku/>
        <w:overflowPunct/>
        <w:topLinePunct w:val="0"/>
        <w:autoSpaceDE/>
        <w:autoSpaceDN/>
        <w:bidi w:val="0"/>
        <w:spacing w:line="580" w:lineRule="exact"/>
        <w:ind w:firstLine="706" w:firstLineChars="228"/>
        <w:outlineLvl w:val="9"/>
        <w:rPr>
          <w:rFonts w:hint="eastAsia" w:ascii="仿宋_GB2312" w:eastAsia="仿宋_GB2312" w:cs="仿宋_GB2312"/>
          <w:color w:val="000000"/>
          <w:sz w:val="31"/>
          <w:szCs w:val="31"/>
        </w:rPr>
      </w:pPr>
      <w:r>
        <w:rPr>
          <w:rFonts w:hint="eastAsia" w:eastAsia="仿宋_GB2312" w:cs="仿宋_GB2312"/>
          <w:color w:val="000000"/>
          <w:sz w:val="31"/>
          <w:szCs w:val="31"/>
        </w:rPr>
        <w:t>（</w:t>
      </w:r>
      <w:r>
        <w:rPr>
          <w:rFonts w:eastAsia="仿宋_GB2312"/>
          <w:color w:val="000000"/>
          <w:sz w:val="31"/>
          <w:szCs w:val="31"/>
        </w:rPr>
        <w:t>3</w:t>
      </w:r>
      <w:r>
        <w:rPr>
          <w:rFonts w:hint="eastAsia" w:eastAsia="仿宋_GB2312" w:cs="仿宋_GB2312"/>
          <w:color w:val="000000"/>
          <w:sz w:val="31"/>
          <w:szCs w:val="31"/>
        </w:rPr>
        <w:t>）</w:t>
      </w:r>
      <w:r>
        <w:rPr>
          <w:rFonts w:hint="eastAsia" w:ascii="仿宋_GB2312" w:eastAsia="仿宋_GB2312" w:cs="仿宋_GB2312"/>
          <w:color w:val="000000"/>
          <w:sz w:val="31"/>
          <w:szCs w:val="31"/>
        </w:rPr>
        <w:t>申请注册时提供虚假个人及家庭信息者；</w:t>
      </w:r>
    </w:p>
    <w:p>
      <w:pPr>
        <w:pageBreakBefore w:val="0"/>
        <w:kinsoku/>
        <w:overflowPunct/>
        <w:topLinePunct w:val="0"/>
        <w:autoSpaceDE/>
        <w:autoSpaceDN/>
        <w:bidi w:val="0"/>
        <w:spacing w:line="580" w:lineRule="exact"/>
        <w:ind w:firstLine="706" w:firstLineChars="228"/>
        <w:outlineLvl w:val="9"/>
        <w:rPr>
          <w:rFonts w:hint="eastAsia" w:ascii="仿宋_GB2312" w:eastAsia="仿宋_GB2312" w:cs="仿宋_GB2312"/>
          <w:color w:val="000000"/>
          <w:sz w:val="31"/>
          <w:szCs w:val="31"/>
        </w:rPr>
      </w:pPr>
      <w:r>
        <w:rPr>
          <w:rFonts w:hint="eastAsia" w:eastAsia="仿宋_GB2312" w:cs="仿宋_GB2312"/>
          <w:color w:val="000000"/>
          <w:sz w:val="31"/>
          <w:szCs w:val="31"/>
        </w:rPr>
        <w:t>（</w:t>
      </w:r>
      <w:r>
        <w:rPr>
          <w:rFonts w:hint="eastAsia" w:eastAsia="仿宋_GB2312"/>
          <w:color w:val="000000"/>
          <w:sz w:val="31"/>
          <w:szCs w:val="31"/>
        </w:rPr>
        <w:t>4</w:t>
      </w:r>
      <w:r>
        <w:rPr>
          <w:rFonts w:hint="eastAsia" w:eastAsia="仿宋_GB2312" w:cs="仿宋_GB2312"/>
          <w:color w:val="000000"/>
          <w:sz w:val="31"/>
          <w:szCs w:val="31"/>
        </w:rPr>
        <w:t>）</w:t>
      </w:r>
      <w:r>
        <w:rPr>
          <w:rFonts w:hint="eastAsia" w:ascii="仿宋_GB2312" w:eastAsia="仿宋_GB2312" w:cs="仿宋_GB2312"/>
          <w:color w:val="000000"/>
          <w:sz w:val="31"/>
          <w:szCs w:val="31"/>
        </w:rPr>
        <w:t>规定时间内未到校报到注册者。</w:t>
      </w:r>
    </w:p>
    <w:p>
      <w:pPr>
        <w:pageBreakBefore w:val="0"/>
        <w:kinsoku/>
        <w:overflowPunct/>
        <w:topLinePunct w:val="0"/>
        <w:autoSpaceDE/>
        <w:autoSpaceDN/>
        <w:bidi w:val="0"/>
        <w:spacing w:line="580" w:lineRule="exact"/>
        <w:ind w:firstLine="706" w:firstLineChars="228"/>
        <w:outlineLvl w:val="9"/>
        <w:rPr>
          <w:rFonts w:ascii="仿宋_GB2312" w:eastAsia="仿宋_GB2312"/>
          <w:color w:val="000000"/>
          <w:sz w:val="31"/>
          <w:szCs w:val="31"/>
        </w:rPr>
      </w:pPr>
    </w:p>
    <w:p>
      <w:pPr>
        <w:pageBreakBefore w:val="0"/>
        <w:kinsoku/>
        <w:overflowPunct/>
        <w:topLinePunct w:val="0"/>
        <w:autoSpaceDE/>
        <w:autoSpaceDN/>
        <w:bidi w:val="0"/>
        <w:spacing w:line="580" w:lineRule="exact"/>
        <w:jc w:val="center"/>
        <w:outlineLvl w:val="9"/>
        <w:rPr>
          <w:rFonts w:ascii="黑体" w:eastAsia="黑体"/>
          <w:b/>
          <w:color w:val="000000"/>
          <w:sz w:val="32"/>
          <w:szCs w:val="32"/>
        </w:rPr>
      </w:pPr>
      <w:bookmarkStart w:id="1784" w:name="_Toc754_WPSOffice_Level1"/>
      <w:r>
        <w:rPr>
          <w:rFonts w:hint="eastAsia" w:ascii="黑体" w:eastAsia="黑体" w:cs="黑体"/>
          <w:b/>
          <w:color w:val="000000"/>
          <w:sz w:val="32"/>
          <w:szCs w:val="32"/>
        </w:rPr>
        <w:t>第六章  附则</w:t>
      </w:r>
      <w:bookmarkEnd w:id="1784"/>
    </w:p>
    <w:p>
      <w:pPr>
        <w:pageBreakBefore w:val="0"/>
        <w:kinsoku/>
        <w:overflowPunct/>
        <w:topLinePunct w:val="0"/>
        <w:autoSpaceDE/>
        <w:autoSpaceDN/>
        <w:bidi w:val="0"/>
        <w:spacing w:line="580" w:lineRule="exact"/>
        <w:ind w:firstLine="622" w:firstLineChars="200"/>
        <w:outlineLvl w:val="9"/>
        <w:rPr>
          <w:rFonts w:ascii="仿宋_GB2312" w:eastAsia="仿宋_GB2312"/>
          <w:color w:val="000000"/>
          <w:sz w:val="31"/>
          <w:szCs w:val="31"/>
        </w:rPr>
      </w:pPr>
      <w:r>
        <w:rPr>
          <w:rFonts w:hint="eastAsia" w:ascii="仿宋_GB2312" w:eastAsia="仿宋_GB2312" w:cs="仿宋_GB2312"/>
          <w:b/>
          <w:bCs/>
          <w:color w:val="000000"/>
          <w:sz w:val="31"/>
          <w:szCs w:val="31"/>
        </w:rPr>
        <w:t xml:space="preserve">第十七条  </w:t>
      </w:r>
      <w:r>
        <w:rPr>
          <w:rFonts w:hint="eastAsia" w:ascii="仿宋_GB2312" w:eastAsia="仿宋_GB2312" w:cs="仿宋_GB2312"/>
          <w:color w:val="000000"/>
          <w:sz w:val="31"/>
          <w:szCs w:val="31"/>
        </w:rPr>
        <w:t>本办法自</w:t>
      </w:r>
      <w:r>
        <w:rPr>
          <w:rFonts w:hint="eastAsia" w:eastAsia="仿宋_GB2312"/>
          <w:color w:val="000000"/>
          <w:sz w:val="31"/>
          <w:szCs w:val="31"/>
        </w:rPr>
        <w:t>印发之日</w:t>
      </w:r>
      <w:r>
        <w:rPr>
          <w:rFonts w:hint="eastAsia" w:ascii="仿宋_GB2312" w:eastAsia="仿宋_GB2312" w:cs="仿宋_GB2312"/>
          <w:color w:val="000000"/>
          <w:sz w:val="31"/>
          <w:szCs w:val="31"/>
        </w:rPr>
        <w:t>起实行。</w:t>
      </w:r>
    </w:p>
    <w:p>
      <w:pPr>
        <w:pageBreakBefore w:val="0"/>
        <w:kinsoku/>
        <w:overflowPunct/>
        <w:topLinePunct w:val="0"/>
        <w:autoSpaceDE/>
        <w:autoSpaceDN/>
        <w:bidi w:val="0"/>
        <w:spacing w:line="580" w:lineRule="exact"/>
        <w:ind w:firstLine="622" w:firstLineChars="200"/>
        <w:outlineLvl w:val="9"/>
        <w:rPr>
          <w:rFonts w:hint="eastAsia" w:ascii="仿宋_GB2312" w:eastAsia="仿宋_GB2312" w:cs="仿宋_GB2312"/>
          <w:color w:val="000000"/>
          <w:sz w:val="31"/>
          <w:szCs w:val="31"/>
        </w:rPr>
      </w:pPr>
      <w:r>
        <w:rPr>
          <w:rFonts w:hint="eastAsia" w:ascii="仿宋_GB2312" w:eastAsia="仿宋_GB2312" w:cs="仿宋_GB2312"/>
          <w:b/>
          <w:bCs/>
          <w:color w:val="000000"/>
          <w:sz w:val="31"/>
          <w:szCs w:val="31"/>
        </w:rPr>
        <w:t xml:space="preserve">第十八条  </w:t>
      </w:r>
      <w:r>
        <w:rPr>
          <w:rFonts w:hint="eastAsia" w:ascii="仿宋_GB2312" w:eastAsia="仿宋_GB2312" w:cs="仿宋_GB2312"/>
          <w:color w:val="000000"/>
          <w:sz w:val="31"/>
          <w:szCs w:val="31"/>
        </w:rPr>
        <w:t>本办法由</w:t>
      </w:r>
      <w:r>
        <w:rPr>
          <w:rFonts w:hint="eastAsia" w:ascii="仿宋_GB2312" w:eastAsia="仿宋_GB2312" w:cs="仿宋_GB2312"/>
          <w:sz w:val="31"/>
          <w:szCs w:val="31"/>
        </w:rPr>
        <w:t>柳州</w:t>
      </w:r>
      <w:r>
        <w:rPr>
          <w:rFonts w:hint="eastAsia" w:ascii="仿宋_GB2312" w:eastAsia="仿宋_GB2312" w:cs="仿宋_GB2312"/>
          <w:color w:val="000000"/>
          <w:sz w:val="31"/>
          <w:szCs w:val="31"/>
        </w:rPr>
        <w:t>职业技术学院国际交流</w:t>
      </w:r>
      <w:r>
        <w:rPr>
          <w:rFonts w:hint="eastAsia" w:ascii="仿宋_GB2312" w:eastAsia="仿宋_GB2312" w:cs="仿宋_GB2312"/>
          <w:sz w:val="31"/>
          <w:szCs w:val="31"/>
        </w:rPr>
        <w:t>处</w:t>
      </w:r>
      <w:r>
        <w:rPr>
          <w:rFonts w:hint="eastAsia" w:ascii="仿宋_GB2312" w:eastAsia="仿宋_GB2312" w:cs="仿宋_GB2312"/>
          <w:color w:val="000000"/>
          <w:sz w:val="31"/>
          <w:szCs w:val="31"/>
        </w:rPr>
        <w:t>负责解释。</w:t>
      </w:r>
    </w:p>
    <w:p>
      <w:pPr>
        <w:pageBreakBefore w:val="0"/>
        <w:kinsoku/>
        <w:overflowPunct/>
        <w:topLinePunct w:val="0"/>
        <w:autoSpaceDE/>
        <w:autoSpaceDN/>
        <w:bidi w:val="0"/>
        <w:spacing w:line="580" w:lineRule="exact"/>
        <w:ind w:firstLine="620" w:firstLineChars="200"/>
        <w:outlineLvl w:val="9"/>
        <w:rPr>
          <w:rFonts w:hint="eastAsia" w:ascii="仿宋_GB2312" w:eastAsia="仿宋_GB2312" w:cs="仿宋_GB2312"/>
          <w:color w:val="000000"/>
          <w:sz w:val="31"/>
          <w:szCs w:val="31"/>
        </w:rPr>
      </w:pPr>
    </w:p>
    <w:p>
      <w:pPr>
        <w:pageBreakBefore w:val="0"/>
        <w:kinsoku/>
        <w:overflowPunct/>
        <w:topLinePunct w:val="0"/>
        <w:autoSpaceDE/>
        <w:autoSpaceDN/>
        <w:bidi w:val="0"/>
        <w:spacing w:line="580" w:lineRule="exact"/>
        <w:ind w:firstLine="465" w:firstLineChars="150"/>
        <w:outlineLvl w:val="9"/>
        <w:rPr>
          <w:rFonts w:hint="eastAsia" w:ascii="仿宋_GB2312" w:eastAsia="仿宋_GB2312" w:cs="仿宋_GB2312"/>
          <w:color w:val="000000"/>
          <w:sz w:val="31"/>
          <w:szCs w:val="31"/>
        </w:rPr>
      </w:pPr>
      <w:bookmarkStart w:id="1785" w:name="_Toc30025_WPSOffice_Level1"/>
      <w:r>
        <w:rPr>
          <w:rFonts w:hint="eastAsia" w:ascii="仿宋_GB2312" w:eastAsia="仿宋_GB2312" w:cs="仿宋_GB2312"/>
          <w:color w:val="000000"/>
          <w:sz w:val="31"/>
          <w:szCs w:val="31"/>
        </w:rPr>
        <w:t>附件：</w:t>
      </w:r>
      <w:r>
        <w:rPr>
          <w:rFonts w:eastAsia="仿宋_GB2312"/>
          <w:color w:val="000000"/>
          <w:sz w:val="31"/>
          <w:szCs w:val="31"/>
        </w:rPr>
        <w:t>1.</w:t>
      </w:r>
      <w:r>
        <w:rPr>
          <w:rFonts w:hint="eastAsia" w:ascii="仿宋_GB2312" w:eastAsia="仿宋_GB2312" w:cs="仿宋_GB2312"/>
          <w:color w:val="000000"/>
          <w:sz w:val="31"/>
          <w:szCs w:val="31"/>
        </w:rPr>
        <w:t>《</w:t>
      </w:r>
      <w:r>
        <w:rPr>
          <w:rFonts w:hint="eastAsia" w:ascii="仿宋_GB2312" w:eastAsia="仿宋_GB2312" w:cs="仿宋_GB2312"/>
          <w:sz w:val="31"/>
          <w:szCs w:val="31"/>
        </w:rPr>
        <w:t>柳州</w:t>
      </w:r>
      <w:r>
        <w:rPr>
          <w:rFonts w:hint="eastAsia" w:ascii="仿宋_GB2312" w:eastAsia="仿宋_GB2312" w:cs="仿宋_GB2312"/>
          <w:color w:val="000000"/>
          <w:sz w:val="31"/>
          <w:szCs w:val="31"/>
        </w:rPr>
        <w:t>职业技术学院</w:t>
      </w:r>
      <w:r>
        <w:rPr>
          <w:rFonts w:hint="eastAsia" w:ascii="仿宋_GB2312" w:eastAsia="仿宋_GB2312" w:cs="仿宋_GB2312"/>
          <w:sz w:val="31"/>
          <w:szCs w:val="31"/>
        </w:rPr>
        <w:t>国际</w:t>
      </w:r>
      <w:r>
        <w:rPr>
          <w:rFonts w:hint="eastAsia" w:ascii="仿宋_GB2312" w:eastAsia="仿宋_GB2312" w:cs="仿宋_GB2312"/>
          <w:color w:val="000000"/>
          <w:sz w:val="31"/>
          <w:szCs w:val="31"/>
        </w:rPr>
        <w:t>学生新生奖学金申请表》</w:t>
      </w:r>
      <w:bookmarkEnd w:id="1785"/>
    </w:p>
    <w:p>
      <w:pPr>
        <w:pageBreakBefore w:val="0"/>
        <w:kinsoku/>
        <w:overflowPunct/>
        <w:topLinePunct w:val="0"/>
        <w:autoSpaceDE/>
        <w:autoSpaceDN/>
        <w:bidi w:val="0"/>
        <w:spacing w:line="580" w:lineRule="exact"/>
        <w:ind w:firstLine="1395" w:firstLineChars="450"/>
        <w:outlineLvl w:val="9"/>
        <w:rPr>
          <w:rFonts w:hint="eastAsia" w:ascii="仿宋_GB2312" w:eastAsia="仿宋_GB2312" w:cs="仿宋_GB2312"/>
          <w:color w:val="000000"/>
          <w:sz w:val="31"/>
          <w:szCs w:val="31"/>
        </w:rPr>
      </w:pPr>
      <w:bookmarkStart w:id="1786" w:name="_Toc4786_WPSOffice_Level1"/>
      <w:r>
        <w:rPr>
          <w:rFonts w:hint="eastAsia" w:ascii="仿宋_GB2312" w:eastAsia="仿宋_GB2312" w:cs="仿宋_GB2312"/>
          <w:sz w:val="31"/>
          <w:szCs w:val="31"/>
        </w:rPr>
        <w:t>2.《柳州</w:t>
      </w:r>
      <w:r>
        <w:rPr>
          <w:rFonts w:hint="eastAsia" w:ascii="仿宋_GB2312" w:eastAsia="仿宋_GB2312" w:cs="仿宋_GB2312"/>
          <w:color w:val="000000"/>
          <w:sz w:val="31"/>
          <w:szCs w:val="31"/>
        </w:rPr>
        <w:t>职业技术学院</w:t>
      </w:r>
      <w:r>
        <w:rPr>
          <w:rFonts w:hint="eastAsia" w:ascii="仿宋_GB2312" w:eastAsia="仿宋_GB2312" w:cs="仿宋_GB2312"/>
          <w:sz w:val="31"/>
          <w:szCs w:val="31"/>
        </w:rPr>
        <w:t>国际</w:t>
      </w:r>
      <w:r>
        <w:rPr>
          <w:rFonts w:hint="eastAsia" w:ascii="仿宋_GB2312" w:eastAsia="仿宋_GB2312" w:cs="仿宋_GB2312"/>
          <w:color w:val="000000"/>
          <w:sz w:val="31"/>
          <w:szCs w:val="31"/>
        </w:rPr>
        <w:t>学生优秀学生奖学金申请表》</w:t>
      </w:r>
      <w:bookmarkEnd w:id="1786"/>
    </w:p>
    <w:p>
      <w:pPr>
        <w:pageBreakBefore w:val="0"/>
        <w:kinsoku/>
        <w:overflowPunct/>
        <w:topLinePunct w:val="0"/>
        <w:autoSpaceDE/>
        <w:autoSpaceDN/>
        <w:bidi w:val="0"/>
        <w:spacing w:line="596" w:lineRule="exact"/>
        <w:jc w:val="left"/>
        <w:outlineLvl w:val="9"/>
        <w:rPr>
          <w:rFonts w:hint="eastAsia" w:ascii="黑体" w:hAnsi="Calibri" w:eastAsia="黑体"/>
          <w:sz w:val="32"/>
          <w:szCs w:val="32"/>
        </w:rPr>
      </w:pPr>
      <w:r>
        <w:rPr>
          <w:rFonts w:ascii="仿宋_GB2312" w:eastAsia="仿宋_GB2312" w:cs="仿宋_GB2312"/>
          <w:color w:val="000000"/>
          <w:sz w:val="31"/>
          <w:szCs w:val="31"/>
        </w:rPr>
        <w:br w:type="page"/>
      </w:r>
      <w:r>
        <w:rPr>
          <w:rFonts w:hint="eastAsia" w:ascii="黑体" w:hAnsi="Calibri" w:eastAsia="黑体"/>
          <w:sz w:val="32"/>
          <w:szCs w:val="32"/>
        </w:rPr>
        <w:t>附件1：</w:t>
      </w:r>
    </w:p>
    <w:p>
      <w:pPr>
        <w:pageBreakBefore w:val="0"/>
        <w:kinsoku/>
        <w:overflowPunct/>
        <w:topLinePunct w:val="0"/>
        <w:autoSpaceDE/>
        <w:autoSpaceDN/>
        <w:bidi w:val="0"/>
        <w:spacing w:line="360" w:lineRule="auto"/>
        <w:ind w:firstLine="1280" w:firstLineChars="400"/>
        <w:outlineLvl w:val="9"/>
        <w:rPr>
          <w:rFonts w:eastAsia="楷体_GB2312"/>
          <w:sz w:val="30"/>
          <w:szCs w:val="30"/>
        </w:rPr>
      </w:pPr>
      <w:r>
        <w:rPr>
          <w:rFonts w:hint="eastAsia" w:ascii="仿宋_GB2312" w:hAnsi="宋体" w:eastAsia="仿宋_GB2312" w:cs="仿宋_GB2312"/>
          <w:kern w:val="0"/>
          <w:sz w:val="32"/>
          <w:szCs w:val="32"/>
        </w:rPr>
        <w:t xml:space="preserve">                </w:t>
      </w:r>
      <w:r>
        <w:rPr>
          <w:rFonts w:hint="eastAsia" w:eastAsia="楷体_GB2312" w:cs="楷体_GB2312"/>
          <w:sz w:val="30"/>
          <w:szCs w:val="30"/>
        </w:rPr>
        <w:t>编号</w:t>
      </w:r>
      <w:r>
        <w:rPr>
          <w:rFonts w:eastAsia="楷体_GB2312"/>
          <w:sz w:val="30"/>
          <w:szCs w:val="30"/>
        </w:rPr>
        <w:t>/No.</w:t>
      </w:r>
      <w:r>
        <w:rPr>
          <w:rFonts w:hint="eastAsia" w:eastAsia="楷体_GB2312" w:cs="楷体_GB2312"/>
          <w:sz w:val="30"/>
          <w:szCs w:val="30"/>
        </w:rPr>
        <w:t>：</w:t>
      </w:r>
    </w:p>
    <w:p>
      <w:pPr>
        <w:pageBreakBefore w:val="0"/>
        <w:kinsoku/>
        <w:overflowPunct/>
        <w:topLinePunct w:val="0"/>
        <w:autoSpaceDE/>
        <w:autoSpaceDN/>
        <w:bidi w:val="0"/>
        <w:spacing w:line="420" w:lineRule="exact"/>
        <w:jc w:val="center"/>
        <w:outlineLvl w:val="9"/>
        <w:rPr>
          <w:rFonts w:eastAsia="楷体_GB2312"/>
          <w:b/>
          <w:bCs/>
          <w:sz w:val="44"/>
          <w:szCs w:val="44"/>
        </w:rPr>
      </w:pPr>
      <w:r>
        <w:rPr>
          <w:rFonts w:hint="eastAsia" w:eastAsia="楷体_GB2312" w:cs="楷体_GB2312"/>
          <w:b/>
          <w:bCs/>
          <w:sz w:val="44"/>
          <w:szCs w:val="44"/>
        </w:rPr>
        <w:t>柳州职业技术学院</w:t>
      </w:r>
    </w:p>
    <w:p>
      <w:pPr>
        <w:pageBreakBefore w:val="0"/>
        <w:kinsoku/>
        <w:overflowPunct/>
        <w:topLinePunct w:val="0"/>
        <w:autoSpaceDE/>
        <w:autoSpaceDN/>
        <w:bidi w:val="0"/>
        <w:spacing w:after="240" w:line="340" w:lineRule="exact"/>
        <w:jc w:val="center"/>
        <w:outlineLvl w:val="9"/>
        <w:rPr>
          <w:b/>
          <w:bCs/>
          <w:color w:val="1B1B1B"/>
          <w:kern w:val="0"/>
          <w:szCs w:val="28"/>
        </w:rPr>
      </w:pPr>
      <w:r>
        <w:rPr>
          <w:rFonts w:hint="eastAsia"/>
          <w:b/>
          <w:bCs/>
          <w:color w:val="1B1B1B"/>
          <w:kern w:val="0"/>
          <w:szCs w:val="28"/>
        </w:rPr>
        <w:t>Liuzhou Vocational &amp; Technical College</w:t>
      </w:r>
    </w:p>
    <w:p>
      <w:pPr>
        <w:pageBreakBefore w:val="0"/>
        <w:kinsoku/>
        <w:overflowPunct/>
        <w:topLinePunct w:val="0"/>
        <w:autoSpaceDE/>
        <w:autoSpaceDN/>
        <w:bidi w:val="0"/>
        <w:jc w:val="center"/>
        <w:outlineLvl w:val="9"/>
        <w:rPr>
          <w:rFonts w:ascii="黑体" w:hAnsi="华文中宋" w:eastAsia="黑体"/>
          <w:b/>
          <w:bCs/>
          <w:sz w:val="44"/>
          <w:szCs w:val="44"/>
        </w:rPr>
      </w:pPr>
      <w:r>
        <w:rPr>
          <w:rFonts w:hint="eastAsia" w:ascii="黑体" w:hAnsi="华文中宋" w:eastAsia="黑体" w:cs="黑体"/>
          <w:b/>
          <w:bCs/>
          <w:sz w:val="44"/>
          <w:szCs w:val="44"/>
        </w:rPr>
        <w:t>国际学生新生奖学金申请表</w:t>
      </w:r>
    </w:p>
    <w:p>
      <w:pPr>
        <w:pageBreakBefore w:val="0"/>
        <w:kinsoku/>
        <w:overflowPunct/>
        <w:topLinePunct w:val="0"/>
        <w:autoSpaceDE/>
        <w:autoSpaceDN/>
        <w:bidi w:val="0"/>
        <w:jc w:val="center"/>
        <w:outlineLvl w:val="9"/>
        <w:rPr>
          <w:rFonts w:ascii="楷体_GB2312" w:eastAsia="楷体_GB2312"/>
          <w:b/>
          <w:bCs/>
          <w:szCs w:val="28"/>
        </w:rPr>
      </w:pPr>
      <w:r>
        <w:rPr>
          <w:b/>
          <w:bCs/>
          <w:color w:val="1B1B1B"/>
          <w:kern w:val="0"/>
          <w:szCs w:val="28"/>
          <w:u w:val="single"/>
        </w:rPr>
        <w:t>International Student Scholarship Application Form for Freshmen</w:t>
      </w:r>
    </w:p>
    <w:p>
      <w:pPr>
        <w:pageBreakBefore w:val="0"/>
        <w:kinsoku/>
        <w:overflowPunct/>
        <w:topLinePunct w:val="0"/>
        <w:autoSpaceDE/>
        <w:autoSpaceDN/>
        <w:bidi w:val="0"/>
        <w:spacing w:line="480" w:lineRule="auto"/>
        <w:outlineLvl w:val="9"/>
        <w:rPr>
          <w:rFonts w:ascii="仿宋_GB2312" w:eastAsia="仿宋_GB2312"/>
          <w:sz w:val="32"/>
          <w:szCs w:val="32"/>
        </w:rPr>
      </w:pPr>
    </w:p>
    <w:p>
      <w:pPr>
        <w:pageBreakBefore w:val="0"/>
        <w:kinsoku/>
        <w:overflowPunct/>
        <w:topLinePunct w:val="0"/>
        <w:autoSpaceDE/>
        <w:autoSpaceDN/>
        <w:bidi w:val="0"/>
        <w:spacing w:line="480" w:lineRule="auto"/>
        <w:outlineLvl w:val="9"/>
        <w:rPr>
          <w:rFonts w:ascii="仿宋_GB2312" w:eastAsia="仿宋_GB2312"/>
          <w:sz w:val="32"/>
          <w:szCs w:val="32"/>
        </w:rPr>
      </w:pPr>
    </w:p>
    <w:p>
      <w:pPr>
        <w:pageBreakBefore w:val="0"/>
        <w:kinsoku/>
        <w:overflowPunct/>
        <w:topLinePunct w:val="0"/>
        <w:autoSpaceDE/>
        <w:autoSpaceDN/>
        <w:bidi w:val="0"/>
        <w:spacing w:line="480" w:lineRule="auto"/>
        <w:outlineLvl w:val="9"/>
        <w:rPr>
          <w:rFonts w:ascii="仿宋_GB2312" w:eastAsia="仿宋_GB2312"/>
          <w:sz w:val="32"/>
          <w:szCs w:val="32"/>
        </w:rPr>
      </w:pPr>
    </w:p>
    <w:p>
      <w:pPr>
        <w:pageBreakBefore w:val="0"/>
        <w:kinsoku/>
        <w:overflowPunct/>
        <w:topLinePunct w:val="0"/>
        <w:autoSpaceDE/>
        <w:autoSpaceDN/>
        <w:bidi w:val="0"/>
        <w:spacing w:line="480" w:lineRule="auto"/>
        <w:outlineLvl w:val="9"/>
        <w:rPr>
          <w:rFonts w:ascii="仿宋_GB2312" w:eastAsia="仿宋_GB2312"/>
          <w:sz w:val="32"/>
          <w:szCs w:val="32"/>
          <w:u w:val="thick"/>
        </w:rPr>
      </w:pPr>
      <w:r>
        <w:rPr>
          <w:rFonts w:hint="eastAsia" w:ascii="仿宋_GB2312" w:eastAsia="仿宋_GB2312" w:cs="仿宋_GB2312"/>
          <w:sz w:val="32"/>
          <w:szCs w:val="32"/>
        </w:rPr>
        <w:t>学生姓名</w:t>
      </w:r>
      <w:r>
        <w:rPr>
          <w:rFonts w:ascii="仿宋_GB2312" w:eastAsia="仿宋_GB2312" w:cs="仿宋_GB2312"/>
          <w:sz w:val="32"/>
          <w:szCs w:val="32"/>
        </w:rPr>
        <w:t>/CANDIDATE NAME:</w:t>
      </w:r>
    </w:p>
    <w:p>
      <w:pPr>
        <w:pageBreakBefore w:val="0"/>
        <w:kinsoku/>
        <w:overflowPunct/>
        <w:topLinePunct w:val="0"/>
        <w:autoSpaceDE/>
        <w:autoSpaceDN/>
        <w:bidi w:val="0"/>
        <w:spacing w:line="480" w:lineRule="auto"/>
        <w:outlineLvl w:val="9"/>
        <w:rPr>
          <w:rFonts w:ascii="仿宋_GB2312" w:eastAsia="仿宋_GB2312"/>
          <w:b/>
          <w:bCs/>
          <w:sz w:val="32"/>
          <w:szCs w:val="32"/>
          <w:u w:val="thick"/>
        </w:rPr>
      </w:pPr>
      <w:r>
        <w:rPr>
          <w:rFonts w:hint="eastAsia" w:ascii="仿宋_GB2312" w:eastAsia="仿宋_GB2312" w:cs="仿宋_GB2312"/>
          <w:sz w:val="32"/>
          <w:szCs w:val="32"/>
        </w:rPr>
        <w:t>二级学院</w:t>
      </w:r>
      <w:r>
        <w:rPr>
          <w:rFonts w:ascii="仿宋_GB2312" w:eastAsia="仿宋_GB2312" w:cs="仿宋_GB2312"/>
          <w:sz w:val="32"/>
          <w:szCs w:val="32"/>
        </w:rPr>
        <w:t>/DEPARTMENT:</w:t>
      </w:r>
    </w:p>
    <w:p>
      <w:pPr>
        <w:pageBreakBefore w:val="0"/>
        <w:kinsoku/>
        <w:overflowPunct/>
        <w:topLinePunct w:val="0"/>
        <w:autoSpaceDE/>
        <w:autoSpaceDN/>
        <w:bidi w:val="0"/>
        <w:spacing w:line="480" w:lineRule="auto"/>
        <w:outlineLvl w:val="9"/>
        <w:rPr>
          <w:rFonts w:ascii="仿宋_GB2312" w:eastAsia="仿宋_GB2312"/>
          <w:sz w:val="32"/>
          <w:szCs w:val="32"/>
        </w:rPr>
      </w:pPr>
      <w:r>
        <w:rPr>
          <w:rFonts w:hint="eastAsia" w:ascii="仿宋_GB2312" w:eastAsia="仿宋_GB2312" w:cs="仿宋_GB2312"/>
          <w:sz w:val="32"/>
          <w:szCs w:val="32"/>
        </w:rPr>
        <w:t>专业名称</w:t>
      </w:r>
      <w:r>
        <w:rPr>
          <w:rFonts w:ascii="仿宋_GB2312" w:eastAsia="仿宋_GB2312" w:cs="仿宋_GB2312"/>
          <w:sz w:val="32"/>
          <w:szCs w:val="32"/>
        </w:rPr>
        <w:t>/MAJOR:</w:t>
      </w: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ascii="楷体_GB2312" w:eastAsia="楷体_GB2312"/>
          <w:b/>
          <w:bCs/>
          <w:sz w:val="24"/>
          <w:u w:val="thick"/>
        </w:rPr>
      </w:pPr>
      <w:r>
        <w:rPr>
          <w:rFonts w:hint="eastAsia" w:ascii="楷体_GB2312" w:eastAsia="楷体_GB2312" w:cs="楷体_GB2312"/>
          <w:sz w:val="24"/>
        </w:rPr>
        <w:t>填报日期</w:t>
      </w:r>
      <w:r>
        <w:rPr>
          <w:rFonts w:ascii="楷体_GB2312" w:eastAsia="楷体_GB2312" w:cs="楷体_GB2312"/>
          <w:sz w:val="24"/>
        </w:rPr>
        <w:t>/DATE</w:t>
      </w:r>
      <w:r>
        <w:rPr>
          <w:rFonts w:hint="eastAsia" w:ascii="楷体_GB2312" w:eastAsia="楷体_GB2312" w:cs="楷体_GB2312"/>
          <w:sz w:val="24"/>
        </w:rPr>
        <w:t>：年</w:t>
      </w:r>
      <w:r>
        <w:rPr>
          <w:rFonts w:ascii="楷体_GB2312" w:eastAsia="楷体_GB2312" w:cs="楷体_GB2312"/>
          <w:sz w:val="24"/>
        </w:rPr>
        <w:t xml:space="preserve">/YEAR    </w:t>
      </w:r>
      <w:r>
        <w:rPr>
          <w:rFonts w:hint="eastAsia" w:ascii="楷体_GB2312" w:eastAsia="楷体_GB2312" w:cs="楷体_GB2312"/>
          <w:sz w:val="24"/>
        </w:rPr>
        <w:t>月</w:t>
      </w:r>
      <w:r>
        <w:rPr>
          <w:rFonts w:ascii="楷体_GB2312" w:eastAsia="楷体_GB2312" w:cs="楷体_GB2312"/>
          <w:sz w:val="24"/>
        </w:rPr>
        <w:t xml:space="preserve">/MONTH   </w:t>
      </w:r>
      <w:r>
        <w:rPr>
          <w:rFonts w:hint="eastAsia" w:ascii="楷体_GB2312" w:eastAsia="楷体_GB2312" w:cs="楷体_GB2312"/>
          <w:sz w:val="24"/>
        </w:rPr>
        <w:t>日</w:t>
      </w:r>
      <w:r>
        <w:rPr>
          <w:rFonts w:ascii="楷体_GB2312" w:eastAsia="楷体_GB2312" w:cs="楷体_GB2312"/>
          <w:sz w:val="24"/>
        </w:rPr>
        <w:t>/DAY</w:t>
      </w: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spacing w:line="300" w:lineRule="exact"/>
        <w:jc w:val="center"/>
        <w:outlineLvl w:val="9"/>
        <w:rPr>
          <w:rFonts w:ascii="楷体_GB2312" w:eastAsia="楷体_GB2312"/>
          <w:szCs w:val="28"/>
        </w:rPr>
      </w:pPr>
      <w:r>
        <w:rPr>
          <w:rFonts w:hint="eastAsia" w:ascii="楷体_GB2312" w:eastAsia="楷体_GB2312" w:cs="楷体_GB2312"/>
          <w:szCs w:val="28"/>
        </w:rPr>
        <w:t>柳州职业技术学院</w:t>
      </w:r>
    </w:p>
    <w:p>
      <w:pPr>
        <w:pageBreakBefore w:val="0"/>
        <w:kinsoku/>
        <w:overflowPunct/>
        <w:topLinePunct w:val="0"/>
        <w:autoSpaceDE/>
        <w:autoSpaceDN/>
        <w:bidi w:val="0"/>
        <w:spacing w:line="300" w:lineRule="exact"/>
        <w:ind w:firstLine="1680" w:firstLineChars="700"/>
        <w:outlineLvl w:val="9"/>
        <w:rPr>
          <w:rFonts w:ascii="楷体_GB2312" w:eastAsia="楷体_GB2312" w:cs="楷体_GB2312"/>
          <w:sz w:val="24"/>
        </w:rPr>
      </w:pPr>
      <w:r>
        <w:rPr>
          <w:rFonts w:hint="eastAsia" w:ascii="楷体_GB2312" w:eastAsia="楷体_GB2312" w:cs="楷体_GB2312"/>
          <w:sz w:val="24"/>
        </w:rPr>
        <w:t>LIUZHOU</w:t>
      </w:r>
      <w:r>
        <w:rPr>
          <w:rFonts w:ascii="楷体_GB2312" w:eastAsia="楷体_GB2312" w:cs="楷体_GB2312"/>
          <w:sz w:val="24"/>
        </w:rPr>
        <w:t xml:space="preserve"> VOCATIONAL &amp; TECHNICAL COLLE</w:t>
      </w:r>
      <w:r>
        <w:rPr>
          <w:rFonts w:hint="eastAsia" w:ascii="楷体_GB2312" w:eastAsia="楷体_GB2312" w:cs="楷体_GB2312"/>
          <w:sz w:val="24"/>
        </w:rPr>
        <w:t>GE</w:t>
      </w:r>
      <w:r>
        <w:rPr>
          <w:rFonts w:ascii="楷体_GB2312" w:eastAsia="楷体_GB2312" w:cs="楷体_GB2312"/>
          <w:sz w:val="24"/>
        </w:rPr>
        <w:br w:type="page"/>
      </w:r>
    </w:p>
    <w:p>
      <w:pPr>
        <w:pageBreakBefore w:val="0"/>
        <w:kinsoku/>
        <w:overflowPunct/>
        <w:topLinePunct w:val="0"/>
        <w:autoSpaceDE/>
        <w:autoSpaceDN/>
        <w:bidi w:val="0"/>
        <w:spacing w:line="300" w:lineRule="exact"/>
        <w:outlineLvl w:val="9"/>
        <w:rPr>
          <w:b/>
          <w:bCs/>
          <w:szCs w:val="28"/>
        </w:rPr>
      </w:pPr>
      <w:r>
        <w:rPr>
          <w:rFonts w:hint="eastAsia" w:ascii="仿宋_GB2312" w:eastAsia="仿宋_GB2312" w:cs="仿宋_GB2312"/>
          <w:b/>
          <w:bCs/>
          <w:szCs w:val="28"/>
        </w:rPr>
        <w:t>申请人保证</w:t>
      </w:r>
      <w:r>
        <w:rPr>
          <w:rFonts w:ascii="仿宋_GB2312" w:eastAsia="仿宋_GB2312" w:cs="仿宋_GB2312"/>
          <w:b/>
          <w:bCs/>
          <w:szCs w:val="28"/>
        </w:rPr>
        <w:t>/</w:t>
      </w:r>
      <w:r>
        <w:rPr>
          <w:b/>
          <w:bCs/>
          <w:szCs w:val="28"/>
        </w:rPr>
        <w:t>I Hereby Affirm That</w:t>
      </w:r>
    </w:p>
    <w:p>
      <w:pPr>
        <w:pageBreakBefore w:val="0"/>
        <w:kinsoku/>
        <w:overflowPunct/>
        <w:topLinePunct w:val="0"/>
        <w:autoSpaceDE/>
        <w:autoSpaceDN/>
        <w:bidi w:val="0"/>
        <w:spacing w:line="320" w:lineRule="exact"/>
        <w:jc w:val="center"/>
        <w:outlineLvl w:val="9"/>
        <w:rPr>
          <w:b/>
          <w:bCs/>
          <w:sz w:val="24"/>
        </w:rPr>
      </w:pPr>
    </w:p>
    <w:p>
      <w:pPr>
        <w:pageBreakBefore w:val="0"/>
        <w:kinsoku/>
        <w:overflowPunct/>
        <w:topLinePunct w:val="0"/>
        <w:autoSpaceDE/>
        <w:autoSpaceDN/>
        <w:bidi w:val="0"/>
        <w:spacing w:line="320" w:lineRule="exact"/>
        <w:jc w:val="center"/>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1. </w:t>
      </w:r>
      <w:r>
        <w:rPr>
          <w:rFonts w:hint="eastAsia" w:ascii="仿宋_GB2312" w:eastAsia="仿宋_GB2312" w:cs="仿宋_GB2312"/>
          <w:sz w:val="24"/>
        </w:rPr>
        <w:t>申请表中所填写的内容和提供的材料真实无误。</w:t>
      </w:r>
    </w:p>
    <w:p>
      <w:pPr>
        <w:pageBreakBefore w:val="0"/>
        <w:kinsoku/>
        <w:overflowPunct/>
        <w:topLinePunct w:val="0"/>
        <w:autoSpaceDE/>
        <w:autoSpaceDN/>
        <w:bidi w:val="0"/>
        <w:spacing w:line="320" w:lineRule="exact"/>
        <w:outlineLvl w:val="9"/>
        <w:rPr>
          <w:sz w:val="24"/>
        </w:rPr>
      </w:pPr>
      <w:r>
        <w:rPr>
          <w:sz w:val="24"/>
        </w:rPr>
        <w:t>All information and materials given in this form are true and correct.</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2. </w:t>
      </w:r>
      <w:r>
        <w:rPr>
          <w:rFonts w:hint="eastAsia" w:ascii="仿宋_GB2312" w:eastAsia="仿宋_GB2312" w:cs="仿宋_GB2312"/>
          <w:sz w:val="24"/>
        </w:rPr>
        <w:t>在华期间，遵守中国的法律、法规，不从事任何危害中国社会秩序的、与本人来华学习身份不符合的活动。</w:t>
      </w:r>
    </w:p>
    <w:p>
      <w:pPr>
        <w:pageBreakBefore w:val="0"/>
        <w:kinsoku/>
        <w:overflowPunct/>
        <w:topLinePunct w:val="0"/>
        <w:autoSpaceDE/>
        <w:autoSpaceDN/>
        <w:bidi w:val="0"/>
        <w:spacing w:line="320" w:lineRule="exact"/>
        <w:outlineLvl w:val="9"/>
        <w:rPr>
          <w:sz w:val="24"/>
        </w:rPr>
      </w:pPr>
      <w:r>
        <w:rPr>
          <w:sz w:val="24"/>
        </w:rPr>
        <w:t>During my stay in China, I shall abide by the laws and decrees of the Chinese government, and will not participate in any activities in China which are deemed to be adverse to the social order of China and are inappropriate</w:t>
      </w:r>
      <w:bookmarkStart w:id="1787" w:name="_Toc28668_WPSOffice_Level1"/>
      <w:r>
        <w:rPr>
          <w:sz w:val="24"/>
        </w:rPr>
        <w:t xml:space="preserve"> to the </w:t>
      </w:r>
      <w:bookmarkEnd w:id="1787"/>
      <w:r>
        <w:rPr>
          <w:sz w:val="24"/>
        </w:rPr>
        <w:t>capacity as a student.</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3. </w:t>
      </w:r>
      <w:r>
        <w:rPr>
          <w:rFonts w:hint="eastAsia" w:ascii="仿宋_GB2312" w:eastAsia="仿宋_GB2312" w:cs="仿宋_GB2312"/>
          <w:sz w:val="24"/>
        </w:rPr>
        <w:t>在学期间，遵守学校的校纪、校规，全力投入学习和研究工作，尊重学校的教学安排。</w:t>
      </w:r>
    </w:p>
    <w:p>
      <w:pPr>
        <w:pageBreakBefore w:val="0"/>
        <w:kinsoku/>
        <w:overflowPunct/>
        <w:topLinePunct w:val="0"/>
        <w:autoSpaceDE/>
        <w:autoSpaceDN/>
        <w:bidi w:val="0"/>
        <w:spacing w:line="320" w:lineRule="exact"/>
        <w:outlineLvl w:val="9"/>
        <w:rPr>
          <w:sz w:val="24"/>
        </w:rPr>
      </w:pPr>
      <w:r>
        <w:rPr>
          <w:sz w:val="24"/>
        </w:rPr>
        <w:t>During my study in China, I shall abide by the rules and regu</w:t>
      </w:r>
      <w:bookmarkStart w:id="1788" w:name="_Toc24484_WPSOffice_Level1"/>
      <w:r>
        <w:rPr>
          <w:sz w:val="24"/>
        </w:rPr>
        <w:t>lations of the ho</w:t>
      </w:r>
      <w:bookmarkEnd w:id="1788"/>
      <w:r>
        <w:rPr>
          <w:sz w:val="24"/>
        </w:rPr>
        <w:t>st university, and concentrate on my studies and researches, and follow the teaching programs arranged by the university.</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4. </w:t>
      </w:r>
      <w:r>
        <w:rPr>
          <w:rFonts w:hint="eastAsia" w:ascii="仿宋_GB2312" w:eastAsia="仿宋_GB2312" w:cs="仿宋_GB2312"/>
          <w:sz w:val="24"/>
        </w:rPr>
        <w:t>按规定期限修完学业，按期回国，不无故在华滞留。</w:t>
      </w:r>
      <w:r>
        <w:rPr>
          <w:rFonts w:hint="eastAsia" w:cs="宋体"/>
          <w:sz w:val="24"/>
        </w:rPr>
        <w:t>　</w:t>
      </w:r>
    </w:p>
    <w:p>
      <w:pPr>
        <w:pageBreakBefore w:val="0"/>
        <w:kinsoku/>
        <w:overflowPunct/>
        <w:topLinePunct w:val="0"/>
        <w:autoSpaceDE/>
        <w:autoSpaceDN/>
        <w:bidi w:val="0"/>
        <w:spacing w:line="320" w:lineRule="exact"/>
        <w:outlineLvl w:val="9"/>
        <w:rPr>
          <w:sz w:val="24"/>
        </w:rPr>
      </w:pPr>
      <w:r>
        <w:rPr>
          <w:sz w:val="24"/>
        </w:rPr>
        <w:t>I shall return to my home country as soon as I complete my scheduled program in China, and will not extend my stay without valid reasons.</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5. </w:t>
      </w:r>
      <w:r>
        <w:rPr>
          <w:rFonts w:hint="eastAsia" w:ascii="仿宋_GB2312" w:eastAsia="仿宋_GB2312" w:cs="仿宋_GB2312"/>
          <w:sz w:val="24"/>
        </w:rPr>
        <w:t>如违反上述保证而受到中国法律、法规或校纪、校规的惩处，我愿意接受中止或取消奖学金及其它相应的处罚。</w:t>
      </w:r>
    </w:p>
    <w:p>
      <w:pPr>
        <w:pageBreakBefore w:val="0"/>
        <w:kinsoku/>
        <w:overflowPunct/>
        <w:topLinePunct w:val="0"/>
        <w:autoSpaceDE/>
        <w:autoSpaceDN/>
        <w:bidi w:val="0"/>
        <w:spacing w:line="320" w:lineRule="exact"/>
        <w:outlineLvl w:val="9"/>
        <w:rPr>
          <w:sz w:val="24"/>
        </w:rPr>
      </w:pPr>
      <w:r>
        <w:rPr>
          <w:sz w:val="24"/>
        </w:rPr>
        <w:t>If I am judged by the Chinese laws and decrees and the rules and regulations of the university as having violated any of the above, I will not lodge any appeal against the decision of withdrawing my scholarship, or other penalties.</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rFonts w:hint="eastAsia" w:ascii="仿宋_GB2312" w:eastAsia="仿宋_GB2312" w:cs="仿宋_GB2312"/>
          <w:sz w:val="24"/>
        </w:rPr>
        <w:t>申请人签字</w:t>
      </w:r>
      <w:r>
        <w:rPr>
          <w:sz w:val="24"/>
        </w:rPr>
        <w:t xml:space="preserve">/Signature of Applicant:____________________________ </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rFonts w:hint="eastAsia" w:ascii="仿宋_GB2312" w:eastAsia="仿宋_GB2312" w:cs="仿宋_GB2312"/>
          <w:sz w:val="24"/>
        </w:rPr>
        <w:t>日期</w:t>
      </w:r>
      <w:r>
        <w:rPr>
          <w:sz w:val="24"/>
        </w:rPr>
        <w:t>/Date:____________________</w:t>
      </w: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outlineLvl w:val="9"/>
        <w:rPr>
          <w:rFonts w:hint="eastAsia" w:ascii="楷体_GB2312" w:eastAsia="楷体_GB2312"/>
          <w:szCs w:val="28"/>
        </w:rPr>
      </w:pPr>
    </w:p>
    <w:p>
      <w:pPr>
        <w:pageBreakBefore w:val="0"/>
        <w:kinsoku/>
        <w:overflowPunct/>
        <w:topLinePunct w:val="0"/>
        <w:autoSpaceDE/>
        <w:autoSpaceDN/>
        <w:bidi w:val="0"/>
        <w:outlineLvl w:val="9"/>
        <w:rPr>
          <w:rFonts w:hint="eastAsia" w:ascii="楷体_GB2312" w:eastAsia="楷体_GB2312"/>
          <w:szCs w:val="28"/>
        </w:rPr>
      </w:pPr>
    </w:p>
    <w:p>
      <w:pPr>
        <w:pageBreakBefore w:val="0"/>
        <w:kinsoku/>
        <w:overflowPunct/>
        <w:topLinePunct w:val="0"/>
        <w:autoSpaceDE/>
        <w:autoSpaceDN/>
        <w:bidi w:val="0"/>
        <w:outlineLvl w:val="9"/>
        <w:rPr>
          <w:rFonts w:hint="eastAsia" w:ascii="楷体_GB2312" w:eastAsia="楷体_GB2312"/>
          <w:szCs w:val="28"/>
        </w:rPr>
      </w:pPr>
    </w:p>
    <w:tbl>
      <w:tblPr>
        <w:tblStyle w:val="14"/>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
        <w:gridCol w:w="306"/>
        <w:gridCol w:w="2576"/>
        <w:gridCol w:w="3969"/>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exact"/>
          <w:jc w:val="center"/>
        </w:trPr>
        <w:tc>
          <w:tcPr>
            <w:tcW w:w="7196" w:type="dxa"/>
            <w:gridSpan w:val="4"/>
            <w:vAlign w:val="center"/>
          </w:tcPr>
          <w:p>
            <w:pPr>
              <w:pageBreakBefore w:val="0"/>
              <w:numPr>
                <w:ilvl w:val="0"/>
                <w:numId w:val="15"/>
              </w:numPr>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申请人基本情况</w:t>
            </w:r>
            <w:r>
              <w:rPr>
                <w:rFonts w:eastAsia="仿宋_GB2312"/>
                <w:b/>
                <w:bCs/>
                <w:sz w:val="24"/>
              </w:rPr>
              <w:t>/Information of the Candidate</w:t>
            </w:r>
          </w:p>
        </w:tc>
        <w:tc>
          <w:tcPr>
            <w:tcW w:w="1732" w:type="dxa"/>
            <w:vMerge w:val="restart"/>
            <w:vAlign w:val="center"/>
          </w:tcPr>
          <w:p>
            <w:pPr>
              <w:pageBreakBefore w:val="0"/>
              <w:widowControl/>
              <w:kinsoku/>
              <w:overflowPunct/>
              <w:topLinePunct w:val="0"/>
              <w:autoSpaceDE/>
              <w:autoSpaceDN/>
              <w:bidi w:val="0"/>
              <w:jc w:val="center"/>
              <w:outlineLvl w:val="9"/>
              <w:rPr>
                <w:rFonts w:eastAsia="仿宋_GB2312"/>
                <w:sz w:val="24"/>
              </w:rPr>
            </w:pPr>
            <w:r>
              <w:rPr>
                <w:rFonts w:hint="eastAsia" w:eastAsia="仿宋_GB2312" w:cs="仿宋_GB2312"/>
                <w:sz w:val="24"/>
              </w:rPr>
              <w:t>照片</w:t>
            </w:r>
          </w:p>
          <w:p>
            <w:pPr>
              <w:pageBreakBefore w:val="0"/>
              <w:kinsoku/>
              <w:overflowPunct/>
              <w:topLinePunct w:val="0"/>
              <w:autoSpaceDE/>
              <w:autoSpaceDN/>
              <w:bidi w:val="0"/>
              <w:spacing w:line="280" w:lineRule="exact"/>
              <w:jc w:val="center"/>
              <w:outlineLvl w:val="9"/>
              <w:rPr>
                <w:rFonts w:eastAsia="仿宋_GB2312"/>
              </w:rPr>
            </w:pPr>
            <w:r>
              <w:rPr>
                <w:rFonts w:eastAsia="仿宋_GB2312"/>
              </w:rPr>
              <w:t>(</w:t>
            </w:r>
            <w:r>
              <w:rPr>
                <w:rFonts w:hint="eastAsia" w:eastAsia="仿宋_GB2312" w:cs="仿宋_GB2312"/>
              </w:rPr>
              <w:t>小二寸</w:t>
            </w:r>
            <w:r>
              <w:rPr>
                <w:rFonts w:eastAsia="仿宋_GB2312"/>
              </w:rPr>
              <w:t>)</w:t>
            </w:r>
          </w:p>
          <w:p>
            <w:pPr>
              <w:pageBreakBefore w:val="0"/>
              <w:kinsoku/>
              <w:overflowPunct/>
              <w:topLinePunct w:val="0"/>
              <w:autoSpaceDE/>
              <w:autoSpaceDN/>
              <w:bidi w:val="0"/>
              <w:spacing w:line="280" w:lineRule="exact"/>
              <w:jc w:val="center"/>
              <w:outlineLvl w:val="9"/>
              <w:rPr>
                <w:rFonts w:eastAsia="仿宋_GB2312"/>
                <w:sz w:val="24"/>
              </w:rPr>
            </w:pPr>
            <w:r>
              <w:rPr>
                <w:rFonts w:eastAsia="仿宋_GB2312"/>
              </w:rPr>
              <w:t>35mm×45mm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3227" w:type="dxa"/>
            <w:gridSpan w:val="3"/>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姓</w:t>
            </w:r>
            <w:r>
              <w:rPr>
                <w:rFonts w:eastAsia="仿宋_GB2312"/>
                <w:sz w:val="24"/>
              </w:rPr>
              <w:t>/Family Name:</w:t>
            </w:r>
          </w:p>
          <w:p>
            <w:pPr>
              <w:pageBreakBefore w:val="0"/>
              <w:kinsoku/>
              <w:overflowPunct/>
              <w:topLinePunct w:val="0"/>
              <w:autoSpaceDE/>
              <w:autoSpaceDN/>
              <w:bidi w:val="0"/>
              <w:spacing w:line="280" w:lineRule="exact"/>
              <w:outlineLvl w:val="9"/>
              <w:rPr>
                <w:rFonts w:eastAsia="仿宋_GB2312"/>
                <w:sz w:val="24"/>
              </w:rPr>
            </w:pPr>
          </w:p>
        </w:tc>
        <w:tc>
          <w:tcPr>
            <w:tcW w:w="3969" w:type="dxa"/>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名</w:t>
            </w:r>
            <w:r>
              <w:rPr>
                <w:rFonts w:eastAsia="仿宋_GB2312"/>
                <w:sz w:val="24"/>
              </w:rPr>
              <w:t>/Given Name:</w:t>
            </w:r>
          </w:p>
        </w:tc>
        <w:tc>
          <w:tcPr>
            <w:tcW w:w="1732" w:type="dxa"/>
            <w:vMerge w:val="continue"/>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6" w:hRule="exact"/>
          <w:jc w:val="center"/>
        </w:trPr>
        <w:tc>
          <w:tcPr>
            <w:tcW w:w="3227" w:type="dxa"/>
            <w:gridSpan w:val="3"/>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性别</w:t>
            </w:r>
            <w:r>
              <w:rPr>
                <w:rFonts w:eastAsia="仿宋_GB2312"/>
                <w:sz w:val="24"/>
              </w:rPr>
              <w:t>/Gender:</w:t>
            </w:r>
          </w:p>
        </w:tc>
        <w:tc>
          <w:tcPr>
            <w:tcW w:w="3969" w:type="dxa"/>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国籍</w:t>
            </w:r>
            <w:r>
              <w:rPr>
                <w:rFonts w:eastAsia="仿宋_GB2312"/>
                <w:sz w:val="24"/>
              </w:rPr>
              <w:t>/Nationality:</w:t>
            </w:r>
          </w:p>
        </w:tc>
        <w:tc>
          <w:tcPr>
            <w:tcW w:w="1732" w:type="dxa"/>
            <w:vMerge w:val="continue"/>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3227" w:type="dxa"/>
            <w:gridSpan w:val="3"/>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出生日期</w:t>
            </w:r>
            <w:r>
              <w:rPr>
                <w:rFonts w:eastAsia="仿宋_GB2312"/>
                <w:sz w:val="24"/>
              </w:rPr>
              <w:t>/D.O.B.:</w:t>
            </w:r>
          </w:p>
        </w:tc>
        <w:tc>
          <w:tcPr>
            <w:tcW w:w="3969" w:type="dxa"/>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护照号码</w:t>
            </w:r>
            <w:r>
              <w:rPr>
                <w:rFonts w:eastAsia="仿宋_GB2312"/>
                <w:sz w:val="24"/>
              </w:rPr>
              <w:t>/Passport No.:</w:t>
            </w:r>
          </w:p>
        </w:tc>
        <w:tc>
          <w:tcPr>
            <w:tcW w:w="1732" w:type="dxa"/>
            <w:vMerge w:val="continue"/>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jc w:val="center"/>
        </w:trPr>
        <w:tc>
          <w:tcPr>
            <w:tcW w:w="8928" w:type="dxa"/>
            <w:gridSpan w:val="5"/>
            <w:vAlign w:val="center"/>
          </w:tcPr>
          <w:p>
            <w:pPr>
              <w:pageBreakBefore w:val="0"/>
              <w:kinsoku/>
              <w:overflowPunct/>
              <w:topLinePunct w:val="0"/>
              <w:autoSpaceDE/>
              <w:autoSpaceDN/>
              <w:bidi w:val="0"/>
              <w:spacing w:line="280" w:lineRule="exact"/>
              <w:outlineLvl w:val="9"/>
              <w:rPr>
                <w:rFonts w:eastAsia="仿宋_GB2312"/>
                <w:b/>
                <w:bCs/>
                <w:sz w:val="24"/>
              </w:rPr>
            </w:pPr>
            <w:r>
              <w:rPr>
                <w:rFonts w:eastAsia="仿宋_GB2312"/>
                <w:b/>
                <w:bCs/>
                <w:sz w:val="24"/>
              </w:rPr>
              <w:t xml:space="preserve">2. </w:t>
            </w:r>
            <w:r>
              <w:rPr>
                <w:rFonts w:hint="eastAsia" w:eastAsia="仿宋_GB2312" w:cs="仿宋_GB2312"/>
                <w:b/>
                <w:bCs/>
                <w:sz w:val="24"/>
              </w:rPr>
              <w:t>所在学院</w:t>
            </w:r>
            <w:r>
              <w:rPr>
                <w:rFonts w:eastAsia="仿宋_GB2312"/>
                <w:b/>
                <w:bCs/>
                <w:sz w:val="24"/>
              </w:rPr>
              <w:t>/Department</w:t>
            </w:r>
            <w:r>
              <w:rPr>
                <w:rFonts w:hint="eastAsia" w:eastAsia="仿宋_GB2312" w:cs="仿宋_GB2312"/>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atLeast"/>
          <w:jc w:val="center"/>
        </w:trPr>
        <w:tc>
          <w:tcPr>
            <w:tcW w:w="345" w:type="dxa"/>
            <w:vMerge w:val="restart"/>
            <w:vAlign w:val="center"/>
          </w:tcPr>
          <w:p>
            <w:pPr>
              <w:pageBreakBefore w:val="0"/>
              <w:kinsoku/>
              <w:overflowPunct/>
              <w:topLinePunct w:val="0"/>
              <w:autoSpaceDE/>
              <w:autoSpaceDN/>
              <w:bidi w:val="0"/>
              <w:spacing w:line="280" w:lineRule="exact"/>
              <w:jc w:val="center"/>
              <w:outlineLvl w:val="9"/>
              <w:rPr>
                <w:rFonts w:eastAsia="仿宋_GB2312"/>
                <w:b/>
                <w:bCs/>
                <w:sz w:val="24"/>
              </w:rPr>
            </w:pPr>
            <w:r>
              <w:rPr>
                <w:rFonts w:hint="eastAsia" w:eastAsia="仿宋_GB2312"/>
                <w:b/>
                <w:bCs/>
                <w:sz w:val="24"/>
              </w:rPr>
              <w:t>3</w:t>
            </w:r>
          </w:p>
        </w:tc>
        <w:tc>
          <w:tcPr>
            <w:tcW w:w="8583" w:type="dxa"/>
            <w:gridSpan w:val="4"/>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专业</w:t>
            </w:r>
            <w:r>
              <w:rPr>
                <w:rFonts w:eastAsia="仿宋_GB2312"/>
                <w:b/>
                <w:bCs/>
                <w:sz w:val="24"/>
              </w:rPr>
              <w:t xml:space="preserve">/Major: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jc w:val="center"/>
        </w:trPr>
        <w:tc>
          <w:tcPr>
            <w:tcW w:w="345" w:type="dxa"/>
            <w:vMerge w:val="continue"/>
            <w:vAlign w:val="center"/>
          </w:tcPr>
          <w:p>
            <w:pPr>
              <w:pageBreakBefore w:val="0"/>
              <w:kinsoku/>
              <w:overflowPunct/>
              <w:topLinePunct w:val="0"/>
              <w:autoSpaceDE/>
              <w:autoSpaceDN/>
              <w:bidi w:val="0"/>
              <w:spacing w:line="280" w:lineRule="exact"/>
              <w:outlineLvl w:val="9"/>
              <w:rPr>
                <w:rFonts w:eastAsia="仿宋_GB2312"/>
                <w:sz w:val="24"/>
              </w:rPr>
            </w:pPr>
          </w:p>
        </w:tc>
        <w:tc>
          <w:tcPr>
            <w:tcW w:w="8583" w:type="dxa"/>
            <w:gridSpan w:val="4"/>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入学时间</w:t>
            </w:r>
            <w:r>
              <w:rPr>
                <w:rFonts w:eastAsia="仿宋_GB2312"/>
                <w:b/>
                <w:bCs/>
                <w:sz w:val="24"/>
              </w:rPr>
              <w:t>/Date of Enrollment: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b/>
                <w:bCs/>
                <w:sz w:val="24"/>
              </w:rPr>
              <w:t>4</w:t>
            </w:r>
            <w:r>
              <w:rPr>
                <w:rFonts w:eastAsia="仿宋_GB2312"/>
                <w:b/>
                <w:bCs/>
                <w:sz w:val="24"/>
              </w:rPr>
              <w:t xml:space="preserve">. </w:t>
            </w:r>
            <w:r>
              <w:rPr>
                <w:rFonts w:hint="eastAsia" w:eastAsia="仿宋_GB2312" w:cs="仿宋_GB2312"/>
                <w:b/>
                <w:bCs/>
                <w:sz w:val="24"/>
              </w:rPr>
              <w:t>汉语能力</w:t>
            </w:r>
            <w:r>
              <w:rPr>
                <w:rFonts w:eastAsia="仿宋_GB2312"/>
                <w:b/>
                <w:bCs/>
                <w:sz w:val="24"/>
              </w:rPr>
              <w:t xml:space="preserve">/Chinese Language Proficiency: </w:t>
            </w:r>
          </w:p>
          <w:p>
            <w:pPr>
              <w:pageBreakBefore w:val="0"/>
              <w:kinsoku/>
              <w:overflowPunct/>
              <w:topLinePunct w:val="0"/>
              <w:autoSpaceDE/>
              <w:autoSpaceDN/>
              <w:bidi w:val="0"/>
              <w:spacing w:line="280" w:lineRule="exact"/>
              <w:ind w:firstLine="315" w:firstLineChars="150"/>
              <w:outlineLvl w:val="9"/>
              <w:rPr>
                <w:rFonts w:eastAsia="仿宋_GB2312"/>
                <w:b/>
                <w:bCs/>
                <w:sz w:val="24"/>
              </w:rPr>
            </w:pPr>
            <w:r>
              <w:rPr>
                <w:rFonts w:hint="eastAsia" w:eastAsia="仿宋_GB2312" w:cs="仿宋_GB2312"/>
              </w:rPr>
              <w:t>□很好</w:t>
            </w:r>
            <w:r>
              <w:rPr>
                <w:rFonts w:eastAsia="仿宋_GB2312"/>
              </w:rPr>
              <w:t xml:space="preserve">/Excellent; </w:t>
            </w:r>
            <w:r>
              <w:rPr>
                <w:rFonts w:hint="eastAsia" w:eastAsia="仿宋_GB2312" w:cs="仿宋_GB2312"/>
              </w:rPr>
              <w:t>□好</w:t>
            </w:r>
            <w:r>
              <w:rPr>
                <w:rFonts w:eastAsia="仿宋_GB2312"/>
              </w:rPr>
              <w:t xml:space="preserve">/Good; </w:t>
            </w:r>
            <w:r>
              <w:rPr>
                <w:rFonts w:hint="eastAsia" w:eastAsia="仿宋_GB2312" w:cs="仿宋_GB2312"/>
              </w:rPr>
              <w:t>□较好</w:t>
            </w:r>
            <w:r>
              <w:rPr>
                <w:rFonts w:eastAsia="仿宋_GB2312"/>
              </w:rPr>
              <w:t xml:space="preserve">/Fair; </w:t>
            </w:r>
            <w:r>
              <w:rPr>
                <w:rFonts w:hint="eastAsia" w:eastAsia="仿宋_GB2312" w:cs="仿宋_GB2312"/>
              </w:rPr>
              <w:t>□差</w:t>
            </w:r>
            <w:r>
              <w:rPr>
                <w:rFonts w:eastAsia="仿宋_GB2312"/>
              </w:rPr>
              <w:t xml:space="preserve">/Poor; </w:t>
            </w:r>
            <w:r>
              <w:rPr>
                <w:rFonts w:hint="eastAsia" w:eastAsia="仿宋_GB2312" w:cs="仿宋_GB2312"/>
              </w:rPr>
              <w:t>□不会</w:t>
            </w:r>
            <w:r>
              <w:rPr>
                <w:rFonts w:eastAsia="仿宋_GB2312"/>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vAlign w:val="center"/>
          </w:tcPr>
          <w:p>
            <w:pPr>
              <w:pageBreakBefore w:val="0"/>
              <w:kinsoku/>
              <w:overflowPunct/>
              <w:topLinePunct w:val="0"/>
              <w:autoSpaceDE/>
              <w:autoSpaceDN/>
              <w:bidi w:val="0"/>
              <w:spacing w:line="280" w:lineRule="exact"/>
              <w:outlineLvl w:val="9"/>
              <w:rPr>
                <w:rFonts w:eastAsia="仿宋_GB2312"/>
                <w:sz w:val="24"/>
              </w:rPr>
            </w:pPr>
            <w:r>
              <w:rPr>
                <w:rFonts w:eastAsia="仿宋_GB2312"/>
                <w:sz w:val="24"/>
              </w:rPr>
              <w:t>HSK</w:t>
            </w:r>
            <w:r>
              <w:rPr>
                <w:rFonts w:hint="eastAsia" w:eastAsia="仿宋_GB2312" w:cs="仿宋_GB2312"/>
                <w:sz w:val="24"/>
              </w:rPr>
              <w:t>考试等级或其他类型汉语考试成绩</w:t>
            </w:r>
            <w:r>
              <w:rPr>
                <w:rFonts w:eastAsia="仿宋_GB2312"/>
                <w:sz w:val="24"/>
              </w:rPr>
              <w:t>/Level of New HSK Test or Other Certificates Which Can Show Your Chinese Level</w:t>
            </w:r>
            <w:bookmarkStart w:id="1789" w:name="_Toc23382_WPSOffice_Level1"/>
            <w:r>
              <w:rPr>
                <w:rFonts w:eastAsia="仿宋_GB2312"/>
                <w:sz w:val="24"/>
              </w:rPr>
              <w:t>:</w:t>
            </w:r>
          </w:p>
          <w:p>
            <w:pPr>
              <w:pageBreakBefore w:val="0"/>
              <w:kinsoku/>
              <w:overflowPunct/>
              <w:topLinePunct w:val="0"/>
              <w:autoSpaceDE/>
              <w:autoSpaceDN/>
              <w:bidi w:val="0"/>
              <w:spacing w:line="280" w:lineRule="exact"/>
              <w:outlineLvl w:val="9"/>
              <w:rPr>
                <w:rFonts w:hint="eastAsia" w:eastAsia="仿宋_GB2312"/>
                <w:b/>
                <w:bCs/>
                <w:sz w:val="24"/>
              </w:rPr>
            </w:pPr>
          </w:p>
          <w:p>
            <w:pPr>
              <w:pageBreakBefore w:val="0"/>
              <w:kinsoku/>
              <w:overflowPunct/>
              <w:topLinePunct w:val="0"/>
              <w:autoSpaceDE/>
              <w:autoSpaceDN/>
              <w:bidi w:val="0"/>
              <w:spacing w:line="280" w:lineRule="exact"/>
              <w:outlineLvl w:val="9"/>
              <w:rPr>
                <w:rFonts w:hint="eastAsia" w:eastAsia="仿宋_GB2312"/>
                <w:b/>
                <w:bCs/>
                <w:sz w:val="24"/>
              </w:rPr>
            </w:pPr>
          </w:p>
          <w:p>
            <w:pPr>
              <w:pageBreakBefore w:val="0"/>
              <w:kinsoku/>
              <w:overflowPunct/>
              <w:topLinePunct w:val="0"/>
              <w:autoSpaceDE/>
              <w:autoSpaceDN/>
              <w:bidi w:val="0"/>
              <w:spacing w:line="280" w:lineRule="exact"/>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b/>
                <w:bCs/>
                <w:sz w:val="24"/>
              </w:rPr>
              <w:t>5</w:t>
            </w:r>
            <w:r>
              <w:rPr>
                <w:rFonts w:eastAsia="仿宋_GB2312"/>
                <w:b/>
                <w:bCs/>
                <w:sz w:val="24"/>
              </w:rPr>
              <w:t xml:space="preserve">. </w:t>
            </w:r>
            <w:r>
              <w:rPr>
                <w:rFonts w:hint="eastAsia" w:eastAsia="仿宋_GB2312" w:cs="仿宋_GB2312"/>
                <w:b/>
                <w:bCs/>
                <w:sz w:val="24"/>
              </w:rPr>
              <w:t>通讯地址、电话及电子邮件</w:t>
            </w:r>
            <w:bookmarkEnd w:id="1789"/>
            <w:r>
              <w:rPr>
                <w:rFonts w:eastAsia="仿宋_GB2312"/>
                <w:b/>
                <w:bCs/>
                <w:sz w:val="24"/>
              </w:rPr>
              <w:t>/</w:t>
            </w:r>
            <w:bookmarkStart w:id="1790" w:name="_Toc19055_WPSOffice_Level1"/>
            <w:r>
              <w:rPr>
                <w:rFonts w:eastAsia="仿宋_GB2312"/>
                <w:b/>
                <w:bCs/>
                <w:sz w:val="24"/>
              </w:rPr>
              <w:t>Home Add., Tel. and E-</w:t>
            </w:r>
            <w:bookmarkEnd w:id="1790"/>
            <w:r>
              <w:rPr>
                <w:rFonts w:eastAsia="仿宋_GB2312"/>
                <w:b/>
                <w:bCs/>
                <w:sz w:val="24"/>
              </w:rPr>
              <w:t>mail.</w:t>
            </w:r>
            <w:r>
              <w:rPr>
                <w:rFonts w:hint="eastAsia" w:eastAsia="仿宋_GB2312" w:cs="仿宋_GB2312"/>
                <w:b/>
                <w:bCs/>
                <w:sz w:val="24"/>
              </w:rPr>
              <w:t>：</w:t>
            </w:r>
          </w:p>
          <w:p>
            <w:pPr>
              <w:pageBreakBefore w:val="0"/>
              <w:kinsoku/>
              <w:overflowPunct/>
              <w:topLinePunct w:val="0"/>
              <w:autoSpaceDE/>
              <w:autoSpaceDN/>
              <w:bidi w:val="0"/>
              <w:spacing w:line="280" w:lineRule="exact"/>
              <w:outlineLvl w:val="9"/>
              <w:rPr>
                <w:rFonts w:eastAsia="仿宋_GB2312"/>
                <w:b/>
                <w:bCs/>
                <w:sz w:val="24"/>
              </w:rPr>
            </w:pPr>
          </w:p>
          <w:p>
            <w:pPr>
              <w:pageBreakBefore w:val="0"/>
              <w:kinsoku/>
              <w:overflowPunct/>
              <w:topLinePunct w:val="0"/>
              <w:autoSpaceDE/>
              <w:autoSpaceDN/>
              <w:bidi w:val="0"/>
              <w:spacing w:line="280" w:lineRule="exact"/>
              <w:outlineLvl w:val="9"/>
              <w:rPr>
                <w:rFonts w:hint="eastAsia" w:eastAsia="仿宋_GB2312"/>
                <w:sz w:val="24"/>
              </w:rPr>
            </w:pPr>
            <w:bookmarkStart w:id="1791" w:name="_Toc20485_WPSOffice_Level1"/>
          </w:p>
          <w:p>
            <w:pPr>
              <w:pageBreakBefore w:val="0"/>
              <w:kinsoku/>
              <w:overflowPunct/>
              <w:topLinePunct w:val="0"/>
              <w:autoSpaceDE/>
              <w:autoSpaceDN/>
              <w:bidi w:val="0"/>
              <w:spacing w:line="280" w:lineRule="exact"/>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1" w:hRule="atLeast"/>
          <w:jc w:val="center"/>
        </w:trPr>
        <w:tc>
          <w:tcPr>
            <w:tcW w:w="8928" w:type="dxa"/>
            <w:gridSpan w:val="5"/>
          </w:tcPr>
          <w:p>
            <w:pPr>
              <w:pageBreakBefore w:val="0"/>
              <w:kinsoku/>
              <w:overflowPunct/>
              <w:topLinePunct w:val="0"/>
              <w:autoSpaceDE/>
              <w:autoSpaceDN/>
              <w:bidi w:val="0"/>
              <w:outlineLvl w:val="9"/>
              <w:rPr>
                <w:rFonts w:eastAsia="仿宋_GB2312"/>
                <w:b/>
                <w:bCs/>
                <w:sz w:val="24"/>
              </w:rPr>
            </w:pPr>
            <w:r>
              <w:rPr>
                <w:rFonts w:hint="eastAsia" w:eastAsia="仿宋_GB2312"/>
                <w:b/>
                <w:bCs/>
                <w:sz w:val="24"/>
              </w:rPr>
              <w:t>6</w:t>
            </w:r>
            <w:bookmarkEnd w:id="1791"/>
            <w:r>
              <w:rPr>
                <w:rFonts w:eastAsia="仿宋_GB2312"/>
                <w:b/>
                <w:bCs/>
                <w:sz w:val="24"/>
              </w:rPr>
              <w:t xml:space="preserve">. </w:t>
            </w:r>
            <w:r>
              <w:rPr>
                <w:rFonts w:hint="eastAsia" w:eastAsia="仿宋_GB2312" w:cs="仿宋_GB2312"/>
                <w:b/>
                <w:bCs/>
                <w:sz w:val="24"/>
              </w:rPr>
              <w:t>本人简历（从高中开始）</w:t>
            </w:r>
            <w:r>
              <w:rPr>
                <w:rFonts w:eastAsia="仿宋_GB2312"/>
                <w:b/>
                <w:bCs/>
                <w:sz w:val="24"/>
              </w:rPr>
              <w:t>/Curriculum Vitae Starting from High School</w:t>
            </w:r>
          </w:p>
          <w:p>
            <w:pPr>
              <w:pageBreakBefore w:val="0"/>
              <w:kinsoku/>
              <w:overflowPunct/>
              <w:topLinePunct w:val="0"/>
              <w:autoSpaceDE/>
              <w:autoSpaceDN/>
              <w:bidi w:val="0"/>
              <w:outlineLvl w:val="9"/>
              <w:rPr>
                <w:rFonts w:eastAsia="仿宋_GB2312"/>
                <w:sz w:val="24"/>
              </w:rPr>
            </w:pPr>
            <w:r>
              <w:rPr>
                <w:rFonts w:eastAsia="仿宋_GB2312"/>
                <w:sz w:val="24"/>
              </w:rPr>
              <w:t>(</w:t>
            </w:r>
            <w:r>
              <w:rPr>
                <w:rFonts w:hint="eastAsia" w:eastAsia="仿宋_GB2312" w:cs="仿宋_GB2312"/>
                <w:sz w:val="24"/>
              </w:rPr>
              <w:t>包括单位、时间（年月</w:t>
            </w:r>
            <w:r>
              <w:rPr>
                <w:rFonts w:eastAsia="仿宋_GB2312"/>
                <w:sz w:val="24"/>
              </w:rPr>
              <w:t>—</w:t>
            </w:r>
            <w:r>
              <w:rPr>
                <w:rFonts w:hint="eastAsia" w:eastAsia="仿宋_GB2312" w:cs="仿宋_GB2312"/>
                <w:sz w:val="24"/>
              </w:rPr>
              <w:t>年月）、主修专业</w:t>
            </w:r>
            <w:r>
              <w:rPr>
                <w:rFonts w:eastAsia="仿宋_GB2312"/>
                <w:sz w:val="24"/>
              </w:rPr>
              <w:t>/Previous and Current Education &amp; Employer, Years Attended(from/to)</w:t>
            </w:r>
            <w:r>
              <w:rPr>
                <w:rFonts w:hint="eastAsia" w:eastAsia="仿宋_GB2312" w:cs="仿宋_GB2312"/>
                <w:sz w:val="24"/>
              </w:rPr>
              <w:t>，</w:t>
            </w:r>
            <w:r>
              <w:rPr>
                <w:rFonts w:eastAsia="仿宋_GB2312"/>
                <w:sz w:val="24"/>
              </w:rPr>
              <w:t>Fields of Study)</w:t>
            </w: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hint="eastAsia"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1" w:hRule="atLeast"/>
          <w:jc w:val="center"/>
        </w:trPr>
        <w:tc>
          <w:tcPr>
            <w:tcW w:w="8928" w:type="dxa"/>
            <w:gridSpan w:val="5"/>
          </w:tcPr>
          <w:p>
            <w:pPr>
              <w:pageBreakBefore w:val="0"/>
              <w:kinsoku/>
              <w:overflowPunct/>
              <w:topLinePunct w:val="0"/>
              <w:autoSpaceDE/>
              <w:autoSpaceDN/>
              <w:bidi w:val="0"/>
              <w:outlineLvl w:val="9"/>
              <w:rPr>
                <w:rFonts w:eastAsia="仿宋_GB2312"/>
                <w:sz w:val="24"/>
              </w:rPr>
            </w:pPr>
            <w:r>
              <w:rPr>
                <w:rFonts w:hint="eastAsia" w:eastAsia="仿宋_GB2312"/>
                <w:b/>
                <w:bCs/>
                <w:sz w:val="24"/>
              </w:rPr>
              <w:t>7</w:t>
            </w:r>
            <w:r>
              <w:rPr>
                <w:rFonts w:eastAsia="仿宋_GB2312"/>
                <w:b/>
                <w:bCs/>
                <w:sz w:val="24"/>
              </w:rPr>
              <w:t xml:space="preserve">. </w:t>
            </w:r>
            <w:r>
              <w:rPr>
                <w:rFonts w:hint="eastAsia" w:eastAsia="仿宋_GB2312" w:cs="仿宋_GB2312"/>
                <w:b/>
                <w:bCs/>
                <w:sz w:val="24"/>
              </w:rPr>
              <w:t>参加活动和获奖励情况</w:t>
            </w:r>
            <w:r>
              <w:rPr>
                <w:rFonts w:eastAsia="仿宋_GB2312"/>
                <w:b/>
                <w:bCs/>
                <w:sz w:val="24"/>
              </w:rPr>
              <w:t>/</w:t>
            </w:r>
            <w:r>
              <w:rPr>
                <w:rFonts w:eastAsia="仿宋_GB2312"/>
                <w:sz w:val="24"/>
              </w:rPr>
              <w:t>Activities and Honors</w:t>
            </w: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hint="eastAsia" w:eastAsia="仿宋_GB2312"/>
                <w:b/>
                <w:bCs/>
                <w:sz w:val="24"/>
              </w:rPr>
            </w:pP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91" w:hRule="atLeast"/>
          <w:jc w:val="center"/>
        </w:trPr>
        <w:tc>
          <w:tcPr>
            <w:tcW w:w="8928" w:type="dxa"/>
            <w:gridSpan w:val="5"/>
          </w:tcPr>
          <w:p>
            <w:pPr>
              <w:pageBreakBefore w:val="0"/>
              <w:kinsoku/>
              <w:overflowPunct/>
              <w:topLinePunct w:val="0"/>
              <w:autoSpaceDE/>
              <w:autoSpaceDN/>
              <w:bidi w:val="0"/>
              <w:outlineLvl w:val="9"/>
              <w:rPr>
                <w:sz w:val="24"/>
              </w:rPr>
            </w:pPr>
            <w:r>
              <w:rPr>
                <w:rFonts w:hint="eastAsia" w:eastAsia="仿宋_GB2312"/>
                <w:b/>
                <w:bCs/>
                <w:sz w:val="24"/>
              </w:rPr>
              <w:t>8</w:t>
            </w:r>
            <w:r>
              <w:rPr>
                <w:rFonts w:eastAsia="仿宋_GB2312"/>
                <w:b/>
                <w:bCs/>
                <w:sz w:val="24"/>
              </w:rPr>
              <w:t>.</w:t>
            </w:r>
            <w:r>
              <w:rPr>
                <w:rFonts w:hint="eastAsia" w:eastAsia="仿宋_GB2312" w:cs="仿宋_GB2312"/>
                <w:b/>
                <w:bCs/>
                <w:sz w:val="24"/>
              </w:rPr>
              <w:t>高中会考</w:t>
            </w:r>
            <w:r>
              <w:rPr>
                <w:rFonts w:hint="eastAsia" w:ascii="仿宋_GB2312" w:eastAsia="仿宋_GB2312" w:cs="仿宋_GB2312"/>
                <w:b/>
                <w:bCs/>
                <w:sz w:val="24"/>
              </w:rPr>
              <w:t>课程成绩</w:t>
            </w:r>
            <w:r>
              <w:rPr>
                <w:rFonts w:eastAsia="仿宋_GB2312"/>
                <w:b/>
                <w:bCs/>
                <w:sz w:val="24"/>
              </w:rPr>
              <w:t>/</w:t>
            </w:r>
            <w:r>
              <w:rPr>
                <w:sz w:val="24"/>
              </w:rPr>
              <w:t>Courses and Scores of High School Graduate Test</w:t>
            </w:r>
          </w:p>
          <w:p>
            <w:pPr>
              <w:pageBreakBefore w:val="0"/>
              <w:kinsoku/>
              <w:overflowPunct/>
              <w:topLinePunct w:val="0"/>
              <w:autoSpaceDE/>
              <w:autoSpaceDN/>
              <w:bidi w:val="0"/>
              <w:outlineLvl w:val="9"/>
              <w:rPr>
                <w:rFonts w:eastAsia="仿宋_GB2312"/>
                <w:sz w:val="24"/>
              </w:rPr>
            </w:pPr>
          </w:p>
          <w:tbl>
            <w:tblPr>
              <w:tblStyle w:val="14"/>
              <w:tblW w:w="85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851"/>
              <w:gridCol w:w="340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r>
                    <w:rPr>
                      <w:rFonts w:hint="eastAsia" w:ascii="仿宋_GB2312" w:eastAsia="仿宋_GB2312" w:cs="仿宋_GB2312"/>
                      <w:sz w:val="24"/>
                    </w:rPr>
                    <w:t>课程名称</w:t>
                  </w:r>
                  <w:r>
                    <w:rPr>
                      <w:sz w:val="24"/>
                    </w:rPr>
                    <w:t>Course</w:t>
                  </w: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r>
                    <w:rPr>
                      <w:sz w:val="24"/>
                    </w:rPr>
                    <w:t>Score</w:t>
                  </w: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r>
                    <w:rPr>
                      <w:rFonts w:hint="eastAsia" w:ascii="仿宋_GB2312" w:eastAsia="仿宋_GB2312" w:cs="仿宋_GB2312"/>
                      <w:sz w:val="24"/>
                    </w:rPr>
                    <w:t>课程名称</w:t>
                  </w:r>
                  <w:r>
                    <w:rPr>
                      <w:sz w:val="24"/>
                    </w:rPr>
                    <w:t>Course</w:t>
                  </w: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r>
                    <w:rPr>
                      <w:sz w:val="24"/>
                    </w:rPr>
                    <w:t>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bl>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pPr>
            <w:r>
              <w:rPr>
                <w:rFonts w:hint="eastAsia" w:eastAsia="仿宋_GB2312"/>
                <w:b/>
                <w:bCs/>
                <w:sz w:val="24"/>
              </w:rPr>
              <w:t>9</w:t>
            </w:r>
            <w:r>
              <w:rPr>
                <w:rFonts w:eastAsia="仿宋_GB2312"/>
                <w:b/>
                <w:bCs/>
                <w:sz w:val="24"/>
              </w:rPr>
              <w:t>.</w:t>
            </w:r>
            <w:r>
              <w:rPr>
                <w:rFonts w:hint="eastAsia" w:eastAsia="仿宋_GB2312" w:cs="仿宋_GB2312"/>
                <w:b/>
                <w:bCs/>
                <w:sz w:val="24"/>
              </w:rPr>
              <w:t>拟申请奖学金等级</w:t>
            </w:r>
            <w:r>
              <w:rPr>
                <w:rFonts w:eastAsia="仿宋_GB2312"/>
                <w:b/>
                <w:bCs/>
                <w:sz w:val="24"/>
              </w:rPr>
              <w:t>/</w:t>
            </w:r>
            <w:r>
              <w:t xml:space="preserve"> Level of Scholarship Applied for</w:t>
            </w:r>
          </w:p>
          <w:p>
            <w:pPr>
              <w:pageBreakBefore w:val="0"/>
              <w:kinsoku/>
              <w:overflowPunct/>
              <w:topLinePunct w:val="0"/>
              <w:autoSpaceDE/>
              <w:autoSpaceDN/>
              <w:bidi w:val="0"/>
              <w:outlineLvl w:val="9"/>
              <w:rPr>
                <w:rFonts w:ascii="宋体"/>
              </w:rPr>
            </w:pPr>
          </w:p>
          <w:p>
            <w:pPr>
              <w:pageBreakBefore w:val="0"/>
              <w:kinsoku/>
              <w:overflowPunct/>
              <w:topLinePunct w:val="0"/>
              <w:autoSpaceDE/>
              <w:autoSpaceDN/>
              <w:bidi w:val="0"/>
              <w:outlineLvl w:val="9"/>
              <w:rPr>
                <w:rFonts w:ascii="宋体"/>
              </w:rPr>
            </w:pPr>
          </w:p>
          <w:p>
            <w:pPr>
              <w:pageBreakBefore w:val="0"/>
              <w:kinsoku/>
              <w:overflowPunct/>
              <w:topLinePunct w:val="0"/>
              <w:autoSpaceDE/>
              <w:autoSpaceDN/>
              <w:bidi w:val="0"/>
              <w:ind w:firstLine="210" w:firstLineChars="100"/>
              <w:outlineLvl w:val="9"/>
              <w:rPr>
                <w:rFonts w:ascii="宋体" w:hAnsi="宋体" w:cs="宋体"/>
              </w:rPr>
            </w:pPr>
            <w:r>
              <w:rPr>
                <w:rFonts w:hint="eastAsia" w:ascii="宋体" w:hAnsi="宋体" w:cs="宋体"/>
              </w:rPr>
              <w:t>□一等奖学金</w:t>
            </w:r>
            <w:r>
              <w:rPr>
                <w:rFonts w:ascii="宋体" w:hAnsi="宋体" w:cs="宋体"/>
                <w:b/>
                <w:bCs/>
              </w:rPr>
              <w:t>/</w:t>
            </w:r>
            <w:r>
              <w:rPr>
                <w:rFonts w:ascii="宋体" w:hAnsi="宋体" w:cs="宋体"/>
              </w:rPr>
              <w:t xml:space="preserve"> First          </w:t>
            </w:r>
            <w:r>
              <w:rPr>
                <w:rFonts w:hint="eastAsia" w:ascii="宋体" w:hAnsi="宋体" w:cs="宋体"/>
              </w:rPr>
              <w:t>□二等奖学金</w:t>
            </w:r>
            <w:r>
              <w:rPr>
                <w:rFonts w:ascii="宋体" w:hAnsi="宋体" w:cs="宋体"/>
                <w:b/>
                <w:bCs/>
              </w:rPr>
              <w:t>/</w:t>
            </w:r>
            <w:r>
              <w:rPr>
                <w:rFonts w:ascii="宋体" w:hAnsi="宋体" w:cs="宋体"/>
              </w:rPr>
              <w:t xml:space="preserve"> Second       </w:t>
            </w: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r>
              <w:rPr>
                <w:rFonts w:hint="eastAsia" w:ascii="仿宋_GB2312" w:eastAsia="仿宋_GB2312" w:cs="仿宋_GB2312"/>
                <w:sz w:val="24"/>
              </w:rPr>
              <w:t>本人签名</w:t>
            </w:r>
            <w:r>
              <w:rPr>
                <w:rFonts w:ascii="仿宋_GB2312" w:eastAsia="仿宋_GB2312" w:cs="仿宋_GB2312"/>
                <w:sz w:val="24"/>
              </w:rPr>
              <w:t>/</w:t>
            </w:r>
            <w:r>
              <w:rPr>
                <w:sz w:val="24"/>
              </w:rPr>
              <w:t>Signature of Applicant</w:t>
            </w:r>
            <w:r>
              <w:rPr>
                <w:rFonts w:hint="eastAsia" w:eastAsia="仿宋_GB2312" w:cs="仿宋_GB2312"/>
                <w:sz w:val="24"/>
              </w:rPr>
              <w:t>：</w:t>
            </w: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1" w:hRule="atLeast"/>
          <w:jc w:val="center"/>
        </w:trPr>
        <w:tc>
          <w:tcPr>
            <w:tcW w:w="651" w:type="dxa"/>
            <w:gridSpan w:val="2"/>
            <w:vAlign w:val="center"/>
          </w:tcPr>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二级学院评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审</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意</w:t>
            </w:r>
          </w:p>
          <w:p>
            <w:pPr>
              <w:pageBreakBefore w:val="0"/>
              <w:kinsoku/>
              <w:overflowPunct/>
              <w:topLinePunct w:val="0"/>
              <w:autoSpaceDE/>
              <w:autoSpaceDN/>
              <w:bidi w:val="0"/>
              <w:spacing w:line="320" w:lineRule="exact"/>
              <w:jc w:val="center"/>
              <w:outlineLvl w:val="9"/>
              <w:rPr>
                <w:rFonts w:ascii="仿宋_GB2312"/>
                <w:b/>
                <w:bCs/>
              </w:rPr>
            </w:pPr>
            <w:r>
              <w:rPr>
                <w:rFonts w:hint="eastAsia" w:ascii="仿宋_GB2312" w:cs="宋体"/>
                <w:b/>
                <w:bCs/>
                <w:szCs w:val="28"/>
              </w:rPr>
              <w:t>见</w:t>
            </w:r>
          </w:p>
        </w:tc>
        <w:tc>
          <w:tcPr>
            <w:tcW w:w="8277" w:type="dxa"/>
            <w:gridSpan w:val="3"/>
            <w:vAlign w:val="center"/>
          </w:tcPr>
          <w:p>
            <w:pPr>
              <w:pageBreakBefore w:val="0"/>
              <w:kinsoku/>
              <w:overflowPunct/>
              <w:topLinePunct w:val="0"/>
              <w:autoSpaceDE/>
              <w:autoSpaceDN/>
              <w:bidi w:val="0"/>
              <w:jc w:val="center"/>
              <w:outlineLvl w:val="9"/>
              <w:rPr>
                <w:rFonts w:ascii="仿宋_GB2312"/>
              </w:rPr>
            </w:pPr>
          </w:p>
          <w:p>
            <w:pPr>
              <w:pageBreakBefore w:val="0"/>
              <w:kinsoku/>
              <w:overflowPunct/>
              <w:topLinePunct w:val="0"/>
              <w:autoSpaceDE/>
              <w:autoSpaceDN/>
              <w:bidi w:val="0"/>
              <w:jc w:val="center"/>
              <w:outlineLvl w:val="9"/>
              <w:rPr>
                <w:rFonts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jc w:val="center"/>
              <w:outlineLvl w:val="9"/>
              <w:rPr>
                <w:rFonts w:ascii="仿宋_GB2312"/>
              </w:rPr>
            </w:pPr>
          </w:p>
          <w:p>
            <w:pPr>
              <w:pageBreakBefore w:val="0"/>
              <w:kinsoku/>
              <w:overflowPunct/>
              <w:topLinePunct w:val="0"/>
              <w:autoSpaceDE/>
              <w:autoSpaceDN/>
              <w:bidi w:val="0"/>
              <w:ind w:firstLine="600" w:firstLineChars="250"/>
              <w:outlineLvl w:val="9"/>
              <w:rPr>
                <w:rFonts w:hint="eastAsia" w:ascii="仿宋_GB2312" w:eastAsia="仿宋_GB2312" w:cs="仿宋_GB2312"/>
                <w:sz w:val="24"/>
              </w:rPr>
            </w:pPr>
            <w:r>
              <w:rPr>
                <w:rFonts w:hint="eastAsia" w:ascii="仿宋_GB2312" w:eastAsia="仿宋_GB2312" w:cs="仿宋_GB2312"/>
                <w:sz w:val="24"/>
              </w:rPr>
              <w:t>负责人：</w:t>
            </w:r>
          </w:p>
          <w:p>
            <w:pPr>
              <w:pageBreakBefore w:val="0"/>
              <w:kinsoku/>
              <w:overflowPunct/>
              <w:topLinePunct w:val="0"/>
              <w:autoSpaceDE/>
              <w:autoSpaceDN/>
              <w:bidi w:val="0"/>
              <w:ind w:firstLine="4440" w:firstLineChars="1850"/>
              <w:outlineLvl w:val="9"/>
              <w:rPr>
                <w:rFonts w:ascii="仿宋_GB2312" w:eastAsia="仿宋_GB2312"/>
                <w:sz w:val="24"/>
              </w:rPr>
            </w:pPr>
            <w:r>
              <w:rPr>
                <w:rFonts w:hint="eastAsia" w:ascii="仿宋_GB2312" w:eastAsia="仿宋_GB2312" w:cs="仿宋_GB2312"/>
                <w:sz w:val="24"/>
              </w:rPr>
              <w:t>（盖章）</w:t>
            </w:r>
          </w:p>
          <w:p>
            <w:pPr>
              <w:pageBreakBefore w:val="0"/>
              <w:kinsoku/>
              <w:overflowPunct/>
              <w:topLinePunct w:val="0"/>
              <w:autoSpaceDE/>
              <w:autoSpaceDN/>
              <w:bidi w:val="0"/>
              <w:ind w:firstLine="120" w:firstLineChars="50"/>
              <w:outlineLvl w:val="9"/>
              <w:rPr>
                <w:rFonts w:ascii="仿宋_GB2312" w:eastAsia="仿宋_GB2312"/>
                <w:sz w:val="24"/>
              </w:rPr>
            </w:pPr>
          </w:p>
          <w:p>
            <w:pPr>
              <w:pageBreakBefore w:val="0"/>
              <w:kinsoku/>
              <w:overflowPunct/>
              <w:topLinePunct w:val="0"/>
              <w:autoSpaceDE/>
              <w:autoSpaceDN/>
              <w:bidi w:val="0"/>
              <w:jc w:val="center"/>
              <w:outlineLvl w:val="9"/>
              <w:rPr>
                <w:rFonts w:ascii="仿宋_GB2312" w:eastAsia="仿宋_GB2312"/>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62" w:hRule="atLeast"/>
          <w:jc w:val="center"/>
        </w:trPr>
        <w:tc>
          <w:tcPr>
            <w:tcW w:w="651" w:type="dxa"/>
            <w:gridSpan w:val="2"/>
            <w:vAlign w:val="center"/>
          </w:tcPr>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国际交流处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审</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意</w:t>
            </w:r>
          </w:p>
          <w:p>
            <w:pPr>
              <w:pageBreakBefore w:val="0"/>
              <w:kinsoku/>
              <w:overflowPunct/>
              <w:topLinePunct w:val="0"/>
              <w:autoSpaceDE/>
              <w:autoSpaceDN/>
              <w:bidi w:val="0"/>
              <w:spacing w:line="320" w:lineRule="exact"/>
              <w:jc w:val="center"/>
              <w:outlineLvl w:val="9"/>
              <w:rPr>
                <w:rFonts w:ascii="仿宋_GB2312"/>
                <w:b/>
                <w:bCs/>
              </w:rPr>
            </w:pPr>
            <w:r>
              <w:rPr>
                <w:rFonts w:hint="eastAsia" w:ascii="仿宋_GB2312" w:cs="宋体"/>
                <w:b/>
                <w:bCs/>
                <w:szCs w:val="28"/>
              </w:rPr>
              <w:t>见</w:t>
            </w:r>
          </w:p>
        </w:tc>
        <w:tc>
          <w:tcPr>
            <w:tcW w:w="8277" w:type="dxa"/>
            <w:gridSpan w:val="3"/>
          </w:tcPr>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ind w:firstLine="600" w:firstLineChars="250"/>
              <w:outlineLvl w:val="9"/>
              <w:rPr>
                <w:rFonts w:ascii="仿宋_GB2312" w:eastAsia="仿宋_GB2312" w:cs="仿宋_GB2312"/>
                <w:sz w:val="24"/>
              </w:rPr>
            </w:pPr>
          </w:p>
          <w:p>
            <w:pPr>
              <w:pageBreakBefore w:val="0"/>
              <w:kinsoku/>
              <w:overflowPunct/>
              <w:topLinePunct w:val="0"/>
              <w:autoSpaceDE/>
              <w:autoSpaceDN/>
              <w:bidi w:val="0"/>
              <w:ind w:firstLine="600" w:firstLineChars="250"/>
              <w:outlineLvl w:val="9"/>
              <w:rPr>
                <w:rFonts w:hint="eastAsia" w:ascii="仿宋_GB2312" w:eastAsia="仿宋_GB2312" w:cs="仿宋_GB2312"/>
                <w:sz w:val="24"/>
              </w:rPr>
            </w:pPr>
            <w:r>
              <w:rPr>
                <w:rFonts w:hint="eastAsia" w:ascii="仿宋_GB2312" w:eastAsia="仿宋_GB2312" w:cs="仿宋_GB2312"/>
                <w:sz w:val="24"/>
              </w:rPr>
              <w:t>负责人：</w:t>
            </w:r>
          </w:p>
          <w:p>
            <w:pPr>
              <w:pageBreakBefore w:val="0"/>
              <w:kinsoku/>
              <w:overflowPunct/>
              <w:topLinePunct w:val="0"/>
              <w:autoSpaceDE/>
              <w:autoSpaceDN/>
              <w:bidi w:val="0"/>
              <w:ind w:firstLine="4680" w:firstLineChars="1950"/>
              <w:outlineLvl w:val="9"/>
              <w:rPr>
                <w:rFonts w:ascii="仿宋_GB2312" w:eastAsia="仿宋_GB2312"/>
                <w:sz w:val="24"/>
              </w:rPr>
            </w:pPr>
            <w:r>
              <w:rPr>
                <w:rFonts w:hint="eastAsia" w:ascii="仿宋_GB2312" w:eastAsia="仿宋_GB2312" w:cs="仿宋_GB2312"/>
                <w:sz w:val="24"/>
              </w:rPr>
              <w:t>（盖章）</w:t>
            </w:r>
          </w:p>
          <w:p>
            <w:pPr>
              <w:pageBreakBefore w:val="0"/>
              <w:kinsoku/>
              <w:overflowPunct/>
              <w:topLinePunct w:val="0"/>
              <w:autoSpaceDE/>
              <w:autoSpaceDN/>
              <w:bidi w:val="0"/>
              <w:ind w:firstLine="120" w:firstLineChars="50"/>
              <w:outlineLvl w:val="9"/>
              <w:rPr>
                <w:rFonts w:ascii="仿宋_GB2312" w:eastAsia="仿宋_GB2312"/>
                <w:sz w:val="24"/>
              </w:rPr>
            </w:pPr>
          </w:p>
          <w:p>
            <w:pPr>
              <w:pageBreakBefore w:val="0"/>
              <w:kinsoku/>
              <w:overflowPunct/>
              <w:topLinePunct w:val="0"/>
              <w:autoSpaceDE/>
              <w:autoSpaceDN/>
              <w:bidi w:val="0"/>
              <w:jc w:val="center"/>
              <w:outlineLvl w:val="9"/>
              <w:rPr>
                <w:rFonts w:ascii="仿宋_GB2312" w:eastAsia="仿宋_GB2312"/>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2" w:hRule="atLeast"/>
          <w:jc w:val="center"/>
        </w:trPr>
        <w:tc>
          <w:tcPr>
            <w:tcW w:w="651" w:type="dxa"/>
            <w:gridSpan w:val="2"/>
            <w:vAlign w:val="center"/>
          </w:tcPr>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学校</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奖学金</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评审</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委员会</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意</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见</w:t>
            </w:r>
          </w:p>
        </w:tc>
        <w:tc>
          <w:tcPr>
            <w:tcW w:w="8277" w:type="dxa"/>
            <w:gridSpan w:val="3"/>
          </w:tcPr>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spacing w:line="360" w:lineRule="auto"/>
              <w:ind w:firstLine="420" w:firstLineChars="200"/>
              <w:outlineLvl w:val="9"/>
              <w:rPr>
                <w:rFonts w:ascii="仿宋_GB2312"/>
              </w:rPr>
            </w:pPr>
            <w:r>
              <w:t>                                     </w:t>
            </w: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ind w:firstLine="4680" w:firstLineChars="1950"/>
              <w:outlineLvl w:val="9"/>
              <w:rPr>
                <w:rFonts w:ascii="仿宋_GB2312" w:eastAsia="仿宋_GB2312"/>
                <w:sz w:val="24"/>
              </w:rPr>
            </w:pPr>
            <w:r>
              <w:rPr>
                <w:rFonts w:hint="eastAsia" w:ascii="仿宋_GB2312" w:eastAsia="仿宋_GB2312" w:cs="仿宋_GB2312"/>
                <w:sz w:val="24"/>
              </w:rPr>
              <w:t>（学校盖章）</w:t>
            </w:r>
          </w:p>
          <w:p>
            <w:pPr>
              <w:pageBreakBefore w:val="0"/>
              <w:kinsoku/>
              <w:overflowPunct/>
              <w:topLinePunct w:val="0"/>
              <w:autoSpaceDE/>
              <w:autoSpaceDN/>
              <w:bidi w:val="0"/>
              <w:ind w:firstLine="120" w:firstLineChars="50"/>
              <w:outlineLvl w:val="9"/>
              <w:rPr>
                <w:rFonts w:ascii="仿宋_GB2312" w:eastAsia="仿宋_GB2312"/>
                <w:sz w:val="24"/>
              </w:rPr>
            </w:pPr>
          </w:p>
          <w:p>
            <w:pPr>
              <w:pageBreakBefore w:val="0"/>
              <w:kinsoku/>
              <w:overflowPunct/>
              <w:topLinePunct w:val="0"/>
              <w:autoSpaceDE/>
              <w:autoSpaceDN/>
              <w:bidi w:val="0"/>
              <w:ind w:firstLine="4800" w:firstLineChars="2000"/>
              <w:outlineLvl w:val="9"/>
              <w:rPr>
                <w:rFonts w:ascii="仿宋_GB2312" w:eastAsia="仿宋_GB2312"/>
                <w:sz w:val="24"/>
              </w:rPr>
            </w:pPr>
            <w:r>
              <w:rPr>
                <w:rFonts w:hint="eastAsia" w:ascii="仿宋_GB2312" w:eastAsia="仿宋_GB2312" w:cs="仿宋_GB2312"/>
                <w:sz w:val="24"/>
              </w:rPr>
              <w:t>年    月   日</w:t>
            </w:r>
          </w:p>
          <w:p>
            <w:pPr>
              <w:pageBreakBefore w:val="0"/>
              <w:kinsoku/>
              <w:overflowPunct/>
              <w:topLinePunct w:val="0"/>
              <w:autoSpaceDE/>
              <w:autoSpaceDN/>
              <w:bidi w:val="0"/>
              <w:outlineLvl w:val="9"/>
              <w:rPr>
                <w:rFonts w:ascii="仿宋_GB2312"/>
              </w:rPr>
            </w:pPr>
          </w:p>
        </w:tc>
      </w:tr>
    </w:tbl>
    <w:p>
      <w:pPr>
        <w:pageBreakBefore w:val="0"/>
        <w:kinsoku/>
        <w:overflowPunct/>
        <w:topLinePunct w:val="0"/>
        <w:autoSpaceDE/>
        <w:autoSpaceDN/>
        <w:bidi w:val="0"/>
        <w:spacing w:line="360" w:lineRule="auto"/>
        <w:outlineLvl w:val="9"/>
        <w:rPr>
          <w:rFonts w:ascii="仿宋_GB2312" w:eastAsia="仿宋_GB2312"/>
          <w:color w:val="000000"/>
          <w:sz w:val="31"/>
          <w:szCs w:val="31"/>
        </w:rPr>
      </w:pPr>
    </w:p>
    <w:p>
      <w:pPr>
        <w:pageBreakBefore w:val="0"/>
        <w:kinsoku/>
        <w:overflowPunct/>
        <w:topLinePunct w:val="0"/>
        <w:autoSpaceDE/>
        <w:autoSpaceDN/>
        <w:bidi w:val="0"/>
        <w:spacing w:line="580" w:lineRule="exact"/>
        <w:outlineLvl w:val="9"/>
        <w:rPr>
          <w:rFonts w:hint="eastAsia" w:ascii="仿宋_GB2312" w:eastAsia="仿宋_GB2312" w:cs="仿宋_GB2312"/>
          <w:color w:val="000000"/>
          <w:sz w:val="31"/>
          <w:szCs w:val="31"/>
        </w:rPr>
      </w:pPr>
    </w:p>
    <w:p>
      <w:pPr>
        <w:pageBreakBefore w:val="0"/>
        <w:kinsoku/>
        <w:overflowPunct/>
        <w:topLinePunct w:val="0"/>
        <w:autoSpaceDE/>
        <w:autoSpaceDN/>
        <w:bidi w:val="0"/>
        <w:spacing w:line="580" w:lineRule="exact"/>
        <w:outlineLvl w:val="9"/>
        <w:rPr>
          <w:rFonts w:hint="eastAsia" w:ascii="仿宋_GB2312" w:eastAsia="仿宋_GB2312" w:cs="仿宋_GB2312"/>
          <w:color w:val="000000"/>
          <w:sz w:val="31"/>
          <w:szCs w:val="31"/>
        </w:rPr>
      </w:pPr>
    </w:p>
    <w:p>
      <w:pPr>
        <w:pageBreakBefore w:val="0"/>
        <w:kinsoku/>
        <w:overflowPunct/>
        <w:topLinePunct w:val="0"/>
        <w:autoSpaceDE/>
        <w:autoSpaceDN/>
        <w:bidi w:val="0"/>
        <w:spacing w:line="580" w:lineRule="exact"/>
        <w:outlineLvl w:val="9"/>
        <w:rPr>
          <w:rFonts w:hint="eastAsia" w:ascii="仿宋_GB2312" w:eastAsia="仿宋_GB2312" w:cs="仿宋_GB2312"/>
          <w:color w:val="000000"/>
          <w:sz w:val="31"/>
          <w:szCs w:val="31"/>
        </w:rPr>
      </w:pPr>
    </w:p>
    <w:p>
      <w:pPr>
        <w:pageBreakBefore w:val="0"/>
        <w:kinsoku/>
        <w:overflowPunct/>
        <w:topLinePunct w:val="0"/>
        <w:autoSpaceDE/>
        <w:autoSpaceDN/>
        <w:bidi w:val="0"/>
        <w:spacing w:line="580" w:lineRule="exact"/>
        <w:outlineLvl w:val="9"/>
        <w:rPr>
          <w:rFonts w:hint="eastAsia" w:ascii="仿宋_GB2312" w:eastAsia="仿宋_GB2312" w:cs="仿宋_GB2312"/>
          <w:color w:val="000000"/>
          <w:sz w:val="31"/>
          <w:szCs w:val="31"/>
        </w:rPr>
      </w:pPr>
    </w:p>
    <w:p>
      <w:pPr>
        <w:pageBreakBefore w:val="0"/>
        <w:kinsoku/>
        <w:overflowPunct/>
        <w:topLinePunct w:val="0"/>
        <w:autoSpaceDE/>
        <w:autoSpaceDN/>
        <w:bidi w:val="0"/>
        <w:spacing w:line="360" w:lineRule="auto"/>
        <w:outlineLvl w:val="9"/>
        <w:rPr>
          <w:rFonts w:ascii="仿宋_GB2312" w:hAnsi="宋体" w:eastAsia="仿宋_GB2312"/>
          <w:sz w:val="32"/>
          <w:szCs w:val="32"/>
        </w:rPr>
      </w:pPr>
      <w:r>
        <w:rPr>
          <w:rFonts w:ascii="仿宋_GB2312" w:eastAsia="仿宋_GB2312" w:cs="仿宋_GB2312"/>
          <w:color w:val="000000"/>
          <w:sz w:val="31"/>
          <w:szCs w:val="31"/>
        </w:rPr>
        <w:br w:type="page"/>
      </w:r>
      <w:r>
        <w:rPr>
          <w:rFonts w:hint="eastAsia" w:ascii="仿宋_GB2312" w:hAnsi="宋体" w:eastAsia="仿宋_GB2312" w:cs="仿宋_GB2312"/>
          <w:kern w:val="0"/>
          <w:sz w:val="32"/>
          <w:szCs w:val="32"/>
        </w:rPr>
        <w:t>附件</w:t>
      </w:r>
      <w:r>
        <w:rPr>
          <w:rFonts w:ascii="仿宋_GB2312" w:hAnsi="宋体" w:eastAsia="仿宋_GB2312" w:cs="仿宋_GB2312"/>
          <w:kern w:val="0"/>
          <w:sz w:val="32"/>
          <w:szCs w:val="32"/>
        </w:rPr>
        <w:t>2</w:t>
      </w:r>
    </w:p>
    <w:p>
      <w:pPr>
        <w:pageBreakBefore w:val="0"/>
        <w:kinsoku/>
        <w:overflowPunct/>
        <w:topLinePunct w:val="0"/>
        <w:autoSpaceDE/>
        <w:autoSpaceDN/>
        <w:bidi w:val="0"/>
        <w:ind w:right="1503"/>
        <w:jc w:val="center"/>
        <w:outlineLvl w:val="9"/>
        <w:rPr>
          <w:rFonts w:eastAsia="楷体_GB2312"/>
          <w:sz w:val="30"/>
          <w:szCs w:val="30"/>
        </w:rPr>
      </w:pPr>
      <w:bookmarkStart w:id="1792" w:name="_Toc4063_WPSOffice_Level1"/>
      <w:r>
        <w:rPr>
          <w:rFonts w:hint="eastAsia" w:eastAsia="楷体_GB2312" w:cs="楷体_GB2312"/>
          <w:sz w:val="30"/>
          <w:szCs w:val="30"/>
        </w:rPr>
        <w:t>编号</w:t>
      </w:r>
      <w:r>
        <w:rPr>
          <w:rFonts w:eastAsia="楷体_GB2312"/>
          <w:sz w:val="30"/>
          <w:szCs w:val="30"/>
        </w:rPr>
        <w:t>/No.</w:t>
      </w:r>
      <w:r>
        <w:rPr>
          <w:rFonts w:hint="eastAsia" w:eastAsia="楷体_GB2312" w:cs="楷体_GB2312"/>
          <w:sz w:val="30"/>
          <w:szCs w:val="30"/>
        </w:rPr>
        <w:t>：</w:t>
      </w:r>
      <w:bookmarkEnd w:id="1792"/>
    </w:p>
    <w:p>
      <w:pPr>
        <w:pageBreakBefore w:val="0"/>
        <w:kinsoku/>
        <w:overflowPunct/>
        <w:topLinePunct w:val="0"/>
        <w:autoSpaceDE/>
        <w:autoSpaceDN/>
        <w:bidi w:val="0"/>
        <w:jc w:val="center"/>
        <w:outlineLvl w:val="9"/>
        <w:rPr>
          <w:rFonts w:eastAsia="楷体_GB2312"/>
          <w:b/>
          <w:bCs/>
          <w:sz w:val="44"/>
          <w:szCs w:val="44"/>
        </w:rPr>
      </w:pPr>
    </w:p>
    <w:p>
      <w:pPr>
        <w:pageBreakBefore w:val="0"/>
        <w:kinsoku/>
        <w:overflowPunct/>
        <w:topLinePunct w:val="0"/>
        <w:autoSpaceDE/>
        <w:autoSpaceDN/>
        <w:bidi w:val="0"/>
        <w:jc w:val="center"/>
        <w:outlineLvl w:val="9"/>
        <w:rPr>
          <w:rFonts w:hint="eastAsia" w:eastAsia="楷体_GB2312" w:cs="楷体_GB2312"/>
          <w:b/>
          <w:bCs/>
          <w:sz w:val="44"/>
          <w:szCs w:val="44"/>
        </w:rPr>
      </w:pPr>
      <w:r>
        <w:rPr>
          <w:rFonts w:hint="eastAsia" w:eastAsia="楷体_GB2312" w:cs="楷体_GB2312"/>
          <w:b/>
          <w:bCs/>
          <w:sz w:val="44"/>
          <w:szCs w:val="44"/>
        </w:rPr>
        <w:t>柳州职业技术学院</w:t>
      </w:r>
    </w:p>
    <w:p>
      <w:pPr>
        <w:pageBreakBefore w:val="0"/>
        <w:kinsoku/>
        <w:overflowPunct/>
        <w:topLinePunct w:val="0"/>
        <w:autoSpaceDE/>
        <w:autoSpaceDN/>
        <w:bidi w:val="0"/>
        <w:spacing w:after="240" w:line="340" w:lineRule="exact"/>
        <w:jc w:val="center"/>
        <w:outlineLvl w:val="9"/>
        <w:rPr>
          <w:b/>
          <w:bCs/>
          <w:color w:val="1B1B1B"/>
          <w:kern w:val="0"/>
          <w:szCs w:val="28"/>
        </w:rPr>
      </w:pPr>
      <w:r>
        <w:rPr>
          <w:rFonts w:hint="eastAsia"/>
          <w:b/>
          <w:bCs/>
          <w:color w:val="1B1B1B"/>
          <w:kern w:val="0"/>
          <w:szCs w:val="28"/>
        </w:rPr>
        <w:t>Liuzhou Vocational &amp; Technical College</w:t>
      </w:r>
    </w:p>
    <w:p>
      <w:pPr>
        <w:pageBreakBefore w:val="0"/>
        <w:kinsoku/>
        <w:overflowPunct/>
        <w:topLinePunct w:val="0"/>
        <w:autoSpaceDE/>
        <w:autoSpaceDN/>
        <w:bidi w:val="0"/>
        <w:jc w:val="center"/>
        <w:outlineLvl w:val="9"/>
        <w:rPr>
          <w:rFonts w:eastAsia="楷体_GB2312"/>
          <w:b/>
          <w:bCs/>
          <w:sz w:val="44"/>
          <w:szCs w:val="44"/>
        </w:rPr>
      </w:pPr>
    </w:p>
    <w:p>
      <w:pPr>
        <w:pageBreakBefore w:val="0"/>
        <w:kinsoku/>
        <w:overflowPunct/>
        <w:topLinePunct w:val="0"/>
        <w:autoSpaceDE/>
        <w:autoSpaceDN/>
        <w:bidi w:val="0"/>
        <w:jc w:val="center"/>
        <w:outlineLvl w:val="9"/>
        <w:rPr>
          <w:rFonts w:ascii="黑体" w:hAnsi="华文中宋" w:eastAsia="黑体"/>
          <w:b/>
          <w:bCs/>
          <w:sz w:val="44"/>
          <w:szCs w:val="44"/>
        </w:rPr>
      </w:pPr>
      <w:r>
        <w:rPr>
          <w:rFonts w:hint="eastAsia" w:ascii="黑体" w:hAnsi="华文中宋" w:eastAsia="黑体" w:cs="黑体"/>
          <w:b/>
          <w:bCs/>
          <w:sz w:val="44"/>
          <w:szCs w:val="44"/>
        </w:rPr>
        <w:t>国际学生优秀学生奖学金申请表</w:t>
      </w:r>
    </w:p>
    <w:p>
      <w:pPr>
        <w:pageBreakBefore w:val="0"/>
        <w:kinsoku/>
        <w:overflowPunct/>
        <w:topLinePunct w:val="0"/>
        <w:autoSpaceDE/>
        <w:autoSpaceDN/>
        <w:bidi w:val="0"/>
        <w:jc w:val="center"/>
        <w:outlineLvl w:val="9"/>
        <w:rPr>
          <w:rFonts w:ascii="楷体_GB2312" w:eastAsia="楷体_GB2312"/>
          <w:b/>
          <w:bCs/>
          <w:szCs w:val="28"/>
        </w:rPr>
      </w:pPr>
      <w:r>
        <w:rPr>
          <w:b/>
          <w:bCs/>
          <w:color w:val="1B1B1B"/>
          <w:kern w:val="0"/>
          <w:szCs w:val="28"/>
          <w:u w:val="single"/>
        </w:rPr>
        <w:t>Application Form for Outstandi</w:t>
      </w:r>
      <w:bookmarkStart w:id="1793" w:name="_Toc6736_WPSOffice_Level1"/>
      <w:r>
        <w:rPr>
          <w:b/>
          <w:bCs/>
          <w:color w:val="1B1B1B"/>
          <w:kern w:val="0"/>
          <w:szCs w:val="28"/>
          <w:u w:val="single"/>
        </w:rPr>
        <w:t>ng I</w:t>
      </w:r>
      <w:bookmarkEnd w:id="1793"/>
      <w:r>
        <w:rPr>
          <w:b/>
          <w:bCs/>
          <w:color w:val="1B1B1B"/>
          <w:kern w:val="0"/>
          <w:szCs w:val="28"/>
          <w:u w:val="single"/>
        </w:rPr>
        <w:t>nternational Student Scholarship</w:t>
      </w:r>
    </w:p>
    <w:p>
      <w:pPr>
        <w:pageBreakBefore w:val="0"/>
        <w:kinsoku/>
        <w:overflowPunct/>
        <w:topLinePunct w:val="0"/>
        <w:autoSpaceDE/>
        <w:autoSpaceDN/>
        <w:bidi w:val="0"/>
        <w:spacing w:line="480" w:lineRule="auto"/>
        <w:outlineLvl w:val="9"/>
        <w:rPr>
          <w:rFonts w:ascii="仿宋_GB2312" w:eastAsia="仿宋_GB2312"/>
          <w:sz w:val="32"/>
          <w:szCs w:val="32"/>
        </w:rPr>
      </w:pPr>
    </w:p>
    <w:p>
      <w:pPr>
        <w:pageBreakBefore w:val="0"/>
        <w:kinsoku/>
        <w:overflowPunct/>
        <w:topLinePunct w:val="0"/>
        <w:autoSpaceDE/>
        <w:autoSpaceDN/>
        <w:bidi w:val="0"/>
        <w:spacing w:line="480" w:lineRule="auto"/>
        <w:outlineLvl w:val="9"/>
        <w:rPr>
          <w:rFonts w:ascii="仿宋_GB2312" w:eastAsia="仿宋_GB2312"/>
          <w:sz w:val="32"/>
          <w:szCs w:val="32"/>
        </w:rPr>
      </w:pPr>
    </w:p>
    <w:p>
      <w:pPr>
        <w:pageBreakBefore w:val="0"/>
        <w:kinsoku/>
        <w:overflowPunct/>
        <w:topLinePunct w:val="0"/>
        <w:autoSpaceDE/>
        <w:autoSpaceDN/>
        <w:bidi w:val="0"/>
        <w:spacing w:line="480" w:lineRule="auto"/>
        <w:outlineLvl w:val="9"/>
        <w:rPr>
          <w:rFonts w:ascii="仿宋_GB2312" w:eastAsia="仿宋_GB2312"/>
          <w:sz w:val="32"/>
          <w:szCs w:val="32"/>
        </w:rPr>
      </w:pPr>
    </w:p>
    <w:p>
      <w:pPr>
        <w:pageBreakBefore w:val="0"/>
        <w:kinsoku/>
        <w:overflowPunct/>
        <w:topLinePunct w:val="0"/>
        <w:autoSpaceDE/>
        <w:autoSpaceDN/>
        <w:bidi w:val="0"/>
        <w:spacing w:line="480" w:lineRule="auto"/>
        <w:outlineLvl w:val="9"/>
        <w:rPr>
          <w:rFonts w:ascii="仿宋_GB2312" w:eastAsia="仿宋_GB2312"/>
          <w:sz w:val="32"/>
          <w:szCs w:val="32"/>
          <w:u w:val="thick"/>
        </w:rPr>
      </w:pPr>
      <w:r>
        <w:rPr>
          <w:rFonts w:hint="eastAsia" w:ascii="仿宋_GB2312" w:eastAsia="仿宋_GB2312" w:cs="仿宋_GB2312"/>
          <w:sz w:val="32"/>
          <w:szCs w:val="32"/>
        </w:rPr>
        <w:t>学生姓名</w:t>
      </w:r>
      <w:r>
        <w:rPr>
          <w:rFonts w:ascii="仿宋_GB2312" w:eastAsia="仿宋_GB2312" w:cs="仿宋_GB2312"/>
          <w:sz w:val="32"/>
          <w:szCs w:val="32"/>
        </w:rPr>
        <w:t>/CANDIDATE NAME:</w:t>
      </w:r>
    </w:p>
    <w:p>
      <w:pPr>
        <w:pageBreakBefore w:val="0"/>
        <w:kinsoku/>
        <w:overflowPunct/>
        <w:topLinePunct w:val="0"/>
        <w:autoSpaceDE/>
        <w:autoSpaceDN/>
        <w:bidi w:val="0"/>
        <w:spacing w:line="480" w:lineRule="auto"/>
        <w:outlineLvl w:val="9"/>
        <w:rPr>
          <w:rFonts w:ascii="仿宋_GB2312" w:eastAsia="仿宋_GB2312"/>
          <w:b/>
          <w:bCs/>
          <w:sz w:val="32"/>
          <w:szCs w:val="32"/>
          <w:u w:val="thick"/>
        </w:rPr>
      </w:pPr>
      <w:r>
        <w:rPr>
          <w:rFonts w:hint="eastAsia" w:ascii="仿宋_GB2312" w:eastAsia="仿宋_GB2312" w:cs="仿宋_GB2312"/>
          <w:sz w:val="32"/>
          <w:szCs w:val="32"/>
        </w:rPr>
        <w:t>所在学院</w:t>
      </w:r>
      <w:r>
        <w:rPr>
          <w:rFonts w:ascii="仿宋_GB2312" w:eastAsia="仿宋_GB2312" w:cs="仿宋_GB2312"/>
          <w:sz w:val="32"/>
          <w:szCs w:val="32"/>
        </w:rPr>
        <w:t>/DEPARTMENT:</w:t>
      </w:r>
    </w:p>
    <w:p>
      <w:pPr>
        <w:pageBreakBefore w:val="0"/>
        <w:kinsoku/>
        <w:overflowPunct/>
        <w:topLinePunct w:val="0"/>
        <w:autoSpaceDE/>
        <w:autoSpaceDN/>
        <w:bidi w:val="0"/>
        <w:spacing w:line="480" w:lineRule="auto"/>
        <w:outlineLvl w:val="9"/>
        <w:rPr>
          <w:rFonts w:ascii="仿宋_GB2312" w:eastAsia="仿宋_GB2312"/>
          <w:sz w:val="32"/>
          <w:szCs w:val="32"/>
        </w:rPr>
      </w:pPr>
      <w:r>
        <w:rPr>
          <w:rFonts w:hint="eastAsia" w:ascii="仿宋_GB2312" w:eastAsia="仿宋_GB2312" w:cs="仿宋_GB2312"/>
          <w:sz w:val="32"/>
          <w:szCs w:val="32"/>
        </w:rPr>
        <w:t>专业名称</w:t>
      </w:r>
      <w:r>
        <w:rPr>
          <w:rFonts w:ascii="仿宋_GB2312" w:eastAsia="仿宋_GB2312" w:cs="仿宋_GB2312"/>
          <w:sz w:val="32"/>
          <w:szCs w:val="32"/>
        </w:rPr>
        <w:t>/MAJOR:</w:t>
      </w: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eastAsia="楷体_GB2312"/>
          <w:b/>
          <w:bCs/>
          <w:szCs w:val="28"/>
        </w:rPr>
      </w:pPr>
    </w:p>
    <w:p>
      <w:pPr>
        <w:pageBreakBefore w:val="0"/>
        <w:kinsoku/>
        <w:overflowPunct/>
        <w:topLinePunct w:val="0"/>
        <w:autoSpaceDE/>
        <w:autoSpaceDN/>
        <w:bidi w:val="0"/>
        <w:jc w:val="center"/>
        <w:outlineLvl w:val="9"/>
        <w:rPr>
          <w:rFonts w:ascii="楷体_GB2312" w:eastAsia="楷体_GB2312"/>
          <w:b/>
          <w:bCs/>
          <w:sz w:val="24"/>
          <w:u w:val="thick"/>
        </w:rPr>
      </w:pPr>
      <w:r>
        <w:rPr>
          <w:rFonts w:hint="eastAsia" w:ascii="楷体_GB2312" w:eastAsia="楷体_GB2312" w:cs="楷体_GB2312"/>
          <w:sz w:val="24"/>
        </w:rPr>
        <w:t>填报日期</w:t>
      </w:r>
      <w:r>
        <w:rPr>
          <w:rFonts w:ascii="楷体_GB2312" w:eastAsia="楷体_GB2312" w:cs="楷体_GB2312"/>
          <w:sz w:val="24"/>
        </w:rPr>
        <w:t>/DATE</w:t>
      </w:r>
      <w:r>
        <w:rPr>
          <w:rFonts w:hint="eastAsia" w:ascii="楷体_GB2312" w:eastAsia="楷体_GB2312" w:cs="楷体_GB2312"/>
          <w:sz w:val="24"/>
        </w:rPr>
        <w:t>：年</w:t>
      </w:r>
      <w:r>
        <w:rPr>
          <w:rFonts w:ascii="楷体_GB2312" w:eastAsia="楷体_GB2312" w:cs="楷体_GB2312"/>
          <w:sz w:val="24"/>
        </w:rPr>
        <w:t xml:space="preserve">/YEAR    </w:t>
      </w:r>
      <w:r>
        <w:rPr>
          <w:rFonts w:hint="eastAsia" w:ascii="楷体_GB2312" w:eastAsia="楷体_GB2312" w:cs="楷体_GB2312"/>
          <w:sz w:val="24"/>
        </w:rPr>
        <w:t>月</w:t>
      </w:r>
      <w:r>
        <w:rPr>
          <w:rFonts w:ascii="楷体_GB2312" w:eastAsia="楷体_GB2312" w:cs="楷体_GB2312"/>
          <w:sz w:val="24"/>
        </w:rPr>
        <w:t xml:space="preserve">/MONTH   </w:t>
      </w:r>
      <w:r>
        <w:rPr>
          <w:rFonts w:hint="eastAsia" w:ascii="楷体_GB2312" w:eastAsia="楷体_GB2312" w:cs="楷体_GB2312"/>
          <w:sz w:val="24"/>
        </w:rPr>
        <w:t>日</w:t>
      </w:r>
      <w:r>
        <w:rPr>
          <w:rFonts w:ascii="楷体_GB2312" w:eastAsia="楷体_GB2312" w:cs="楷体_GB2312"/>
          <w:sz w:val="24"/>
        </w:rPr>
        <w:t>/DAY</w:t>
      </w: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spacing w:line="300" w:lineRule="exact"/>
        <w:jc w:val="center"/>
        <w:outlineLvl w:val="9"/>
        <w:rPr>
          <w:rFonts w:ascii="楷体_GB2312" w:eastAsia="楷体_GB2312"/>
          <w:szCs w:val="28"/>
        </w:rPr>
      </w:pPr>
      <w:r>
        <w:rPr>
          <w:rFonts w:hint="eastAsia" w:ascii="楷体_GB2312" w:eastAsia="楷体_GB2312" w:cs="楷体_GB2312"/>
          <w:szCs w:val="28"/>
        </w:rPr>
        <w:t>柳州职业技术学院</w:t>
      </w:r>
    </w:p>
    <w:p>
      <w:pPr>
        <w:pageBreakBefore w:val="0"/>
        <w:kinsoku/>
        <w:overflowPunct/>
        <w:topLinePunct w:val="0"/>
        <w:autoSpaceDE/>
        <w:autoSpaceDN/>
        <w:bidi w:val="0"/>
        <w:spacing w:line="300" w:lineRule="exact"/>
        <w:ind w:firstLine="1680" w:firstLineChars="700"/>
        <w:outlineLvl w:val="9"/>
        <w:rPr>
          <w:rFonts w:ascii="楷体_GB2312" w:eastAsia="楷体_GB2312"/>
          <w:sz w:val="24"/>
        </w:rPr>
      </w:pPr>
      <w:r>
        <w:rPr>
          <w:rFonts w:hint="eastAsia" w:ascii="楷体_GB2312" w:eastAsia="楷体_GB2312" w:cs="楷体_GB2312"/>
          <w:sz w:val="24"/>
        </w:rPr>
        <w:t>LIUZHOU</w:t>
      </w:r>
      <w:r>
        <w:rPr>
          <w:rFonts w:ascii="楷体_GB2312" w:eastAsia="楷体_GB2312" w:cs="楷体_GB2312"/>
          <w:sz w:val="24"/>
        </w:rPr>
        <w:t xml:space="preserve"> VOCATIONAL &amp; TECHNICAL COLLEGE</w:t>
      </w:r>
    </w:p>
    <w:p>
      <w:pPr>
        <w:pageBreakBefore w:val="0"/>
        <w:kinsoku/>
        <w:overflowPunct/>
        <w:topLinePunct w:val="0"/>
        <w:autoSpaceDE/>
        <w:autoSpaceDN/>
        <w:bidi w:val="0"/>
        <w:jc w:val="center"/>
        <w:outlineLvl w:val="9"/>
        <w:rPr>
          <w:rFonts w:ascii="楷体_GB2312" w:eastAsia="楷体_GB2312"/>
          <w:szCs w:val="28"/>
        </w:rPr>
        <w:sectPr>
          <w:footerReference r:id="rId44" w:type="default"/>
          <w:pgSz w:w="11907" w:h="16840"/>
          <w:pgMar w:top="1701" w:right="1588" w:bottom="1701" w:left="1588" w:header="720" w:footer="1418" w:gutter="0"/>
          <w:pgNumType w:fmt="decimal"/>
          <w:cols w:space="720" w:num="1"/>
          <w:titlePg/>
          <w:docGrid w:linePitch="286" w:charSpace="0"/>
        </w:sectPr>
      </w:pP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spacing w:line="320" w:lineRule="exact"/>
        <w:jc w:val="center"/>
        <w:outlineLvl w:val="9"/>
        <w:rPr>
          <w:b/>
          <w:bCs/>
          <w:szCs w:val="28"/>
        </w:rPr>
      </w:pPr>
      <w:r>
        <w:rPr>
          <w:rFonts w:hint="eastAsia" w:ascii="仿宋_GB2312" w:eastAsia="仿宋_GB2312" w:cs="仿宋_GB2312"/>
          <w:b/>
          <w:bCs/>
          <w:szCs w:val="28"/>
        </w:rPr>
        <w:t>申请人保证</w:t>
      </w:r>
      <w:r>
        <w:rPr>
          <w:rFonts w:ascii="仿宋_GB2312" w:eastAsia="仿宋_GB2312" w:cs="仿宋_GB2312"/>
          <w:b/>
          <w:bCs/>
          <w:szCs w:val="28"/>
        </w:rPr>
        <w:t>/</w:t>
      </w:r>
      <w:r>
        <w:rPr>
          <w:b/>
          <w:bCs/>
          <w:szCs w:val="28"/>
        </w:rPr>
        <w:t>I Hereby Affirm That</w:t>
      </w:r>
    </w:p>
    <w:p>
      <w:pPr>
        <w:pageBreakBefore w:val="0"/>
        <w:kinsoku/>
        <w:overflowPunct/>
        <w:topLinePunct w:val="0"/>
        <w:autoSpaceDE/>
        <w:autoSpaceDN/>
        <w:bidi w:val="0"/>
        <w:spacing w:line="320" w:lineRule="exact"/>
        <w:jc w:val="center"/>
        <w:outlineLvl w:val="9"/>
        <w:rPr>
          <w:b/>
          <w:bCs/>
          <w:sz w:val="24"/>
        </w:rPr>
      </w:pPr>
    </w:p>
    <w:p>
      <w:pPr>
        <w:pageBreakBefore w:val="0"/>
        <w:kinsoku/>
        <w:overflowPunct/>
        <w:topLinePunct w:val="0"/>
        <w:autoSpaceDE/>
        <w:autoSpaceDN/>
        <w:bidi w:val="0"/>
        <w:spacing w:line="320" w:lineRule="exact"/>
        <w:jc w:val="center"/>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1. </w:t>
      </w:r>
      <w:r>
        <w:rPr>
          <w:rFonts w:hint="eastAsia" w:ascii="仿宋_GB2312" w:eastAsia="仿宋_GB2312" w:cs="仿宋_GB2312"/>
          <w:sz w:val="24"/>
        </w:rPr>
        <w:t>申请表中所填写的内容和提供的材料真实无误。</w:t>
      </w:r>
    </w:p>
    <w:p>
      <w:pPr>
        <w:pageBreakBefore w:val="0"/>
        <w:kinsoku/>
        <w:overflowPunct/>
        <w:topLinePunct w:val="0"/>
        <w:autoSpaceDE/>
        <w:autoSpaceDN/>
        <w:bidi w:val="0"/>
        <w:spacing w:line="320" w:lineRule="exact"/>
        <w:outlineLvl w:val="9"/>
        <w:rPr>
          <w:sz w:val="24"/>
        </w:rPr>
      </w:pPr>
      <w:r>
        <w:rPr>
          <w:sz w:val="24"/>
        </w:rPr>
        <w:t>All information and materials given in this form are true and correct.</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2. </w:t>
      </w:r>
      <w:r>
        <w:rPr>
          <w:rFonts w:hint="eastAsia" w:ascii="仿宋_GB2312" w:eastAsia="仿宋_GB2312" w:cs="仿宋_GB2312"/>
          <w:sz w:val="24"/>
        </w:rPr>
        <w:t>在华期间，遵守中国的法律、法规，不从事任何危害中国社会秩序的、与本人来华学习身份不符合的活动。</w:t>
      </w:r>
    </w:p>
    <w:p>
      <w:pPr>
        <w:pageBreakBefore w:val="0"/>
        <w:kinsoku/>
        <w:overflowPunct/>
        <w:topLinePunct w:val="0"/>
        <w:autoSpaceDE/>
        <w:autoSpaceDN/>
        <w:bidi w:val="0"/>
        <w:spacing w:line="320" w:lineRule="exact"/>
        <w:outlineLvl w:val="9"/>
        <w:rPr>
          <w:sz w:val="24"/>
        </w:rPr>
      </w:pPr>
      <w:r>
        <w:rPr>
          <w:sz w:val="24"/>
        </w:rPr>
        <w:t>During my stay in China, I shall abide by the laws and decrees of the Chinese government, and will not participate in any activities in China which are deemed to be adverse to the social order of China and are inappropriate to the capacity as a student.</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3. </w:t>
      </w:r>
      <w:r>
        <w:rPr>
          <w:rFonts w:hint="eastAsia" w:ascii="仿宋_GB2312" w:eastAsia="仿宋_GB2312" w:cs="仿宋_GB2312"/>
          <w:sz w:val="24"/>
        </w:rPr>
        <w:t>在学期间，遵守学校的校纪、校规，全力投入学习和研究工作，尊重学校的教学安排。</w:t>
      </w:r>
    </w:p>
    <w:p>
      <w:pPr>
        <w:pageBreakBefore w:val="0"/>
        <w:kinsoku/>
        <w:overflowPunct/>
        <w:topLinePunct w:val="0"/>
        <w:autoSpaceDE/>
        <w:autoSpaceDN/>
        <w:bidi w:val="0"/>
        <w:spacing w:line="320" w:lineRule="exact"/>
        <w:outlineLvl w:val="9"/>
        <w:rPr>
          <w:sz w:val="24"/>
        </w:rPr>
      </w:pPr>
      <w:r>
        <w:rPr>
          <w:sz w:val="24"/>
        </w:rPr>
        <w:t>During my study in China, I shall abide by the rules and regulations of the host university, and concentrate on my studies and researches, and follow the teaching programs arranged by the university.</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4. </w:t>
      </w:r>
      <w:r>
        <w:rPr>
          <w:rFonts w:hint="eastAsia" w:ascii="仿宋_GB2312" w:eastAsia="仿宋_GB2312" w:cs="仿宋_GB2312"/>
          <w:sz w:val="24"/>
        </w:rPr>
        <w:t>按规定期限修完学业，按期回国，不无故在华滞留。</w:t>
      </w:r>
      <w:r>
        <w:rPr>
          <w:rFonts w:hint="eastAsia" w:cs="宋体"/>
          <w:sz w:val="24"/>
        </w:rPr>
        <w:t>　</w:t>
      </w:r>
    </w:p>
    <w:p>
      <w:pPr>
        <w:pageBreakBefore w:val="0"/>
        <w:kinsoku/>
        <w:overflowPunct/>
        <w:topLinePunct w:val="0"/>
        <w:autoSpaceDE/>
        <w:autoSpaceDN/>
        <w:bidi w:val="0"/>
        <w:spacing w:line="320" w:lineRule="exact"/>
        <w:outlineLvl w:val="9"/>
        <w:rPr>
          <w:sz w:val="24"/>
        </w:rPr>
      </w:pPr>
      <w:r>
        <w:rPr>
          <w:sz w:val="24"/>
        </w:rPr>
        <w:t>I shall return to my home country as soon as I comple</w:t>
      </w:r>
      <w:bookmarkStart w:id="1794" w:name="_Toc28475_WPSOffice_Level1"/>
      <w:r>
        <w:rPr>
          <w:sz w:val="24"/>
        </w:rPr>
        <w:t>te my scheduled progr</w:t>
      </w:r>
      <w:bookmarkEnd w:id="1794"/>
      <w:r>
        <w:rPr>
          <w:sz w:val="24"/>
        </w:rPr>
        <w:t>am in China, and will not extend my stay without valid reasons.</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sz w:val="24"/>
        </w:rPr>
        <w:t xml:space="preserve">5. </w:t>
      </w:r>
      <w:r>
        <w:rPr>
          <w:rFonts w:hint="eastAsia" w:ascii="仿宋_GB2312" w:eastAsia="仿宋_GB2312" w:cs="仿宋_GB2312"/>
          <w:sz w:val="24"/>
        </w:rPr>
        <w:t>如违反上述保证而受到中国法律、法规或校纪、校规的惩处，我愿意接受中止或取消奖学金及其它相应的处罚。</w:t>
      </w:r>
    </w:p>
    <w:p>
      <w:pPr>
        <w:pageBreakBefore w:val="0"/>
        <w:kinsoku/>
        <w:overflowPunct/>
        <w:topLinePunct w:val="0"/>
        <w:autoSpaceDE/>
        <w:autoSpaceDN/>
        <w:bidi w:val="0"/>
        <w:spacing w:line="320" w:lineRule="exact"/>
        <w:outlineLvl w:val="9"/>
        <w:rPr>
          <w:sz w:val="24"/>
        </w:rPr>
      </w:pPr>
      <w:r>
        <w:rPr>
          <w:sz w:val="24"/>
        </w:rPr>
        <w:t>If I am judged by the Chinese laws and decrees and the rules and regulations of the university as having violated any of the above, I will not lodge any appeal against the decision of withdrawing my scholarship, or other penalties.</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rFonts w:hint="eastAsia" w:ascii="仿宋_GB2312" w:eastAsia="仿宋_GB2312" w:cs="仿宋_GB2312"/>
          <w:sz w:val="24"/>
        </w:rPr>
        <w:t>申请人签字</w:t>
      </w:r>
      <w:r>
        <w:rPr>
          <w:sz w:val="24"/>
        </w:rPr>
        <w:t xml:space="preserve">/Signature of Applicant:____________________________ </w:t>
      </w:r>
    </w:p>
    <w:p>
      <w:pPr>
        <w:pageBreakBefore w:val="0"/>
        <w:kinsoku/>
        <w:overflowPunct/>
        <w:topLinePunct w:val="0"/>
        <w:autoSpaceDE/>
        <w:autoSpaceDN/>
        <w:bidi w:val="0"/>
        <w:spacing w:line="320" w:lineRule="exact"/>
        <w:outlineLvl w:val="9"/>
        <w:rPr>
          <w:sz w:val="24"/>
        </w:rPr>
      </w:pPr>
    </w:p>
    <w:p>
      <w:pPr>
        <w:pageBreakBefore w:val="0"/>
        <w:kinsoku/>
        <w:overflowPunct/>
        <w:topLinePunct w:val="0"/>
        <w:autoSpaceDE/>
        <w:autoSpaceDN/>
        <w:bidi w:val="0"/>
        <w:spacing w:line="320" w:lineRule="exact"/>
        <w:outlineLvl w:val="9"/>
        <w:rPr>
          <w:sz w:val="24"/>
        </w:rPr>
      </w:pPr>
      <w:r>
        <w:rPr>
          <w:rFonts w:hint="eastAsia" w:ascii="仿宋_GB2312" w:eastAsia="仿宋_GB2312" w:cs="仿宋_GB2312"/>
          <w:sz w:val="24"/>
        </w:rPr>
        <w:t>日期</w:t>
      </w:r>
      <w:r>
        <w:rPr>
          <w:sz w:val="24"/>
        </w:rPr>
        <w:t>/Date:____________________</w:t>
      </w:r>
    </w:p>
    <w:p>
      <w:pPr>
        <w:pageBreakBefore w:val="0"/>
        <w:kinsoku/>
        <w:overflowPunct/>
        <w:topLinePunct w:val="0"/>
        <w:autoSpaceDE/>
        <w:autoSpaceDN/>
        <w:bidi w:val="0"/>
        <w:jc w:val="center"/>
        <w:outlineLvl w:val="9"/>
        <w:rPr>
          <w:rFonts w:ascii="楷体_GB2312" w:eastAsia="楷体_GB2312"/>
          <w:szCs w:val="28"/>
        </w:rPr>
      </w:pPr>
    </w:p>
    <w:p>
      <w:pPr>
        <w:pageBreakBefore w:val="0"/>
        <w:kinsoku/>
        <w:overflowPunct/>
        <w:topLinePunct w:val="0"/>
        <w:autoSpaceDE/>
        <w:autoSpaceDN/>
        <w:bidi w:val="0"/>
        <w:jc w:val="center"/>
        <w:outlineLvl w:val="9"/>
        <w:rPr>
          <w:rFonts w:ascii="楷体_GB2312" w:eastAsia="楷体_GB2312"/>
          <w:szCs w:val="28"/>
        </w:rPr>
      </w:pPr>
    </w:p>
    <w:tbl>
      <w:tblPr>
        <w:tblStyle w:val="14"/>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
        <w:gridCol w:w="306"/>
        <w:gridCol w:w="2576"/>
        <w:gridCol w:w="3969"/>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exact"/>
          <w:jc w:val="center"/>
        </w:trPr>
        <w:tc>
          <w:tcPr>
            <w:tcW w:w="7196" w:type="dxa"/>
            <w:gridSpan w:val="4"/>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1. 申请人基本情况</w:t>
            </w:r>
            <w:r>
              <w:rPr>
                <w:rFonts w:eastAsia="仿宋_GB2312"/>
                <w:b/>
                <w:bCs/>
                <w:sz w:val="24"/>
              </w:rPr>
              <w:t>/Information of the Candidate</w:t>
            </w:r>
          </w:p>
        </w:tc>
        <w:tc>
          <w:tcPr>
            <w:tcW w:w="1732" w:type="dxa"/>
            <w:vMerge w:val="restart"/>
            <w:vAlign w:val="center"/>
          </w:tcPr>
          <w:p>
            <w:pPr>
              <w:pageBreakBefore w:val="0"/>
              <w:widowControl/>
              <w:kinsoku/>
              <w:overflowPunct/>
              <w:topLinePunct w:val="0"/>
              <w:autoSpaceDE/>
              <w:autoSpaceDN/>
              <w:bidi w:val="0"/>
              <w:jc w:val="center"/>
              <w:outlineLvl w:val="9"/>
              <w:rPr>
                <w:rFonts w:eastAsia="仿宋_GB2312"/>
                <w:sz w:val="24"/>
              </w:rPr>
            </w:pPr>
            <w:r>
              <w:rPr>
                <w:rFonts w:hint="eastAsia" w:eastAsia="仿宋_GB2312" w:cs="仿宋_GB2312"/>
                <w:sz w:val="24"/>
              </w:rPr>
              <w:t>照片</w:t>
            </w:r>
          </w:p>
          <w:p>
            <w:pPr>
              <w:pageBreakBefore w:val="0"/>
              <w:kinsoku/>
              <w:overflowPunct/>
              <w:topLinePunct w:val="0"/>
              <w:autoSpaceDE/>
              <w:autoSpaceDN/>
              <w:bidi w:val="0"/>
              <w:spacing w:line="280" w:lineRule="exact"/>
              <w:jc w:val="center"/>
              <w:outlineLvl w:val="9"/>
              <w:rPr>
                <w:rFonts w:eastAsia="仿宋_GB2312"/>
              </w:rPr>
            </w:pPr>
            <w:r>
              <w:rPr>
                <w:rFonts w:eastAsia="仿宋_GB2312"/>
              </w:rPr>
              <w:t>(</w:t>
            </w:r>
            <w:r>
              <w:rPr>
                <w:rFonts w:hint="eastAsia" w:eastAsia="仿宋_GB2312" w:cs="仿宋_GB2312"/>
              </w:rPr>
              <w:t>小二寸</w:t>
            </w:r>
            <w:r>
              <w:rPr>
                <w:rFonts w:eastAsia="仿宋_GB2312"/>
              </w:rPr>
              <w:t>)</w:t>
            </w:r>
          </w:p>
          <w:p>
            <w:pPr>
              <w:pageBreakBefore w:val="0"/>
              <w:kinsoku/>
              <w:overflowPunct/>
              <w:topLinePunct w:val="0"/>
              <w:autoSpaceDE/>
              <w:autoSpaceDN/>
              <w:bidi w:val="0"/>
              <w:spacing w:line="280" w:lineRule="exact"/>
              <w:jc w:val="center"/>
              <w:outlineLvl w:val="9"/>
              <w:rPr>
                <w:rFonts w:eastAsia="仿宋_GB2312"/>
                <w:sz w:val="24"/>
              </w:rPr>
            </w:pPr>
            <w:r>
              <w:rPr>
                <w:rFonts w:eastAsia="仿宋_GB2312"/>
              </w:rPr>
              <w:t>35mm×45mm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3227" w:type="dxa"/>
            <w:gridSpan w:val="3"/>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姓</w:t>
            </w:r>
            <w:r>
              <w:rPr>
                <w:rFonts w:eastAsia="仿宋_GB2312"/>
                <w:sz w:val="24"/>
              </w:rPr>
              <w:t>/Family Name:</w:t>
            </w:r>
          </w:p>
          <w:p>
            <w:pPr>
              <w:pageBreakBefore w:val="0"/>
              <w:kinsoku/>
              <w:overflowPunct/>
              <w:topLinePunct w:val="0"/>
              <w:autoSpaceDE/>
              <w:autoSpaceDN/>
              <w:bidi w:val="0"/>
              <w:spacing w:line="280" w:lineRule="exact"/>
              <w:outlineLvl w:val="9"/>
              <w:rPr>
                <w:rFonts w:eastAsia="仿宋_GB2312"/>
                <w:sz w:val="24"/>
              </w:rPr>
            </w:pPr>
          </w:p>
          <w:p>
            <w:pPr>
              <w:pageBreakBefore w:val="0"/>
              <w:kinsoku/>
              <w:overflowPunct/>
              <w:topLinePunct w:val="0"/>
              <w:autoSpaceDE/>
              <w:autoSpaceDN/>
              <w:bidi w:val="0"/>
              <w:spacing w:line="280" w:lineRule="exact"/>
              <w:outlineLvl w:val="9"/>
              <w:rPr>
                <w:rFonts w:eastAsia="仿宋_GB2312"/>
                <w:sz w:val="24"/>
              </w:rPr>
            </w:pPr>
          </w:p>
        </w:tc>
        <w:tc>
          <w:tcPr>
            <w:tcW w:w="3969" w:type="dxa"/>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名</w:t>
            </w:r>
            <w:r>
              <w:rPr>
                <w:rFonts w:eastAsia="仿宋_GB2312"/>
                <w:sz w:val="24"/>
              </w:rPr>
              <w:t>/Given Name:</w:t>
            </w:r>
          </w:p>
        </w:tc>
        <w:tc>
          <w:tcPr>
            <w:tcW w:w="1732" w:type="dxa"/>
            <w:vMerge w:val="continue"/>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6" w:hRule="exact"/>
          <w:jc w:val="center"/>
        </w:trPr>
        <w:tc>
          <w:tcPr>
            <w:tcW w:w="3227" w:type="dxa"/>
            <w:gridSpan w:val="3"/>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性别</w:t>
            </w:r>
            <w:r>
              <w:rPr>
                <w:rFonts w:eastAsia="仿宋_GB2312"/>
                <w:sz w:val="24"/>
              </w:rPr>
              <w:t>/Gender:</w:t>
            </w:r>
          </w:p>
        </w:tc>
        <w:tc>
          <w:tcPr>
            <w:tcW w:w="3969" w:type="dxa"/>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国籍</w:t>
            </w:r>
            <w:r>
              <w:rPr>
                <w:rFonts w:eastAsia="仿宋_GB2312"/>
                <w:sz w:val="24"/>
              </w:rPr>
              <w:t>/Nationality:</w:t>
            </w:r>
          </w:p>
        </w:tc>
        <w:tc>
          <w:tcPr>
            <w:tcW w:w="1732" w:type="dxa"/>
            <w:vMerge w:val="continue"/>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3227" w:type="dxa"/>
            <w:gridSpan w:val="3"/>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出生日期</w:t>
            </w:r>
            <w:r>
              <w:rPr>
                <w:rFonts w:eastAsia="仿宋_GB2312"/>
                <w:sz w:val="24"/>
              </w:rPr>
              <w:t>/D.O.B.:</w:t>
            </w:r>
          </w:p>
        </w:tc>
        <w:tc>
          <w:tcPr>
            <w:tcW w:w="3969" w:type="dxa"/>
            <w:vAlign w:val="center"/>
          </w:tcPr>
          <w:p>
            <w:pPr>
              <w:pageBreakBefore w:val="0"/>
              <w:kinsoku/>
              <w:overflowPunct/>
              <w:topLinePunct w:val="0"/>
              <w:autoSpaceDE/>
              <w:autoSpaceDN/>
              <w:bidi w:val="0"/>
              <w:spacing w:line="280" w:lineRule="exact"/>
              <w:outlineLvl w:val="9"/>
              <w:rPr>
                <w:rFonts w:eastAsia="仿宋_GB2312"/>
                <w:sz w:val="24"/>
              </w:rPr>
            </w:pPr>
            <w:r>
              <w:rPr>
                <w:rFonts w:hint="eastAsia" w:eastAsia="仿宋_GB2312" w:cs="仿宋_GB2312"/>
                <w:sz w:val="24"/>
              </w:rPr>
              <w:t>护照号码</w:t>
            </w:r>
            <w:r>
              <w:rPr>
                <w:rFonts w:eastAsia="仿宋_GB2312"/>
                <w:sz w:val="24"/>
              </w:rPr>
              <w:t>/Passport No.:</w:t>
            </w:r>
          </w:p>
        </w:tc>
        <w:tc>
          <w:tcPr>
            <w:tcW w:w="1732" w:type="dxa"/>
            <w:vMerge w:val="continue"/>
          </w:tcPr>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jc w:val="center"/>
        </w:trPr>
        <w:tc>
          <w:tcPr>
            <w:tcW w:w="8928" w:type="dxa"/>
            <w:gridSpan w:val="5"/>
            <w:vAlign w:val="center"/>
          </w:tcPr>
          <w:p>
            <w:pPr>
              <w:pageBreakBefore w:val="0"/>
              <w:kinsoku/>
              <w:overflowPunct/>
              <w:topLinePunct w:val="0"/>
              <w:autoSpaceDE/>
              <w:autoSpaceDN/>
              <w:bidi w:val="0"/>
              <w:spacing w:line="280" w:lineRule="exact"/>
              <w:outlineLvl w:val="9"/>
              <w:rPr>
                <w:rFonts w:eastAsia="仿宋_GB2312"/>
                <w:b/>
                <w:bCs/>
                <w:sz w:val="24"/>
              </w:rPr>
            </w:pPr>
            <w:r>
              <w:rPr>
                <w:rFonts w:eastAsia="仿宋_GB2312"/>
                <w:b/>
                <w:bCs/>
                <w:sz w:val="24"/>
              </w:rPr>
              <w:t xml:space="preserve">2. </w:t>
            </w:r>
            <w:r>
              <w:rPr>
                <w:rFonts w:hint="eastAsia" w:eastAsia="仿宋_GB2312" w:cs="仿宋_GB2312"/>
                <w:b/>
                <w:bCs/>
                <w:sz w:val="24"/>
              </w:rPr>
              <w:t>所在学院</w:t>
            </w:r>
            <w:r>
              <w:rPr>
                <w:rFonts w:eastAsia="仿宋_GB2312"/>
                <w:b/>
                <w:bCs/>
                <w:sz w:val="24"/>
              </w:rPr>
              <w:t>/Department</w:t>
            </w:r>
            <w:r>
              <w:rPr>
                <w:rFonts w:hint="eastAsia" w:eastAsia="仿宋_GB2312" w:cs="仿宋_GB2312"/>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atLeast"/>
          <w:jc w:val="center"/>
        </w:trPr>
        <w:tc>
          <w:tcPr>
            <w:tcW w:w="345" w:type="dxa"/>
            <w:vMerge w:val="restart"/>
            <w:vAlign w:val="center"/>
          </w:tcPr>
          <w:p>
            <w:pPr>
              <w:pageBreakBefore w:val="0"/>
              <w:kinsoku/>
              <w:overflowPunct/>
              <w:topLinePunct w:val="0"/>
              <w:autoSpaceDE/>
              <w:autoSpaceDN/>
              <w:bidi w:val="0"/>
              <w:spacing w:line="280" w:lineRule="exact"/>
              <w:jc w:val="center"/>
              <w:outlineLvl w:val="9"/>
              <w:rPr>
                <w:rFonts w:eastAsia="仿宋_GB2312"/>
                <w:b/>
                <w:bCs/>
                <w:sz w:val="24"/>
              </w:rPr>
            </w:pPr>
            <w:r>
              <w:rPr>
                <w:rFonts w:hint="eastAsia" w:eastAsia="仿宋_GB2312"/>
                <w:b/>
                <w:bCs/>
                <w:sz w:val="24"/>
              </w:rPr>
              <w:t>3</w:t>
            </w:r>
          </w:p>
        </w:tc>
        <w:tc>
          <w:tcPr>
            <w:tcW w:w="8583" w:type="dxa"/>
            <w:gridSpan w:val="4"/>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所学专业</w:t>
            </w:r>
            <w:r>
              <w:rPr>
                <w:rFonts w:eastAsia="仿宋_GB2312"/>
                <w:b/>
                <w:bCs/>
                <w:sz w:val="24"/>
              </w:rPr>
              <w:t xml:space="preserve">/Major: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jc w:val="center"/>
        </w:trPr>
        <w:tc>
          <w:tcPr>
            <w:tcW w:w="345" w:type="dxa"/>
            <w:vMerge w:val="continue"/>
            <w:vAlign w:val="center"/>
          </w:tcPr>
          <w:p>
            <w:pPr>
              <w:pageBreakBefore w:val="0"/>
              <w:kinsoku/>
              <w:overflowPunct/>
              <w:topLinePunct w:val="0"/>
              <w:autoSpaceDE/>
              <w:autoSpaceDN/>
              <w:bidi w:val="0"/>
              <w:spacing w:line="280" w:lineRule="exact"/>
              <w:outlineLvl w:val="9"/>
              <w:rPr>
                <w:rFonts w:eastAsia="仿宋_GB2312"/>
                <w:sz w:val="24"/>
              </w:rPr>
            </w:pPr>
          </w:p>
        </w:tc>
        <w:tc>
          <w:tcPr>
            <w:tcW w:w="8583" w:type="dxa"/>
            <w:gridSpan w:val="4"/>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cs="仿宋_GB2312"/>
                <w:b/>
                <w:bCs/>
                <w:sz w:val="24"/>
              </w:rPr>
              <w:t>入学时间</w:t>
            </w:r>
            <w:r>
              <w:rPr>
                <w:rFonts w:eastAsia="仿宋_GB2312"/>
                <w:b/>
                <w:bCs/>
                <w:sz w:val="24"/>
              </w:rPr>
              <w:t>/Date of Enrollment: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b/>
                <w:bCs/>
                <w:sz w:val="24"/>
              </w:rPr>
              <w:t>4</w:t>
            </w:r>
            <w:r>
              <w:rPr>
                <w:rFonts w:eastAsia="仿宋_GB2312"/>
                <w:b/>
                <w:bCs/>
                <w:sz w:val="24"/>
              </w:rPr>
              <w:t xml:space="preserve">. </w:t>
            </w:r>
            <w:r>
              <w:rPr>
                <w:rFonts w:hint="eastAsia" w:eastAsia="仿宋_GB2312" w:cs="仿宋_GB2312"/>
                <w:b/>
                <w:bCs/>
                <w:sz w:val="24"/>
              </w:rPr>
              <w:t>汉语能力</w:t>
            </w:r>
            <w:r>
              <w:rPr>
                <w:rFonts w:eastAsia="仿宋_GB2312"/>
                <w:b/>
                <w:bCs/>
                <w:sz w:val="24"/>
              </w:rPr>
              <w:t xml:space="preserve">/Chinese Language Proficiency: </w:t>
            </w:r>
          </w:p>
          <w:p>
            <w:pPr>
              <w:pageBreakBefore w:val="0"/>
              <w:kinsoku/>
              <w:overflowPunct/>
              <w:topLinePunct w:val="0"/>
              <w:autoSpaceDE/>
              <w:autoSpaceDN/>
              <w:bidi w:val="0"/>
              <w:spacing w:line="280" w:lineRule="exact"/>
              <w:ind w:firstLine="315" w:firstLineChars="150"/>
              <w:outlineLvl w:val="9"/>
              <w:rPr>
                <w:rFonts w:eastAsia="仿宋_GB2312"/>
                <w:b/>
                <w:bCs/>
                <w:sz w:val="24"/>
              </w:rPr>
            </w:pPr>
            <w:r>
              <w:rPr>
                <w:rFonts w:hint="eastAsia" w:eastAsia="仿宋_GB2312" w:cs="仿宋_GB2312"/>
              </w:rPr>
              <w:t>□很好</w:t>
            </w:r>
            <w:r>
              <w:rPr>
                <w:rFonts w:eastAsia="仿宋_GB2312"/>
              </w:rPr>
              <w:t xml:space="preserve">/Excellent; </w:t>
            </w:r>
            <w:r>
              <w:rPr>
                <w:rFonts w:hint="eastAsia" w:eastAsia="仿宋_GB2312" w:cs="仿宋_GB2312"/>
              </w:rPr>
              <w:t>□好</w:t>
            </w:r>
            <w:r>
              <w:rPr>
                <w:rFonts w:eastAsia="仿宋_GB2312"/>
              </w:rPr>
              <w:t xml:space="preserve">/Good; </w:t>
            </w:r>
            <w:r>
              <w:rPr>
                <w:rFonts w:hint="eastAsia" w:eastAsia="仿宋_GB2312" w:cs="仿宋_GB2312"/>
              </w:rPr>
              <w:t>□较好</w:t>
            </w:r>
            <w:r>
              <w:rPr>
                <w:rFonts w:eastAsia="仿宋_GB2312"/>
              </w:rPr>
              <w:t xml:space="preserve">/Fair; </w:t>
            </w:r>
            <w:r>
              <w:rPr>
                <w:rFonts w:hint="eastAsia" w:eastAsia="仿宋_GB2312" w:cs="仿宋_GB2312"/>
              </w:rPr>
              <w:t>□差</w:t>
            </w:r>
            <w:r>
              <w:rPr>
                <w:rFonts w:eastAsia="仿宋_GB2312"/>
              </w:rPr>
              <w:t xml:space="preserve">/Poor; </w:t>
            </w:r>
            <w:r>
              <w:rPr>
                <w:rFonts w:hint="eastAsia" w:eastAsia="仿宋_GB2312" w:cs="仿宋_GB2312"/>
              </w:rPr>
              <w:t>□不会</w:t>
            </w:r>
            <w:r>
              <w:rPr>
                <w:rFonts w:eastAsia="仿宋_GB2312"/>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vAlign w:val="center"/>
          </w:tcPr>
          <w:p>
            <w:pPr>
              <w:pageBreakBefore w:val="0"/>
              <w:kinsoku/>
              <w:overflowPunct/>
              <w:topLinePunct w:val="0"/>
              <w:autoSpaceDE/>
              <w:autoSpaceDN/>
              <w:bidi w:val="0"/>
              <w:spacing w:line="280" w:lineRule="exact"/>
              <w:outlineLvl w:val="9"/>
              <w:rPr>
                <w:rFonts w:eastAsia="仿宋_GB2312"/>
                <w:sz w:val="24"/>
              </w:rPr>
            </w:pPr>
            <w:r>
              <w:rPr>
                <w:rFonts w:eastAsia="仿宋_GB2312"/>
                <w:sz w:val="24"/>
              </w:rPr>
              <w:t>HSK</w:t>
            </w:r>
            <w:r>
              <w:rPr>
                <w:rFonts w:hint="eastAsia" w:eastAsia="仿宋_GB2312" w:cs="仿宋_GB2312"/>
                <w:sz w:val="24"/>
              </w:rPr>
              <w:t>考试等级或其他类型汉语考试成绩</w:t>
            </w:r>
            <w:r>
              <w:rPr>
                <w:rFonts w:eastAsia="仿宋_GB2312"/>
                <w:sz w:val="24"/>
              </w:rPr>
              <w:t>/Level of New HSK Test or Other Certificates Which Can Show Your Chinese Level:</w:t>
            </w:r>
          </w:p>
          <w:p>
            <w:pPr>
              <w:pageBreakBefore w:val="0"/>
              <w:kinsoku/>
              <w:overflowPunct/>
              <w:topLinePunct w:val="0"/>
              <w:autoSpaceDE/>
              <w:autoSpaceDN/>
              <w:bidi w:val="0"/>
              <w:spacing w:line="280" w:lineRule="exact"/>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atLeast"/>
          <w:jc w:val="center"/>
        </w:trPr>
        <w:tc>
          <w:tcPr>
            <w:tcW w:w="8928" w:type="dxa"/>
            <w:gridSpan w:val="5"/>
            <w:vAlign w:val="center"/>
          </w:tcPr>
          <w:p>
            <w:pPr>
              <w:pageBreakBefore w:val="0"/>
              <w:kinsoku/>
              <w:overflowPunct/>
              <w:topLinePunct w:val="0"/>
              <w:autoSpaceDE/>
              <w:autoSpaceDN/>
              <w:bidi w:val="0"/>
              <w:spacing w:line="280" w:lineRule="exact"/>
              <w:outlineLvl w:val="9"/>
              <w:rPr>
                <w:rFonts w:eastAsia="仿宋_GB2312"/>
                <w:b/>
                <w:bCs/>
                <w:sz w:val="24"/>
              </w:rPr>
            </w:pPr>
            <w:r>
              <w:rPr>
                <w:rFonts w:hint="eastAsia" w:eastAsia="仿宋_GB2312"/>
                <w:b/>
                <w:bCs/>
                <w:sz w:val="24"/>
              </w:rPr>
              <w:t>5</w:t>
            </w:r>
            <w:r>
              <w:rPr>
                <w:rFonts w:eastAsia="仿宋_GB2312"/>
                <w:b/>
                <w:bCs/>
                <w:sz w:val="24"/>
              </w:rPr>
              <w:t xml:space="preserve">. </w:t>
            </w:r>
            <w:r>
              <w:rPr>
                <w:rFonts w:hint="eastAsia" w:eastAsia="仿宋_GB2312" w:cs="仿宋_GB2312"/>
                <w:b/>
                <w:bCs/>
                <w:sz w:val="24"/>
              </w:rPr>
              <w:t>通讯地址、电话及电子邮件</w:t>
            </w:r>
            <w:r>
              <w:rPr>
                <w:rFonts w:eastAsia="仿宋_GB2312"/>
                <w:b/>
                <w:bCs/>
                <w:sz w:val="24"/>
              </w:rPr>
              <w:t>/Home Add., Tel. and E-mail.</w:t>
            </w:r>
            <w:r>
              <w:rPr>
                <w:rFonts w:hint="eastAsia" w:eastAsia="仿宋_GB2312" w:cs="仿宋_GB2312"/>
                <w:b/>
                <w:bCs/>
                <w:sz w:val="24"/>
              </w:rPr>
              <w:t>：</w:t>
            </w:r>
          </w:p>
          <w:p>
            <w:pPr>
              <w:pageBreakBefore w:val="0"/>
              <w:kinsoku/>
              <w:overflowPunct/>
              <w:topLinePunct w:val="0"/>
              <w:autoSpaceDE/>
              <w:autoSpaceDN/>
              <w:bidi w:val="0"/>
              <w:spacing w:line="280" w:lineRule="exact"/>
              <w:outlineLvl w:val="9"/>
              <w:rPr>
                <w:rFonts w:eastAsia="仿宋_GB2312"/>
                <w:b/>
                <w:bCs/>
                <w:sz w:val="24"/>
              </w:rPr>
            </w:pPr>
          </w:p>
          <w:p>
            <w:pPr>
              <w:pageBreakBefore w:val="0"/>
              <w:kinsoku/>
              <w:overflowPunct/>
              <w:topLinePunct w:val="0"/>
              <w:autoSpaceDE/>
              <w:autoSpaceDN/>
              <w:bidi w:val="0"/>
              <w:spacing w:line="280" w:lineRule="exact"/>
              <w:outlineLvl w:val="9"/>
              <w:rPr>
                <w:rFonts w:eastAsia="仿宋_GB2312"/>
                <w:sz w:val="24"/>
              </w:rPr>
            </w:pPr>
          </w:p>
          <w:p>
            <w:pPr>
              <w:pageBreakBefore w:val="0"/>
              <w:kinsoku/>
              <w:overflowPunct/>
              <w:topLinePunct w:val="0"/>
              <w:autoSpaceDE/>
              <w:autoSpaceDN/>
              <w:bidi w:val="0"/>
              <w:spacing w:line="280" w:lineRule="exact"/>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1" w:hRule="atLeast"/>
          <w:jc w:val="center"/>
        </w:trPr>
        <w:tc>
          <w:tcPr>
            <w:tcW w:w="8928" w:type="dxa"/>
            <w:gridSpan w:val="5"/>
          </w:tcPr>
          <w:p>
            <w:pPr>
              <w:pageBreakBefore w:val="0"/>
              <w:kinsoku/>
              <w:overflowPunct/>
              <w:topLinePunct w:val="0"/>
              <w:autoSpaceDE/>
              <w:autoSpaceDN/>
              <w:bidi w:val="0"/>
              <w:outlineLvl w:val="9"/>
              <w:rPr>
                <w:rFonts w:eastAsia="仿宋_GB2312"/>
                <w:b/>
                <w:bCs/>
                <w:sz w:val="24"/>
              </w:rPr>
            </w:pPr>
            <w:r>
              <w:rPr>
                <w:rFonts w:hint="eastAsia" w:eastAsia="仿宋_GB2312"/>
                <w:b/>
                <w:bCs/>
                <w:sz w:val="24"/>
              </w:rPr>
              <w:t>6</w:t>
            </w:r>
            <w:r>
              <w:rPr>
                <w:rFonts w:eastAsia="仿宋_GB2312"/>
                <w:b/>
                <w:bCs/>
                <w:sz w:val="24"/>
              </w:rPr>
              <w:t>.</w:t>
            </w:r>
            <w:r>
              <w:rPr>
                <w:rFonts w:hint="eastAsia" w:eastAsia="仿宋_GB2312" w:cs="仿宋_GB2312"/>
                <w:b/>
                <w:bCs/>
                <w:sz w:val="24"/>
              </w:rPr>
              <w:t>本人简历（从高中开始）</w:t>
            </w:r>
            <w:r>
              <w:rPr>
                <w:rFonts w:eastAsia="仿宋_GB2312"/>
                <w:b/>
                <w:bCs/>
                <w:sz w:val="24"/>
              </w:rPr>
              <w:t>/Curriculum Vitae Starting from High School</w:t>
            </w:r>
          </w:p>
          <w:p>
            <w:pPr>
              <w:pageBreakBefore w:val="0"/>
              <w:kinsoku/>
              <w:overflowPunct/>
              <w:topLinePunct w:val="0"/>
              <w:autoSpaceDE/>
              <w:autoSpaceDN/>
              <w:bidi w:val="0"/>
              <w:outlineLvl w:val="9"/>
              <w:rPr>
                <w:rFonts w:eastAsia="仿宋_GB2312"/>
                <w:sz w:val="24"/>
              </w:rPr>
            </w:pPr>
            <w:r>
              <w:rPr>
                <w:rFonts w:eastAsia="仿宋_GB2312"/>
                <w:sz w:val="24"/>
              </w:rPr>
              <w:t>(</w:t>
            </w:r>
            <w:r>
              <w:rPr>
                <w:rFonts w:hint="eastAsia" w:eastAsia="仿宋_GB2312" w:cs="仿宋_GB2312"/>
                <w:sz w:val="24"/>
              </w:rPr>
              <w:t>包括单位、时间（年月</w:t>
            </w:r>
            <w:r>
              <w:rPr>
                <w:rFonts w:eastAsia="仿宋_GB2312"/>
                <w:sz w:val="24"/>
              </w:rPr>
              <w:t>—</w:t>
            </w:r>
            <w:r>
              <w:rPr>
                <w:rFonts w:hint="eastAsia" w:eastAsia="仿宋_GB2312" w:cs="仿宋_GB2312"/>
                <w:sz w:val="24"/>
              </w:rPr>
              <w:t>年月）、主修专业</w:t>
            </w:r>
            <w:r>
              <w:rPr>
                <w:rFonts w:eastAsia="仿宋_GB2312"/>
                <w:sz w:val="24"/>
              </w:rPr>
              <w:t>/Previous and Current Education &amp; Employer, Years Attended(from/to)</w:t>
            </w:r>
            <w:r>
              <w:rPr>
                <w:rFonts w:hint="eastAsia" w:eastAsia="仿宋_GB2312" w:cs="仿宋_GB2312"/>
                <w:sz w:val="24"/>
              </w:rPr>
              <w:t>，</w:t>
            </w:r>
            <w:r>
              <w:rPr>
                <w:rFonts w:eastAsia="仿宋_GB2312"/>
                <w:sz w:val="24"/>
              </w:rPr>
              <w:t>Fields of Study)</w:t>
            </w: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1" w:hRule="atLeast"/>
          <w:jc w:val="center"/>
        </w:trPr>
        <w:tc>
          <w:tcPr>
            <w:tcW w:w="8928" w:type="dxa"/>
            <w:gridSpan w:val="5"/>
          </w:tcPr>
          <w:p>
            <w:pPr>
              <w:pageBreakBefore w:val="0"/>
              <w:kinsoku/>
              <w:overflowPunct/>
              <w:topLinePunct w:val="0"/>
              <w:autoSpaceDE/>
              <w:autoSpaceDN/>
              <w:bidi w:val="0"/>
              <w:outlineLvl w:val="9"/>
              <w:rPr>
                <w:rFonts w:eastAsia="仿宋_GB2312"/>
                <w:b/>
                <w:bCs/>
                <w:sz w:val="24"/>
              </w:rPr>
            </w:pPr>
            <w:r>
              <w:rPr>
                <w:rFonts w:hint="eastAsia" w:eastAsia="仿宋_GB2312"/>
                <w:b/>
                <w:bCs/>
                <w:sz w:val="24"/>
              </w:rPr>
              <w:t>7</w:t>
            </w:r>
            <w:r>
              <w:rPr>
                <w:rFonts w:eastAsia="仿宋_GB2312"/>
                <w:b/>
                <w:bCs/>
                <w:sz w:val="24"/>
              </w:rPr>
              <w:t>.</w:t>
            </w:r>
            <w:r>
              <w:rPr>
                <w:rFonts w:hint="eastAsia" w:eastAsia="仿宋_GB2312" w:cs="仿宋_GB2312"/>
                <w:b/>
                <w:bCs/>
                <w:sz w:val="24"/>
              </w:rPr>
              <w:t>参加活动和获奖励情况</w:t>
            </w:r>
            <w:r>
              <w:rPr>
                <w:rFonts w:eastAsia="仿宋_GB2312"/>
                <w:b/>
                <w:bCs/>
                <w:sz w:val="24"/>
              </w:rPr>
              <w:t>/</w:t>
            </w:r>
            <w:r>
              <w:rPr>
                <w:rFonts w:eastAsia="仿宋_GB2312"/>
                <w:sz w:val="24"/>
              </w:rPr>
              <w:t>Activities and Honors</w:t>
            </w: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hint="eastAsia" w:eastAsia="仿宋_GB2312"/>
                <w:b/>
                <w:bCs/>
                <w:sz w:val="24"/>
              </w:rPr>
            </w:pP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rFonts w:eastAsia="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6" w:hRule="atLeast"/>
          <w:jc w:val="center"/>
        </w:trPr>
        <w:tc>
          <w:tcPr>
            <w:tcW w:w="8928" w:type="dxa"/>
            <w:gridSpan w:val="5"/>
          </w:tcPr>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rPr>
                <w:b/>
                <w:bCs/>
                <w:sz w:val="24"/>
              </w:rPr>
            </w:pPr>
            <w:r>
              <w:rPr>
                <w:rFonts w:hint="eastAsia" w:eastAsia="仿宋_GB2312"/>
                <w:b/>
                <w:bCs/>
                <w:sz w:val="24"/>
              </w:rPr>
              <w:t>8</w:t>
            </w:r>
            <w:r>
              <w:rPr>
                <w:rFonts w:eastAsia="仿宋_GB2312"/>
                <w:b/>
                <w:bCs/>
                <w:sz w:val="24"/>
              </w:rPr>
              <w:t>.</w:t>
            </w:r>
            <w:r>
              <w:rPr>
                <w:rFonts w:hint="eastAsia" w:eastAsia="仿宋_GB2312" w:cs="仿宋_GB2312"/>
                <w:b/>
                <w:bCs/>
                <w:sz w:val="24"/>
              </w:rPr>
              <w:t>上一学年</w:t>
            </w:r>
            <w:r>
              <w:rPr>
                <w:rFonts w:hint="eastAsia" w:ascii="仿宋_GB2312" w:eastAsia="仿宋_GB2312" w:cs="仿宋_GB2312"/>
                <w:b/>
                <w:bCs/>
                <w:sz w:val="24"/>
              </w:rPr>
              <w:t>课程成绩</w:t>
            </w:r>
            <w:r>
              <w:rPr>
                <w:rFonts w:eastAsia="仿宋_GB2312"/>
                <w:b/>
                <w:bCs/>
                <w:sz w:val="24"/>
              </w:rPr>
              <w:t>/</w:t>
            </w:r>
            <w:r>
              <w:rPr>
                <w:sz w:val="24"/>
              </w:rPr>
              <w:t>Courses and Scores of Last Year</w:t>
            </w:r>
          </w:p>
          <w:p>
            <w:pPr>
              <w:pageBreakBefore w:val="0"/>
              <w:kinsoku/>
              <w:overflowPunct/>
              <w:topLinePunct w:val="0"/>
              <w:autoSpaceDE/>
              <w:autoSpaceDN/>
              <w:bidi w:val="0"/>
              <w:outlineLvl w:val="9"/>
              <w:rPr>
                <w:rFonts w:eastAsia="仿宋_GB2312"/>
                <w:sz w:val="24"/>
              </w:rPr>
            </w:pPr>
          </w:p>
          <w:tbl>
            <w:tblPr>
              <w:tblStyle w:val="14"/>
              <w:tblW w:w="85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851"/>
              <w:gridCol w:w="340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r>
                    <w:rPr>
                      <w:rFonts w:hint="eastAsia" w:ascii="仿宋_GB2312" w:eastAsia="仿宋_GB2312" w:cs="仿宋_GB2312"/>
                      <w:sz w:val="24"/>
                    </w:rPr>
                    <w:t>课程名称</w:t>
                  </w:r>
                  <w:r>
                    <w:rPr>
                      <w:sz w:val="24"/>
                    </w:rPr>
                    <w:t>Course</w:t>
                  </w: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r>
                    <w:rPr>
                      <w:sz w:val="24"/>
                    </w:rPr>
                    <w:t>Score</w:t>
                  </w: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r>
                    <w:rPr>
                      <w:rFonts w:hint="eastAsia" w:ascii="仿宋_GB2312" w:eastAsia="仿宋_GB2312" w:cs="仿宋_GB2312"/>
                      <w:sz w:val="24"/>
                    </w:rPr>
                    <w:t>课程名称</w:t>
                  </w:r>
                  <w:r>
                    <w:rPr>
                      <w:sz w:val="24"/>
                    </w:rPr>
                    <w:t>Course</w:t>
                  </w: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r>
                    <w:rPr>
                      <w:sz w:val="24"/>
                    </w:rPr>
                    <w:t>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autoSpaceDE/>
                    <w:autoSpaceDN/>
                    <w:bidi w:val="0"/>
                    <w:jc w:val="center"/>
                    <w:outlineLvl w:val="9"/>
                    <w:rPr>
                      <w:sz w:val="24"/>
                    </w:rPr>
                  </w:pPr>
                </w:p>
              </w:tc>
            </w:tr>
          </w:tbl>
          <w:p>
            <w:pPr>
              <w:pageBreakBefore w:val="0"/>
              <w:kinsoku/>
              <w:overflowPunct/>
              <w:topLinePunct w:val="0"/>
              <w:autoSpaceDE/>
              <w:autoSpaceDN/>
              <w:bidi w:val="0"/>
              <w:outlineLvl w:val="9"/>
              <w:rPr>
                <w:rFonts w:eastAsia="仿宋_GB2312"/>
                <w:b/>
                <w:bCs/>
                <w:sz w:val="24"/>
              </w:rPr>
            </w:pPr>
          </w:p>
          <w:p>
            <w:pPr>
              <w:pageBreakBefore w:val="0"/>
              <w:kinsoku/>
              <w:overflowPunct/>
              <w:topLinePunct w:val="0"/>
              <w:autoSpaceDE/>
              <w:autoSpaceDN/>
              <w:bidi w:val="0"/>
              <w:outlineLvl w:val="9"/>
            </w:pPr>
            <w:r>
              <w:rPr>
                <w:rFonts w:hint="eastAsia" w:eastAsia="仿宋_GB2312"/>
                <w:b/>
                <w:bCs/>
                <w:sz w:val="24"/>
              </w:rPr>
              <w:t>9</w:t>
            </w:r>
            <w:r>
              <w:rPr>
                <w:rFonts w:eastAsia="仿宋_GB2312"/>
                <w:b/>
                <w:bCs/>
                <w:sz w:val="24"/>
              </w:rPr>
              <w:t xml:space="preserve">. </w:t>
            </w:r>
            <w:r>
              <w:rPr>
                <w:rFonts w:hint="eastAsia" w:eastAsia="仿宋_GB2312" w:cs="仿宋_GB2312"/>
                <w:b/>
                <w:bCs/>
                <w:sz w:val="24"/>
              </w:rPr>
              <w:t>拟申请奖学金等级</w:t>
            </w:r>
            <w:r>
              <w:rPr>
                <w:rFonts w:eastAsia="仿宋_GB2312"/>
                <w:b/>
                <w:bCs/>
                <w:sz w:val="24"/>
              </w:rPr>
              <w:t>/</w:t>
            </w:r>
            <w:r>
              <w:t xml:space="preserve"> Level of Scholarship Applied for</w:t>
            </w:r>
          </w:p>
          <w:p>
            <w:pPr>
              <w:pageBreakBefore w:val="0"/>
              <w:kinsoku/>
              <w:overflowPunct/>
              <w:topLinePunct w:val="0"/>
              <w:autoSpaceDE/>
              <w:autoSpaceDN/>
              <w:bidi w:val="0"/>
              <w:outlineLvl w:val="9"/>
              <w:rPr>
                <w:rFonts w:ascii="宋体"/>
              </w:rPr>
            </w:pPr>
          </w:p>
          <w:p>
            <w:pPr>
              <w:pageBreakBefore w:val="0"/>
              <w:kinsoku/>
              <w:overflowPunct/>
              <w:topLinePunct w:val="0"/>
              <w:autoSpaceDE/>
              <w:autoSpaceDN/>
              <w:bidi w:val="0"/>
              <w:ind w:firstLine="105" w:firstLineChars="50"/>
              <w:outlineLvl w:val="9"/>
              <w:rPr>
                <w:rFonts w:eastAsia="仿宋_GB2312"/>
                <w:sz w:val="24"/>
              </w:rPr>
            </w:pPr>
            <w:r>
              <w:rPr>
                <w:rFonts w:hint="eastAsia" w:ascii="宋体" w:hAnsi="宋体" w:cs="宋体"/>
              </w:rPr>
              <w:t>□</w:t>
            </w:r>
            <w:r>
              <w:rPr>
                <w:rFonts w:hint="eastAsia" w:cs="宋体"/>
              </w:rPr>
              <w:t>一等奖学金</w:t>
            </w:r>
            <w:r>
              <w:rPr>
                <w:rFonts w:eastAsia="仿宋_GB2312"/>
                <w:b/>
                <w:bCs/>
                <w:sz w:val="24"/>
              </w:rPr>
              <w:t>/</w:t>
            </w:r>
            <w:r>
              <w:t xml:space="preserve"> First  </w:t>
            </w:r>
            <w:r>
              <w:rPr>
                <w:rFonts w:hint="eastAsia" w:ascii="宋体" w:hAnsi="宋体" w:cs="宋体"/>
              </w:rPr>
              <w:t>□</w:t>
            </w:r>
            <w:r>
              <w:rPr>
                <w:rFonts w:hint="eastAsia" w:cs="宋体"/>
              </w:rPr>
              <w:t>二等奖学金</w:t>
            </w:r>
            <w:r>
              <w:rPr>
                <w:rFonts w:eastAsia="仿宋_GB2312"/>
                <w:b/>
                <w:bCs/>
                <w:sz w:val="24"/>
              </w:rPr>
              <w:t>/</w:t>
            </w:r>
            <w:r>
              <w:t xml:space="preserve"> Second  </w:t>
            </w:r>
            <w:r>
              <w:rPr>
                <w:rFonts w:hint="eastAsia" w:ascii="宋体" w:hAnsi="宋体" w:cs="宋体"/>
              </w:rPr>
              <w:t>□</w:t>
            </w:r>
            <w:r>
              <w:rPr>
                <w:rFonts w:hint="eastAsia" w:cs="宋体"/>
              </w:rPr>
              <w:t>三等奖学金</w:t>
            </w:r>
            <w:r>
              <w:rPr>
                <w:rFonts w:eastAsia="仿宋_GB2312"/>
                <w:b/>
                <w:bCs/>
                <w:sz w:val="24"/>
              </w:rPr>
              <w:t>/</w:t>
            </w:r>
            <w:r>
              <w:t xml:space="preserve"> Third</w:t>
            </w:r>
          </w:p>
          <w:p>
            <w:pPr>
              <w:pageBreakBefore w:val="0"/>
              <w:kinsoku/>
              <w:overflowPunct/>
              <w:topLinePunct w:val="0"/>
              <w:autoSpaceDE/>
              <w:autoSpaceDN/>
              <w:bidi w:val="0"/>
              <w:ind w:firstLine="120" w:firstLineChars="5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r>
              <w:rPr>
                <w:rFonts w:hint="eastAsia" w:ascii="仿宋_GB2312" w:eastAsia="仿宋_GB2312" w:cs="仿宋_GB2312"/>
                <w:sz w:val="24"/>
              </w:rPr>
              <w:t>本人签名</w:t>
            </w:r>
            <w:r>
              <w:rPr>
                <w:rFonts w:ascii="仿宋_GB2312" w:eastAsia="仿宋_GB2312" w:cs="仿宋_GB2312"/>
                <w:sz w:val="24"/>
              </w:rPr>
              <w:t>/</w:t>
            </w:r>
            <w:r>
              <w:rPr>
                <w:sz w:val="24"/>
              </w:rPr>
              <w:t>Signature of Applicant</w:t>
            </w:r>
            <w:r>
              <w:rPr>
                <w:rFonts w:hint="eastAsia" w:eastAsia="仿宋_GB2312" w:cs="仿宋_GB2312"/>
                <w:sz w:val="24"/>
              </w:rPr>
              <w:t>：</w:t>
            </w: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9" w:hRule="atLeast"/>
          <w:jc w:val="center"/>
        </w:trPr>
        <w:tc>
          <w:tcPr>
            <w:tcW w:w="8928" w:type="dxa"/>
            <w:gridSpan w:val="5"/>
          </w:tcPr>
          <w:p>
            <w:pPr>
              <w:pageBreakBefore w:val="0"/>
              <w:kinsoku/>
              <w:overflowPunct/>
              <w:topLinePunct w:val="0"/>
              <w:autoSpaceDE/>
              <w:autoSpaceDN/>
              <w:bidi w:val="0"/>
              <w:outlineLvl w:val="9"/>
              <w:rPr>
                <w:rFonts w:eastAsia="仿宋_GB2312"/>
                <w:b/>
                <w:bCs/>
                <w:sz w:val="24"/>
              </w:rPr>
            </w:pPr>
            <w:r>
              <w:rPr>
                <w:rFonts w:eastAsia="仿宋_GB2312"/>
                <w:b/>
                <w:bCs/>
                <w:sz w:val="24"/>
              </w:rPr>
              <w:t>1</w:t>
            </w:r>
            <w:r>
              <w:rPr>
                <w:rFonts w:hint="eastAsia" w:eastAsia="仿宋_GB2312"/>
                <w:b/>
                <w:bCs/>
                <w:sz w:val="24"/>
              </w:rPr>
              <w:t>0</w:t>
            </w:r>
            <w:r>
              <w:rPr>
                <w:rFonts w:eastAsia="仿宋_GB2312"/>
                <w:b/>
                <w:bCs/>
                <w:sz w:val="24"/>
              </w:rPr>
              <w:t xml:space="preserve">. </w:t>
            </w:r>
            <w:r>
              <w:rPr>
                <w:rFonts w:hint="eastAsia" w:eastAsia="仿宋_GB2312" w:cs="仿宋_GB2312"/>
                <w:b/>
                <w:bCs/>
                <w:sz w:val="24"/>
              </w:rPr>
              <w:t>国际学生所在学院管理部门对申请人考勤、遵守纪律及操行等情况进行鉴定</w:t>
            </w:r>
          </w:p>
          <w:p>
            <w:pPr>
              <w:pageBreakBefore w:val="0"/>
              <w:kinsoku/>
              <w:overflowPunct/>
              <w:topLinePunct w:val="0"/>
              <w:autoSpaceDE/>
              <w:autoSpaceDN/>
              <w:bidi w:val="0"/>
              <w:ind w:firstLine="240" w:firstLineChars="100"/>
              <w:outlineLvl w:val="9"/>
              <w:rPr>
                <w:rFonts w:eastAsia="仿宋_GB2312"/>
                <w:sz w:val="24"/>
              </w:rPr>
            </w:pPr>
            <w:r>
              <w:rPr>
                <w:rFonts w:hint="eastAsia" w:eastAsia="仿宋_GB2312" w:cs="仿宋_GB2312"/>
                <w:sz w:val="24"/>
              </w:rPr>
              <w:t>（该项由留学生所在学院填写</w:t>
            </w:r>
            <w:r>
              <w:rPr>
                <w:rFonts w:eastAsia="仿宋_GB2312"/>
                <w:sz w:val="24"/>
              </w:rPr>
              <w:t>/ For Department Use Only</w:t>
            </w:r>
            <w:r>
              <w:rPr>
                <w:rFonts w:hint="eastAsia" w:eastAsia="仿宋_GB2312" w:cs="仿宋_GB2312"/>
                <w:sz w:val="24"/>
              </w:rPr>
              <w:t>）</w:t>
            </w:r>
          </w:p>
          <w:p>
            <w:pPr>
              <w:pageBreakBefore w:val="0"/>
              <w:kinsoku/>
              <w:overflowPunct/>
              <w:topLinePunct w:val="0"/>
              <w:autoSpaceDE/>
              <w:autoSpaceDN/>
              <w:bidi w:val="0"/>
              <w:outlineLvl w:val="9"/>
              <w:rPr>
                <w:rFonts w:hint="eastAsia" w:eastAsia="仿宋_GB2312"/>
                <w:sz w:val="24"/>
              </w:rPr>
            </w:pPr>
          </w:p>
          <w:p>
            <w:pPr>
              <w:pageBreakBefore w:val="0"/>
              <w:kinsoku/>
              <w:overflowPunct/>
              <w:topLinePunct w:val="0"/>
              <w:autoSpaceDE/>
              <w:autoSpaceDN/>
              <w:bidi w:val="0"/>
              <w:outlineLvl w:val="9"/>
              <w:rPr>
                <w:rFonts w:eastAsia="仿宋_GB2312"/>
                <w:sz w:val="24"/>
              </w:rPr>
            </w:pPr>
          </w:p>
          <w:p>
            <w:pPr>
              <w:pageBreakBefore w:val="0"/>
              <w:kinsoku/>
              <w:overflowPunct/>
              <w:topLinePunct w:val="0"/>
              <w:autoSpaceDE/>
              <w:autoSpaceDN/>
              <w:bidi w:val="0"/>
              <w:outlineLvl w:val="9"/>
              <w:rPr>
                <w:rFonts w:eastAsia="仿宋_GB2312"/>
                <w:sz w:val="24"/>
              </w:rPr>
            </w:pPr>
            <w:r>
              <w:rPr>
                <w:rFonts w:hint="eastAsia" w:eastAsia="仿宋_GB2312" w:cs="仿宋_GB2312"/>
                <w:sz w:val="24"/>
              </w:rPr>
              <w:t>鉴定人签名：</w:t>
            </w:r>
          </w:p>
          <w:p>
            <w:pPr>
              <w:pageBreakBefore w:val="0"/>
              <w:kinsoku/>
              <w:overflowPunct/>
              <w:topLinePunct w:val="0"/>
              <w:autoSpaceDE/>
              <w:autoSpaceDN/>
              <w:bidi w:val="0"/>
              <w:jc w:val="center"/>
              <w:outlineLvl w:val="9"/>
              <w:rPr>
                <w:rFonts w:ascii="仿宋_GB2312" w:eastAsia="仿宋_GB2312"/>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62" w:hRule="atLeast"/>
          <w:jc w:val="center"/>
        </w:trPr>
        <w:tc>
          <w:tcPr>
            <w:tcW w:w="651" w:type="dxa"/>
            <w:gridSpan w:val="2"/>
            <w:vAlign w:val="center"/>
          </w:tcPr>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所在</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学院</w:t>
            </w:r>
          </w:p>
          <w:p>
            <w:pPr>
              <w:pageBreakBefore w:val="0"/>
              <w:kinsoku/>
              <w:overflowPunct/>
              <w:topLinePunct w:val="0"/>
              <w:autoSpaceDE/>
              <w:autoSpaceDN/>
              <w:bidi w:val="0"/>
              <w:spacing w:line="320" w:lineRule="exact"/>
              <w:jc w:val="center"/>
              <w:outlineLvl w:val="9"/>
              <w:rPr>
                <w:rFonts w:ascii="仿宋_GB2312"/>
                <w:b/>
                <w:bCs/>
              </w:rPr>
            </w:pPr>
            <w:r>
              <w:rPr>
                <w:rFonts w:hint="eastAsia" w:cs="宋体"/>
                <w:b/>
                <w:bCs/>
                <w:szCs w:val="28"/>
              </w:rPr>
              <w:t>推荐意见</w:t>
            </w:r>
          </w:p>
        </w:tc>
        <w:tc>
          <w:tcPr>
            <w:tcW w:w="8277" w:type="dxa"/>
            <w:gridSpan w:val="3"/>
            <w:vAlign w:val="center"/>
          </w:tcPr>
          <w:p>
            <w:pPr>
              <w:pageBreakBefore w:val="0"/>
              <w:kinsoku/>
              <w:overflowPunct/>
              <w:topLinePunct w:val="0"/>
              <w:autoSpaceDE/>
              <w:autoSpaceDN/>
              <w:bidi w:val="0"/>
              <w:outlineLvl w:val="9"/>
              <w:rPr>
                <w:rFonts w:hint="eastAsia"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ind w:firstLine="600" w:firstLineChars="250"/>
              <w:outlineLvl w:val="9"/>
              <w:rPr>
                <w:rFonts w:hint="eastAsia" w:ascii="仿宋_GB2312" w:eastAsia="仿宋_GB2312" w:cs="仿宋_GB2312"/>
                <w:sz w:val="24"/>
              </w:rPr>
            </w:pPr>
            <w:r>
              <w:rPr>
                <w:rFonts w:hint="eastAsia" w:ascii="仿宋_GB2312" w:eastAsia="仿宋_GB2312" w:cs="仿宋_GB2312"/>
                <w:sz w:val="24"/>
              </w:rPr>
              <w:t>负责人：</w:t>
            </w:r>
          </w:p>
          <w:p>
            <w:pPr>
              <w:pageBreakBefore w:val="0"/>
              <w:kinsoku/>
              <w:overflowPunct/>
              <w:topLinePunct w:val="0"/>
              <w:autoSpaceDE/>
              <w:autoSpaceDN/>
              <w:bidi w:val="0"/>
              <w:ind w:firstLine="4680" w:firstLineChars="1950"/>
              <w:outlineLvl w:val="9"/>
              <w:rPr>
                <w:rFonts w:ascii="仿宋_GB2312" w:eastAsia="仿宋_GB2312"/>
                <w:sz w:val="24"/>
              </w:rPr>
            </w:pPr>
            <w:r>
              <w:rPr>
                <w:rFonts w:hint="eastAsia" w:ascii="仿宋_GB2312" w:eastAsia="仿宋_GB2312" w:cs="仿宋_GB2312"/>
                <w:sz w:val="24"/>
              </w:rPr>
              <w:t>（盖章）</w:t>
            </w:r>
          </w:p>
          <w:p>
            <w:pPr>
              <w:pageBreakBefore w:val="0"/>
              <w:kinsoku/>
              <w:overflowPunct/>
              <w:topLinePunct w:val="0"/>
              <w:autoSpaceDE/>
              <w:autoSpaceDN/>
              <w:bidi w:val="0"/>
              <w:ind w:firstLine="120" w:firstLineChars="50"/>
              <w:outlineLvl w:val="9"/>
              <w:rPr>
                <w:rFonts w:ascii="仿宋_GB2312" w:eastAsia="仿宋_GB2312"/>
                <w:sz w:val="24"/>
              </w:rPr>
            </w:pPr>
          </w:p>
          <w:p>
            <w:pPr>
              <w:pageBreakBefore w:val="0"/>
              <w:kinsoku/>
              <w:overflowPunct/>
              <w:topLinePunct w:val="0"/>
              <w:autoSpaceDE/>
              <w:autoSpaceDN/>
              <w:bidi w:val="0"/>
              <w:jc w:val="center"/>
              <w:outlineLvl w:val="9"/>
              <w:rPr>
                <w:rFonts w:ascii="仿宋_GB2312"/>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62" w:hRule="atLeast"/>
          <w:jc w:val="center"/>
        </w:trPr>
        <w:tc>
          <w:tcPr>
            <w:tcW w:w="651" w:type="dxa"/>
            <w:gridSpan w:val="2"/>
            <w:vAlign w:val="center"/>
          </w:tcPr>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国际交流处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评</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审</w:t>
            </w:r>
          </w:p>
          <w:p>
            <w:pPr>
              <w:pageBreakBefore w:val="0"/>
              <w:kinsoku/>
              <w:overflowPunct/>
              <w:topLinePunct w:val="0"/>
              <w:autoSpaceDE/>
              <w:autoSpaceDN/>
              <w:bidi w:val="0"/>
              <w:spacing w:line="320" w:lineRule="exact"/>
              <w:jc w:val="center"/>
              <w:outlineLvl w:val="9"/>
              <w:rPr>
                <w:rFonts w:ascii="仿宋_GB2312"/>
                <w:b/>
                <w:bCs/>
                <w:szCs w:val="28"/>
              </w:rPr>
            </w:pPr>
            <w:r>
              <w:rPr>
                <w:rFonts w:hint="eastAsia" w:ascii="仿宋_GB2312" w:cs="宋体"/>
                <w:b/>
                <w:bCs/>
                <w:szCs w:val="28"/>
              </w:rPr>
              <w:t>意</w:t>
            </w:r>
          </w:p>
          <w:p>
            <w:pPr>
              <w:pageBreakBefore w:val="0"/>
              <w:kinsoku/>
              <w:overflowPunct/>
              <w:topLinePunct w:val="0"/>
              <w:autoSpaceDE/>
              <w:autoSpaceDN/>
              <w:bidi w:val="0"/>
              <w:spacing w:line="320" w:lineRule="exact"/>
              <w:jc w:val="center"/>
              <w:outlineLvl w:val="9"/>
              <w:rPr>
                <w:rFonts w:ascii="仿宋_GB2312"/>
                <w:b/>
                <w:bCs/>
              </w:rPr>
            </w:pPr>
            <w:r>
              <w:rPr>
                <w:rFonts w:hint="eastAsia" w:ascii="仿宋_GB2312" w:cs="宋体"/>
                <w:b/>
                <w:bCs/>
                <w:szCs w:val="28"/>
              </w:rPr>
              <w:t>见</w:t>
            </w:r>
          </w:p>
        </w:tc>
        <w:tc>
          <w:tcPr>
            <w:tcW w:w="8277" w:type="dxa"/>
            <w:gridSpan w:val="3"/>
          </w:tcPr>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outlineLvl w:val="9"/>
            </w:pPr>
          </w:p>
          <w:p>
            <w:pPr>
              <w:pageBreakBefore w:val="0"/>
              <w:kinsoku/>
              <w:overflowPunct/>
              <w:topLinePunct w:val="0"/>
              <w:autoSpaceDE/>
              <w:autoSpaceDN/>
              <w:bidi w:val="0"/>
              <w:ind w:firstLine="600" w:firstLineChars="250"/>
              <w:outlineLvl w:val="9"/>
              <w:rPr>
                <w:rFonts w:hint="eastAsia" w:ascii="仿宋_GB2312" w:eastAsia="仿宋_GB2312" w:cs="仿宋_GB2312"/>
                <w:sz w:val="24"/>
              </w:rPr>
            </w:pPr>
            <w:r>
              <w:rPr>
                <w:rFonts w:hint="eastAsia" w:ascii="仿宋_GB2312" w:eastAsia="仿宋_GB2312" w:cs="仿宋_GB2312"/>
                <w:sz w:val="24"/>
              </w:rPr>
              <w:t>负责人：</w:t>
            </w:r>
          </w:p>
          <w:p>
            <w:pPr>
              <w:pageBreakBefore w:val="0"/>
              <w:kinsoku/>
              <w:overflowPunct/>
              <w:topLinePunct w:val="0"/>
              <w:autoSpaceDE/>
              <w:autoSpaceDN/>
              <w:bidi w:val="0"/>
              <w:ind w:firstLine="4680" w:firstLineChars="1950"/>
              <w:outlineLvl w:val="9"/>
              <w:rPr>
                <w:rFonts w:ascii="仿宋_GB2312" w:eastAsia="仿宋_GB2312"/>
                <w:sz w:val="24"/>
              </w:rPr>
            </w:pPr>
            <w:r>
              <w:rPr>
                <w:rFonts w:hint="eastAsia" w:ascii="仿宋_GB2312" w:eastAsia="仿宋_GB2312" w:cs="仿宋_GB2312"/>
                <w:sz w:val="24"/>
              </w:rPr>
              <w:t>（盖章）</w:t>
            </w:r>
          </w:p>
          <w:p>
            <w:pPr>
              <w:pageBreakBefore w:val="0"/>
              <w:kinsoku/>
              <w:overflowPunct/>
              <w:topLinePunct w:val="0"/>
              <w:autoSpaceDE/>
              <w:autoSpaceDN/>
              <w:bidi w:val="0"/>
              <w:ind w:firstLine="120" w:firstLineChars="50"/>
              <w:outlineLvl w:val="9"/>
              <w:rPr>
                <w:rFonts w:ascii="仿宋_GB2312" w:eastAsia="仿宋_GB2312"/>
                <w:sz w:val="24"/>
              </w:rPr>
            </w:pPr>
          </w:p>
          <w:p>
            <w:pPr>
              <w:pageBreakBefore w:val="0"/>
              <w:kinsoku/>
              <w:overflowPunct/>
              <w:topLinePunct w:val="0"/>
              <w:autoSpaceDE/>
              <w:autoSpaceDN/>
              <w:bidi w:val="0"/>
              <w:jc w:val="center"/>
              <w:outlineLvl w:val="9"/>
              <w:rPr>
                <w:rFonts w:ascii="仿宋_GB2312" w:eastAsia="仿宋_GB2312"/>
                <w:sz w:val="24"/>
              </w:rPr>
            </w:pPr>
            <w:r>
              <w:rPr>
                <w:rFonts w:hint="eastAsia" w:asci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7" w:hRule="atLeast"/>
          <w:jc w:val="center"/>
        </w:trPr>
        <w:tc>
          <w:tcPr>
            <w:tcW w:w="651" w:type="dxa"/>
            <w:gridSpan w:val="2"/>
            <w:vAlign w:val="center"/>
          </w:tcPr>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学校</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奖学金</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评审</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委员会</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意</w:t>
            </w:r>
          </w:p>
          <w:p>
            <w:pPr>
              <w:pageBreakBefore w:val="0"/>
              <w:kinsoku/>
              <w:overflowPunct/>
              <w:topLinePunct w:val="0"/>
              <w:autoSpaceDE/>
              <w:autoSpaceDN/>
              <w:bidi w:val="0"/>
              <w:spacing w:line="320" w:lineRule="exact"/>
              <w:jc w:val="center"/>
              <w:outlineLvl w:val="9"/>
              <w:rPr>
                <w:b/>
                <w:bCs/>
                <w:szCs w:val="28"/>
              </w:rPr>
            </w:pPr>
            <w:r>
              <w:rPr>
                <w:rFonts w:hint="eastAsia" w:cs="宋体"/>
                <w:b/>
                <w:bCs/>
                <w:szCs w:val="28"/>
              </w:rPr>
              <w:t>见</w:t>
            </w:r>
          </w:p>
        </w:tc>
        <w:tc>
          <w:tcPr>
            <w:tcW w:w="8277" w:type="dxa"/>
            <w:gridSpan w:val="3"/>
          </w:tcPr>
          <w:p>
            <w:pPr>
              <w:pageBreakBefore w:val="0"/>
              <w:kinsoku/>
              <w:overflowPunct/>
              <w:topLinePunct w:val="0"/>
              <w:autoSpaceDE/>
              <w:autoSpaceDN/>
              <w:bidi w:val="0"/>
              <w:outlineLvl w:val="9"/>
              <w:rPr>
                <w:rFonts w:hint="eastAsia" w:ascii="仿宋_GB2312"/>
              </w:rPr>
            </w:pPr>
          </w:p>
          <w:p>
            <w:pPr>
              <w:pageBreakBefore w:val="0"/>
              <w:kinsoku/>
              <w:overflowPunct/>
              <w:topLinePunct w:val="0"/>
              <w:autoSpaceDE/>
              <w:autoSpaceDN/>
              <w:bidi w:val="0"/>
              <w:outlineLvl w:val="9"/>
              <w:rPr>
                <w:rFonts w:hint="eastAsia" w:ascii="仿宋_GB2312"/>
              </w:rPr>
            </w:pPr>
          </w:p>
          <w:p>
            <w:pPr>
              <w:pageBreakBefore w:val="0"/>
              <w:kinsoku/>
              <w:overflowPunct/>
              <w:topLinePunct w:val="0"/>
              <w:autoSpaceDE/>
              <w:autoSpaceDN/>
              <w:bidi w:val="0"/>
              <w:outlineLvl w:val="9"/>
              <w:rPr>
                <w:rFonts w:ascii="仿宋_GB2312"/>
              </w:rPr>
            </w:pPr>
          </w:p>
          <w:p>
            <w:pPr>
              <w:pageBreakBefore w:val="0"/>
              <w:kinsoku/>
              <w:overflowPunct/>
              <w:topLinePunct w:val="0"/>
              <w:autoSpaceDE/>
              <w:autoSpaceDN/>
              <w:bidi w:val="0"/>
              <w:spacing w:line="360" w:lineRule="auto"/>
              <w:ind w:firstLine="420" w:firstLineChars="200"/>
              <w:outlineLvl w:val="9"/>
              <w:rPr>
                <w:rFonts w:hint="eastAsia" w:ascii="仿宋_GB2312"/>
              </w:rPr>
            </w:pPr>
            <w:r>
              <w:t>                                   </w:t>
            </w:r>
          </w:p>
          <w:p>
            <w:pPr>
              <w:pageBreakBefore w:val="0"/>
              <w:kinsoku/>
              <w:overflowPunct/>
              <w:topLinePunct w:val="0"/>
              <w:autoSpaceDE/>
              <w:autoSpaceDN/>
              <w:bidi w:val="0"/>
              <w:ind w:firstLine="4680" w:firstLineChars="1950"/>
              <w:outlineLvl w:val="9"/>
              <w:rPr>
                <w:rFonts w:hint="eastAsia" w:ascii="仿宋_GB2312" w:eastAsia="仿宋_GB2312" w:cs="仿宋_GB2312"/>
                <w:sz w:val="24"/>
              </w:rPr>
            </w:pPr>
          </w:p>
          <w:p>
            <w:pPr>
              <w:pageBreakBefore w:val="0"/>
              <w:kinsoku/>
              <w:overflowPunct/>
              <w:topLinePunct w:val="0"/>
              <w:autoSpaceDE/>
              <w:autoSpaceDN/>
              <w:bidi w:val="0"/>
              <w:ind w:firstLine="4680" w:firstLineChars="1950"/>
              <w:outlineLvl w:val="9"/>
              <w:rPr>
                <w:rFonts w:ascii="仿宋_GB2312" w:eastAsia="仿宋_GB2312"/>
                <w:sz w:val="24"/>
              </w:rPr>
            </w:pPr>
            <w:r>
              <w:rPr>
                <w:rFonts w:hint="eastAsia" w:ascii="仿宋_GB2312" w:eastAsia="仿宋_GB2312" w:cs="仿宋_GB2312"/>
                <w:sz w:val="24"/>
              </w:rPr>
              <w:t>（学校盖章）</w:t>
            </w:r>
          </w:p>
          <w:p>
            <w:pPr>
              <w:pageBreakBefore w:val="0"/>
              <w:kinsoku/>
              <w:overflowPunct/>
              <w:topLinePunct w:val="0"/>
              <w:autoSpaceDE/>
              <w:autoSpaceDN/>
              <w:bidi w:val="0"/>
              <w:ind w:firstLine="120" w:firstLineChars="50"/>
              <w:outlineLvl w:val="9"/>
              <w:rPr>
                <w:rFonts w:ascii="仿宋_GB2312" w:eastAsia="仿宋_GB2312"/>
                <w:sz w:val="24"/>
              </w:rPr>
            </w:pPr>
          </w:p>
          <w:p>
            <w:pPr>
              <w:pageBreakBefore w:val="0"/>
              <w:kinsoku/>
              <w:overflowPunct/>
              <w:topLinePunct w:val="0"/>
              <w:autoSpaceDE/>
              <w:autoSpaceDN/>
              <w:bidi w:val="0"/>
              <w:ind w:firstLine="4800" w:firstLineChars="2000"/>
              <w:outlineLvl w:val="9"/>
              <w:rPr>
                <w:rFonts w:ascii="仿宋_GB2312" w:eastAsia="仿宋_GB2312"/>
                <w:sz w:val="24"/>
              </w:rPr>
            </w:pPr>
            <w:r>
              <w:rPr>
                <w:rFonts w:hint="eastAsia" w:ascii="仿宋_GB2312" w:eastAsia="仿宋_GB2312" w:cs="仿宋_GB2312"/>
                <w:sz w:val="24"/>
              </w:rPr>
              <w:t>年    月   日</w:t>
            </w:r>
          </w:p>
        </w:tc>
      </w:tr>
    </w:tbl>
    <w:p>
      <w:pPr>
        <w:pageBreakBefore w:val="0"/>
        <w:kinsoku/>
        <w:overflowPunct/>
        <w:topLinePunct w:val="0"/>
        <w:autoSpaceDE/>
        <w:autoSpaceDN/>
        <w:bidi w:val="0"/>
        <w:outlineLvl w:val="9"/>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bookmarkStart w:id="1795" w:name="_Toc8076"/>
      <w:bookmarkStart w:id="1796" w:name="_Toc16396_WPSOffice_Level1"/>
      <w:bookmarkStart w:id="1797" w:name="_Toc12281"/>
      <w:bookmarkStart w:id="1798" w:name="_Toc31288"/>
      <w:r>
        <w:rPr>
          <w:rFonts w:hint="eastAsia"/>
          <w:b/>
          <w:color w:val="000000"/>
          <w:sz w:val="36"/>
          <w:szCs w:val="36"/>
        </w:rPr>
        <w:t>柳州职业技术学院外国留学生突发事件应急预案</w:t>
      </w:r>
      <w:bookmarkEnd w:id="1795"/>
      <w:bookmarkEnd w:id="1796"/>
      <w:bookmarkEnd w:id="1797"/>
      <w:bookmarkEnd w:id="1798"/>
    </w:p>
    <w:p>
      <w:pPr>
        <w:pageBreakBefore w:val="0"/>
        <w:kinsoku/>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（柳职院字〔2021〕86 号）</w:t>
      </w:r>
    </w:p>
    <w:p>
      <w:pPr>
        <w:pageBreakBefore w:val="0"/>
        <w:kinsoku/>
        <w:overflowPunct/>
        <w:topLinePunct w:val="0"/>
        <w:autoSpaceDE/>
        <w:autoSpaceDN/>
        <w:bidi w:val="0"/>
        <w:spacing w:line="590" w:lineRule="exact"/>
        <w:jc w:val="center"/>
        <w:outlineLvl w:val="9"/>
        <w:rPr>
          <w:rFonts w:hint="eastAsia" w:ascii="仿宋_GB2312" w:eastAsia="仿宋_GB2312"/>
          <w:sz w:val="32"/>
          <w:szCs w:val="32"/>
        </w:rPr>
      </w:pPr>
    </w:p>
    <w:p>
      <w:pPr>
        <w:pageBreakBefore w:val="0"/>
        <w:kinsoku/>
        <w:overflowPunct/>
        <w:topLinePunct w:val="0"/>
        <w:autoSpaceDE/>
        <w:autoSpaceDN/>
        <w:bidi w:val="0"/>
        <w:spacing w:before="240" w:after="240" w:line="596" w:lineRule="exact"/>
        <w:jc w:val="center"/>
        <w:outlineLvl w:val="9"/>
        <w:rPr>
          <w:rFonts w:hint="eastAsia" w:ascii="黑体" w:hAnsi="黑体" w:eastAsia="黑体"/>
          <w:b/>
          <w:bCs/>
          <w:sz w:val="32"/>
          <w:szCs w:val="32"/>
        </w:rPr>
      </w:pPr>
      <w:bookmarkStart w:id="1799" w:name="_Toc151_WPSOffice_Level1"/>
      <w:r>
        <w:rPr>
          <w:rFonts w:hint="eastAsia" w:ascii="黑体" w:hAnsi="黑体" w:eastAsia="黑体"/>
          <w:b/>
          <w:bCs/>
          <w:sz w:val="32"/>
          <w:szCs w:val="32"/>
        </w:rPr>
        <w:t>第一章 编制目的和依据</w:t>
      </w:r>
      <w:bookmarkEnd w:id="1799"/>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为建立健全处置外国留学生突发事件应急机制，使外国留学生突发事件应对工作规范化、科学化，有效预防、及时控制和妥善处理来华外国留学生突发事件，提高快速反应和应急处理能力，防范各类事故发生，切实有效降低和控制事故的危害，维护外国留学生的合法权益和生命、财产安全，维护国家声誉和利益，根据《中华人民共和国突发事件应对法》《广西壮族自治区突发公共事件总体应急预案》（桂政办发〔2004〕180号）、《广西壮族自治区涉外突发事件应急预案》《广西壮族自治区来桂外国留学生突发事件应急预案》等文件精神，结合我校实际情况，特制定本预案。</w:t>
      </w:r>
    </w:p>
    <w:p>
      <w:pPr>
        <w:pageBreakBefore w:val="0"/>
        <w:kinsoku/>
        <w:overflowPunct/>
        <w:topLinePunct w:val="0"/>
        <w:autoSpaceDE/>
        <w:autoSpaceDN/>
        <w:bidi w:val="0"/>
        <w:spacing w:before="240" w:after="240" w:line="596" w:lineRule="exact"/>
        <w:jc w:val="center"/>
        <w:outlineLvl w:val="9"/>
        <w:rPr>
          <w:rFonts w:ascii="黑体" w:hAnsi="黑体" w:eastAsia="黑体"/>
          <w:b/>
          <w:bCs/>
          <w:sz w:val="32"/>
          <w:szCs w:val="32"/>
        </w:rPr>
      </w:pPr>
      <w:bookmarkStart w:id="1800" w:name="_Toc13102_WPSOffice_Level1"/>
      <w:r>
        <w:rPr>
          <w:rFonts w:hint="eastAsia" w:ascii="黑体" w:hAnsi="黑体" w:eastAsia="黑体"/>
          <w:b/>
          <w:bCs/>
          <w:sz w:val="32"/>
          <w:szCs w:val="32"/>
        </w:rPr>
        <w:t>第二章 适用范围</w:t>
      </w:r>
      <w:bookmarkEnd w:id="1800"/>
    </w:p>
    <w:p>
      <w:pPr>
        <w:pageBreakBefore w:val="0"/>
        <w:kinsoku/>
        <w:overflowPunct/>
        <w:topLinePunct w:val="0"/>
        <w:autoSpaceDE/>
        <w:autoSpaceDN/>
        <w:bidi w:val="0"/>
        <w:spacing w:line="596" w:lineRule="exact"/>
        <w:ind w:firstLine="640"/>
        <w:outlineLvl w:val="9"/>
        <w:rPr>
          <w:rFonts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本预案的“外国留学生突发事件”系指在我校学习的外国留学生在学习期间遇到的因人为或自然原因事件造成的伤、病、死亡事件，以及涉及其本人的政治、刑事、民事、治安案件等。</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sz w:val="32"/>
          <w:szCs w:val="32"/>
        </w:rPr>
        <w:t>第三条</w:t>
      </w:r>
      <w:r>
        <w:rPr>
          <w:rFonts w:hint="eastAsia" w:ascii="仿宋_GB2312" w:eastAsia="仿宋_GB2312"/>
          <w:sz w:val="32"/>
          <w:szCs w:val="32"/>
        </w:rPr>
        <w:t xml:space="preserve"> 所谓突发事件，就是指在事先没有通知、预兆的情况下，突然发生的、有一定的破坏力、一定的影响力的事件，它们具有不确定性。根据对外国留学生和公共社会的危害程度，本预案将上述突发事件划分为以下三类：</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（一）因自然和人为因素导致的各种人身伤害和死亡。</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（二）发生严重疾病，包括严重的非传染性和传染性疾病。</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（三）涉及留学生的各种事件及纠纷，包括群体类事件、案件类事件、事故类事件、灾情类事件等。具体包括下列几种：</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1.群体类事件: 主要包括非法集会、游行、示威、罢课、群体性的斗殴等危及校园稳定的事件。</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2.案件类事件：涉及外国留学生的暴力犯罪案件，影响较大或数额较大的盗窃案件，投毒案件，涉毒案件，爆炸案件，涉及剧毒药品、放射性物品的案件，纵火案件等。</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3.事故类事件：涉及到外国留学生的空难、海损、交通事故、中毒事故、危房倒塌事故和其他重大恶性事故等。</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4.灾情类事件：影响到外国留学生的台风、地震、洪水、火灾等重大险情，流行的重大疫情和其他对教学、生活环境会造成影响的灾害等。</w:t>
      </w:r>
    </w:p>
    <w:p>
      <w:pPr>
        <w:pageBreakBefore w:val="0"/>
        <w:kinsoku/>
        <w:overflowPunct/>
        <w:topLinePunct w:val="0"/>
        <w:autoSpaceDE/>
        <w:autoSpaceDN/>
        <w:bidi w:val="0"/>
        <w:spacing w:line="596" w:lineRule="exact"/>
        <w:jc w:val="center"/>
        <w:outlineLvl w:val="9"/>
        <w:rPr>
          <w:rFonts w:ascii="仿宋_GB2312" w:eastAsia="仿宋_GB2312"/>
          <w:sz w:val="32"/>
          <w:szCs w:val="32"/>
        </w:rPr>
      </w:pPr>
      <w:bookmarkStart w:id="1801" w:name="_Toc18548_WPSOffice_Level1"/>
      <w:r>
        <w:rPr>
          <w:rFonts w:hint="eastAsia" w:ascii="黑体" w:hAnsi="黑体" w:eastAsia="黑体"/>
          <w:b/>
          <w:bCs/>
          <w:sz w:val="32"/>
          <w:szCs w:val="32"/>
        </w:rPr>
        <w:t>第三章 外国留学生突发事件的处理原则</w:t>
      </w:r>
      <w:bookmarkEnd w:id="1801"/>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sz w:val="32"/>
          <w:szCs w:val="32"/>
        </w:rPr>
        <w:t>第四条</w:t>
      </w:r>
      <w:r>
        <w:rPr>
          <w:rFonts w:hint="eastAsia" w:ascii="仿宋_GB2312" w:eastAsia="仿宋_GB2312"/>
          <w:sz w:val="32"/>
          <w:szCs w:val="32"/>
        </w:rPr>
        <w:t xml:space="preserve"> 处理外国留学生突发事件的总原则是以保护外国留学生的生命安全及维护我国的国际声誉和利益为基本出发点，主要遵循以下原则：</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（一）坚持“预先防范”原则。</w:t>
      </w:r>
      <w:r>
        <w:rPr>
          <w:rFonts w:hint="eastAsia" w:ascii="仿宋_GB2312" w:eastAsia="仿宋_GB2312"/>
          <w:sz w:val="32"/>
          <w:szCs w:val="32"/>
        </w:rPr>
        <w:t>对外国留学生进行安全教育，采取切实有效的措施加强对外国留学生的安全和自我防护教育，使每一位外国留学生掌握报警求助电话号码、医疗急救号码、火灾报警号码等，掌握自救与互救常识。加强对外国留学生的法制教育，外国留学生在中国境内必须遵守中国的有关法律、法规，尊重中国民俗习惯。加强与外国留学生及时沟通了解情况，使事件能在萌芽中就得到解决。</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（二）坚持“公共利益”优先原则。</w:t>
      </w:r>
      <w:r>
        <w:rPr>
          <w:rFonts w:hint="eastAsia" w:ascii="仿宋_GB2312" w:eastAsia="仿宋_GB2312"/>
          <w:sz w:val="32"/>
          <w:szCs w:val="32"/>
        </w:rPr>
        <w:t>即突发事件的处理不得危及国家安全、公共安全和社会稳定。</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（三）坚持“以人为本”原则。</w:t>
      </w:r>
      <w:r>
        <w:rPr>
          <w:rFonts w:hint="eastAsia" w:ascii="仿宋_GB2312" w:eastAsia="仿宋_GB2312"/>
          <w:sz w:val="32"/>
          <w:szCs w:val="32"/>
        </w:rPr>
        <w:t>即最大程度地保障外国留学生的生命和财产安全。</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（四）坚持“统一指挥、层层落实”原则。</w:t>
      </w:r>
      <w:r>
        <w:rPr>
          <w:rFonts w:hint="eastAsia" w:ascii="仿宋_GB2312" w:eastAsia="仿宋_GB2312"/>
          <w:sz w:val="32"/>
          <w:szCs w:val="32"/>
        </w:rPr>
        <w:t>在学校突发事件应急工作小组的统一指挥下，由各相关部门密切配合，充分发挥职能作用，及时妥善开展各项处理工作。在处理突发事件的过程中，学校的外国留学生管理人员应注意在面对社会媒体和其它有关部门时，个人不得擅自表态，统一口径，避免产生负面影响。</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（五）坚持“快速反应、逐级汇报、妥善处理”原则。</w:t>
      </w:r>
      <w:r>
        <w:rPr>
          <w:rFonts w:hint="eastAsia" w:ascii="仿宋_GB2312" w:eastAsia="仿宋_GB2312"/>
          <w:sz w:val="32"/>
          <w:szCs w:val="32"/>
        </w:rPr>
        <w:t>在学校外国留学生突发事件应急工作领导小组的统一指挥下，迅速调集救援人员，启动应急预案，每个小组成员应做到：“</w:t>
      </w:r>
      <w:bookmarkStart w:id="1802" w:name="_Toc17994_WPSOffice_Level1"/>
      <w:r>
        <w:rPr>
          <w:rFonts w:hint="eastAsia" w:ascii="仿宋_GB2312" w:eastAsia="仿宋_GB2312"/>
          <w:sz w:val="32"/>
          <w:szCs w:val="32"/>
        </w:rPr>
        <w:t>沉着冷静，遇事不乱，反应迅速，处置果断”，严格控制</w:t>
      </w:r>
      <w:bookmarkEnd w:id="1802"/>
      <w:r>
        <w:rPr>
          <w:rFonts w:hint="eastAsia" w:ascii="仿宋_GB2312" w:eastAsia="仿宋_GB2312"/>
          <w:sz w:val="32"/>
          <w:szCs w:val="32"/>
        </w:rPr>
        <w:t>现场事态发展。逐级汇报遵循以下流程：国际教育学院、各二级学院分管留学生工作的领导→国际交流处处长→学校指挥中心（学校办公室、保卫处）→学校处置突发事件应急工作领导小组（以下简称领导小组）→所在地市公安局出入境管理部门、所在地市外事办公室、上级主管部门→外国留学生所属国领事馆或大使馆。</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（六）坚持“事后总结报告”原则。</w:t>
      </w:r>
      <w:r>
        <w:rPr>
          <w:rFonts w:hint="eastAsia" w:ascii="仿宋_GB2312" w:eastAsia="仿宋_GB2312"/>
          <w:sz w:val="32"/>
          <w:szCs w:val="32"/>
        </w:rPr>
        <w:t>事件处理完毕后，突发事件应急工作小组应认真总结经验教训，写出书面情况报告。</w:t>
      </w:r>
    </w:p>
    <w:p>
      <w:pPr>
        <w:pageBreakBefore w:val="0"/>
        <w:kinsoku/>
        <w:overflowPunct/>
        <w:topLinePunct w:val="0"/>
        <w:autoSpaceDE/>
        <w:autoSpaceDN/>
        <w:bidi w:val="0"/>
        <w:spacing w:line="596" w:lineRule="exact"/>
        <w:jc w:val="center"/>
        <w:outlineLvl w:val="9"/>
        <w:rPr>
          <w:rFonts w:ascii="黑体" w:hAnsi="黑体" w:eastAsia="黑体"/>
          <w:b/>
          <w:bCs/>
          <w:sz w:val="32"/>
          <w:szCs w:val="32"/>
        </w:rPr>
      </w:pPr>
      <w:bookmarkStart w:id="1803" w:name="_Toc9327_WPSOffice_Level1"/>
      <w:r>
        <w:rPr>
          <w:rFonts w:hint="eastAsia" w:ascii="黑体" w:hAnsi="黑体" w:eastAsia="黑体"/>
          <w:b/>
          <w:bCs/>
          <w:sz w:val="32"/>
          <w:szCs w:val="32"/>
        </w:rPr>
        <w:t>第四章 组织体系</w:t>
      </w:r>
      <w:bookmarkEnd w:id="1803"/>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第五条</w:t>
      </w:r>
      <w:r>
        <w:rPr>
          <w:rFonts w:hint="eastAsia" w:ascii="仿宋_GB2312" w:eastAsia="仿宋_GB2312"/>
          <w:sz w:val="32"/>
          <w:szCs w:val="32"/>
        </w:rPr>
        <w:t xml:space="preserve"> 成立外国留学生突</w:t>
      </w:r>
      <w:bookmarkStart w:id="1804" w:name="_Toc11292_WPSOffice_Level1"/>
      <w:r>
        <w:rPr>
          <w:rFonts w:hint="eastAsia" w:ascii="仿宋_GB2312" w:eastAsia="仿宋_GB2312"/>
          <w:sz w:val="32"/>
          <w:szCs w:val="32"/>
        </w:rPr>
        <w:t>发事件应急指挥小组：</w:t>
      </w:r>
    </w:p>
    <w:p>
      <w:pPr>
        <w:pageBreakBefore w:val="0"/>
        <w:kinsoku/>
        <w:overflowPunct/>
        <w:topLinePunct w:val="0"/>
        <w:autoSpaceDE/>
        <w:autoSpaceDN/>
        <w:bidi w:val="0"/>
        <w:spacing w:line="596" w:lineRule="exact"/>
        <w:ind w:firstLine="646" w:firstLineChars="202"/>
        <w:outlineLvl w:val="9"/>
        <w:rPr>
          <w:rFonts w:hint="eastAsia" w:ascii="仿宋_GB2312" w:eastAsia="仿宋_GB2312"/>
          <w:sz w:val="32"/>
          <w:szCs w:val="32"/>
        </w:rPr>
      </w:pPr>
      <w:r>
        <w:rPr>
          <w:rFonts w:hint="eastAsia" w:ascii="仿宋_GB2312" w:eastAsia="仿宋_GB2312"/>
          <w:sz w:val="32"/>
          <w:szCs w:val="32"/>
        </w:rPr>
        <w:t>（一</w:t>
      </w:r>
      <w:bookmarkEnd w:id="1804"/>
      <w:r>
        <w:rPr>
          <w:rFonts w:hint="eastAsia" w:ascii="仿宋_GB2312" w:eastAsia="仿宋_GB2312"/>
          <w:sz w:val="32"/>
          <w:szCs w:val="32"/>
        </w:rPr>
        <w:t>）成立柳州职业技术学院来华外国留学生突发事件应急指挥小组（以下简称“指挥小组”），全面负责学校外国留学生突发事件的管理。</w:t>
      </w:r>
    </w:p>
    <w:p>
      <w:pPr>
        <w:pageBreakBefore w:val="0"/>
        <w:kinsoku/>
        <w:overflowPunct/>
        <w:topLinePunct w:val="0"/>
        <w:autoSpaceDE/>
        <w:autoSpaceDN/>
        <w:bidi w:val="0"/>
        <w:spacing w:line="596" w:lineRule="exact"/>
        <w:ind w:firstLine="646" w:firstLineChars="202"/>
        <w:outlineLvl w:val="9"/>
        <w:rPr>
          <w:rFonts w:hint="eastAsia" w:ascii="仿宋_GB2312" w:eastAsia="仿宋_GB2312"/>
          <w:sz w:val="32"/>
          <w:szCs w:val="32"/>
        </w:rPr>
      </w:pPr>
      <w:r>
        <w:rPr>
          <w:rFonts w:hint="eastAsia" w:ascii="仿宋_GB2312" w:eastAsia="仿宋_GB2312"/>
          <w:sz w:val="32"/>
          <w:szCs w:val="32"/>
        </w:rPr>
        <w:t>组  长：党委书记、校长</w:t>
      </w:r>
    </w:p>
    <w:p>
      <w:pPr>
        <w:pageBreakBefore w:val="0"/>
        <w:kinsoku/>
        <w:overflowPunct/>
        <w:topLinePunct w:val="0"/>
        <w:autoSpaceDE/>
        <w:autoSpaceDN/>
        <w:bidi w:val="0"/>
        <w:spacing w:line="596" w:lineRule="exact"/>
        <w:ind w:firstLine="646" w:firstLineChars="202"/>
        <w:outlineLvl w:val="9"/>
        <w:rPr>
          <w:rFonts w:hint="eastAsia" w:ascii="仿宋_GB2312" w:eastAsia="仿宋_GB2312"/>
          <w:sz w:val="32"/>
          <w:szCs w:val="32"/>
        </w:rPr>
      </w:pPr>
      <w:r>
        <w:rPr>
          <w:rFonts w:hint="eastAsia" w:ascii="仿宋_GB2312" w:eastAsia="仿宋_GB2312"/>
          <w:sz w:val="32"/>
          <w:szCs w:val="32"/>
        </w:rPr>
        <w:t>副组长：学校分管学生工作副校长、分管外事工作副校长</w:t>
      </w:r>
    </w:p>
    <w:p>
      <w:pPr>
        <w:pageBreakBefore w:val="0"/>
        <w:kinsoku/>
        <w:overflowPunct/>
        <w:topLinePunct w:val="0"/>
        <w:autoSpaceDE/>
        <w:autoSpaceDN/>
        <w:bidi w:val="0"/>
        <w:spacing w:line="596" w:lineRule="exact"/>
        <w:ind w:firstLine="646" w:firstLineChars="202"/>
        <w:outlineLvl w:val="9"/>
        <w:rPr>
          <w:rFonts w:hint="eastAsia" w:ascii="仿宋_GB2312" w:eastAsia="仿宋_GB2312"/>
          <w:sz w:val="32"/>
          <w:szCs w:val="32"/>
        </w:rPr>
      </w:pPr>
      <w:r>
        <w:rPr>
          <w:rFonts w:hint="eastAsia" w:ascii="仿宋_GB2312" w:eastAsia="仿宋_GB2312"/>
          <w:sz w:val="32"/>
          <w:szCs w:val="32"/>
        </w:rPr>
        <w:t>组  员：各党政部门负责人、各教辅部门负</w:t>
      </w:r>
      <w:bookmarkStart w:id="1805" w:name="_Toc13401_WPSOffice_Level1"/>
      <w:r>
        <w:rPr>
          <w:rFonts w:hint="eastAsia" w:ascii="仿宋_GB2312" w:eastAsia="仿宋_GB2312"/>
          <w:sz w:val="32"/>
          <w:szCs w:val="32"/>
        </w:rPr>
        <w:t>责人，各二级学院党总</w:t>
      </w:r>
      <w:bookmarkEnd w:id="1805"/>
      <w:r>
        <w:rPr>
          <w:rFonts w:hint="eastAsia" w:ascii="仿宋_GB2312" w:eastAsia="仿宋_GB2312"/>
          <w:sz w:val="32"/>
          <w:szCs w:val="32"/>
        </w:rPr>
        <w:t>支书记、院长，国际教育学院书记、院长</w:t>
      </w:r>
    </w:p>
    <w:p>
      <w:pPr>
        <w:pageBreakBefore w:val="0"/>
        <w:kinsoku/>
        <w:overflowPunct/>
        <w:topLinePunct w:val="0"/>
        <w:autoSpaceDE/>
        <w:autoSpaceDN/>
        <w:bidi w:val="0"/>
        <w:spacing w:line="596" w:lineRule="exact"/>
        <w:ind w:firstLine="646" w:firstLineChars="202"/>
        <w:outlineLvl w:val="9"/>
        <w:rPr>
          <w:rFonts w:hint="eastAsia" w:ascii="仿宋_GB2312" w:eastAsia="仿宋_GB2312"/>
          <w:sz w:val="32"/>
          <w:szCs w:val="32"/>
        </w:rPr>
      </w:pPr>
      <w:r>
        <w:rPr>
          <w:rFonts w:hint="eastAsia" w:ascii="仿宋_GB2312" w:eastAsia="仿宋_GB2312"/>
          <w:sz w:val="32"/>
          <w:szCs w:val="32"/>
        </w:rPr>
        <w:t>指挥小组下设办公室，设在国际交流处，办公室主任由国际交流处处长兼任，办公室副主任由国际交流处副处长兼任。</w:t>
      </w:r>
    </w:p>
    <w:p>
      <w:pPr>
        <w:pageBreakBefore w:val="0"/>
        <w:kinsoku/>
        <w:overflowPunct/>
        <w:topLinePunct w:val="0"/>
        <w:autoSpaceDE/>
        <w:autoSpaceDN/>
        <w:bidi w:val="0"/>
        <w:spacing w:line="596" w:lineRule="exact"/>
        <w:ind w:firstLine="646" w:firstLineChars="202"/>
        <w:outlineLvl w:val="9"/>
        <w:rPr>
          <w:rFonts w:hint="eastAsia" w:ascii="仿宋_GB2312" w:eastAsia="仿宋_GB2312"/>
          <w:sz w:val="32"/>
          <w:szCs w:val="32"/>
        </w:rPr>
      </w:pPr>
      <w:r>
        <w:rPr>
          <w:rFonts w:hint="eastAsia" w:ascii="仿宋_GB2312" w:eastAsia="仿宋_GB2312"/>
          <w:sz w:val="32"/>
          <w:szCs w:val="32"/>
        </w:rPr>
        <w:t>学校各有关职能部门要按照职责分工协作，加强涉外人员队伍建设，加强校内应急人员的培训，建立起与上级安全、外事、公安、消防、卫生防疫、交通、民政等部门的联系机制，做好处置工作。</w:t>
      </w:r>
    </w:p>
    <w:p>
      <w:pPr>
        <w:pageBreakBefore w:val="0"/>
        <w:kinsoku/>
        <w:overflowPunct/>
        <w:topLinePunct w:val="0"/>
        <w:autoSpaceDE/>
        <w:autoSpaceDN/>
        <w:bidi w:val="0"/>
        <w:spacing w:line="596" w:lineRule="exact"/>
        <w:ind w:firstLine="420"/>
        <w:outlineLvl w:val="9"/>
        <w:rPr>
          <w:rFonts w:ascii="仿宋_GB2312" w:eastAsia="仿宋_GB2312"/>
          <w:sz w:val="32"/>
          <w:szCs w:val="32"/>
        </w:rPr>
      </w:pPr>
      <w:r>
        <w:rPr>
          <w:rFonts w:hint="eastAsia" w:ascii="仿宋_GB2312" w:eastAsia="仿宋_GB2312"/>
          <w:sz w:val="32"/>
          <w:szCs w:val="32"/>
        </w:rPr>
        <w:t>（二）外国留学生突发事件应急指</w:t>
      </w:r>
      <w:bookmarkStart w:id="1806" w:name="_Toc15991_WPSOffice_Level1"/>
      <w:r>
        <w:rPr>
          <w:rFonts w:hint="eastAsia" w:ascii="仿宋_GB2312" w:eastAsia="仿宋_GB2312"/>
          <w:sz w:val="32"/>
          <w:szCs w:val="32"/>
        </w:rPr>
        <w:t>挥小组的主要职责：</w:t>
      </w:r>
      <w:bookmarkEnd w:id="1806"/>
    </w:p>
    <w:p>
      <w:pPr>
        <w:pageBreakBefore w:val="0"/>
        <w:kinsoku/>
        <w:overflowPunct/>
        <w:topLinePunct w:val="0"/>
        <w:autoSpaceDE/>
        <w:autoSpaceDN/>
        <w:bidi w:val="0"/>
        <w:spacing w:line="596" w:lineRule="exact"/>
        <w:outlineLvl w:val="9"/>
        <w:rPr>
          <w:rFonts w:hint="eastAsia" w:ascii="仿宋_GB2312" w:eastAsia="仿宋_GB2312"/>
          <w:sz w:val="32"/>
          <w:szCs w:val="32"/>
        </w:rPr>
      </w:pPr>
      <w:r>
        <w:rPr>
          <w:rFonts w:hint="eastAsia" w:ascii="仿宋_GB2312" w:eastAsia="仿宋_GB2312"/>
          <w:sz w:val="32"/>
          <w:szCs w:val="32"/>
        </w:rPr>
        <w:tab/>
      </w:r>
      <w:r>
        <w:rPr>
          <w:rFonts w:hint="eastAsia" w:ascii="仿宋_GB2312" w:eastAsia="仿宋_GB2312"/>
          <w:sz w:val="32"/>
          <w:szCs w:val="32"/>
        </w:rPr>
        <w:t xml:space="preserve"> 1.开展对外国留学生的安全和法制教育，检查、了解涉及外国留学生涉事的安全运行情况，排查安全隐患。</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2.开展应急事件处置。遇到突发事件，在第一时间赶赴现场，及时联系相关机构，采取果断措施，按规范处理突发事件。</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3.负责善后处理工作。</w:t>
      </w:r>
    </w:p>
    <w:p>
      <w:pPr>
        <w:pageBreakBefore w:val="0"/>
        <w:kinsoku/>
        <w:overflowPunct/>
        <w:topLinePunct w:val="0"/>
        <w:autoSpaceDE/>
        <w:autoSpaceDN/>
        <w:bidi w:val="0"/>
        <w:spacing w:line="596" w:lineRule="exact"/>
        <w:jc w:val="center"/>
        <w:outlineLvl w:val="9"/>
        <w:rPr>
          <w:rFonts w:ascii="黑体" w:hAnsi="黑体" w:eastAsia="黑体"/>
          <w:b/>
          <w:bCs/>
          <w:sz w:val="32"/>
          <w:szCs w:val="32"/>
        </w:rPr>
      </w:pPr>
      <w:bookmarkStart w:id="1807" w:name="_Toc5193_WPSOffice_Level1"/>
      <w:r>
        <w:rPr>
          <w:rFonts w:hint="eastAsia" w:ascii="黑体" w:hAnsi="黑体" w:eastAsia="黑体"/>
          <w:b/>
          <w:bCs/>
          <w:sz w:val="32"/>
          <w:szCs w:val="32"/>
        </w:rPr>
        <w:t>第五章 应急处置</w:t>
      </w:r>
      <w:bookmarkEnd w:id="1807"/>
    </w:p>
    <w:p>
      <w:pPr>
        <w:pageBreakBefore w:val="0"/>
        <w:numPr>
          <w:ilvl w:val="0"/>
          <w:numId w:val="16"/>
        </w:numPr>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处置程序</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（一）启动预案</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外国留</w:t>
      </w:r>
      <w:bookmarkStart w:id="1808" w:name="_Toc1993_WPSOffice_Level1"/>
      <w:r>
        <w:rPr>
          <w:rFonts w:hint="eastAsia" w:ascii="仿宋_GB2312" w:eastAsia="仿宋_GB2312"/>
          <w:sz w:val="32"/>
          <w:szCs w:val="32"/>
        </w:rPr>
        <w:t>学生在华发生突发事</w:t>
      </w:r>
      <w:bookmarkEnd w:id="1808"/>
      <w:r>
        <w:rPr>
          <w:rFonts w:hint="eastAsia" w:ascii="仿宋_GB2312" w:eastAsia="仿宋_GB2312"/>
          <w:sz w:val="32"/>
          <w:szCs w:val="32"/>
        </w:rPr>
        <w:t>件后，由国际交流处上报学校指挥小组，指挥小组接到报告、核定情况后，报请领导小组组长启动本预案。</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（二）布置工作</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由领导小组组长召开指挥小组成员及相关人员会议，布置有关工作</w:t>
      </w:r>
      <w:bookmarkStart w:id="1809" w:name="_Toc17469_WPSOffice_Level1"/>
      <w:r>
        <w:rPr>
          <w:rFonts w:hint="eastAsia" w:ascii="仿宋_GB2312" w:eastAsia="仿宋_GB2312"/>
          <w:sz w:val="32"/>
          <w:szCs w:val="32"/>
        </w:rPr>
        <w:t>。针对事件特征，由领导小</w:t>
      </w:r>
      <w:bookmarkEnd w:id="1809"/>
      <w:r>
        <w:rPr>
          <w:rFonts w:hint="eastAsia" w:ascii="仿宋_GB2312" w:eastAsia="仿宋_GB2312"/>
          <w:sz w:val="32"/>
          <w:szCs w:val="32"/>
        </w:rPr>
        <w:t>组负责组成“XXX事件处理工作小组”（以下简称工作小组），任命工作小组负责人，并指导其工作。参与应急处置工作的各相关部门或学院负责人，要确定专人负责，24小时在岗值班，时刻保持联络</w:t>
      </w:r>
      <w:bookmarkStart w:id="1810" w:name="_Toc5977_WPSOffice_Level1"/>
      <w:r>
        <w:rPr>
          <w:rFonts w:hint="eastAsia" w:ascii="仿宋_GB2312" w:eastAsia="仿宋_GB2312"/>
          <w:sz w:val="32"/>
          <w:szCs w:val="32"/>
        </w:rPr>
        <w:t>畅通。</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（三）现场处置</w:t>
      </w:r>
      <w:bookmarkEnd w:id="1810"/>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突发事件发生，工作小组须立即赴事发地，控制局面，制止事态发展。做好现场先期处置工作，了解事件规模、伤亡人员姓名，人数，状况</w:t>
      </w:r>
      <w:bookmarkStart w:id="1811" w:name="_Toc20370_WPSOffice_Level1"/>
      <w:r>
        <w:rPr>
          <w:rFonts w:hint="eastAsia" w:ascii="仿宋_GB2312" w:eastAsia="仿宋_GB2312"/>
          <w:sz w:val="32"/>
          <w:szCs w:val="32"/>
        </w:rPr>
        <w:t>、国籍，财产损失基本情</w:t>
      </w:r>
      <w:bookmarkEnd w:id="1811"/>
      <w:r>
        <w:rPr>
          <w:rFonts w:hint="eastAsia" w:ascii="仿宋_GB2312" w:eastAsia="仿宋_GB2312"/>
          <w:sz w:val="32"/>
          <w:szCs w:val="32"/>
        </w:rPr>
        <w:t>况，做好安置安抚、医疗急救、转移、保护有关人员等工作。</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各相关部门保持各自通讯联系畅通。特别</w:t>
      </w:r>
      <w:bookmarkStart w:id="1812" w:name="_Toc29035_WPSOffice_Level1"/>
      <w:r>
        <w:rPr>
          <w:rFonts w:hint="eastAsia" w:ascii="仿宋_GB2312" w:eastAsia="仿宋_GB2312"/>
          <w:sz w:val="32"/>
          <w:szCs w:val="32"/>
        </w:rPr>
        <w:t>是国际交流处、保卫处、</w:t>
      </w:r>
      <w:bookmarkEnd w:id="1812"/>
      <w:r>
        <w:rPr>
          <w:rFonts w:hint="eastAsia" w:ascii="仿宋_GB2312" w:eastAsia="仿宋_GB2312"/>
          <w:sz w:val="32"/>
          <w:szCs w:val="32"/>
        </w:rPr>
        <w:t>后勤管理处、校医室等部门要协同工作，在救助设备、物资、交通工具、医药、安置场所等方面做好准备，确保及时提供充足的物资保障。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（四）及时报告</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工作小组在摸清情况即做出初步处置后，立即指派专人逐级报告，并随时通报进展情况，接受上级部门指导。发生突发事件时应及时向当地公安部门报警，并积极配合医院、防疫、公安、消防等部门做好事件的调查工作；在事件后续处理过程中应随时与有关部门保持密切联系，配合做好各项善后处理工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（五）督察督办</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应急过程中，领导</w:t>
      </w:r>
      <w:bookmarkStart w:id="1813" w:name="_Toc20160_WPSOffice_Level1"/>
      <w:r>
        <w:rPr>
          <w:rFonts w:hint="eastAsia" w:ascii="仿宋_GB2312" w:eastAsia="仿宋_GB2312"/>
          <w:sz w:val="32"/>
          <w:szCs w:val="32"/>
        </w:rPr>
        <w:t>小组须督促检查工作小组的</w:t>
      </w:r>
      <w:bookmarkEnd w:id="1813"/>
      <w:r>
        <w:rPr>
          <w:rFonts w:hint="eastAsia" w:ascii="仿宋_GB2312" w:eastAsia="仿宋_GB2312"/>
          <w:sz w:val="32"/>
          <w:szCs w:val="32"/>
        </w:rPr>
        <w:t>各项决策和应对措施的落实执行情况，确保各项处置决策和应对措施落实到位。保卫处、国际交流处负责有关协调工作。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（六）妥善处置</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凡留学生突发</w:t>
      </w:r>
      <w:bookmarkStart w:id="1814" w:name="_Toc18133_WPSOffice_Level1"/>
      <w:r>
        <w:rPr>
          <w:rFonts w:hint="eastAsia" w:ascii="仿宋_GB2312" w:eastAsia="仿宋_GB2312"/>
          <w:sz w:val="32"/>
          <w:szCs w:val="32"/>
        </w:rPr>
        <w:t>事件发生后，</w:t>
      </w:r>
      <w:bookmarkEnd w:id="1814"/>
      <w:r>
        <w:rPr>
          <w:rFonts w:hint="eastAsia" w:ascii="仿宋_GB2312" w:eastAsia="仿宋_GB2312"/>
          <w:sz w:val="32"/>
          <w:szCs w:val="32"/>
        </w:rPr>
        <w:t>国际交流处在经请示学校主管领导同意后，应及时向学生家属（监护人）通报情况，并尽力做好当事人家属来华处理善后事宜的接待工作。学生正常死亡案件及时通知有</w:t>
      </w:r>
      <w:bookmarkStart w:id="1815" w:name="_Toc25671_WPSOffice_Level1"/>
      <w:r>
        <w:rPr>
          <w:rFonts w:hint="eastAsia" w:ascii="仿宋_GB2312" w:eastAsia="仿宋_GB2312"/>
          <w:sz w:val="32"/>
          <w:szCs w:val="32"/>
        </w:rPr>
        <w:t>关外国驻华</w:t>
      </w:r>
      <w:bookmarkEnd w:id="1815"/>
      <w:r>
        <w:rPr>
          <w:rFonts w:hint="eastAsia" w:ascii="仿宋_GB2312" w:eastAsia="仿宋_GB2312"/>
          <w:sz w:val="32"/>
          <w:szCs w:val="32"/>
        </w:rPr>
        <w:t>使、领馆；有责任和义务告知被公安部门拘留或逮捕的学生，其可以要求公安部门向其本人所在国驻华大使馆（总领事馆）通报情况。</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（七）终止预案</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突发事件处置完毕，由领导小组决定终止应急响应，并由工作小组通知相关部门和单位。</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（八）后期处置</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终止预案后，工作小组要及时召集会议总结工作，并责成国际交流处协同有关部门进一步做好有关人员安置，损失评估，赔偿、奖惩等后续事宜；及时写出总结报告，上报上级主管部门，并通过对处置工作经验教训的总结，</w:t>
      </w:r>
      <w:bookmarkStart w:id="1816" w:name="_Toc6412_WPSOffice_Level1"/>
      <w:r>
        <w:rPr>
          <w:rFonts w:hint="eastAsia" w:ascii="仿宋_GB2312" w:eastAsia="仿宋_GB2312"/>
          <w:sz w:val="32"/>
          <w:szCs w:val="32"/>
        </w:rPr>
        <w:t>修订本应急预案。</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（九）信息报送、处理和发布</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工</w:t>
      </w:r>
      <w:bookmarkEnd w:id="1816"/>
      <w:r>
        <w:rPr>
          <w:rFonts w:hint="eastAsia" w:ascii="仿宋_GB2312" w:eastAsia="仿宋_GB2312"/>
          <w:sz w:val="32"/>
          <w:szCs w:val="32"/>
        </w:rPr>
        <w:t>作小组应</w:t>
      </w:r>
      <w:bookmarkStart w:id="1817" w:name="_Toc14558_WPSOffice_Level1"/>
      <w:r>
        <w:rPr>
          <w:rFonts w:hint="eastAsia" w:ascii="仿宋_GB2312" w:eastAsia="仿宋_GB2312"/>
          <w:sz w:val="32"/>
          <w:szCs w:val="32"/>
        </w:rPr>
        <w:t>及时掌握第一手信息，做到信息收集、报送和处理及时</w:t>
      </w:r>
      <w:bookmarkEnd w:id="1817"/>
      <w:r>
        <w:rPr>
          <w:rFonts w:hint="eastAsia" w:ascii="仿宋_GB2312" w:eastAsia="仿宋_GB2312"/>
          <w:sz w:val="32"/>
          <w:szCs w:val="32"/>
        </w:rPr>
        <w:t>、迅速、准确、全面。应急预案启动后，所有信息由工作小组汇总处理，指定专人报上级主管部门应急办公室，报送时间最长不超过2小时。</w:t>
      </w:r>
    </w:p>
    <w:p>
      <w:pPr>
        <w:pageBreakBefore w:val="0"/>
        <w:kinsoku/>
        <w:overflowPunct/>
        <w:topLinePunct w:val="0"/>
        <w:autoSpaceDE/>
        <w:autoSpaceDN/>
        <w:bidi w:val="0"/>
        <w:spacing w:line="596" w:lineRule="exact"/>
        <w:outlineLvl w:val="9"/>
        <w:rPr>
          <w:rFonts w:hint="eastAsia" w:ascii="仿宋_GB2312" w:eastAsia="仿宋_GB2312"/>
          <w:sz w:val="32"/>
          <w:szCs w:val="32"/>
        </w:rPr>
      </w:pPr>
      <w:r>
        <w:rPr>
          <w:rFonts w:hint="eastAsia" w:ascii="仿宋_GB2312" w:eastAsia="仿宋_GB2312"/>
          <w:sz w:val="32"/>
          <w:szCs w:val="32"/>
        </w:rPr>
        <w:t>　　坚持实事求是、及时准确、把握适度、内外有别、遵守纪律的原则，以正面宣传为主，在上级主管部门应急领导小组的统一领导下，制定信息发布方案。</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（十）奖励处分</w:t>
      </w:r>
    </w:p>
    <w:p>
      <w:pPr>
        <w:pageBreakBefore w:val="0"/>
        <w:kinsoku/>
        <w:overflowPunct/>
        <w:topLinePunct w:val="0"/>
        <w:autoSpaceDE/>
        <w:autoSpaceDN/>
        <w:bidi w:val="0"/>
        <w:spacing w:line="596" w:lineRule="exact"/>
        <w:outlineLvl w:val="9"/>
        <w:rPr>
          <w:rFonts w:hint="eastAsia" w:ascii="仿宋_GB2312" w:eastAsia="仿宋_GB2312"/>
          <w:sz w:val="32"/>
          <w:szCs w:val="32"/>
        </w:rPr>
      </w:pPr>
      <w:r>
        <w:rPr>
          <w:rFonts w:hint="eastAsia" w:ascii="仿宋_GB2312" w:eastAsia="仿宋_GB2312"/>
          <w:sz w:val="32"/>
          <w:szCs w:val="32"/>
        </w:rPr>
        <w:t>　　遇突发事件时，参与处置工作的人员须做到各司其职，反应迅速、处置得当。对参与处置工作表现突出的人员，给予表彰、奖励；对玩忽职守、不负责任、办事不力造成严重后果的人员，给予行政处分、直至追究刑事责任。</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sz w:val="32"/>
          <w:szCs w:val="32"/>
        </w:rPr>
        <w:t>第七条</w:t>
      </w:r>
      <w:r>
        <w:rPr>
          <w:rFonts w:hint="eastAsia" w:ascii="仿宋_GB2312" w:eastAsia="仿宋_GB2312"/>
          <w:sz w:val="32"/>
          <w:szCs w:val="32"/>
        </w:rPr>
        <w:t xml:space="preserve"> 各类事故处理规范：</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（一）留学生自杀、自残、自虐性事件应急预案</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1.留学生自杀、自残、自虐性事件，知情人员除立即实施救治外，还应及时将情况报告给国际交流处。</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2.国际交流处获悉情况后，立即将信息上报领导小组，领导小组相关成员应在第一时间赶到现场，组织人员及时将伤员送至校医院门诊部或市区医院。</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3.领导小组应及时将情况上报所在地市公安局出入境管理部门、外事部门、自治区教育厅和该留学生国籍所在国的驻华使领馆。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4.领导小组立即组织相关工作小组开展调查，必要时应配合公安机关做好不明案件的侦查工作。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（二）留学生离校出走或失踪事件的处理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1.留学生在签证或居留许可的有效期限内擅自离校后，知情人员应及时将情况报告国际交流处。</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2.国际交流处获悉情况后，立即将信息上报领导小组，领导小组获悉情况后，应立即成立相关工作小组，及时进行调查了解；对去向不明的留学生应立即组织查找，及时查明该留学生的去向。</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3.在无法查明该留学生去向的情况下，领导小组应及时通报所在地市公安局出入境管理部门、外事部门、自治区教育厅，并根据有关指示进行操作。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（三）涉及留学生打架或群殴事件的处理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1.留学生参与打架或群殴事件，知情人员应立即报告学校保卫处、学生工作处和国际交流处，国际交流处及时将情况报告领导小组。</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2.保卫处、学生工作处、国际交流处获悉情况后，应在第一时间赶到现场，设法稳定局势，防止事态恶化；如有人员受伤，应立即组织人员将伤员送至校医院门诊部或市区医院诊治。</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3.领导小组应及时将情况上报所在地市公安局出入境管理部门、自治区教育厅，并根据有关指示进行操作。</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4.学校各部门应积极配合有关部门开展调查取证工作，尽早向目击者了解事件的真实情况，及时查清突发事件的原因和经过。</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学校视情况对违纪留学生给予相关处理。如公安机关给予违纪留学生警告的，我校将给予严重警告处分；公安机关给予违纪留学生治安拘留或治安处罚的，我校将视情况给予留校察看或开除学籍处分；公安机关对违纪留学生给予刑事拘留的，我校将一律给予开除学籍处分；开除后，需公安机关遣送回国的，我校将配合公安机关将其遣送回国。</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（四）留学生重大失窃事件的处理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1.留学生发生重大失窃事件，应在第一时间向宿舍管理员和学校保卫处报案，保卫处通知国际交流处，国际交流处同时将情况报告领导小组。</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2.留学生宿舍管理员应立即采取应急措施，组织保护现场。</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3.学校保卫处在接到报案后，应立即组织人员到达现场进行勘察。</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4.领导小组应及时将情况上报所在地市公安局出入境管理部门、外事部门、自治区教育厅，并根据有关指示进行操作。</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5.学校保卫处和相关二级学院应积极配合公安机关做好现场勘察和事件的调查工作。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（五）留学生发生交通意外或其他重大恶性事故的处理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1.留学生发生交通事故，相关部门得到通知后应及时报告学校保卫处和国际交流处，国际交流处上报领导小组，相关部门应积极配合医院和交警部门，做好留学生的救治和事故的处理工作。</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2.领导小组应立即将情况上报所在地市公安局出入境管理部门、外事部门、自治区教育厅，并根据有关指示进行操作。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（六）留学生宿舍发生火灾等突发事件的处理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1.留学生宿舍发现火情后，应立即开展灭火，同时立即向学校保卫处和国际交流处报告。</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2.保卫处接到报告后，应立即组织有关人员到达现场进行灭火；当火情严重，无法自行扑灭时，应立即拨打119电话报警；同时立即采取自救措施，疏散人员，转移物品，打开消防通道，隔离电源。</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3.国际交流处应及时将情况报告领导小组。</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4.保卫处和留学生宿舍管理人员应积极配合消防部门做好抢险灭火工作。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（七）留学生急病、食物中毒或发生群体性流行疾病事件的处理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1.留学生发生突发性疾病或食物中毒后，相关部门应立即与校医院取得联系，迅速组织人员将患者送至校医院救治，并报告后勤管理处和国际交流处，国际交流处立即将情况报告领导小组。</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2.如留学生患重大或急需转院治疗的疾病，相关二级学院应立即组织车辆送至市区医院。</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3.如发现留学生中发生群体性流行疾病，相关部门除立即与校医室取得联系外，应及早采取隔离措施，并立即将情况通知后勤保障处和国际交流处，国际交流处立即将情况报告领导小组。</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4.领导小组应在2小时之内将情况报告当地卫生防疫部门，并由相关学院和学校有关部门配合医疗、防疫等机构做好现场消毒、取样分析等工作。</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（八）留学生发生卖淫、嫖娼、吸毒事件的处理</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1.留学生发生卖淫、嫖娼、吸毒事件后，应立即报告保卫处和国际交流处，国际交流处报告领导小组。</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2.领导小组应立即将情况上报所在地市公安局出入境管理部门、外事部门、自治区教育厅，并根据有关指示进行操作。</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3.学校应积极配合有关部门开</w:t>
      </w:r>
      <w:bookmarkStart w:id="1818" w:name="_Toc11960_WPSOffice_Level1"/>
      <w:r>
        <w:rPr>
          <w:rFonts w:hint="eastAsia" w:ascii="仿宋_GB2312" w:eastAsia="仿宋_GB2312"/>
          <w:sz w:val="32"/>
          <w:szCs w:val="32"/>
        </w:rPr>
        <w:t>展工作，了解事件的真实情况。</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4.学校</w:t>
      </w:r>
      <w:bookmarkEnd w:id="1818"/>
      <w:r>
        <w:rPr>
          <w:rFonts w:hint="eastAsia" w:ascii="仿宋_GB2312" w:eastAsia="仿宋_GB2312"/>
          <w:sz w:val="32"/>
          <w:szCs w:val="32"/>
        </w:rPr>
        <w:t>视情况对违纪留学生给予相关处理。如公安机关给予违纪留学生警告的，我校将给予严重警告处分；公安机关给予违纪留学生治安拘留、治安处罚或刑事拘留的，我校将一律给予开除学籍处分。开除后，需公安机关遣送回国的，我校将配合公安机关将其遣送回国。</w:t>
      </w:r>
    </w:p>
    <w:p>
      <w:pPr>
        <w:pageBreakBefore w:val="0"/>
        <w:kinsoku/>
        <w:overflowPunct/>
        <w:topLinePunct w:val="0"/>
        <w:autoSpaceDE/>
        <w:autoSpaceDN/>
        <w:bidi w:val="0"/>
        <w:spacing w:line="596" w:lineRule="exact"/>
        <w:jc w:val="center"/>
        <w:outlineLvl w:val="9"/>
        <w:rPr>
          <w:rFonts w:ascii="黑体" w:hAnsi="黑体" w:eastAsia="黑体"/>
          <w:b/>
          <w:bCs/>
          <w:sz w:val="32"/>
          <w:szCs w:val="32"/>
        </w:rPr>
      </w:pPr>
      <w:bookmarkStart w:id="1819" w:name="_Toc29640_WPSOffice_Level1"/>
      <w:r>
        <w:rPr>
          <w:rFonts w:hint="eastAsia" w:ascii="黑体" w:hAnsi="黑体" w:eastAsia="黑体"/>
          <w:b/>
          <w:bCs/>
          <w:sz w:val="32"/>
          <w:szCs w:val="32"/>
        </w:rPr>
        <w:t>第六章 善后处置</w:t>
      </w:r>
      <w:bookmarkEnd w:id="1819"/>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sz w:val="32"/>
          <w:szCs w:val="32"/>
        </w:rPr>
        <w:t>第八条</w:t>
      </w:r>
      <w:r>
        <w:rPr>
          <w:rFonts w:hint="eastAsia" w:ascii="仿宋_GB2312" w:eastAsia="仿宋_GB2312"/>
          <w:sz w:val="32"/>
          <w:szCs w:val="32"/>
        </w:rPr>
        <w:t xml:space="preserve"> 应急工作结束后，应对事件发生地进行进一步的监控，严防后续不良事件的发生。积极督促保险机构及时做好损失的理赔工作。对特别重大、重大突发事件的起因、性质、影响、责任、经验教训、恢复重建和防范改进措施等问题进行调查评估，撰写总结上报自治区教育厅。</w:t>
      </w:r>
    </w:p>
    <w:p>
      <w:pPr>
        <w:pageBreakBefore w:val="0"/>
        <w:kinsoku/>
        <w:overflowPunct/>
        <w:topLinePunct w:val="0"/>
        <w:autoSpaceDE/>
        <w:autoSpaceDN/>
        <w:bidi w:val="0"/>
        <w:spacing w:line="596" w:lineRule="exact"/>
        <w:jc w:val="center"/>
        <w:outlineLvl w:val="9"/>
        <w:rPr>
          <w:rFonts w:ascii="黑体" w:hAnsi="黑体" w:eastAsia="黑体"/>
          <w:b/>
          <w:bCs/>
          <w:sz w:val="32"/>
          <w:szCs w:val="32"/>
        </w:rPr>
      </w:pPr>
      <w:bookmarkStart w:id="1820" w:name="_Toc22741_WPSOffice_Level1"/>
      <w:r>
        <w:rPr>
          <w:rFonts w:hint="eastAsia" w:ascii="黑体" w:hAnsi="黑体" w:eastAsia="黑体"/>
          <w:b/>
          <w:bCs/>
          <w:sz w:val="32"/>
          <w:szCs w:val="32"/>
        </w:rPr>
        <w:t>第七章 日常措施</w:t>
      </w:r>
      <w:bookmarkEnd w:id="1820"/>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第九条</w:t>
      </w:r>
      <w:r>
        <w:rPr>
          <w:rFonts w:hint="eastAsia" w:ascii="仿宋_GB2312" w:eastAsia="仿宋_GB2312"/>
          <w:sz w:val="32"/>
          <w:szCs w:val="32"/>
        </w:rPr>
        <w:t xml:space="preserve"> 加强宣传，提高外国留学生的防范意识。在每个学期开学时，通过组织外国留学生会议，强调外国留学生提高警惕，预防突发事件；不定期开展案例教育，让外国留学生从中吸取经验教训，避免类似事件发生。</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第十条</w:t>
      </w:r>
      <w:r>
        <w:rPr>
          <w:rFonts w:hint="eastAsia" w:ascii="仿宋_GB2312" w:eastAsia="仿宋_GB2312"/>
          <w:sz w:val="32"/>
          <w:szCs w:val="32"/>
        </w:rPr>
        <w:t xml:space="preserve"> 告知外国留学生提醒自己的家人和朋友，如果出现无法和本人联系的情况，可以和学校联系取得帮助。</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第十一条</w:t>
      </w:r>
      <w:r>
        <w:rPr>
          <w:rFonts w:hint="eastAsia" w:ascii="仿宋_GB2312" w:eastAsia="仿宋_GB2312"/>
          <w:sz w:val="32"/>
          <w:szCs w:val="32"/>
        </w:rPr>
        <w:t xml:space="preserve"> 及时更新外国留学生的联系方式，随时了解外国留学生动态，保持沟通。</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第十二条</w:t>
      </w:r>
      <w:r>
        <w:rPr>
          <w:rFonts w:hint="eastAsia" w:ascii="仿宋_GB2312" w:eastAsia="仿宋_GB2312"/>
          <w:sz w:val="32"/>
          <w:szCs w:val="32"/>
        </w:rPr>
        <w:t xml:space="preserve"> 规范外国留学生外出请假制度，对违反相关规定的外国留学生应给予警告等处理。</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第十三条</w:t>
      </w:r>
      <w:r>
        <w:rPr>
          <w:rFonts w:hint="eastAsia" w:ascii="仿宋_GB2312" w:eastAsia="仿宋_GB2312"/>
          <w:sz w:val="32"/>
          <w:szCs w:val="32"/>
        </w:rPr>
        <w:t xml:space="preserve"> 定期和不定期下宿舍检查。使外国留学生养成良好习惯，提醒其注意用火用电安全，保管好个人财物，时刻保持安全防范意识。</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第十四条</w:t>
      </w:r>
      <w:r>
        <w:rPr>
          <w:rFonts w:hint="eastAsia" w:ascii="仿宋_GB2312" w:eastAsia="仿宋_GB2312"/>
          <w:sz w:val="32"/>
          <w:szCs w:val="32"/>
        </w:rPr>
        <w:t xml:space="preserve"> 加强外国留学生公寓的管理，外国留学生公寓每天24小时有人值班。</w:t>
      </w:r>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sz w:val="32"/>
          <w:szCs w:val="32"/>
        </w:rPr>
        <w:t>第十五条</w:t>
      </w:r>
      <w:r>
        <w:rPr>
          <w:rFonts w:hint="eastAsia" w:ascii="仿宋_GB2312" w:eastAsia="仿宋_GB2312"/>
          <w:sz w:val="32"/>
          <w:szCs w:val="32"/>
        </w:rPr>
        <w:t xml:space="preserve"> 在节假日期间，建立假期值班制度，安排专人值班。要求值班人员提高警惕，和学校保卫处、柳州市公安部门保持联系以防止和应对校内外国留学生突发事件。如遇到突发事件立即通知指挥小组，由指挥小组制定处理方案，并向公安局有关负责人汇报，协调解决。</w:t>
      </w:r>
    </w:p>
    <w:p>
      <w:pPr>
        <w:pageBreakBefore w:val="0"/>
        <w:kinsoku/>
        <w:overflowPunct/>
        <w:topLinePunct w:val="0"/>
        <w:autoSpaceDE/>
        <w:autoSpaceDN/>
        <w:bidi w:val="0"/>
        <w:spacing w:line="596" w:lineRule="exact"/>
        <w:jc w:val="center"/>
        <w:outlineLvl w:val="9"/>
        <w:rPr>
          <w:rFonts w:ascii="黑体" w:hAnsi="黑体" w:eastAsia="黑体"/>
          <w:b/>
          <w:bCs/>
          <w:sz w:val="32"/>
          <w:szCs w:val="32"/>
        </w:rPr>
      </w:pPr>
      <w:bookmarkStart w:id="1821" w:name="_Toc11520_WPSOffice_Level1"/>
      <w:r>
        <w:rPr>
          <w:rFonts w:hint="eastAsia" w:ascii="黑体" w:hAnsi="黑体" w:eastAsia="黑体"/>
          <w:b/>
          <w:bCs/>
          <w:sz w:val="32"/>
          <w:szCs w:val="32"/>
        </w:rPr>
        <w:t>第八章  附  则</w:t>
      </w:r>
      <w:bookmarkEnd w:id="1821"/>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第十六条</w:t>
      </w:r>
      <w:r>
        <w:rPr>
          <w:rFonts w:hint="eastAsia" w:ascii="仿宋_GB2312" w:eastAsia="仿宋_GB2312"/>
          <w:sz w:val="32"/>
          <w:szCs w:val="32"/>
        </w:rPr>
        <w:t xml:space="preserve"> 本规定未尽事项，依照国家的相关法律法规及我校适用外国留学生的相关管理规定办理。</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sz w:val="32"/>
          <w:szCs w:val="32"/>
        </w:rPr>
        <w:t>第十七条</w:t>
      </w:r>
      <w:r>
        <w:rPr>
          <w:rFonts w:hint="eastAsia" w:ascii="仿宋_GB2312" w:eastAsia="仿宋_GB2312"/>
          <w:sz w:val="32"/>
          <w:szCs w:val="32"/>
        </w:rPr>
        <w:t xml:space="preserve"> 港、澳、台学生的管理参照本办法执行。</w:t>
      </w:r>
    </w:p>
    <w:p>
      <w:pPr>
        <w:pageBreakBefore w:val="0"/>
        <w:widowControl w:val="0"/>
        <w:kinsoku/>
        <w:wordWrap/>
        <w:overflowPunct/>
        <w:topLinePunct w:val="0"/>
        <w:autoSpaceDE/>
        <w:autoSpaceDN/>
        <w:bidi w:val="0"/>
        <w:adjustRightInd/>
        <w:snapToGrid/>
        <w:spacing w:line="596" w:lineRule="exact"/>
        <w:ind w:firstLine="643" w:firstLineChars="200"/>
        <w:textAlignment w:val="auto"/>
        <w:outlineLvl w:val="9"/>
        <w:rPr>
          <w:rFonts w:hint="eastAsia" w:ascii="仿宋_GB2312" w:eastAsia="仿宋_GB2312"/>
          <w:sz w:val="32"/>
          <w:szCs w:val="32"/>
        </w:rPr>
      </w:pPr>
      <w:r>
        <w:rPr>
          <w:rFonts w:hint="eastAsia" w:ascii="仿宋_GB2312" w:eastAsia="仿宋_GB2312"/>
          <w:b/>
          <w:sz w:val="32"/>
          <w:szCs w:val="32"/>
        </w:rPr>
        <w:t>第十八条</w:t>
      </w:r>
      <w:r>
        <w:rPr>
          <w:rFonts w:hint="eastAsia" w:ascii="仿宋_GB2312" w:eastAsia="仿宋_GB2312"/>
          <w:sz w:val="32"/>
          <w:szCs w:val="32"/>
        </w:rPr>
        <w:t xml:space="preserve"> 本办法从发布之日起执行，由国际交流处负责解释。</w:t>
      </w:r>
    </w:p>
    <w:p>
      <w:pPr>
        <w:pageBreakBefore w:val="0"/>
        <w:widowControl w:val="0"/>
        <w:kinsoku/>
        <w:wordWrap/>
        <w:overflowPunct/>
        <w:topLinePunct w:val="0"/>
        <w:autoSpaceDE/>
        <w:autoSpaceDN/>
        <w:bidi w:val="0"/>
        <w:adjustRightInd/>
        <w:snapToGrid/>
        <w:textAlignment w:val="auto"/>
        <w:outlineLvl w:val="9"/>
        <w:rPr>
          <w:rFonts w:hint="eastAsia" w:ascii="仿宋_GB2312" w:eastAsia="仿宋_GB2312"/>
          <w:sz w:val="32"/>
          <w:szCs w:val="32"/>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ascii="仿宋_GB2312" w:eastAsia="仿宋_GB2312"/>
          <w:sz w:val="32"/>
          <w:szCs w:val="32"/>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rPr>
      </w:pPr>
    </w:p>
    <w:p>
      <w:pPr>
        <w:pageBreakBefore w:val="0"/>
        <w:widowControl w:val="0"/>
        <w:kinsoku/>
        <w:wordWrap/>
        <w:overflowPunct/>
        <w:topLinePunct w:val="0"/>
        <w:autoSpaceDE/>
        <w:autoSpaceDN/>
        <w:bidi w:val="0"/>
        <w:adjustRightInd/>
        <w:snapToGrid/>
        <w:textAlignment w:val="auto"/>
        <w:outlineLvl w:val="9"/>
        <w:rPr>
          <w:rFonts w:hint="eastAsia"/>
          <w:lang w:val="en-US" w:eastAsia="zh-CN"/>
        </w:rPr>
      </w:pPr>
    </w:p>
    <w:p>
      <w:pPr>
        <w:pageBreakBefore w:val="0"/>
        <w:widowControl w:val="0"/>
        <w:kinsoku/>
        <w:wordWrap/>
        <w:overflowPunct/>
        <w:topLinePunct w:val="0"/>
        <w:autoSpaceDE/>
        <w:autoSpaceDN/>
        <w:bidi w:val="0"/>
        <w:adjustRightInd/>
        <w:snapToGrid/>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bookmarkStart w:id="1822" w:name="_Toc15550_WPSOffice_Level1"/>
      <w:bookmarkStart w:id="1823" w:name="_Toc2743"/>
      <w:bookmarkStart w:id="1824" w:name="_Toc9348"/>
      <w:bookmarkStart w:id="1825" w:name="_Toc18066"/>
      <w:r>
        <w:rPr>
          <w:rFonts w:hint="eastAsia"/>
          <w:b/>
          <w:color w:val="000000"/>
          <w:sz w:val="36"/>
          <w:szCs w:val="36"/>
        </w:rPr>
        <w:t>柳州职业技术学院外国留学生语言培训教学管理规定</w:t>
      </w:r>
      <w:bookmarkEnd w:id="1822"/>
      <w:bookmarkEnd w:id="1823"/>
      <w:bookmarkEnd w:id="1824"/>
      <w:bookmarkEnd w:id="1825"/>
    </w:p>
    <w:p>
      <w:pPr>
        <w:pageBreakBefore w:val="0"/>
        <w:kinsoku/>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（柳职院字〔2021〕87 号）</w:t>
      </w: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lang w:eastAsia="zh-Hans"/>
        </w:rPr>
      </w:pP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26" w:name="_Toc26162_WPSOffice_Level1"/>
      <w:r>
        <w:rPr>
          <w:rFonts w:hint="eastAsia" w:ascii="黑体" w:hAnsi="黑体" w:eastAsia="黑体"/>
          <w:b/>
          <w:sz w:val="32"/>
          <w:szCs w:val="32"/>
        </w:rPr>
        <w:t>第一章 总 则</w:t>
      </w:r>
      <w:bookmarkEnd w:id="1826"/>
    </w:p>
    <w:p>
      <w:pPr>
        <w:pageBreakBefore w:val="0"/>
        <w:kinsoku/>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第一条 </w:t>
      </w:r>
      <w:r>
        <w:rPr>
          <w:rFonts w:hint="eastAsia" w:ascii="仿宋_GB2312" w:eastAsia="仿宋_GB2312"/>
          <w:sz w:val="32"/>
          <w:szCs w:val="32"/>
        </w:rPr>
        <w:t>为贯彻落实国家教育对外开放政策要求，维护学校正常的教学秩序，提升外国留学生语言培训质量，保障留学生的合法权益，培养会中国语言、懂中国文化的外国留学生，依据《柳州职业技术学院学生学籍管理规定（修订稿）》（柳职院教字〔2021〕21号），特制定本规定。</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27" w:name="_Toc10108_WPSOffice_Level1"/>
      <w:r>
        <w:rPr>
          <w:rFonts w:hint="eastAsia" w:ascii="黑体" w:hAnsi="黑体" w:eastAsia="黑体"/>
          <w:b/>
          <w:sz w:val="32"/>
          <w:szCs w:val="32"/>
        </w:rPr>
        <w:t xml:space="preserve">第二章  </w:t>
      </w:r>
      <w:r>
        <w:rPr>
          <w:rFonts w:ascii="黑体" w:hAnsi="黑体" w:eastAsia="黑体"/>
          <w:b/>
          <w:sz w:val="32"/>
          <w:szCs w:val="32"/>
        </w:rPr>
        <w:t>入学和注册</w:t>
      </w:r>
      <w:bookmarkEnd w:id="1827"/>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第二条 </w:t>
      </w:r>
      <w:r>
        <w:rPr>
          <w:rFonts w:ascii="仿宋_GB2312" w:eastAsia="仿宋_GB2312"/>
          <w:sz w:val="32"/>
          <w:szCs w:val="32"/>
        </w:rPr>
        <w:t>新入学留学生应于开学前一周持录取通知书、《外国留学人员来华签证申请表（JW201表或JW202表）》、健康证明等到</w:t>
      </w:r>
      <w:r>
        <w:rPr>
          <w:rFonts w:hint="eastAsia" w:ascii="仿宋_GB2312" w:eastAsia="仿宋_GB2312"/>
          <w:sz w:val="32"/>
          <w:szCs w:val="32"/>
        </w:rPr>
        <w:t>国际教育学院</w:t>
      </w:r>
      <w:r>
        <w:rPr>
          <w:rFonts w:ascii="仿宋_GB2312" w:eastAsia="仿宋_GB2312"/>
          <w:sz w:val="32"/>
          <w:szCs w:val="32"/>
        </w:rPr>
        <w:t>报到注册。因故不能按时报到注册者，应提前向</w:t>
      </w:r>
      <w:r>
        <w:rPr>
          <w:rFonts w:hint="eastAsia" w:ascii="仿宋_GB2312" w:eastAsia="仿宋_GB2312"/>
          <w:sz w:val="32"/>
          <w:szCs w:val="32"/>
        </w:rPr>
        <w:t>国际教育学院</w:t>
      </w:r>
      <w:r>
        <w:rPr>
          <w:rFonts w:ascii="仿宋_GB2312" w:eastAsia="仿宋_GB2312"/>
          <w:sz w:val="32"/>
          <w:szCs w:val="32"/>
        </w:rPr>
        <w:t>请假，假期不超过一个月。未经请假逾期不报到者，取消入学资格。</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第三条 </w:t>
      </w:r>
      <w:r>
        <w:rPr>
          <w:rFonts w:ascii="仿宋_GB2312" w:eastAsia="仿宋_GB2312"/>
          <w:sz w:val="32"/>
          <w:szCs w:val="32"/>
        </w:rPr>
        <w:t>自费留学生入学后，按规定需缴纳各种费用，缴纳时间最迟不超过开学后两周，凭缴纳单据前往</w:t>
      </w:r>
      <w:r>
        <w:rPr>
          <w:rFonts w:hint="eastAsia" w:ascii="仿宋_GB2312" w:eastAsia="仿宋_GB2312"/>
          <w:sz w:val="32"/>
          <w:szCs w:val="32"/>
        </w:rPr>
        <w:t>国际教育学院</w:t>
      </w:r>
      <w:r>
        <w:rPr>
          <w:rFonts w:ascii="仿宋_GB2312" w:eastAsia="仿宋_GB2312"/>
          <w:sz w:val="32"/>
          <w:szCs w:val="32"/>
        </w:rPr>
        <w:t>注册登记。</w:t>
      </w:r>
      <w:r>
        <w:rPr>
          <w:rFonts w:hint="eastAsia" w:ascii="仿宋_GB2312" w:eastAsia="仿宋_GB2312"/>
          <w:sz w:val="32"/>
          <w:szCs w:val="32"/>
        </w:rPr>
        <w:t>因经济困难暂时无法缴纳学费的，可申请缓交申请，获得批准后按规定办理相关手续</w:t>
      </w:r>
      <w:r>
        <w:rPr>
          <w:rFonts w:ascii="仿宋_GB2312" w:eastAsia="仿宋_GB2312"/>
          <w:sz w:val="32"/>
          <w:szCs w:val="32"/>
        </w:rPr>
        <w:t>。</w:t>
      </w:r>
      <w:r>
        <w:rPr>
          <w:rFonts w:hint="eastAsia" w:ascii="仿宋_GB2312" w:eastAsia="仿宋_GB2312"/>
          <w:sz w:val="32"/>
          <w:szCs w:val="32"/>
        </w:rPr>
        <w:t>未办理缓交手续，不按时缴纳学杂费者，不予注册。学生未注册，学校可认定其参加的教学活动无效。</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28" w:name="_Toc5022_WPSOffice_Level1"/>
      <w:r>
        <w:rPr>
          <w:rFonts w:hint="eastAsia" w:ascii="黑体" w:hAnsi="黑体" w:eastAsia="黑体"/>
          <w:b/>
          <w:sz w:val="32"/>
          <w:szCs w:val="32"/>
        </w:rPr>
        <w:t xml:space="preserve">第三章  </w:t>
      </w:r>
      <w:r>
        <w:rPr>
          <w:rFonts w:ascii="黑体" w:hAnsi="黑体" w:eastAsia="黑体"/>
          <w:b/>
          <w:sz w:val="32"/>
          <w:szCs w:val="32"/>
        </w:rPr>
        <w:t>学习考勤</w:t>
      </w:r>
      <w:bookmarkEnd w:id="1828"/>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第四条 </w:t>
      </w:r>
      <w:r>
        <w:rPr>
          <w:rFonts w:ascii="仿宋_GB2312" w:eastAsia="仿宋_GB2312"/>
          <w:sz w:val="32"/>
          <w:szCs w:val="32"/>
        </w:rPr>
        <w:t>留学生应自觉遵守学校的学习纪律，按规定时间上课，不得迟到、早退和旷课。因病、因事无法上课者，应办理请假手续</w:t>
      </w:r>
      <w:r>
        <w:rPr>
          <w:rFonts w:hint="eastAsia" w:ascii="仿宋_GB2312" w:eastAsia="仿宋_GB2312"/>
          <w:sz w:val="32"/>
          <w:szCs w:val="32"/>
        </w:rPr>
        <w:t>。</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第五条 </w:t>
      </w:r>
      <w:r>
        <w:rPr>
          <w:rFonts w:ascii="仿宋_GB2312" w:eastAsia="仿宋_GB2312"/>
          <w:sz w:val="32"/>
          <w:szCs w:val="32"/>
        </w:rPr>
        <w:t>因病休息一天（含）以内而无医院证明者，可向辅导员请假；因病请假一天以上者，需提交医院诊断证明或病假条，</w:t>
      </w:r>
      <w:r>
        <w:rPr>
          <w:rFonts w:hint="eastAsia" w:ascii="仿宋_GB2312" w:eastAsia="仿宋_GB2312"/>
          <w:sz w:val="32"/>
          <w:szCs w:val="32"/>
        </w:rPr>
        <w:t>根据《柳州职业技术学院外国留学生请假制度》办理请假手续</w:t>
      </w:r>
      <w:r>
        <w:rPr>
          <w:rFonts w:ascii="仿宋_GB2312" w:eastAsia="仿宋_GB2312"/>
          <w:sz w:val="32"/>
          <w:szCs w:val="32"/>
        </w:rPr>
        <w:t>。</w:t>
      </w:r>
      <w:r>
        <w:rPr>
          <w:rFonts w:hint="eastAsia" w:ascii="仿宋_GB2312" w:eastAsia="仿宋_GB2312"/>
          <w:sz w:val="32"/>
          <w:szCs w:val="32"/>
        </w:rPr>
        <w:t>迟到三次按旷课一次计。</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第六条 </w:t>
      </w:r>
      <w:r>
        <w:rPr>
          <w:rFonts w:ascii="仿宋_GB2312" w:eastAsia="仿宋_GB2312"/>
          <w:sz w:val="32"/>
          <w:szCs w:val="32"/>
        </w:rPr>
        <w:t>因事请假一天（含）以内者，可向辅导员提出申请；因事请假一天以上者，需提交书面申请，</w:t>
      </w:r>
      <w:r>
        <w:rPr>
          <w:rFonts w:hint="eastAsia" w:ascii="仿宋_GB2312" w:eastAsia="仿宋_GB2312"/>
          <w:sz w:val="32"/>
          <w:szCs w:val="32"/>
        </w:rPr>
        <w:t>根据《柳州职业技术学院外国留学生请假制度》办理请假手续</w:t>
      </w:r>
      <w:r>
        <w:rPr>
          <w:rFonts w:ascii="仿宋_GB2312" w:eastAsia="仿宋_GB2312"/>
          <w:sz w:val="32"/>
          <w:szCs w:val="32"/>
        </w:rPr>
        <w:t>。</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第七条 </w:t>
      </w:r>
      <w:r>
        <w:rPr>
          <w:rFonts w:ascii="仿宋_GB2312" w:eastAsia="仿宋_GB2312"/>
          <w:sz w:val="32"/>
          <w:szCs w:val="32"/>
        </w:rPr>
        <w:t>未办理请假手续而缺课者，均以旷课记。</w:t>
      </w:r>
      <w:r>
        <w:rPr>
          <w:rFonts w:hint="eastAsia" w:ascii="仿宋_GB2312" w:eastAsia="仿宋_GB2312"/>
          <w:sz w:val="32"/>
          <w:szCs w:val="32"/>
        </w:rPr>
        <w:t xml:space="preserve">一学期内无故旷课达20学时以上者（含20学时）视情节轻重，给予以下处分： </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（一）旷课达20—29学时者，给予警告处分； </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（二）旷课达30—39学时者，给予严重警告处分； </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（三）旷课达40—49学时者，给予记过处分； </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（四）旷课达50—59学时者，给予留校察看处分； </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（五）旷课达60学时以上者，给予留校</w:t>
      </w:r>
      <w:bookmarkStart w:id="1829" w:name="_Toc24107_WPSOffice_Level1"/>
      <w:r>
        <w:rPr>
          <w:rFonts w:hint="eastAsia" w:ascii="仿宋_GB2312" w:eastAsia="仿宋_GB2312"/>
          <w:sz w:val="32"/>
          <w:szCs w:val="32"/>
        </w:rPr>
        <w:t>察看至开除学籍处分。</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第八条 </w:t>
      </w:r>
      <w:r>
        <w:rPr>
          <w:rFonts w:ascii="仿宋_GB2312" w:eastAsia="仿宋_GB2312"/>
          <w:sz w:val="32"/>
          <w:szCs w:val="32"/>
        </w:rPr>
        <w:t>除中国法定节假</w:t>
      </w:r>
      <w:bookmarkEnd w:id="1829"/>
      <w:r>
        <w:rPr>
          <w:rFonts w:ascii="仿宋_GB2312" w:eastAsia="仿宋_GB2312"/>
          <w:sz w:val="32"/>
          <w:szCs w:val="32"/>
        </w:rPr>
        <w:t>日</w:t>
      </w:r>
      <w:bookmarkStart w:id="1830" w:name="_Toc10751_WPSOffice_Level1"/>
      <w:r>
        <w:rPr>
          <w:rFonts w:ascii="仿宋_GB2312" w:eastAsia="仿宋_GB2312"/>
          <w:sz w:val="32"/>
          <w:szCs w:val="32"/>
        </w:rPr>
        <w:t>和学校安排的寒暑假之外，学习期间留学生不</w:t>
      </w:r>
      <w:bookmarkEnd w:id="1830"/>
      <w:r>
        <w:rPr>
          <w:rFonts w:ascii="仿宋_GB2312" w:eastAsia="仿宋_GB2312"/>
          <w:sz w:val="32"/>
          <w:szCs w:val="32"/>
        </w:rPr>
        <w:t>得请假外</w:t>
      </w:r>
      <w:bookmarkStart w:id="1831" w:name="_Toc20593_WPSOffice_Level1"/>
      <w:r>
        <w:rPr>
          <w:rFonts w:ascii="仿宋_GB2312" w:eastAsia="仿宋_GB2312"/>
          <w:sz w:val="32"/>
          <w:szCs w:val="32"/>
        </w:rPr>
        <w:t>出旅行。</w:t>
      </w:r>
      <w:bookmarkEnd w:id="1831"/>
      <w:r>
        <w:rPr>
          <w:rFonts w:ascii="仿宋_GB2312" w:eastAsia="仿宋_GB2312"/>
          <w:sz w:val="32"/>
          <w:szCs w:val="32"/>
        </w:rPr>
        <w:t>利用周末外出旅行者，不得影响正常学习</w:t>
      </w:r>
      <w:r>
        <w:rPr>
          <w:rFonts w:hint="eastAsia" w:ascii="仿宋_GB2312" w:eastAsia="仿宋_GB2312"/>
          <w:sz w:val="32"/>
          <w:szCs w:val="32"/>
        </w:rPr>
        <w:t>，离开柳州需填写动向表</w:t>
      </w:r>
      <w:r>
        <w:rPr>
          <w:rFonts w:ascii="仿宋_GB2312" w:eastAsia="仿宋_GB2312"/>
          <w:sz w:val="32"/>
          <w:szCs w:val="32"/>
        </w:rPr>
        <w:t>。</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32" w:name="_Toc17514_WPSOffice_Level1"/>
      <w:r>
        <w:rPr>
          <w:rFonts w:hint="eastAsia" w:ascii="黑体" w:hAnsi="黑体" w:eastAsia="黑体"/>
          <w:b/>
          <w:sz w:val="32"/>
          <w:szCs w:val="32"/>
        </w:rPr>
        <w:t xml:space="preserve">第四章  </w:t>
      </w:r>
      <w:r>
        <w:rPr>
          <w:rFonts w:ascii="黑体" w:hAnsi="黑体" w:eastAsia="黑体"/>
          <w:b/>
          <w:sz w:val="32"/>
          <w:szCs w:val="32"/>
        </w:rPr>
        <w:t>休学、复学和退学</w:t>
      </w:r>
      <w:bookmarkEnd w:id="1832"/>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第九条 </w:t>
      </w:r>
      <w:r>
        <w:rPr>
          <w:rFonts w:ascii="仿宋_GB2312" w:eastAsia="仿宋_GB2312"/>
          <w:sz w:val="32"/>
          <w:szCs w:val="32"/>
        </w:rPr>
        <w:t>留学生因病、因事四周以上不能参加学习者，可向</w:t>
      </w:r>
      <w:r>
        <w:rPr>
          <w:rFonts w:hint="eastAsia" w:ascii="仿宋_GB2312" w:eastAsia="仿宋_GB2312"/>
          <w:sz w:val="32"/>
          <w:szCs w:val="32"/>
        </w:rPr>
        <w:t>国际教育学院</w:t>
      </w:r>
      <w:r>
        <w:rPr>
          <w:rFonts w:ascii="仿宋_GB2312" w:eastAsia="仿宋_GB2312"/>
          <w:sz w:val="32"/>
          <w:szCs w:val="32"/>
        </w:rPr>
        <w:t>提出休学申请，经批准后方可休学，休学时间不得超过一年。</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第十条 </w:t>
      </w:r>
      <w:r>
        <w:rPr>
          <w:rFonts w:ascii="仿宋_GB2312" w:eastAsia="仿宋_GB2312"/>
          <w:sz w:val="32"/>
          <w:szCs w:val="32"/>
        </w:rPr>
        <w:t>因病休学后申请复学者，必须提前一个月将正规医院开具的痊愈证明寄</w:t>
      </w:r>
      <w:r>
        <w:rPr>
          <w:rFonts w:hint="eastAsia" w:ascii="仿宋_GB2312" w:eastAsia="仿宋_GB2312"/>
          <w:sz w:val="32"/>
          <w:szCs w:val="32"/>
        </w:rPr>
        <w:t>至国际教育学院</w:t>
      </w:r>
      <w:r>
        <w:rPr>
          <w:rFonts w:ascii="仿宋_GB2312" w:eastAsia="仿宋_GB2312"/>
          <w:sz w:val="32"/>
          <w:szCs w:val="32"/>
        </w:rPr>
        <w:t>，得到学校同意后，方可来华复学。来华后仍需经过复查，符合健康标准后，方可正式复学。自费留学生复学时应补足差额部分的学费。</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w:t>
      </w:r>
      <w:r>
        <w:rPr>
          <w:rFonts w:ascii="仿宋_GB2312" w:eastAsia="仿宋_GB2312"/>
          <w:sz w:val="32"/>
          <w:szCs w:val="32"/>
        </w:rPr>
        <w:t>公费留学生休学后复学，应事先向</w:t>
      </w:r>
      <w:r>
        <w:rPr>
          <w:rFonts w:hint="eastAsia" w:ascii="仿宋_GB2312" w:eastAsia="仿宋_GB2312"/>
          <w:sz w:val="32"/>
          <w:szCs w:val="32"/>
        </w:rPr>
        <w:t>国际教育学院</w:t>
      </w:r>
      <w:r>
        <w:rPr>
          <w:rFonts w:ascii="仿宋_GB2312" w:eastAsia="仿宋_GB2312"/>
          <w:sz w:val="32"/>
          <w:szCs w:val="32"/>
        </w:rPr>
        <w:t>提出申请，由国际教育学院上报</w:t>
      </w:r>
      <w:r>
        <w:rPr>
          <w:rFonts w:hint="eastAsia" w:ascii="仿宋_GB2312" w:eastAsia="仿宋_GB2312"/>
          <w:sz w:val="32"/>
          <w:szCs w:val="32"/>
        </w:rPr>
        <w:t>上级主管部门</w:t>
      </w:r>
      <w:r>
        <w:rPr>
          <w:rFonts w:ascii="仿宋_GB2312" w:eastAsia="仿宋_GB2312"/>
          <w:sz w:val="32"/>
          <w:szCs w:val="32"/>
        </w:rPr>
        <w:t>，在得到批准后方可与学校联系来华事宜。</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第十二条 </w:t>
      </w:r>
      <w:r>
        <w:rPr>
          <w:rFonts w:ascii="仿宋_GB2312" w:eastAsia="仿宋_GB2312"/>
          <w:sz w:val="32"/>
          <w:szCs w:val="32"/>
        </w:rPr>
        <w:t>有下列情形之一者，应当退学：</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一</w:t>
      </w:r>
      <w:r>
        <w:rPr>
          <w:rFonts w:ascii="仿宋_GB2312" w:eastAsia="仿宋_GB2312"/>
          <w:sz w:val="32"/>
          <w:szCs w:val="32"/>
        </w:rPr>
        <w:t>）触犯中国法律和法规、违法违纪情节恶劣、后果严重者</w:t>
      </w:r>
      <w:r>
        <w:rPr>
          <w:rFonts w:hint="eastAsia" w:ascii="仿宋_GB2312" w:eastAsia="仿宋_GB2312"/>
          <w:sz w:val="32"/>
          <w:szCs w:val="32"/>
        </w:rPr>
        <w:t>；</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二</w:t>
      </w:r>
      <w:r>
        <w:rPr>
          <w:rFonts w:ascii="仿宋_GB2312" w:eastAsia="仿宋_GB2312"/>
          <w:sz w:val="32"/>
          <w:szCs w:val="32"/>
        </w:rPr>
        <w:t>）严重干扰和扰乱学校正常教学秩序、社会公共秩序行为者</w:t>
      </w:r>
      <w:r>
        <w:rPr>
          <w:rFonts w:hint="eastAsia" w:ascii="仿宋_GB2312" w:eastAsia="仿宋_GB2312"/>
          <w:sz w:val="32"/>
          <w:szCs w:val="32"/>
        </w:rPr>
        <w:t>；</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三</w:t>
      </w:r>
      <w:r>
        <w:rPr>
          <w:rFonts w:ascii="仿宋_GB2312" w:eastAsia="仿宋_GB2312"/>
          <w:sz w:val="32"/>
          <w:szCs w:val="32"/>
        </w:rPr>
        <w:t>）患有严重疾病或意外伤残，经学校指定医院诊断为难以继续学习者</w:t>
      </w:r>
      <w:r>
        <w:rPr>
          <w:rFonts w:hint="eastAsia" w:ascii="仿宋_GB2312" w:eastAsia="仿宋_GB2312"/>
          <w:sz w:val="32"/>
          <w:szCs w:val="32"/>
        </w:rPr>
        <w:t>；</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四</w:t>
      </w:r>
      <w:r>
        <w:rPr>
          <w:rFonts w:ascii="仿宋_GB2312" w:eastAsia="仿宋_GB2312"/>
          <w:sz w:val="32"/>
          <w:szCs w:val="32"/>
        </w:rPr>
        <w:t>）各门课程旷课总学时数累计达到</w:t>
      </w:r>
      <w:r>
        <w:rPr>
          <w:rFonts w:hint="eastAsia" w:ascii="仿宋_GB2312" w:eastAsia="仿宋_GB2312"/>
          <w:sz w:val="32"/>
          <w:szCs w:val="32"/>
        </w:rPr>
        <w:t>6</w:t>
      </w:r>
      <w:r>
        <w:rPr>
          <w:rFonts w:ascii="仿宋_GB2312" w:eastAsia="仿宋_GB2312"/>
          <w:sz w:val="32"/>
          <w:szCs w:val="32"/>
        </w:rPr>
        <w:t>0学时</w:t>
      </w:r>
      <w:r>
        <w:rPr>
          <w:rFonts w:hint="eastAsia" w:ascii="仿宋_GB2312" w:eastAsia="仿宋_GB2312"/>
          <w:sz w:val="32"/>
          <w:szCs w:val="32"/>
        </w:rPr>
        <w:t>以上</w:t>
      </w:r>
      <w:r>
        <w:rPr>
          <w:rFonts w:ascii="仿宋_GB2312" w:eastAsia="仿宋_GB2312"/>
          <w:sz w:val="32"/>
          <w:szCs w:val="32"/>
        </w:rPr>
        <w:t>者。</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33" w:name="_Toc736_WPSOffice_Level1"/>
      <w:r>
        <w:rPr>
          <w:rFonts w:hint="eastAsia" w:ascii="黑体" w:hAnsi="黑体" w:eastAsia="黑体"/>
          <w:b/>
          <w:sz w:val="32"/>
          <w:szCs w:val="32"/>
        </w:rPr>
        <w:t xml:space="preserve">第五章  </w:t>
      </w:r>
      <w:r>
        <w:rPr>
          <w:rFonts w:ascii="黑体" w:hAnsi="黑体" w:eastAsia="黑体"/>
          <w:b/>
          <w:sz w:val="32"/>
          <w:szCs w:val="32"/>
        </w:rPr>
        <w:t>成绩考核和评定</w:t>
      </w:r>
      <w:bookmarkEnd w:id="1833"/>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第十三条 </w:t>
      </w:r>
      <w:r>
        <w:rPr>
          <w:rFonts w:ascii="仿宋_GB2312" w:eastAsia="仿宋_GB2312"/>
          <w:sz w:val="32"/>
          <w:szCs w:val="32"/>
        </w:rPr>
        <w:t>考核方式由任课教师根据课程目标和要求而定</w:t>
      </w:r>
      <w:r>
        <w:rPr>
          <w:rFonts w:hint="eastAsia" w:ascii="仿宋_GB2312" w:eastAsia="仿宋_GB2312"/>
          <w:sz w:val="32"/>
          <w:szCs w:val="32"/>
        </w:rPr>
        <w:t>，</w:t>
      </w:r>
      <w:r>
        <w:rPr>
          <w:rFonts w:ascii="仿宋_GB2312" w:eastAsia="仿宋_GB2312"/>
          <w:sz w:val="32"/>
          <w:szCs w:val="32"/>
        </w:rPr>
        <w:t>考试成绩采用百分制</w:t>
      </w:r>
      <w:r>
        <w:rPr>
          <w:rFonts w:hint="eastAsia" w:ascii="仿宋_GB2312" w:eastAsia="仿宋_GB2312"/>
          <w:sz w:val="32"/>
          <w:szCs w:val="32"/>
        </w:rPr>
        <w:t>或者等级制</w:t>
      </w:r>
      <w:r>
        <w:rPr>
          <w:rFonts w:ascii="仿宋_GB2312" w:eastAsia="仿宋_GB2312"/>
          <w:sz w:val="32"/>
          <w:szCs w:val="32"/>
        </w:rPr>
        <w:t>。</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第十四条 </w:t>
      </w:r>
      <w:r>
        <w:rPr>
          <w:rFonts w:ascii="仿宋_GB2312" w:eastAsia="仿宋_GB2312"/>
          <w:sz w:val="32"/>
          <w:szCs w:val="32"/>
        </w:rPr>
        <w:t>留学生无故不参加考试，作</w:t>
      </w:r>
      <w:r>
        <w:rPr>
          <w:rFonts w:hint="eastAsia" w:ascii="仿宋_GB2312" w:eastAsia="仿宋_GB2312"/>
          <w:sz w:val="32"/>
          <w:szCs w:val="32"/>
        </w:rPr>
        <w:t>“缺考”</w:t>
      </w:r>
      <w:r>
        <w:rPr>
          <w:rFonts w:ascii="仿宋_GB2312" w:eastAsia="仿宋_GB2312"/>
          <w:sz w:val="32"/>
          <w:szCs w:val="32"/>
        </w:rPr>
        <w:t>处理，记零分，不得补考；考试不及格者，可补考一次，成绩单上应注明</w:t>
      </w:r>
      <w:r>
        <w:rPr>
          <w:rFonts w:hint="eastAsia" w:ascii="仿宋_GB2312" w:eastAsia="仿宋_GB2312"/>
          <w:sz w:val="32"/>
          <w:szCs w:val="32"/>
        </w:rPr>
        <w:t>“</w:t>
      </w:r>
      <w:r>
        <w:rPr>
          <w:rFonts w:ascii="仿宋_GB2312" w:eastAsia="仿宋_GB2312"/>
          <w:sz w:val="32"/>
          <w:szCs w:val="32"/>
        </w:rPr>
        <w:t>补考</w:t>
      </w:r>
      <w:r>
        <w:rPr>
          <w:rFonts w:hint="eastAsia" w:ascii="仿宋_GB2312" w:eastAsia="仿宋_GB2312"/>
          <w:sz w:val="32"/>
          <w:szCs w:val="32"/>
        </w:rPr>
        <w:t>”</w:t>
      </w:r>
      <w:r>
        <w:rPr>
          <w:rFonts w:ascii="仿宋_GB2312" w:eastAsia="仿宋_GB2312"/>
          <w:sz w:val="32"/>
          <w:szCs w:val="32"/>
        </w:rPr>
        <w:t>字样。</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第十五条 </w:t>
      </w:r>
      <w:r>
        <w:rPr>
          <w:rFonts w:ascii="仿宋_GB2312" w:eastAsia="仿宋_GB2312"/>
          <w:sz w:val="32"/>
          <w:szCs w:val="32"/>
        </w:rPr>
        <w:t>留学生因病、因事不能参加考试者（突发事故或突患疾病者除外），应向辅导员申请缓考，经</w:t>
      </w:r>
      <w:r>
        <w:rPr>
          <w:rFonts w:hint="eastAsia" w:ascii="仿宋_GB2312" w:eastAsia="仿宋_GB2312"/>
          <w:sz w:val="32"/>
          <w:szCs w:val="32"/>
        </w:rPr>
        <w:t>国际教育学院</w:t>
      </w:r>
      <w:r>
        <w:rPr>
          <w:rFonts w:ascii="仿宋_GB2312" w:eastAsia="仿宋_GB2312"/>
          <w:sz w:val="32"/>
          <w:szCs w:val="32"/>
        </w:rPr>
        <w:t>审批后可延缓考试，缓考成绩按实记载。</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第十六条 </w:t>
      </w:r>
      <w:r>
        <w:rPr>
          <w:rFonts w:ascii="仿宋_GB2312" w:eastAsia="仿宋_GB2312"/>
          <w:sz w:val="32"/>
          <w:szCs w:val="32"/>
        </w:rPr>
        <w:t>留学生必须严格遵守考场纪律，不得以任何形式作弊，一经发现，取消考试资格，考试成绩作零分处理，不给予补考机会</w:t>
      </w:r>
      <w:r>
        <w:rPr>
          <w:rFonts w:hint="eastAsia" w:ascii="仿宋_GB2312" w:eastAsia="仿宋_GB2312"/>
          <w:sz w:val="32"/>
          <w:szCs w:val="32"/>
        </w:rPr>
        <w:t>，并按违纪进行处理</w:t>
      </w:r>
      <w:r>
        <w:rPr>
          <w:rFonts w:ascii="仿宋_GB2312" w:eastAsia="仿宋_GB2312"/>
          <w:sz w:val="32"/>
          <w:szCs w:val="32"/>
        </w:rPr>
        <w:t>。</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34" w:name="_Toc924_WPSOffice_Level1"/>
      <w:r>
        <w:rPr>
          <w:rFonts w:hint="eastAsia" w:ascii="黑体" w:hAnsi="黑体" w:eastAsia="黑体"/>
          <w:b/>
          <w:sz w:val="32"/>
          <w:szCs w:val="32"/>
        </w:rPr>
        <w:t xml:space="preserve">第六章 </w:t>
      </w:r>
      <w:r>
        <w:rPr>
          <w:rFonts w:ascii="黑体" w:hAnsi="黑体" w:eastAsia="黑体"/>
          <w:b/>
          <w:sz w:val="32"/>
          <w:szCs w:val="32"/>
        </w:rPr>
        <w:t>成绩单、学习证明、结业证书</w:t>
      </w:r>
      <w:bookmarkEnd w:id="1834"/>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第十七条 </w:t>
      </w:r>
      <w:r>
        <w:rPr>
          <w:rFonts w:ascii="仿宋_GB2312" w:eastAsia="仿宋_GB2312"/>
          <w:sz w:val="32"/>
          <w:szCs w:val="32"/>
        </w:rPr>
        <w:t>留学生每学期各科成绩均录入学校成绩管理系统，如有需要，可向</w:t>
      </w:r>
      <w:r>
        <w:rPr>
          <w:rFonts w:hint="eastAsia" w:ascii="仿宋_GB2312" w:eastAsia="仿宋_GB2312"/>
          <w:sz w:val="32"/>
          <w:szCs w:val="32"/>
        </w:rPr>
        <w:t>国际教育学院</w:t>
      </w:r>
      <w:r>
        <w:rPr>
          <w:rFonts w:ascii="仿宋_GB2312" w:eastAsia="仿宋_GB2312"/>
          <w:sz w:val="32"/>
          <w:szCs w:val="32"/>
        </w:rPr>
        <w:t>申请该学期成绩单一份。</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第十八条 </w:t>
      </w:r>
      <w:r>
        <w:rPr>
          <w:rFonts w:ascii="仿宋_GB2312" w:eastAsia="仿宋_GB2312"/>
          <w:sz w:val="32"/>
          <w:szCs w:val="32"/>
        </w:rPr>
        <w:t>自费留学生按规定参加考试</w:t>
      </w:r>
      <w:r>
        <w:rPr>
          <w:rFonts w:hint="eastAsia" w:ascii="仿宋_GB2312" w:eastAsia="仿宋_GB2312"/>
          <w:sz w:val="32"/>
          <w:szCs w:val="32"/>
        </w:rPr>
        <w:t>，</w:t>
      </w:r>
      <w:r>
        <w:rPr>
          <w:rFonts w:ascii="仿宋_GB2312" w:eastAsia="仿宋_GB2312"/>
          <w:sz w:val="32"/>
          <w:szCs w:val="32"/>
        </w:rPr>
        <w:t>成绩合格者，学习结束后学校颁发结业证书</w:t>
      </w:r>
      <w:r>
        <w:rPr>
          <w:rFonts w:hint="eastAsia" w:ascii="仿宋_GB2312" w:eastAsia="仿宋_GB2312"/>
          <w:sz w:val="32"/>
          <w:szCs w:val="32"/>
        </w:rPr>
        <w:t>；</w:t>
      </w:r>
      <w:r>
        <w:rPr>
          <w:rFonts w:ascii="仿宋_GB2312" w:eastAsia="仿宋_GB2312"/>
          <w:sz w:val="32"/>
          <w:szCs w:val="32"/>
        </w:rPr>
        <w:t>成绩</w:t>
      </w:r>
      <w:r>
        <w:rPr>
          <w:rFonts w:hint="eastAsia" w:ascii="仿宋_GB2312" w:eastAsia="仿宋_GB2312"/>
          <w:sz w:val="32"/>
          <w:szCs w:val="32"/>
        </w:rPr>
        <w:t>不</w:t>
      </w:r>
      <w:r>
        <w:rPr>
          <w:rFonts w:ascii="仿宋_GB2312" w:eastAsia="仿宋_GB2312"/>
          <w:sz w:val="32"/>
          <w:szCs w:val="32"/>
        </w:rPr>
        <w:t>合格者</w:t>
      </w:r>
      <w:r>
        <w:rPr>
          <w:rFonts w:hint="eastAsia" w:ascii="仿宋_GB2312" w:eastAsia="仿宋_GB2312"/>
          <w:sz w:val="32"/>
          <w:szCs w:val="32"/>
        </w:rPr>
        <w:t>，</w:t>
      </w:r>
      <w:r>
        <w:rPr>
          <w:rFonts w:ascii="仿宋_GB2312" w:eastAsia="仿宋_GB2312"/>
          <w:sz w:val="32"/>
          <w:szCs w:val="32"/>
        </w:rPr>
        <w:t>学校不颁发学业证书。</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第十九条 </w:t>
      </w:r>
      <w:r>
        <w:rPr>
          <w:rFonts w:ascii="仿宋_GB2312" w:eastAsia="仿宋_GB2312"/>
          <w:sz w:val="32"/>
          <w:szCs w:val="32"/>
        </w:rPr>
        <w:t>公费留学生必须通过全部课程的考核，方可颁发结业证书。此外，公费留学生还需获得汉语水平考试（HSK）四级（含）以上证书，方可进入学历阶段的学习。</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第二十条 </w:t>
      </w:r>
      <w:r>
        <w:rPr>
          <w:rFonts w:ascii="仿宋_GB2312" w:eastAsia="仿宋_GB2312"/>
          <w:sz w:val="32"/>
          <w:szCs w:val="32"/>
        </w:rPr>
        <w:t>未修完规定课程、成绩不合格者和中途退学者，学校只发给</w:t>
      </w:r>
      <w:r>
        <w:rPr>
          <w:rFonts w:hint="eastAsia" w:ascii="仿宋_GB2312" w:eastAsia="仿宋_GB2312"/>
          <w:sz w:val="32"/>
          <w:szCs w:val="32"/>
        </w:rPr>
        <w:t>“</w:t>
      </w:r>
      <w:r>
        <w:rPr>
          <w:rFonts w:ascii="仿宋_GB2312" w:eastAsia="仿宋_GB2312"/>
          <w:sz w:val="32"/>
          <w:szCs w:val="32"/>
        </w:rPr>
        <w:t>学习证明</w:t>
      </w:r>
      <w:r>
        <w:rPr>
          <w:rFonts w:hint="eastAsia" w:ascii="仿宋_GB2312" w:eastAsia="仿宋_GB2312"/>
          <w:sz w:val="32"/>
          <w:szCs w:val="32"/>
        </w:rPr>
        <w:t>”</w:t>
      </w:r>
      <w:r>
        <w:rPr>
          <w:rFonts w:ascii="仿宋_GB2312" w:eastAsia="仿宋_GB2312"/>
          <w:sz w:val="32"/>
          <w:szCs w:val="32"/>
        </w:rPr>
        <w:t>，证明所学课程和时间。</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35" w:name="_Toc260_WPSOffice_Level1"/>
      <w:r>
        <w:rPr>
          <w:rFonts w:hint="eastAsia" w:ascii="黑体" w:hAnsi="黑体" w:eastAsia="黑体"/>
          <w:b/>
          <w:sz w:val="32"/>
          <w:szCs w:val="32"/>
        </w:rPr>
        <w:t>第七章 附 则</w:t>
      </w:r>
      <w:bookmarkEnd w:id="1835"/>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第二十一条 </w:t>
      </w:r>
      <w:r>
        <w:rPr>
          <w:rFonts w:hint="eastAsia" w:ascii="仿宋_GB2312" w:eastAsia="仿宋_GB2312"/>
          <w:sz w:val="32"/>
          <w:szCs w:val="32"/>
        </w:rPr>
        <w:t>本规定适用于在我校学习汉语的外国留学生，从2021年9月开始实施。</w:t>
      </w:r>
    </w:p>
    <w:p>
      <w:pPr>
        <w:pageBreakBefore w:val="0"/>
        <w:kinsoku/>
        <w:overflowPunct/>
        <w:topLinePunct w:val="0"/>
        <w:autoSpaceDE/>
        <w:autoSpaceDN/>
        <w:bidi w:val="0"/>
        <w:spacing w:line="596" w:lineRule="exact"/>
        <w:ind w:firstLine="643" w:firstLineChars="200"/>
        <w:outlineLvl w:val="9"/>
        <w:rPr>
          <w:rFonts w:hint="eastAsia"/>
        </w:rPr>
      </w:pPr>
      <w:r>
        <w:rPr>
          <w:rFonts w:hint="eastAsia" w:ascii="仿宋_GB2312" w:eastAsia="仿宋_GB2312"/>
          <w:b/>
          <w:bCs/>
          <w:sz w:val="32"/>
          <w:szCs w:val="32"/>
        </w:rPr>
        <w:t>第二十二条</w:t>
      </w:r>
      <w:r>
        <w:rPr>
          <w:rFonts w:hint="eastAsia" w:ascii="仿宋_GB2312" w:eastAsia="仿宋_GB2312"/>
          <w:sz w:val="32"/>
          <w:szCs w:val="32"/>
        </w:rPr>
        <w:t xml:space="preserve"> 若本规定与上级颁发的相关管理规定冲突，以上级颁布的规定为准。</w:t>
      </w:r>
    </w:p>
    <w:p>
      <w:pPr>
        <w:pageBreakBefore w:val="0"/>
        <w:widowControl/>
        <w:kinsoku/>
        <w:overflowPunct/>
        <w:topLinePunct w:val="0"/>
        <w:autoSpaceDE/>
        <w:autoSpaceDN/>
        <w:bidi w:val="0"/>
        <w:jc w:val="left"/>
        <w:outlineLvl w:val="9"/>
        <w:rPr>
          <w:b/>
          <w:bCs/>
          <w:sz w:val="40"/>
          <w:szCs w:val="48"/>
        </w:rPr>
      </w:pPr>
      <w:r>
        <w:rPr>
          <w:b/>
          <w:bCs/>
          <w:sz w:val="40"/>
          <w:szCs w:val="48"/>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bookmarkStart w:id="1836" w:name="_Toc21571"/>
      <w:bookmarkStart w:id="1837" w:name="_Toc24337"/>
      <w:bookmarkStart w:id="1838" w:name="_Toc3361"/>
      <w:bookmarkStart w:id="1839" w:name="_Toc2574_WPSOffice_Level1"/>
      <w:r>
        <w:rPr>
          <w:rFonts w:hint="eastAsia"/>
          <w:b/>
          <w:color w:val="000000"/>
          <w:sz w:val="36"/>
          <w:szCs w:val="36"/>
        </w:rPr>
        <w:t>柳州职业技术学院外国留学生住宿管理办法（试行）</w:t>
      </w:r>
      <w:bookmarkEnd w:id="1836"/>
      <w:bookmarkEnd w:id="1837"/>
      <w:bookmarkEnd w:id="1838"/>
      <w:bookmarkEnd w:id="1839"/>
    </w:p>
    <w:p>
      <w:pPr>
        <w:pageBreakBefore w:val="0"/>
        <w:kinsoku/>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（柳职院字〔2021〕91 号）</w:t>
      </w:r>
    </w:p>
    <w:p>
      <w:pPr>
        <w:pageBreakBefore w:val="0"/>
        <w:kinsoku/>
        <w:overflowPunct/>
        <w:topLinePunct w:val="0"/>
        <w:autoSpaceDE/>
        <w:autoSpaceDN/>
        <w:bidi w:val="0"/>
        <w:spacing w:line="590" w:lineRule="exact"/>
        <w:jc w:val="center"/>
        <w:outlineLvl w:val="9"/>
        <w:rPr>
          <w:rFonts w:hint="eastAsia" w:ascii="仿宋_GB2312" w:eastAsia="仿宋_GB2312"/>
          <w:sz w:val="32"/>
          <w:szCs w:val="32"/>
        </w:rPr>
      </w:pPr>
    </w:p>
    <w:p>
      <w:pPr>
        <w:pageBreakBefore w:val="0"/>
        <w:kinsoku/>
        <w:overflowPunct/>
        <w:topLinePunct w:val="0"/>
        <w:autoSpaceDE/>
        <w:autoSpaceDN/>
        <w:bidi w:val="0"/>
        <w:spacing w:line="580" w:lineRule="exact"/>
        <w:ind w:firstLine="640" w:firstLineChars="200"/>
        <w:jc w:val="center"/>
        <w:outlineLvl w:val="9"/>
        <w:rPr>
          <w:rFonts w:ascii="黑体" w:hAnsi="黑体" w:eastAsia="黑体" w:cs="黑体"/>
          <w:sz w:val="32"/>
          <w:szCs w:val="32"/>
        </w:rPr>
      </w:pPr>
      <w:bookmarkStart w:id="1840" w:name="_Toc4623_WPSOffice_Level1"/>
      <w:r>
        <w:rPr>
          <w:rFonts w:hint="eastAsia" w:ascii="黑体" w:hAnsi="黑体" w:eastAsia="黑体" w:cs="黑体"/>
          <w:sz w:val="32"/>
          <w:szCs w:val="32"/>
        </w:rPr>
        <w:t>第一章  总  则</w:t>
      </w:r>
      <w:bookmarkEnd w:id="1840"/>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为给住宿学生提供良好的学习生活环境，保障校方与学生双方权益，明确双方义务，根据国家相关法律法规、《柳州职业技术学院学生宿舍管理条例》和我校外国留学生工作具体情况，特制定本办法。</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柳州职业技术学院外国留学生公寓是指学校指定的接受外国留学生住宿的公寓，是外国留学生生活休息的场所。</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柳州职业技术学院外国留学生公寓所有权属于柳州职业技术学院。柳州职业技术学院指定物业公司负责外国留学生公寓的管理与服务，其主要职责是：入住人员身份审核、会客登记管理、生活秩序、清洁卫生和房产家居管理、保障水、电正常供应和宿舍安全。外国留学生应服从学校管理，配合学校工作。</w:t>
      </w:r>
    </w:p>
    <w:p>
      <w:pPr>
        <w:pageBreakBefore w:val="0"/>
        <w:kinsoku/>
        <w:overflowPunct/>
        <w:topLinePunct w:val="0"/>
        <w:autoSpaceDE/>
        <w:autoSpaceDN/>
        <w:bidi w:val="0"/>
        <w:spacing w:line="580" w:lineRule="exact"/>
        <w:ind w:firstLine="640" w:firstLineChars="200"/>
        <w:jc w:val="center"/>
        <w:outlineLvl w:val="9"/>
        <w:rPr>
          <w:rFonts w:ascii="仿宋_GB2312" w:eastAsia="仿宋_GB2312"/>
          <w:sz w:val="32"/>
          <w:szCs w:val="32"/>
        </w:rPr>
      </w:pPr>
      <w:bookmarkStart w:id="1841" w:name="_Toc5616_WPSOffice_Level1"/>
      <w:r>
        <w:rPr>
          <w:rFonts w:hint="eastAsia" w:ascii="黑体" w:hAnsi="黑体" w:eastAsia="黑体" w:cs="黑体"/>
          <w:sz w:val="32"/>
          <w:szCs w:val="32"/>
        </w:rPr>
        <w:t>第二章 预定、入住与退宿</w:t>
      </w:r>
      <w:bookmarkEnd w:id="1841"/>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柳州职业技术学院正式录取的外国留学生，原则上要求在学校住宿，如有特殊情况需要在校外住宿的，需提交申请，获批后方能在校外住宿。</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外国留学生入住宿舍须由外国留学生本人申请，经国际教育学院审批，会同学生工作处统筹安排入住，我校留学生宿舍不安排异性混住。</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外国留学生办理入住手续后入住指定房间，未经批准不得自行调换房间、调换床位、移动宿舍内设施。</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学校住宿费以人民币为计价单位，除无需自付住宿费的奖学金获得者外，学习一个学期以上（含一学期）的外国留学生办理入住手续时均须一次性缴清住宿费用，缴费期限为开学之日至学期末（以学校对外公布校历为准），有特殊困难时，经学生本人申请，学校批准，可按月缴纳或延迟缴纳，每学期延迟缴纳的时间不得超过教学周第十周。具体如下：</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（一）计划学习时间未满一学期，按实际学习天数缴纳住宿费用。</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（二）入住留学生如调整宿舍房间，调整前应结清不同价格类型房间差价。</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（三）入住外国留学生退宿时，应办理退宿手续，结清费用。</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（四）学期中因个人原因退宿者，如已将住宿费缴至学期末，则住宿费按照正常房费标准重新核算，如有余款，余款退还学生本人。</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（五）因特殊情况迁往校外居住者，应提供居住地《临时住宿登记证明》再办理退宿手续。</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（六）房费到期未办退宿手续而离开者，房间只保留三日，三日后宿舍工作人员将清理房间不予保留。</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（七）住宿学生退房后，应当及时带走自己的物品，否则，由此造成的损失一概由其本人负责。</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公寓住宿人员退宿后再次入住公寓时，需再次申请。</w:t>
      </w:r>
    </w:p>
    <w:p>
      <w:pPr>
        <w:pageBreakBefore w:val="0"/>
        <w:kinsoku/>
        <w:overflowPunct/>
        <w:topLinePunct w:val="0"/>
        <w:autoSpaceDE/>
        <w:autoSpaceDN/>
        <w:bidi w:val="0"/>
        <w:spacing w:line="580" w:lineRule="exact"/>
        <w:ind w:firstLine="640" w:firstLineChars="200"/>
        <w:jc w:val="center"/>
        <w:outlineLvl w:val="9"/>
        <w:rPr>
          <w:rFonts w:ascii="黑体" w:hAnsi="黑体" w:eastAsia="黑体" w:cs="黑体"/>
          <w:sz w:val="32"/>
          <w:szCs w:val="32"/>
        </w:rPr>
      </w:pPr>
      <w:bookmarkStart w:id="1842" w:name="_Toc10707_WPSOffice_Level1"/>
      <w:r>
        <w:rPr>
          <w:rFonts w:hint="eastAsia" w:ascii="黑体" w:hAnsi="黑体" w:eastAsia="黑体" w:cs="黑体"/>
          <w:sz w:val="32"/>
          <w:szCs w:val="32"/>
        </w:rPr>
        <w:t>第三章 护照签证、住宿登记与核销</w:t>
      </w:r>
      <w:bookmarkEnd w:id="1842"/>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外国留学生办理入住手续须持合法、有效的护照和签证（或者中国政府认可的其他旅行证件，下同），依照《中华人民共和国出境入境管理法》相关规定，办理住宿登记手续。拒不提供合法证件、拒绝办理登记手续者，不得入住。</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外国留学生住宿期间必须持有合法有效护照及签证。护照和签证延期、换发或有其他变更的，须重新办理住宿登记手续。因个人原因造成签证过期未及时登记的，学校有权暂停其住宿资格，直至完成登记为止。</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已入住外国留学生外出不在公寓住宿超过24小时的，应当提前向辅导员请假。住宿期间因寒暑假出境的，应在返回公寓后，重新办理住宿登记手续。留学生退房时须办理退房手续，相关工作人员须在外国留学生退房24小时内办理完毕核销手续。</w:t>
      </w:r>
    </w:p>
    <w:p>
      <w:pPr>
        <w:pageBreakBefore w:val="0"/>
        <w:kinsoku/>
        <w:overflowPunct/>
        <w:topLinePunct w:val="0"/>
        <w:autoSpaceDE/>
        <w:autoSpaceDN/>
        <w:bidi w:val="0"/>
        <w:spacing w:line="580" w:lineRule="exact"/>
        <w:ind w:firstLine="640" w:firstLineChars="200"/>
        <w:jc w:val="center"/>
        <w:outlineLvl w:val="9"/>
        <w:rPr>
          <w:rFonts w:ascii="仿宋_GB2312" w:eastAsia="仿宋_GB2312"/>
          <w:sz w:val="32"/>
          <w:szCs w:val="32"/>
        </w:rPr>
      </w:pPr>
      <w:bookmarkStart w:id="1843" w:name="_Toc30212_WPSOffice_Level1"/>
      <w:r>
        <w:rPr>
          <w:rFonts w:hint="eastAsia" w:ascii="黑体" w:hAnsi="黑体" w:eastAsia="黑体" w:cs="黑体"/>
          <w:sz w:val="32"/>
          <w:szCs w:val="32"/>
        </w:rPr>
        <w:t>第四章 住宿管理</w:t>
      </w:r>
      <w:bookmarkEnd w:id="1843"/>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为保护楼内人员财产及人身安全，维护良好治安秩序，公寓实行管理员、门卫、会客登记、晚归登记和安全检查制。</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（一）公寓设管理员，负责本楼公寓的管理与服务，保障本楼生活有序，安全卫生。</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（二）公寓楼实行会客登记制度，工作人员有权检查进出公寓人员有效身份证件及会客审批流程，被检查人员应主动配合。</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（三）来访人员须出示有效证件及学校审批流程单，登记后方可进入公寓，公寓会客时间为工作日12:00-22:00， 周末及节假日9:00-22:00。来访者须由被访者领入，被访问者离开公寓时，访客须同时离开。非会客时间或未经登记，住宿外国留学生不得容留他人在公寓内停留。</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（四）宿舍晚归登记时间为23:30-6:00，期间因特殊情况晚归的，应事先向辅导员请假，并进行晚归登记后再进宿舍。</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五）公寓管理部门对公寓楼内房间和公共区域实行安全检查制，对于发现违反住宿管理规定的行为和安全隐患，住宿管理部门将采取必要措施予以制止和消除，对学校开展的安全检查工作，外国留学生应予以配合。</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入住外国留学生应自觉做好安全防范工作，加强安全防范意识。离开房间锁好门窗，贵重物品妥善保管。发现可疑人员通知楼内工作人员或校内保卫部门。不得携带剧毒、易燃易爆、放射性物品和易污染环境的物品进入宿舍。</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公寓房间钥匙不得转借他人，不得私自换锁、配钥匙或另加门锁。不得转让床位，不得留宿他人。</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正确使用房内设备和公共设施，发现损坏及时报修。因使用不当等人为因素造成设备设施损坏的，照价赔偿，恶意损坏者，双倍赔偿被损物品。</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公寓内不得私自装修，不得破坏、改变房屋结构和功能。</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入住留学生负责本人居住房间内卫生，保持公寓内清洁，垃圾投放指定地点，不得在公共场所存放个人物品或堆放杂物，保障消防通道畅通无阻。要合理使用卫生间，不得丢硬纸杂物入便池、水池，否则若造成堵塞，由学生自行清理。若需聘请工人清理，费用则由学生自付。</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住宿学生应当养成节约用水、用电的良好习惯；学生宿舍用水、用电实行计量制，每生每月使用自来水量为5吨，用电为5度，超过部分由学生自行付费。使用热水按照实际用量自行付费。</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第十九条</w:t>
      </w:r>
      <w:r>
        <w:rPr>
          <w:rFonts w:hint="eastAsia" w:ascii="仿宋_GB2312" w:eastAsia="仿宋_GB2312"/>
          <w:sz w:val="32"/>
          <w:szCs w:val="32"/>
        </w:rPr>
        <w:t xml:space="preserve"> 学校根据实际情况对学生宿舍实行用电和网络管制。</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保持公寓楼内安静，禁止大声喧哗、哄闹，使用电视、音响、电脑等设备时不得影响公寓内其他居住人员。</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不得从事违法犯罪活动，不得利用宿舍进行赌博、酗酒等影响公寓公共秩序或他人身心健康的活动，公寓内不得经商，不得将公寓设施用于商业活动或明显超过个人使用量的行为。</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未经物业公司批准，不得在公寓内张贴、散发宣传品或传单。使用宣传栏时要保持宣传栏整洁美观。</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第二十三条</w:t>
      </w:r>
      <w:r>
        <w:rPr>
          <w:rFonts w:hint="eastAsia" w:ascii="仿宋_GB2312" w:eastAsia="仿宋_GB2312"/>
          <w:sz w:val="32"/>
          <w:szCs w:val="32"/>
        </w:rPr>
        <w:t xml:space="preserve"> 尊重工作人员，不得出现侮辱、推搡、殴打工作人员等不文明行为。</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第二十四条</w:t>
      </w:r>
      <w:r>
        <w:rPr>
          <w:rFonts w:hint="eastAsia" w:ascii="仿宋_GB2312" w:eastAsia="仿宋_GB2312"/>
          <w:sz w:val="32"/>
          <w:szCs w:val="32"/>
        </w:rPr>
        <w:t xml:space="preserve"> 公寓内不得私藏和饲养动物。</w:t>
      </w:r>
      <w:bookmarkStart w:id="1844" w:name="_Toc13824_WPSOffice_Level1"/>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w:t>
      </w:r>
      <w:bookmarkEnd w:id="1844"/>
      <w:r>
        <w:rPr>
          <w:rFonts w:hint="eastAsia" w:ascii="仿宋_GB2312" w:eastAsia="仿宋_GB2312"/>
          <w:b/>
          <w:bCs/>
          <w:sz w:val="32"/>
          <w:szCs w:val="32"/>
        </w:rPr>
        <w:t>五条</w:t>
      </w:r>
      <w:r>
        <w:rPr>
          <w:rFonts w:hint="eastAsia" w:ascii="仿宋_GB2312" w:eastAsia="仿宋_GB2312"/>
          <w:sz w:val="32"/>
          <w:szCs w:val="32"/>
        </w:rPr>
        <w:t xml:space="preserve"> 为预防和杜绝火灾事故的发生，保护楼内人员的人身财产安全，公寓依据相关法律法规进行消防安全管理。违反消防安全的行为包括但不仅限于以下行为：</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（一）禁烟区域吸烟；</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（二）故意损坏、擅自挪动消防器材；</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（三）储藏或使用易燃、易爆、强腐蚀性物品；</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（四）厨房以外的其他区域使用明火；</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（五）使用违章电器、私拉电线、损坏、私自改动供电线路、盗用公共用电。</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（六）除由学校统一安装电器设备外，以下电器在学生公寓内均属违章电器：</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1.电热设备以及无自动断电保护装置的电器，包括但不仅限于：热得快、电炉、电热毯、电暖气、电热锅、微波炉、电磁炉、电熨斗等；</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2.无国家3C认证的（中国强制性产品认证，China Compulsory Certification，英文缩写CCC</w:t>
      </w:r>
      <w:bookmarkStart w:id="1845" w:name="_Toc22159_WPSOffice_Level1"/>
      <w:r>
        <w:rPr>
          <w:rFonts w:hint="eastAsia" w:ascii="仿宋_GB2312" w:eastAsia="仿宋_GB2312"/>
          <w:sz w:val="32"/>
          <w:szCs w:val="32"/>
        </w:rPr>
        <w:t>）电器；</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3.以下行为属私拉电线：</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（1）从房间内固定</w:t>
      </w:r>
      <w:bookmarkEnd w:id="1845"/>
      <w:r>
        <w:rPr>
          <w:rFonts w:hint="eastAsia" w:ascii="仿宋_GB2312" w:eastAsia="仿宋_GB2312"/>
          <w:sz w:val="32"/>
          <w:szCs w:val="32"/>
        </w:rPr>
        <w:t>插座以外（含公共场所）引出线路的；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（2）从房间内固定插座引出线路至本房间外的。</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第二十六条</w:t>
      </w:r>
      <w:r>
        <w:rPr>
          <w:rFonts w:hint="eastAsia" w:ascii="仿宋_GB2312" w:eastAsia="仿宋_GB2312"/>
          <w:sz w:val="32"/>
          <w:szCs w:val="32"/>
        </w:rPr>
        <w:t xml:space="preserve"> 公寓楼内人员应增强消防意识，如发生火情，首先查看防火疏导图，明确紧急出口位置，辨别逃生通道。</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第二十七条</w:t>
      </w:r>
      <w:r>
        <w:rPr>
          <w:rFonts w:hint="eastAsia" w:ascii="仿宋_GB2312" w:eastAsia="仿宋_GB2312"/>
          <w:sz w:val="32"/>
          <w:szCs w:val="32"/>
        </w:rPr>
        <w:t xml:space="preserve"> 学校组织相关人员，不定时对学生宿舍进行内务、卫生、物品财产保管使用、纪律等方面的检查。每学期开展 “健康柳职”之星级宿舍创建评比，并对荣获称号的宿舍给予表彰奖励。</w:t>
      </w:r>
    </w:p>
    <w:p>
      <w:pPr>
        <w:pageBreakBefore w:val="0"/>
        <w:kinsoku/>
        <w:overflowPunct/>
        <w:topLinePunct w:val="0"/>
        <w:autoSpaceDE/>
        <w:autoSpaceDN/>
        <w:bidi w:val="0"/>
        <w:spacing w:line="580" w:lineRule="exact"/>
        <w:ind w:firstLine="640" w:firstLineChars="200"/>
        <w:jc w:val="center"/>
        <w:outlineLvl w:val="9"/>
        <w:rPr>
          <w:rFonts w:ascii="仿宋_GB2312" w:eastAsia="仿宋_GB2312"/>
          <w:sz w:val="32"/>
          <w:szCs w:val="32"/>
        </w:rPr>
      </w:pPr>
      <w:bookmarkStart w:id="1846" w:name="_Toc1679_WPSOffice_Level1"/>
      <w:r>
        <w:rPr>
          <w:rFonts w:hint="eastAsia" w:ascii="黑体" w:hAnsi="黑体" w:eastAsia="黑体" w:cs="黑体"/>
          <w:sz w:val="32"/>
          <w:szCs w:val="32"/>
        </w:rPr>
        <w:t>第五章 处  罚</w:t>
      </w:r>
      <w:bookmarkEnd w:id="1846"/>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第二十八条</w:t>
      </w:r>
      <w:r>
        <w:rPr>
          <w:rFonts w:hint="eastAsia" w:ascii="仿宋_GB2312" w:eastAsia="仿宋_GB2312"/>
          <w:sz w:val="32"/>
          <w:szCs w:val="32"/>
        </w:rPr>
        <w:t xml:space="preserve"> 住宿外国留学生有违反上述规定的，处罚依据情节轻重，分为口头警告、书面警告、通报批评和取消住宿资格。</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住宿外国留学生违反本规定，违规行为适用口头警告和书面警告处罚的，由物业公司直接处罚并通报学生工作处、国际交流处；适用通报批评和取消住宿资格处罚的，由物业公司调查违规行为，提供客观、准确、充分的书面证明材料，学生工作处和国际交流处做出处罚决定；涉及违纪的，由学生工作处联合国际交流处、学生所在二级学院依据《柳州职业技术学院学生纪律处分规定》做出违纪处分决定。</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第二十九条</w:t>
      </w:r>
      <w:r>
        <w:rPr>
          <w:rFonts w:hint="eastAsia" w:ascii="仿宋_GB2312" w:eastAsia="仿宋_GB2312"/>
          <w:sz w:val="32"/>
          <w:szCs w:val="32"/>
        </w:rPr>
        <w:t xml:space="preserve"> 在校期间，同一外国留学生受到两次书面警告，给予通报批评处分，受到一次通报批评，取消下一学期住宿资格，受到两次通报批评，取消本学期及下一学期住宿资格。</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住宿外国留学生违规行为造成公寓内其他人员或学校财物损失的，应予以赔偿或复原。</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第三十条</w:t>
      </w:r>
      <w:r>
        <w:rPr>
          <w:rFonts w:hint="eastAsia" w:ascii="仿宋_GB2312" w:eastAsia="仿宋_GB2312"/>
          <w:sz w:val="32"/>
          <w:szCs w:val="32"/>
        </w:rPr>
        <w:t xml:space="preserve"> 经发现，住宿人员出现以下情况，可直接给予取消其本学期及下学期住宿资格处罚：</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（一）公寓内从事违法犯罪活动的；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（二）违反消防安全管理制度，储藏使用易燃、易爆、强腐蚀性等危险品及违章电器，使用明火，私拉电线，盗用公共用电或有其他造成严重消防隐患的行为的；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（三）有导致公寓内出现火情，火灾行为的；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（四）恶意毁坏公共物品和房内设施致设备设施受损严重的；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（五）以逃避、隐匿、抗拒、阻拦、暴力等方式妨碍国家公务人员或学校管理人员执行公务的；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（六）严重扰乱公共秩序，对公共安全造成严重威胁的；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（七）私自转让或者出租床位和房间的，在公寓内留宿他人的；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（八）拖欠房费，收到催费单3天后仍未缴纳后续房费的；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（九）恶意或屡次违反护照、签证、住宿管理登记规定，或违反国家法律法规，构成非法居留，情节严重的；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（十）拒绝签署《柳州职业技术学院留学生住宿管理规定签阅书》的；</w:t>
      </w:r>
    </w:p>
    <w:p>
      <w:pPr>
        <w:pageBreakBefore w:val="0"/>
        <w:kinsoku/>
        <w:overflowPunct/>
        <w:topLinePunct w:val="0"/>
        <w:autoSpaceDE/>
        <w:autoSpaceDN/>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（十一）其它经由国际交流处和学生工作处共同确认为严重违规的行为。</w:t>
      </w:r>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第三十一条</w:t>
      </w:r>
      <w:r>
        <w:rPr>
          <w:rFonts w:hint="eastAsia" w:ascii="仿宋_GB2312" w:eastAsia="仿宋_GB2312"/>
          <w:sz w:val="32"/>
          <w:szCs w:val="32"/>
        </w:rPr>
        <w:t xml:space="preserve"> 住宿外国留学生被取消公寓住宿资格的，将对当事人送交书面通知，无法送交的，在公寓内进行书面公告。当事人须在书面通知或公告后五日内搬离公寓。拒不搬离的，公寓管理部门可禁止其进入公寓，并指定两名以上工作人员清理其个人物品，造成损失的，由被取消住宿资格的当事人承担。</w:t>
      </w:r>
    </w:p>
    <w:p>
      <w:pPr>
        <w:pageBreakBefore w:val="0"/>
        <w:kinsoku/>
        <w:overflowPunct/>
        <w:topLinePunct w:val="0"/>
        <w:autoSpaceDE/>
        <w:autoSpaceDN/>
        <w:bidi w:val="0"/>
        <w:spacing w:line="580" w:lineRule="exact"/>
        <w:jc w:val="center"/>
        <w:outlineLvl w:val="9"/>
        <w:rPr>
          <w:rFonts w:ascii="黑体" w:hAnsi="黑体" w:eastAsia="黑体" w:cs="黑体"/>
          <w:sz w:val="32"/>
          <w:szCs w:val="32"/>
        </w:rPr>
      </w:pPr>
      <w:bookmarkStart w:id="1847" w:name="_Toc3973_WPSOffice_Level1"/>
      <w:r>
        <w:rPr>
          <w:rFonts w:hint="eastAsia" w:ascii="黑体" w:hAnsi="黑体" w:eastAsia="黑体" w:cs="黑体"/>
          <w:sz w:val="32"/>
          <w:szCs w:val="32"/>
        </w:rPr>
        <w:t>第六章 附  则</w:t>
      </w:r>
      <w:bookmarkEnd w:id="1847"/>
    </w:p>
    <w:p>
      <w:pPr>
        <w:pageBreakBefore w:val="0"/>
        <w:kinsoku/>
        <w:overflowPunct/>
        <w:topLinePunct w:val="0"/>
        <w:autoSpaceDE/>
        <w:autoSpaceDN/>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第三十二条</w:t>
      </w:r>
      <w:r>
        <w:rPr>
          <w:rFonts w:hint="eastAsia" w:ascii="仿宋_GB2312" w:eastAsia="仿宋_GB2312"/>
          <w:sz w:val="32"/>
          <w:szCs w:val="32"/>
        </w:rPr>
        <w:t xml:space="preserve"> 本办法中未具体标明的费用、额度、时限等相关标准及管理细则由学校住宿管理部门另行规定。</w:t>
      </w:r>
    </w:p>
    <w:p>
      <w:pPr>
        <w:pageBreakBefore w:val="0"/>
        <w:kinsoku/>
        <w:overflowPunct/>
        <w:topLinePunct w:val="0"/>
        <w:autoSpaceDE/>
        <w:autoSpaceDN/>
        <w:bidi w:val="0"/>
        <w:spacing w:line="580"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第三十三条</w:t>
      </w:r>
      <w:r>
        <w:rPr>
          <w:rFonts w:hint="eastAsia" w:ascii="仿宋_GB2312" w:eastAsia="仿宋_GB2312"/>
          <w:sz w:val="32"/>
          <w:szCs w:val="32"/>
        </w:rPr>
        <w:t xml:space="preserve"> 本办法自发文之日起施行，由柳州职业技术学院学生工作处及国际交流处负责解释。外文版本仅为帮助学生理解规定内容，最终解释与执行以中文版为准。</w:t>
      </w:r>
    </w:p>
    <w:p>
      <w:pPr>
        <w:pageBreakBefore w:val="0"/>
        <w:widowControl/>
        <w:kinsoku/>
        <w:overflowPunct/>
        <w:topLinePunct w:val="0"/>
        <w:autoSpaceDE/>
        <w:autoSpaceDN/>
        <w:bidi w:val="0"/>
        <w:jc w:val="left"/>
        <w:outlineLvl w:val="9"/>
        <w:rPr>
          <w:b/>
          <w:bCs/>
          <w:sz w:val="40"/>
          <w:szCs w:val="48"/>
        </w:rPr>
      </w:pPr>
      <w:r>
        <w:rPr>
          <w:b/>
          <w:bCs/>
          <w:sz w:val="40"/>
          <w:szCs w:val="48"/>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bookmarkStart w:id="1848" w:name="_Toc15075"/>
      <w:bookmarkStart w:id="1849" w:name="_Toc14097_WPSOffice_Level1"/>
      <w:bookmarkStart w:id="1850" w:name="_Toc31072"/>
      <w:bookmarkStart w:id="1851" w:name="_Toc18174"/>
      <w:r>
        <w:rPr>
          <w:rFonts w:hint="eastAsia"/>
          <w:b/>
          <w:color w:val="000000"/>
          <w:sz w:val="36"/>
          <w:szCs w:val="36"/>
        </w:rPr>
        <w:t>柳州职业技术学院外国留学生请假制度</w:t>
      </w:r>
      <w:bookmarkEnd w:id="1848"/>
      <w:bookmarkEnd w:id="1849"/>
      <w:bookmarkEnd w:id="1850"/>
      <w:bookmarkEnd w:id="1851"/>
    </w:p>
    <w:p>
      <w:pPr>
        <w:pageBreakBefore w:val="0"/>
        <w:kinsoku/>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（柳职院字〔2021〕92 号）</w:t>
      </w:r>
    </w:p>
    <w:p>
      <w:pPr>
        <w:pageBreakBefore w:val="0"/>
        <w:kinsoku/>
        <w:overflowPunct/>
        <w:topLinePunct w:val="0"/>
        <w:autoSpaceDE/>
        <w:autoSpaceDN/>
        <w:bidi w:val="0"/>
        <w:spacing w:line="590" w:lineRule="exact"/>
        <w:jc w:val="center"/>
        <w:outlineLvl w:val="9"/>
        <w:rPr>
          <w:rFonts w:hint="eastAsia" w:ascii="仿宋_GB2312" w:eastAsia="仿宋_GB2312"/>
          <w:sz w:val="32"/>
          <w:szCs w:val="32"/>
        </w:rPr>
      </w:pP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52" w:name="_Toc25241_WPSOffice_Level1"/>
      <w:r>
        <w:rPr>
          <w:rFonts w:hint="eastAsia" w:ascii="黑体" w:hAnsi="黑体" w:eastAsia="黑体"/>
          <w:b/>
          <w:sz w:val="32"/>
          <w:szCs w:val="32"/>
        </w:rPr>
        <w:t>第一章  总  则</w:t>
      </w:r>
      <w:bookmarkEnd w:id="1852"/>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 xml:space="preserve">第一条 </w:t>
      </w:r>
      <w:r>
        <w:rPr>
          <w:rFonts w:hint="eastAsia" w:ascii="仿宋_GB2312" w:eastAsia="仿宋_GB2312"/>
          <w:sz w:val="32"/>
          <w:szCs w:val="32"/>
        </w:rPr>
        <w:t>为加强外国留学生学习纪律，保证良好的教学秩序，严格教风学风，维护外国留学生在华安全，特制订本制度。</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53" w:name="_Toc32042_WPSOffice_Level1"/>
      <w:r>
        <w:rPr>
          <w:rFonts w:hint="eastAsia" w:ascii="黑体" w:hAnsi="黑体" w:eastAsia="黑体"/>
          <w:b/>
          <w:sz w:val="32"/>
          <w:szCs w:val="32"/>
        </w:rPr>
        <w:t>第二章  请假规则</w:t>
      </w:r>
      <w:bookmarkEnd w:id="1853"/>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请假分事假、病假和公假三种</w:t>
      </w:r>
    </w:p>
    <w:p>
      <w:pPr>
        <w:pageBreakBefore w:val="0"/>
        <w:kinsoku/>
        <w:overflowPunct/>
        <w:topLinePunct w:val="0"/>
        <w:autoSpaceDE/>
        <w:autoSpaceDN/>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（一）事假</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1.学生一般不得请事假，因有重要事情要处理而无法继续在学校上课而提出的请假，必须有充足理由。</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2.因要赴出入境管理局、派出所等处理居留许可等问题，到使馆处理护照签证等事宜，可请事假。</w:t>
      </w:r>
    </w:p>
    <w:p>
      <w:pPr>
        <w:pageBreakBefore w:val="0"/>
        <w:kinsoku/>
        <w:overflowPunct/>
        <w:topLinePunct w:val="0"/>
        <w:autoSpaceDE/>
        <w:autoSpaceDN/>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（二）病假</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外国留学生请病假必须提交校医院或二级甲等以上医院的诊断书。</w:t>
      </w:r>
    </w:p>
    <w:p>
      <w:pPr>
        <w:pageBreakBefore w:val="0"/>
        <w:kinsoku/>
        <w:overflowPunct/>
        <w:topLinePunct w:val="0"/>
        <w:autoSpaceDE/>
        <w:autoSpaceDN/>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（三）公假</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因参加学校或其它地方重大活动而无法上课而提出的请假，由活动组织部门统一向留学生所属部门请假。 </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审批</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（一）请假3天以内（含3天）由留学生辅导员批准；</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（二）请假3天至7天（含7天）由学生科长审批，若部门无学生科长，由分管学生工作领导审批；</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（三）请假7天至14天（含14天）由分管学生工作书记或院长审批；</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（四）请假14天以上，由分管学生工作书记或院长签署意见后报学工处、国际交流处审批，原则上留学生每学期累计请假时长不得超过</w:t>
      </w:r>
      <w:r>
        <w:rPr>
          <w:rFonts w:ascii="仿宋_GB2312" w:eastAsia="仿宋_GB2312"/>
          <w:sz w:val="32"/>
          <w:szCs w:val="32"/>
        </w:rPr>
        <w:t>15</w:t>
      </w:r>
      <w:r>
        <w:rPr>
          <w:rFonts w:hint="eastAsia" w:ascii="仿宋_GB2312" w:eastAsia="仿宋_GB2312"/>
          <w:sz w:val="32"/>
          <w:szCs w:val="32"/>
        </w:rPr>
        <w:t>天，特殊情况请说明理由。</w:t>
      </w:r>
    </w:p>
    <w:p>
      <w:pPr>
        <w:pageBreakBefore w:val="0"/>
        <w:kinsoku/>
        <w:overflowPunct/>
        <w:topLinePunct w:val="0"/>
        <w:autoSpaceDE/>
        <w:autoSpaceDN/>
        <w:bidi w:val="0"/>
        <w:spacing w:line="596" w:lineRule="exact"/>
        <w:ind w:firstLine="643" w:firstLineChars="200"/>
        <w:outlineLvl w:val="9"/>
        <w:rPr>
          <w:rFonts w:ascii="黑体" w:hAnsi="黑体" w:eastAsia="黑体" w:cs="黑体"/>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凡是请假离开柳州市者，或利用假期（包括寒暑假、春秋假）离开学校外出柳州市区者，需填写动向表，报告出行路线、乘车工具、随行人员、联系方式及事由，报学工处、国际交流处审批。一年累计2次不填写者，将无资格参加奖学金的评定并给予相应处分。</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54" w:name="_Toc2797_WPSOffice_Level1"/>
      <w:r>
        <w:rPr>
          <w:rFonts w:hint="eastAsia" w:ascii="黑体" w:hAnsi="黑体" w:eastAsia="黑体"/>
          <w:b/>
          <w:sz w:val="32"/>
          <w:szCs w:val="32"/>
        </w:rPr>
        <w:t>第三章 续  假</w:t>
      </w:r>
      <w:bookmarkEnd w:id="1854"/>
    </w:p>
    <w:p>
      <w:pPr>
        <w:pageBreakBefore w:val="0"/>
        <w:kinsoku/>
        <w:overflowPunct/>
        <w:topLinePunct w:val="0"/>
        <w:autoSpaceDE/>
        <w:autoSpaceDN/>
        <w:bidi w:val="0"/>
        <w:spacing w:line="596" w:lineRule="exact"/>
        <w:ind w:firstLine="643" w:firstLineChars="200"/>
        <w:outlineLvl w:val="9"/>
        <w:rPr>
          <w:rFonts w:ascii="黑体" w:hAnsi="黑体" w:eastAsia="黑体" w:cs="黑体"/>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学生请假期满，如有特殊原因，不能返校时，应说明事由并向相关管理部门申请续假。不续假者、续假不成仍不返校者以旷课论处。</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55" w:name="_Toc27247_WPSOffice_Level1"/>
      <w:r>
        <w:rPr>
          <w:rFonts w:hint="eastAsia" w:ascii="黑体" w:hAnsi="黑体" w:eastAsia="黑体"/>
          <w:b/>
          <w:sz w:val="32"/>
          <w:szCs w:val="32"/>
        </w:rPr>
        <w:t>第四章 销  假</w:t>
      </w:r>
      <w:bookmarkEnd w:id="1855"/>
    </w:p>
    <w:p>
      <w:pPr>
        <w:pageBreakBefore w:val="0"/>
        <w:kinsoku/>
        <w:overflowPunct/>
        <w:topLinePunct w:val="0"/>
        <w:autoSpaceDE/>
        <w:autoSpaceDN/>
        <w:bidi w:val="0"/>
        <w:spacing w:line="596" w:lineRule="exact"/>
        <w:ind w:firstLine="643" w:firstLineChars="200"/>
        <w:outlineLvl w:val="9"/>
        <w:rPr>
          <w:rFonts w:ascii="黑体" w:hAnsi="黑体" w:eastAsia="黑体" w:cs="黑体"/>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学生请假期满，须及时与留学生辅导员销假，否则按旷课论。如需续假，应提出书面申请，办理续假手续。</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56" w:name="_Toc3574_WPSOffice_Level1"/>
      <w:r>
        <w:rPr>
          <w:rFonts w:hint="eastAsia" w:ascii="黑体" w:hAnsi="黑体" w:eastAsia="黑体"/>
          <w:b/>
          <w:sz w:val="32"/>
          <w:szCs w:val="32"/>
        </w:rPr>
        <w:t>第五章 其  它</w:t>
      </w:r>
      <w:bookmarkEnd w:id="1856"/>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学生请假理由必须真实，一经发现弄虚作假、编造理由者，视其情节轻重，给予相应处分。</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凡未请假、请假未准、超过假期者，以及未按时销假者，均按旷课处理，旷课数按每天实际所上课数计算，并取消其当年奖学金评选资格。</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外国留学生一学期的出勤率应在80%以上，低于80%出勤率者，将不允许参加期末考试，不发放任何学习证明。学历生在校期间请假超过三个月者，需办理休学。</w:t>
      </w:r>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不论因何种原因不能参加考试的外国留学生都必须在正式考试前提出书面申请。无论因何种原因未能参加正常考试者，均不能参加本年度奖学金评定。  </w:t>
      </w:r>
    </w:p>
    <w:p>
      <w:pPr>
        <w:pageBreakBefore w:val="0"/>
        <w:kinsoku/>
        <w:overflowPunct/>
        <w:topLinePunct w:val="0"/>
        <w:autoSpaceDE/>
        <w:autoSpaceDN/>
        <w:bidi w:val="0"/>
        <w:spacing w:line="596" w:lineRule="exact"/>
        <w:ind w:firstLine="643" w:firstLineChars="200"/>
        <w:outlineLvl w:val="9"/>
        <w:rPr>
          <w:rFonts w:ascii="黑体" w:hAnsi="黑体" w:eastAsia="黑体" w:cs="黑体"/>
          <w:sz w:val="32"/>
          <w:szCs w:val="32"/>
        </w:rPr>
      </w:pPr>
      <w:r>
        <w:rPr>
          <w:rFonts w:hint="eastAsia" w:ascii="仿宋_GB2312" w:eastAsia="仿宋_GB2312"/>
          <w:b/>
          <w:bCs/>
          <w:sz w:val="32"/>
          <w:szCs w:val="32"/>
        </w:rPr>
        <w:t xml:space="preserve">第十一条 </w:t>
      </w:r>
      <w:r>
        <w:rPr>
          <w:rFonts w:hint="eastAsia" w:ascii="仿宋_GB2312" w:eastAsia="仿宋_GB2312"/>
          <w:sz w:val="32"/>
          <w:szCs w:val="32"/>
        </w:rPr>
        <w:t>请假记录作为学生评价的重要参考材料之一。</w:t>
      </w:r>
    </w:p>
    <w:p>
      <w:pPr>
        <w:pageBreakBefore w:val="0"/>
        <w:kinsoku/>
        <w:overflowPunct/>
        <w:topLinePunct w:val="0"/>
        <w:autoSpaceDE/>
        <w:autoSpaceDN/>
        <w:bidi w:val="0"/>
        <w:spacing w:line="596" w:lineRule="exact"/>
        <w:jc w:val="center"/>
        <w:outlineLvl w:val="9"/>
        <w:rPr>
          <w:rFonts w:ascii="黑体" w:hAnsi="黑体" w:eastAsia="黑体"/>
          <w:b/>
          <w:sz w:val="32"/>
          <w:szCs w:val="32"/>
        </w:rPr>
      </w:pPr>
      <w:bookmarkStart w:id="1857" w:name="_Toc2032_WPSOffice_Level1"/>
      <w:r>
        <w:rPr>
          <w:rFonts w:hint="eastAsia" w:ascii="黑体" w:hAnsi="黑体" w:eastAsia="黑体"/>
          <w:b/>
          <w:sz w:val="32"/>
          <w:szCs w:val="32"/>
        </w:rPr>
        <w:t>第六章 附  则</w:t>
      </w:r>
      <w:bookmarkEnd w:id="1857"/>
    </w:p>
    <w:p>
      <w:pPr>
        <w:pageBreakBefore w:val="0"/>
        <w:kinsoku/>
        <w:overflowPunct/>
        <w:topLinePunct w:val="0"/>
        <w:autoSpaceDE/>
        <w:autoSpaceDN/>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本制度从下发之日起开始执行，最终解释权归国际交流处。</w:t>
      </w:r>
    </w:p>
    <w:p>
      <w:pPr>
        <w:pageBreakBefore w:val="0"/>
        <w:kinsoku/>
        <w:overflowPunct/>
        <w:topLinePunct w:val="0"/>
        <w:autoSpaceDE/>
        <w:autoSpaceDN/>
        <w:bidi w:val="0"/>
        <w:spacing w:line="596" w:lineRule="exact"/>
        <w:outlineLvl w:val="9"/>
        <w:rPr>
          <w:rFonts w:ascii="仿宋_GB2312" w:eastAsia="仿宋_GB2312"/>
          <w:sz w:val="32"/>
          <w:szCs w:val="32"/>
        </w:rPr>
      </w:pP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附件：1.柳州职业技术学院外国留学生请假表</w:t>
      </w:r>
    </w:p>
    <w:p>
      <w:pPr>
        <w:pageBreakBefore w:val="0"/>
        <w:kinsoku/>
        <w:overflowPunct/>
        <w:topLinePunct w:val="0"/>
        <w:autoSpaceDE/>
        <w:autoSpaceDN/>
        <w:bidi w:val="0"/>
        <w:spacing w:line="596" w:lineRule="exact"/>
        <w:ind w:firstLine="1600" w:firstLineChars="500"/>
        <w:outlineLvl w:val="9"/>
        <w:rPr>
          <w:rFonts w:ascii="仿宋_GB2312" w:eastAsia="仿宋_GB2312"/>
          <w:sz w:val="32"/>
          <w:szCs w:val="32"/>
        </w:rPr>
      </w:pPr>
      <w:r>
        <w:rPr>
          <w:rFonts w:hint="eastAsia" w:ascii="仿宋_GB2312" w:eastAsia="仿宋_GB2312"/>
          <w:sz w:val="32"/>
          <w:szCs w:val="32"/>
        </w:rPr>
        <w:t>2.柳州职业技术学院外国留学生离柳外出动向表</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p>
    <w:p>
      <w:pPr>
        <w:pageBreakBefore w:val="0"/>
        <w:kinsoku/>
        <w:overflowPunct/>
        <w:topLinePunct w:val="0"/>
        <w:autoSpaceDE/>
        <w:autoSpaceDN/>
        <w:bidi w:val="0"/>
        <w:spacing w:line="596" w:lineRule="exact"/>
        <w:ind w:firstLine="640" w:firstLineChars="200"/>
        <w:jc w:val="right"/>
        <w:outlineLvl w:val="9"/>
        <w:rPr>
          <w:rFonts w:ascii="仿宋_GB2312" w:eastAsia="仿宋_GB2312"/>
          <w:sz w:val="32"/>
          <w:szCs w:val="32"/>
        </w:rPr>
      </w:pPr>
    </w:p>
    <w:p>
      <w:pPr>
        <w:pageBreakBefore w:val="0"/>
        <w:kinsoku/>
        <w:overflowPunct/>
        <w:topLinePunct w:val="0"/>
        <w:autoSpaceDE/>
        <w:autoSpaceDN/>
        <w:bidi w:val="0"/>
        <w:spacing w:line="596" w:lineRule="exact"/>
        <w:ind w:firstLine="640" w:firstLineChars="200"/>
        <w:jc w:val="right"/>
        <w:outlineLvl w:val="9"/>
        <w:rPr>
          <w:rFonts w:hint="eastAsia" w:ascii="仿宋_GB2312" w:eastAsia="仿宋_GB2312"/>
          <w:sz w:val="32"/>
          <w:szCs w:val="32"/>
        </w:rPr>
      </w:pPr>
    </w:p>
    <w:p>
      <w:pPr>
        <w:pageBreakBefore w:val="0"/>
        <w:kinsoku/>
        <w:overflowPunct/>
        <w:topLinePunct w:val="0"/>
        <w:autoSpaceDE/>
        <w:autoSpaceDN/>
        <w:bidi w:val="0"/>
        <w:outlineLvl w:val="9"/>
        <w:rPr>
          <w:rFonts w:hint="eastAsia"/>
          <w:sz w:val="32"/>
          <w:szCs w:val="32"/>
        </w:rPr>
      </w:pPr>
    </w:p>
    <w:p>
      <w:pPr>
        <w:pageBreakBefore w:val="0"/>
        <w:kinsoku/>
        <w:overflowPunct/>
        <w:topLinePunct w:val="0"/>
        <w:autoSpaceDE/>
        <w:autoSpaceDN/>
        <w:bidi w:val="0"/>
        <w:outlineLvl w:val="9"/>
        <w:rPr>
          <w:rFonts w:hint="eastAsia"/>
          <w:sz w:val="32"/>
          <w:szCs w:val="32"/>
        </w:rPr>
      </w:pPr>
    </w:p>
    <w:p>
      <w:pPr>
        <w:pageBreakBefore w:val="0"/>
        <w:kinsoku/>
        <w:overflowPunct/>
        <w:topLinePunct w:val="0"/>
        <w:autoSpaceDE/>
        <w:autoSpaceDN/>
        <w:bidi w:val="0"/>
        <w:outlineLvl w:val="9"/>
        <w:rPr>
          <w:rFonts w:hint="eastAsia"/>
        </w:rPr>
      </w:pPr>
    </w:p>
    <w:p>
      <w:pPr>
        <w:pageBreakBefore w:val="0"/>
        <w:kinsoku/>
        <w:overflowPunct/>
        <w:topLinePunct w:val="0"/>
        <w:autoSpaceDE/>
        <w:autoSpaceDN/>
        <w:bidi w:val="0"/>
        <w:outlineLvl w:val="9"/>
        <w:rPr>
          <w:rFonts w:hint="eastAsia"/>
          <w:sz w:val="32"/>
          <w:szCs w:val="32"/>
        </w:rPr>
      </w:pPr>
    </w:p>
    <w:p>
      <w:pPr>
        <w:pageBreakBefore w:val="0"/>
        <w:kinsoku/>
        <w:overflowPunct/>
        <w:topLinePunct w:val="0"/>
        <w:autoSpaceDE/>
        <w:autoSpaceDN/>
        <w:bidi w:val="0"/>
        <w:spacing w:line="720" w:lineRule="exact"/>
        <w:jc w:val="left"/>
        <w:outlineLvl w:val="9"/>
        <w:rPr>
          <w:rFonts w:ascii="Microsoft JhengHei"/>
          <w:bCs/>
          <w:sz w:val="24"/>
        </w:rPr>
      </w:pPr>
      <w:bookmarkStart w:id="1858" w:name="_Toc11332_WPSOffice_Level1"/>
      <w:r>
        <w:rPr>
          <w:rFonts w:hint="eastAsia" w:ascii="黑体" w:eastAsia="黑体"/>
          <w:b/>
          <w:bCs/>
          <w:sz w:val="32"/>
          <w:szCs w:val="32"/>
        </w:rPr>
        <w:t>附件1：</w:t>
      </w:r>
      <w:bookmarkEnd w:id="1858"/>
    </w:p>
    <w:p>
      <w:pPr>
        <w:pageBreakBefore w:val="0"/>
        <w:kinsoku/>
        <w:overflowPunct/>
        <w:topLinePunct w:val="0"/>
        <w:autoSpaceDE/>
        <w:autoSpaceDN/>
        <w:bidi w:val="0"/>
        <w:spacing w:line="403" w:lineRule="exact"/>
        <w:ind w:right="1695"/>
        <w:jc w:val="center"/>
        <w:outlineLvl w:val="9"/>
        <w:rPr>
          <w:rFonts w:ascii="Microsoft JhengHei"/>
          <w:b/>
          <w:szCs w:val="28"/>
        </w:rPr>
      </w:pPr>
      <w:r>
        <w:rPr>
          <w:rFonts w:hint="eastAsia" w:ascii="Microsoft JhengHei"/>
          <w:b/>
          <w:szCs w:val="28"/>
        </w:rPr>
        <w:t xml:space="preserve">         柳州职业技术学院外国留学生请假表</w:t>
      </w:r>
    </w:p>
    <w:p>
      <w:pPr>
        <w:pageBreakBefore w:val="0"/>
        <w:kinsoku/>
        <w:overflowPunct/>
        <w:topLinePunct w:val="0"/>
        <w:autoSpaceDE/>
        <w:autoSpaceDN/>
        <w:bidi w:val="0"/>
        <w:jc w:val="center"/>
        <w:outlineLvl w:val="9"/>
        <w:rPr>
          <w:b/>
          <w:szCs w:val="28"/>
        </w:rPr>
      </w:pPr>
      <w:r>
        <w:rPr>
          <w:rFonts w:hint="eastAsia"/>
          <w:b/>
          <w:szCs w:val="28"/>
        </w:rPr>
        <w:t>The Leave Application Form for International Students of LVTC</w:t>
      </w:r>
    </w:p>
    <w:tbl>
      <w:tblPr>
        <w:tblStyle w:val="14"/>
        <w:tblpPr w:leftFromText="180" w:rightFromText="180" w:vertAnchor="text" w:horzAnchor="page" w:tblpXSpec="center" w:tblpY="179"/>
        <w:tblOverlap w:val="never"/>
        <w:tblW w:w="86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8"/>
        <w:gridCol w:w="2562"/>
        <w:gridCol w:w="1713"/>
        <w:gridCol w:w="2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878" w:type="dxa"/>
          </w:tcPr>
          <w:p>
            <w:pPr>
              <w:pStyle w:val="21"/>
              <w:pageBreakBefore w:val="0"/>
              <w:kinsoku/>
              <w:overflowPunct/>
              <w:topLinePunct w:val="0"/>
              <w:autoSpaceDE/>
              <w:autoSpaceDN/>
              <w:bidi w:val="0"/>
              <w:spacing w:before="41" w:line="200" w:lineRule="exact"/>
              <w:ind w:left="168" w:right="159"/>
              <w:jc w:val="center"/>
              <w:outlineLvl w:val="9"/>
              <w:rPr>
                <w:rFonts w:ascii="宋体" w:eastAsia="宋体"/>
                <w:sz w:val="18"/>
              </w:rPr>
            </w:pPr>
            <w:r>
              <w:rPr>
                <w:rFonts w:hint="eastAsia" w:ascii="宋体" w:eastAsia="宋体"/>
                <w:sz w:val="18"/>
              </w:rPr>
              <w:t>学号</w:t>
            </w:r>
          </w:p>
          <w:p>
            <w:pPr>
              <w:pStyle w:val="21"/>
              <w:pageBreakBefore w:val="0"/>
              <w:kinsoku/>
              <w:overflowPunct/>
              <w:topLinePunct w:val="0"/>
              <w:autoSpaceDE/>
              <w:autoSpaceDN/>
              <w:bidi w:val="0"/>
              <w:spacing w:before="91" w:line="200" w:lineRule="exact"/>
              <w:ind w:left="168" w:right="159"/>
              <w:jc w:val="center"/>
              <w:outlineLvl w:val="9"/>
              <w:rPr>
                <w:sz w:val="18"/>
              </w:rPr>
            </w:pPr>
            <w:r>
              <w:rPr>
                <w:sz w:val="18"/>
              </w:rPr>
              <w:t>Student ID</w:t>
            </w:r>
          </w:p>
        </w:tc>
        <w:tc>
          <w:tcPr>
            <w:tcW w:w="2562" w:type="dxa"/>
          </w:tcPr>
          <w:p>
            <w:pPr>
              <w:pStyle w:val="21"/>
              <w:pageBreakBefore w:val="0"/>
              <w:kinsoku/>
              <w:overflowPunct/>
              <w:topLinePunct w:val="0"/>
              <w:autoSpaceDE/>
              <w:autoSpaceDN/>
              <w:bidi w:val="0"/>
              <w:spacing w:line="200" w:lineRule="exact"/>
              <w:outlineLvl w:val="9"/>
              <w:rPr>
                <w:sz w:val="18"/>
              </w:rPr>
            </w:pPr>
          </w:p>
        </w:tc>
        <w:tc>
          <w:tcPr>
            <w:tcW w:w="4163" w:type="dxa"/>
            <w:gridSpan w:val="2"/>
          </w:tcPr>
          <w:p>
            <w:pPr>
              <w:pStyle w:val="21"/>
              <w:pageBreakBefore w:val="0"/>
              <w:tabs>
                <w:tab w:val="left" w:pos="916"/>
                <w:tab w:val="left" w:pos="1906"/>
                <w:tab w:val="left" w:pos="2806"/>
              </w:tabs>
              <w:kinsoku/>
              <w:overflowPunct/>
              <w:topLinePunct w:val="0"/>
              <w:autoSpaceDE/>
              <w:autoSpaceDN/>
              <w:bidi w:val="0"/>
              <w:spacing w:before="41" w:line="200" w:lineRule="exact"/>
              <w:ind w:left="106"/>
              <w:outlineLvl w:val="9"/>
              <w:rPr>
                <w:rFonts w:ascii="宋体" w:eastAsia="宋体"/>
                <w:sz w:val="18"/>
              </w:rPr>
            </w:pPr>
            <w:r>
              <w:rPr>
                <w:rFonts w:hint="eastAsia" w:ascii="宋体" w:eastAsia="宋体"/>
                <w:sz w:val="18"/>
              </w:rPr>
              <w:t>项目：</w:t>
            </w:r>
            <w:r>
              <w:rPr>
                <w:rFonts w:hint="eastAsia" w:ascii="宋体" w:eastAsia="宋体"/>
                <w:sz w:val="18"/>
              </w:rPr>
              <w:tab/>
            </w:r>
            <w:r>
              <w:rPr>
                <w:rFonts w:hint="eastAsia" w:ascii="宋体" w:eastAsia="宋体"/>
                <w:sz w:val="18"/>
              </w:rPr>
              <w:t>语言学习</w:t>
            </w:r>
            <w:r>
              <w:rPr>
                <w:rFonts w:hint="eastAsia" w:ascii="宋体" w:eastAsia="宋体"/>
                <w:sz w:val="18"/>
              </w:rPr>
              <w:tab/>
            </w:r>
            <w:r>
              <w:rPr>
                <w:rFonts w:hint="eastAsia" w:ascii="宋体" w:eastAsia="宋体"/>
                <w:sz w:val="18"/>
              </w:rPr>
              <w:t>学历生</w:t>
            </w:r>
            <w:r>
              <w:rPr>
                <w:rFonts w:hint="eastAsia" w:ascii="宋体" w:eastAsia="宋体"/>
                <w:sz w:val="18"/>
              </w:rPr>
              <w:tab/>
            </w:r>
          </w:p>
          <w:p>
            <w:pPr>
              <w:pStyle w:val="21"/>
              <w:pageBreakBefore w:val="0"/>
              <w:tabs>
                <w:tab w:val="left" w:pos="1846"/>
                <w:tab w:val="left" w:pos="2795"/>
              </w:tabs>
              <w:kinsoku/>
              <w:overflowPunct/>
              <w:topLinePunct w:val="0"/>
              <w:autoSpaceDE/>
              <w:autoSpaceDN/>
              <w:bidi w:val="0"/>
              <w:spacing w:before="82" w:line="200" w:lineRule="exact"/>
              <w:ind w:left="106"/>
              <w:outlineLvl w:val="9"/>
              <w:rPr>
                <w:rFonts w:ascii="宋体" w:hAnsi="宋体" w:eastAsia="宋体"/>
                <w:sz w:val="18"/>
              </w:rPr>
            </w:pPr>
            <w:r>
              <w:rPr>
                <w:rFonts w:hint="eastAsia" w:eastAsia="宋体"/>
                <w:sz w:val="18"/>
              </w:rPr>
              <w:t>Program</w:t>
            </w:r>
            <w:r>
              <w:rPr>
                <w:rFonts w:hint="eastAsia" w:ascii="宋体" w:hAnsi="宋体" w:eastAsia="宋体"/>
                <w:sz w:val="18"/>
              </w:rPr>
              <w:t>：</w:t>
            </w:r>
            <w:r>
              <w:rPr>
                <w:rFonts w:hint="eastAsia" w:ascii="宋体" w:hAnsi="宋体" w:eastAsia="宋体"/>
                <w:spacing w:val="-3"/>
                <w:sz w:val="18"/>
              </w:rPr>
              <w:t xml:space="preserve"> </w:t>
            </w:r>
            <w:r>
              <w:rPr>
                <w:rFonts w:hint="eastAsia" w:eastAsia="宋体"/>
                <w:sz w:val="18"/>
              </w:rPr>
              <w:t>Language</w:t>
            </w:r>
            <w:r>
              <w:rPr>
                <w:rFonts w:hint="eastAsia" w:ascii="宋体" w:hAnsi="宋体" w:eastAsia="宋体"/>
                <w:sz w:val="18"/>
              </w:rPr>
              <w:t xml:space="preserve">□  </w:t>
            </w:r>
            <w:r>
              <w:rPr>
                <w:rFonts w:hint="eastAsia" w:eastAsia="宋体"/>
                <w:sz w:val="18"/>
              </w:rPr>
              <w:t>Diploma</w:t>
            </w:r>
            <w:r>
              <w:rPr>
                <w:rFonts w:hint="eastAsia" w:ascii="宋体" w:hAnsi="宋体" w:eastAsia="宋体"/>
                <w:sz w:val="18"/>
              </w:rPr>
              <w:t>□</w:t>
            </w:r>
            <w:r>
              <w:rPr>
                <w:rFonts w:hint="eastAsia" w:ascii="宋体" w:hAnsi="宋体" w:eastAsia="宋体"/>
                <w:sz w:val="18"/>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878" w:type="dxa"/>
          </w:tcPr>
          <w:p>
            <w:pPr>
              <w:pStyle w:val="21"/>
              <w:pageBreakBefore w:val="0"/>
              <w:kinsoku/>
              <w:overflowPunct/>
              <w:topLinePunct w:val="0"/>
              <w:autoSpaceDE/>
              <w:autoSpaceDN/>
              <w:bidi w:val="0"/>
              <w:spacing w:before="40" w:line="200" w:lineRule="exact"/>
              <w:ind w:left="168" w:right="159"/>
              <w:jc w:val="center"/>
              <w:outlineLvl w:val="9"/>
              <w:rPr>
                <w:rFonts w:ascii="宋体" w:eastAsia="宋体"/>
                <w:sz w:val="18"/>
              </w:rPr>
            </w:pPr>
            <w:r>
              <w:rPr>
                <w:rFonts w:hint="eastAsia" w:ascii="宋体" w:eastAsia="宋体"/>
                <w:sz w:val="18"/>
              </w:rPr>
              <w:t>姓名</w:t>
            </w:r>
          </w:p>
          <w:p>
            <w:pPr>
              <w:pStyle w:val="21"/>
              <w:pageBreakBefore w:val="0"/>
              <w:kinsoku/>
              <w:overflowPunct/>
              <w:topLinePunct w:val="0"/>
              <w:autoSpaceDE/>
              <w:autoSpaceDN/>
              <w:bidi w:val="0"/>
              <w:spacing w:before="91" w:line="200" w:lineRule="exact"/>
              <w:ind w:left="168" w:right="159"/>
              <w:jc w:val="center"/>
              <w:outlineLvl w:val="9"/>
              <w:rPr>
                <w:sz w:val="18"/>
              </w:rPr>
            </w:pPr>
            <w:r>
              <w:rPr>
                <w:sz w:val="18"/>
              </w:rPr>
              <w:t>Name</w:t>
            </w:r>
          </w:p>
        </w:tc>
        <w:tc>
          <w:tcPr>
            <w:tcW w:w="2562" w:type="dxa"/>
          </w:tcPr>
          <w:p>
            <w:pPr>
              <w:pStyle w:val="21"/>
              <w:pageBreakBefore w:val="0"/>
              <w:kinsoku/>
              <w:overflowPunct/>
              <w:topLinePunct w:val="0"/>
              <w:autoSpaceDE/>
              <w:autoSpaceDN/>
              <w:bidi w:val="0"/>
              <w:spacing w:line="200" w:lineRule="exact"/>
              <w:outlineLvl w:val="9"/>
              <w:rPr>
                <w:sz w:val="18"/>
              </w:rPr>
            </w:pPr>
          </w:p>
        </w:tc>
        <w:tc>
          <w:tcPr>
            <w:tcW w:w="1713" w:type="dxa"/>
          </w:tcPr>
          <w:p>
            <w:pPr>
              <w:pStyle w:val="21"/>
              <w:pageBreakBefore w:val="0"/>
              <w:kinsoku/>
              <w:overflowPunct/>
              <w:topLinePunct w:val="0"/>
              <w:autoSpaceDE/>
              <w:autoSpaceDN/>
              <w:bidi w:val="0"/>
              <w:spacing w:before="40" w:line="200" w:lineRule="exact"/>
              <w:ind w:left="171" w:right="161"/>
              <w:jc w:val="center"/>
              <w:outlineLvl w:val="9"/>
              <w:rPr>
                <w:rFonts w:ascii="宋体" w:eastAsia="宋体"/>
                <w:sz w:val="18"/>
              </w:rPr>
            </w:pPr>
            <w:r>
              <w:rPr>
                <w:rFonts w:hint="eastAsia" w:ascii="宋体" w:eastAsia="宋体"/>
                <w:sz w:val="18"/>
              </w:rPr>
              <w:t>国籍</w:t>
            </w:r>
          </w:p>
          <w:p>
            <w:pPr>
              <w:pStyle w:val="21"/>
              <w:pageBreakBefore w:val="0"/>
              <w:kinsoku/>
              <w:overflowPunct/>
              <w:topLinePunct w:val="0"/>
              <w:autoSpaceDE/>
              <w:autoSpaceDN/>
              <w:bidi w:val="0"/>
              <w:spacing w:before="91" w:line="200" w:lineRule="exact"/>
              <w:ind w:left="171" w:right="163"/>
              <w:jc w:val="center"/>
              <w:outlineLvl w:val="9"/>
              <w:rPr>
                <w:sz w:val="18"/>
              </w:rPr>
            </w:pPr>
            <w:r>
              <w:rPr>
                <w:sz w:val="18"/>
              </w:rPr>
              <w:t>Nationality</w:t>
            </w:r>
          </w:p>
        </w:tc>
        <w:tc>
          <w:tcPr>
            <w:tcW w:w="2450"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878" w:type="dxa"/>
          </w:tcPr>
          <w:p>
            <w:pPr>
              <w:pStyle w:val="21"/>
              <w:pageBreakBefore w:val="0"/>
              <w:kinsoku/>
              <w:overflowPunct/>
              <w:topLinePunct w:val="0"/>
              <w:autoSpaceDE/>
              <w:autoSpaceDN/>
              <w:bidi w:val="0"/>
              <w:spacing w:before="40" w:line="200" w:lineRule="exact"/>
              <w:ind w:left="168" w:right="159"/>
              <w:jc w:val="center"/>
              <w:outlineLvl w:val="9"/>
              <w:rPr>
                <w:rFonts w:ascii="宋体" w:eastAsia="宋体"/>
                <w:sz w:val="18"/>
              </w:rPr>
            </w:pPr>
            <w:r>
              <w:rPr>
                <w:rFonts w:hint="eastAsia" w:ascii="宋体" w:eastAsia="宋体"/>
                <w:sz w:val="18"/>
              </w:rPr>
              <w:t>学院</w:t>
            </w:r>
          </w:p>
          <w:p>
            <w:pPr>
              <w:pStyle w:val="21"/>
              <w:pageBreakBefore w:val="0"/>
              <w:kinsoku/>
              <w:overflowPunct/>
              <w:topLinePunct w:val="0"/>
              <w:autoSpaceDE/>
              <w:autoSpaceDN/>
              <w:bidi w:val="0"/>
              <w:spacing w:before="91" w:line="200" w:lineRule="exact"/>
              <w:ind w:left="167" w:right="159"/>
              <w:jc w:val="center"/>
              <w:outlineLvl w:val="9"/>
              <w:rPr>
                <w:sz w:val="18"/>
              </w:rPr>
            </w:pPr>
            <w:r>
              <w:rPr>
                <w:sz w:val="18"/>
              </w:rPr>
              <w:t>College</w:t>
            </w:r>
          </w:p>
        </w:tc>
        <w:tc>
          <w:tcPr>
            <w:tcW w:w="2562" w:type="dxa"/>
          </w:tcPr>
          <w:p>
            <w:pPr>
              <w:pStyle w:val="21"/>
              <w:pageBreakBefore w:val="0"/>
              <w:kinsoku/>
              <w:overflowPunct/>
              <w:topLinePunct w:val="0"/>
              <w:autoSpaceDE/>
              <w:autoSpaceDN/>
              <w:bidi w:val="0"/>
              <w:spacing w:line="200" w:lineRule="exact"/>
              <w:outlineLvl w:val="9"/>
              <w:rPr>
                <w:sz w:val="18"/>
              </w:rPr>
            </w:pPr>
          </w:p>
        </w:tc>
        <w:tc>
          <w:tcPr>
            <w:tcW w:w="1713" w:type="dxa"/>
          </w:tcPr>
          <w:p>
            <w:pPr>
              <w:pStyle w:val="21"/>
              <w:pageBreakBefore w:val="0"/>
              <w:kinsoku/>
              <w:overflowPunct/>
              <w:topLinePunct w:val="0"/>
              <w:autoSpaceDE/>
              <w:autoSpaceDN/>
              <w:bidi w:val="0"/>
              <w:spacing w:before="40" w:line="200" w:lineRule="exact"/>
              <w:ind w:left="171" w:right="171"/>
              <w:jc w:val="center"/>
              <w:outlineLvl w:val="9"/>
              <w:rPr>
                <w:rFonts w:ascii="宋体" w:eastAsia="宋体"/>
                <w:sz w:val="18"/>
              </w:rPr>
            </w:pPr>
            <w:r>
              <w:rPr>
                <w:rFonts w:hint="eastAsia" w:ascii="宋体" w:eastAsia="宋体"/>
                <w:sz w:val="18"/>
              </w:rPr>
              <w:t>专业</w:t>
            </w:r>
          </w:p>
          <w:p>
            <w:pPr>
              <w:pStyle w:val="21"/>
              <w:pageBreakBefore w:val="0"/>
              <w:kinsoku/>
              <w:overflowPunct/>
              <w:topLinePunct w:val="0"/>
              <w:autoSpaceDE/>
              <w:autoSpaceDN/>
              <w:bidi w:val="0"/>
              <w:spacing w:before="91" w:line="200" w:lineRule="exact"/>
              <w:ind w:left="171" w:right="170"/>
              <w:jc w:val="center"/>
              <w:outlineLvl w:val="9"/>
              <w:rPr>
                <w:sz w:val="18"/>
              </w:rPr>
            </w:pPr>
            <w:r>
              <w:rPr>
                <w:sz w:val="18"/>
              </w:rPr>
              <w:t>Major</w:t>
            </w:r>
          </w:p>
        </w:tc>
        <w:tc>
          <w:tcPr>
            <w:tcW w:w="2450"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878" w:type="dxa"/>
          </w:tcPr>
          <w:p>
            <w:pPr>
              <w:pStyle w:val="21"/>
              <w:pageBreakBefore w:val="0"/>
              <w:kinsoku/>
              <w:overflowPunct/>
              <w:topLinePunct w:val="0"/>
              <w:autoSpaceDE/>
              <w:autoSpaceDN/>
              <w:bidi w:val="0"/>
              <w:spacing w:before="40" w:line="200" w:lineRule="exact"/>
              <w:ind w:left="168" w:right="159"/>
              <w:jc w:val="center"/>
              <w:outlineLvl w:val="9"/>
              <w:rPr>
                <w:rFonts w:ascii="宋体" w:eastAsia="宋体"/>
                <w:sz w:val="18"/>
              </w:rPr>
            </w:pPr>
            <w:r>
              <w:rPr>
                <w:rFonts w:hint="eastAsia" w:ascii="宋体" w:eastAsia="宋体"/>
                <w:sz w:val="18"/>
              </w:rPr>
              <w:t>电话</w:t>
            </w:r>
          </w:p>
          <w:p>
            <w:pPr>
              <w:pStyle w:val="21"/>
              <w:pageBreakBefore w:val="0"/>
              <w:kinsoku/>
              <w:overflowPunct/>
              <w:topLinePunct w:val="0"/>
              <w:autoSpaceDE/>
              <w:autoSpaceDN/>
              <w:bidi w:val="0"/>
              <w:spacing w:before="91" w:line="200" w:lineRule="exact"/>
              <w:ind w:left="167" w:right="159"/>
              <w:jc w:val="center"/>
              <w:outlineLvl w:val="9"/>
              <w:rPr>
                <w:sz w:val="18"/>
              </w:rPr>
            </w:pPr>
            <w:r>
              <w:rPr>
                <w:sz w:val="18"/>
              </w:rPr>
              <w:t>Telephone</w:t>
            </w:r>
          </w:p>
        </w:tc>
        <w:tc>
          <w:tcPr>
            <w:tcW w:w="2562" w:type="dxa"/>
          </w:tcPr>
          <w:p>
            <w:pPr>
              <w:pStyle w:val="21"/>
              <w:pageBreakBefore w:val="0"/>
              <w:kinsoku/>
              <w:overflowPunct/>
              <w:topLinePunct w:val="0"/>
              <w:autoSpaceDE/>
              <w:autoSpaceDN/>
              <w:bidi w:val="0"/>
              <w:spacing w:line="200" w:lineRule="exact"/>
              <w:outlineLvl w:val="9"/>
              <w:rPr>
                <w:sz w:val="18"/>
              </w:rPr>
            </w:pPr>
          </w:p>
        </w:tc>
        <w:tc>
          <w:tcPr>
            <w:tcW w:w="1713" w:type="dxa"/>
          </w:tcPr>
          <w:p>
            <w:pPr>
              <w:pStyle w:val="21"/>
              <w:pageBreakBefore w:val="0"/>
              <w:kinsoku/>
              <w:overflowPunct/>
              <w:topLinePunct w:val="0"/>
              <w:autoSpaceDE/>
              <w:autoSpaceDN/>
              <w:bidi w:val="0"/>
              <w:spacing w:before="10" w:line="200" w:lineRule="exact"/>
              <w:outlineLvl w:val="9"/>
              <w:rPr>
                <w:b/>
                <w:sz w:val="17"/>
              </w:rPr>
            </w:pPr>
          </w:p>
          <w:p>
            <w:pPr>
              <w:pStyle w:val="21"/>
              <w:pageBreakBefore w:val="0"/>
              <w:kinsoku/>
              <w:overflowPunct/>
              <w:topLinePunct w:val="0"/>
              <w:autoSpaceDE/>
              <w:autoSpaceDN/>
              <w:bidi w:val="0"/>
              <w:spacing w:line="200" w:lineRule="exact"/>
              <w:ind w:left="171" w:right="170"/>
              <w:jc w:val="center"/>
              <w:outlineLvl w:val="9"/>
              <w:rPr>
                <w:rFonts w:eastAsia="宋体"/>
                <w:sz w:val="18"/>
              </w:rPr>
            </w:pPr>
            <w:r>
              <w:rPr>
                <w:rFonts w:hint="eastAsia" w:eastAsia="宋体"/>
                <w:sz w:val="18"/>
              </w:rPr>
              <w:t>邮箱</w:t>
            </w:r>
          </w:p>
          <w:p>
            <w:pPr>
              <w:pStyle w:val="21"/>
              <w:pageBreakBefore w:val="0"/>
              <w:kinsoku/>
              <w:overflowPunct/>
              <w:topLinePunct w:val="0"/>
              <w:autoSpaceDE/>
              <w:autoSpaceDN/>
              <w:bidi w:val="0"/>
              <w:spacing w:line="200" w:lineRule="exact"/>
              <w:ind w:left="171" w:right="170"/>
              <w:jc w:val="center"/>
              <w:outlineLvl w:val="9"/>
              <w:rPr>
                <w:sz w:val="18"/>
              </w:rPr>
            </w:pPr>
            <w:r>
              <w:rPr>
                <w:sz w:val="18"/>
              </w:rPr>
              <w:t>Email</w:t>
            </w:r>
          </w:p>
        </w:tc>
        <w:tc>
          <w:tcPr>
            <w:tcW w:w="2450"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878" w:type="dxa"/>
          </w:tcPr>
          <w:p>
            <w:pPr>
              <w:pStyle w:val="21"/>
              <w:pageBreakBefore w:val="0"/>
              <w:kinsoku/>
              <w:overflowPunct/>
              <w:topLinePunct w:val="0"/>
              <w:autoSpaceDE/>
              <w:autoSpaceDN/>
              <w:bidi w:val="0"/>
              <w:spacing w:before="91" w:line="200" w:lineRule="exact"/>
              <w:ind w:left="167" w:right="159"/>
              <w:jc w:val="center"/>
              <w:outlineLvl w:val="9"/>
              <w:rPr>
                <w:rFonts w:eastAsia="宋体"/>
                <w:sz w:val="18"/>
              </w:rPr>
            </w:pPr>
            <w:r>
              <w:rPr>
                <w:rFonts w:hint="eastAsia" w:eastAsia="宋体"/>
                <w:sz w:val="18"/>
              </w:rPr>
              <w:t>请假时长</w:t>
            </w:r>
          </w:p>
          <w:p>
            <w:pPr>
              <w:pStyle w:val="21"/>
              <w:pageBreakBefore w:val="0"/>
              <w:kinsoku/>
              <w:overflowPunct/>
              <w:topLinePunct w:val="0"/>
              <w:autoSpaceDE/>
              <w:autoSpaceDN/>
              <w:bidi w:val="0"/>
              <w:spacing w:before="91" w:line="200" w:lineRule="exact"/>
              <w:ind w:left="167" w:right="159"/>
              <w:jc w:val="center"/>
              <w:outlineLvl w:val="9"/>
              <w:rPr>
                <w:rFonts w:eastAsia="宋体"/>
                <w:sz w:val="18"/>
              </w:rPr>
            </w:pPr>
            <w:r>
              <w:rPr>
                <w:rFonts w:hint="eastAsia" w:eastAsia="宋体"/>
                <w:sz w:val="18"/>
              </w:rPr>
              <w:t>Leave time</w:t>
            </w:r>
          </w:p>
        </w:tc>
        <w:tc>
          <w:tcPr>
            <w:tcW w:w="2562" w:type="dxa"/>
          </w:tcPr>
          <w:p>
            <w:pPr>
              <w:pStyle w:val="21"/>
              <w:pageBreakBefore w:val="0"/>
              <w:kinsoku/>
              <w:overflowPunct/>
              <w:topLinePunct w:val="0"/>
              <w:autoSpaceDE/>
              <w:autoSpaceDN/>
              <w:bidi w:val="0"/>
              <w:spacing w:line="200" w:lineRule="exact"/>
              <w:outlineLvl w:val="9"/>
              <w:rPr>
                <w:sz w:val="18"/>
              </w:rPr>
            </w:pPr>
          </w:p>
        </w:tc>
        <w:tc>
          <w:tcPr>
            <w:tcW w:w="1713" w:type="dxa"/>
          </w:tcPr>
          <w:p>
            <w:pPr>
              <w:pStyle w:val="21"/>
              <w:pageBreakBefore w:val="0"/>
              <w:kinsoku/>
              <w:overflowPunct/>
              <w:topLinePunct w:val="0"/>
              <w:autoSpaceDE/>
              <w:autoSpaceDN/>
              <w:bidi w:val="0"/>
              <w:spacing w:line="200" w:lineRule="exact"/>
              <w:ind w:left="171" w:right="170"/>
              <w:jc w:val="center"/>
              <w:outlineLvl w:val="9"/>
              <w:rPr>
                <w:rFonts w:eastAsia="宋体"/>
                <w:sz w:val="18"/>
              </w:rPr>
            </w:pPr>
          </w:p>
          <w:p>
            <w:pPr>
              <w:pStyle w:val="21"/>
              <w:pageBreakBefore w:val="0"/>
              <w:kinsoku/>
              <w:overflowPunct/>
              <w:topLinePunct w:val="0"/>
              <w:autoSpaceDE/>
              <w:autoSpaceDN/>
              <w:bidi w:val="0"/>
              <w:spacing w:line="200" w:lineRule="exact"/>
              <w:ind w:left="171" w:right="170"/>
              <w:jc w:val="center"/>
              <w:outlineLvl w:val="9"/>
              <w:rPr>
                <w:rFonts w:eastAsia="宋体"/>
                <w:sz w:val="18"/>
              </w:rPr>
            </w:pPr>
            <w:r>
              <w:rPr>
                <w:rFonts w:hint="eastAsia" w:eastAsia="宋体"/>
                <w:sz w:val="18"/>
              </w:rPr>
              <w:t>是否离开柳州</w:t>
            </w:r>
          </w:p>
          <w:p>
            <w:pPr>
              <w:pStyle w:val="21"/>
              <w:pageBreakBefore w:val="0"/>
              <w:kinsoku/>
              <w:overflowPunct/>
              <w:topLinePunct w:val="0"/>
              <w:autoSpaceDE/>
              <w:autoSpaceDN/>
              <w:bidi w:val="0"/>
              <w:spacing w:line="200" w:lineRule="exact"/>
              <w:ind w:left="171" w:right="170"/>
              <w:jc w:val="center"/>
              <w:outlineLvl w:val="9"/>
              <w:rPr>
                <w:rFonts w:eastAsia="宋体"/>
                <w:sz w:val="18"/>
              </w:rPr>
            </w:pPr>
            <w:r>
              <w:rPr>
                <w:rFonts w:hint="eastAsia" w:eastAsia="宋体"/>
                <w:sz w:val="18"/>
              </w:rPr>
              <w:t>Leave Liuzhou or not</w:t>
            </w:r>
          </w:p>
        </w:tc>
        <w:tc>
          <w:tcPr>
            <w:tcW w:w="2450" w:type="dxa"/>
          </w:tcPr>
          <w:p>
            <w:pPr>
              <w:pStyle w:val="21"/>
              <w:pageBreakBefore w:val="0"/>
              <w:kinsoku/>
              <w:overflowPunct/>
              <w:topLinePunct w:val="0"/>
              <w:autoSpaceDE/>
              <w:autoSpaceDN/>
              <w:bidi w:val="0"/>
              <w:spacing w:line="200" w:lineRule="exact"/>
              <w:outlineLvl w:val="9"/>
              <w:rPr>
                <w:rFonts w:eastAsia="宋体"/>
                <w:sz w:val="18"/>
              </w:rPr>
            </w:pPr>
            <w:r>
              <w:rPr>
                <w:rFonts w:hint="eastAsia" w:eastAsia="宋体"/>
                <w:sz w:val="18"/>
              </w:rPr>
              <w:t xml:space="preserve"> </w:t>
            </w:r>
          </w:p>
          <w:p>
            <w:pPr>
              <w:pStyle w:val="21"/>
              <w:pageBreakBefore w:val="0"/>
              <w:kinsoku/>
              <w:overflowPunct/>
              <w:topLinePunct w:val="0"/>
              <w:autoSpaceDE/>
              <w:autoSpaceDN/>
              <w:bidi w:val="0"/>
              <w:spacing w:line="200" w:lineRule="exact"/>
              <w:ind w:firstLine="360" w:firstLineChars="200"/>
              <w:outlineLvl w:val="9"/>
              <w:rPr>
                <w:rFonts w:eastAsia="宋体"/>
                <w:sz w:val="18"/>
              </w:rPr>
            </w:pPr>
            <w:r>
              <w:rPr>
                <w:rFonts w:hint="eastAsia" w:eastAsia="宋体"/>
                <w:sz w:val="18"/>
              </w:rPr>
              <w:t>Yes</w:t>
            </w:r>
            <w:r>
              <w:rPr>
                <w:rFonts w:hint="eastAsia" w:ascii="宋体" w:hAnsi="宋体" w:eastAsia="宋体"/>
                <w:sz w:val="18"/>
              </w:rPr>
              <w:t xml:space="preserve">□  </w:t>
            </w:r>
            <w:r>
              <w:rPr>
                <w:rFonts w:hint="eastAsia" w:eastAsia="宋体"/>
                <w:sz w:val="18"/>
              </w:rPr>
              <w:t>No</w:t>
            </w:r>
            <w:r>
              <w:rPr>
                <w:rFonts w:hint="eastAsia" w:ascii="宋体" w:hAnsi="宋体" w:eastAsia="宋体"/>
                <w:sz w:val="18"/>
              </w:rPr>
              <w:t>□</w:t>
            </w:r>
            <w:r>
              <w:rPr>
                <w:rFonts w:hint="eastAsia" w:ascii="宋体" w:hAnsi="宋体" w:eastAsia="宋体"/>
                <w:sz w:val="18"/>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878" w:type="dxa"/>
          </w:tcPr>
          <w:p>
            <w:pPr>
              <w:pStyle w:val="21"/>
              <w:pageBreakBefore w:val="0"/>
              <w:kinsoku/>
              <w:overflowPunct/>
              <w:topLinePunct w:val="0"/>
              <w:autoSpaceDE/>
              <w:autoSpaceDN/>
              <w:bidi w:val="0"/>
              <w:spacing w:before="40" w:line="200" w:lineRule="exact"/>
              <w:ind w:left="168" w:right="159"/>
              <w:jc w:val="center"/>
              <w:outlineLvl w:val="9"/>
              <w:rPr>
                <w:rFonts w:ascii="宋体" w:eastAsia="宋体"/>
                <w:sz w:val="18"/>
              </w:rPr>
            </w:pPr>
            <w:r>
              <w:rPr>
                <w:rFonts w:hint="eastAsia" w:ascii="宋体" w:eastAsia="宋体"/>
                <w:sz w:val="18"/>
              </w:rPr>
              <w:t>原因</w:t>
            </w:r>
          </w:p>
          <w:p>
            <w:pPr>
              <w:pStyle w:val="21"/>
              <w:pageBreakBefore w:val="0"/>
              <w:kinsoku/>
              <w:overflowPunct/>
              <w:topLinePunct w:val="0"/>
              <w:autoSpaceDE/>
              <w:autoSpaceDN/>
              <w:bidi w:val="0"/>
              <w:spacing w:before="91" w:line="200" w:lineRule="exact"/>
              <w:ind w:left="168" w:right="159"/>
              <w:jc w:val="center"/>
              <w:outlineLvl w:val="9"/>
              <w:rPr>
                <w:sz w:val="18"/>
              </w:rPr>
            </w:pPr>
            <w:r>
              <w:rPr>
                <w:sz w:val="18"/>
              </w:rPr>
              <w:t>Reasons</w:t>
            </w:r>
          </w:p>
        </w:tc>
        <w:tc>
          <w:tcPr>
            <w:tcW w:w="6725" w:type="dxa"/>
            <w:gridSpan w:val="3"/>
          </w:tcPr>
          <w:p>
            <w:pPr>
              <w:pStyle w:val="21"/>
              <w:pageBreakBefore w:val="0"/>
              <w:kinsoku/>
              <w:overflowPunct/>
              <w:topLinePunct w:val="0"/>
              <w:autoSpaceDE/>
              <w:autoSpaceDN/>
              <w:bidi w:val="0"/>
              <w:spacing w:line="200" w:lineRule="exact"/>
              <w:outlineLvl w:val="9"/>
              <w:rPr>
                <w:sz w:val="18"/>
              </w:rPr>
            </w:pPr>
          </w:p>
          <w:p>
            <w:pPr>
              <w:pStyle w:val="21"/>
              <w:pageBreakBefore w:val="0"/>
              <w:kinsoku/>
              <w:overflowPunct/>
              <w:topLinePunct w:val="0"/>
              <w:autoSpaceDE/>
              <w:autoSpaceDN/>
              <w:bidi w:val="0"/>
              <w:spacing w:line="200" w:lineRule="exact"/>
              <w:outlineLvl w:val="9"/>
              <w:rPr>
                <w:sz w:val="18"/>
              </w:rPr>
            </w:pPr>
          </w:p>
          <w:p>
            <w:pPr>
              <w:pStyle w:val="21"/>
              <w:pageBreakBefore w:val="0"/>
              <w:kinsoku/>
              <w:overflowPunct/>
              <w:topLinePunct w:val="0"/>
              <w:autoSpaceDE/>
              <w:autoSpaceDN/>
              <w:bidi w:val="0"/>
              <w:spacing w:line="200" w:lineRule="exact"/>
              <w:outlineLvl w:val="9"/>
              <w:rPr>
                <w:sz w:val="18"/>
              </w:rPr>
            </w:pPr>
          </w:p>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39" w:hRule="atLeast"/>
        </w:trPr>
        <w:tc>
          <w:tcPr>
            <w:tcW w:w="1878" w:type="dxa"/>
          </w:tcPr>
          <w:p>
            <w:pPr>
              <w:pStyle w:val="21"/>
              <w:pageBreakBefore w:val="0"/>
              <w:kinsoku/>
              <w:overflowPunct/>
              <w:topLinePunct w:val="0"/>
              <w:autoSpaceDE/>
              <w:autoSpaceDN/>
              <w:bidi w:val="0"/>
              <w:spacing w:before="91" w:line="200" w:lineRule="exact"/>
              <w:ind w:left="168" w:right="159"/>
              <w:jc w:val="center"/>
              <w:outlineLvl w:val="9"/>
              <w:rPr>
                <w:rFonts w:eastAsia="宋体"/>
                <w:sz w:val="18"/>
              </w:rPr>
            </w:pPr>
            <w:r>
              <w:rPr>
                <w:rFonts w:hint="eastAsia" w:eastAsia="宋体"/>
                <w:sz w:val="18"/>
              </w:rPr>
              <w:t>证明材料</w:t>
            </w:r>
          </w:p>
          <w:p>
            <w:pPr>
              <w:pStyle w:val="21"/>
              <w:pageBreakBefore w:val="0"/>
              <w:kinsoku/>
              <w:overflowPunct/>
              <w:topLinePunct w:val="0"/>
              <w:autoSpaceDE/>
              <w:autoSpaceDN/>
              <w:bidi w:val="0"/>
              <w:spacing w:before="91" w:line="200" w:lineRule="exact"/>
              <w:ind w:right="159" w:firstLine="210" w:firstLineChars="100"/>
              <w:outlineLvl w:val="9"/>
              <w:rPr>
                <w:rFonts w:eastAsia="宋体"/>
                <w:sz w:val="18"/>
              </w:rPr>
            </w:pPr>
            <w:r>
              <w:fldChar w:fldCharType="begin"/>
            </w:r>
            <w:r>
              <w:instrText xml:space="preserve"> HYPERLINK "D:/%E6%9C%89%E9%81%93/Dict/8.9.9.0/resultui/html/index.html" \l "/javascript:;" </w:instrText>
            </w:r>
            <w:r>
              <w:fldChar w:fldCharType="separate"/>
            </w:r>
            <w:r>
              <w:rPr>
                <w:rFonts w:hint="eastAsia"/>
                <w:sz w:val="18"/>
              </w:rPr>
              <w:t>E</w:t>
            </w:r>
            <w:r>
              <w:rPr>
                <w:sz w:val="18"/>
              </w:rPr>
              <w:t>videntiary</w:t>
            </w:r>
            <w:r>
              <w:rPr>
                <w:sz w:val="18"/>
              </w:rPr>
              <w:fldChar w:fldCharType="end"/>
            </w:r>
            <w:r>
              <w:rPr>
                <w:sz w:val="18"/>
              </w:rPr>
              <w:t> </w:t>
            </w:r>
            <w:r>
              <w:fldChar w:fldCharType="begin"/>
            </w:r>
            <w:r>
              <w:instrText xml:space="preserve"> HYPERLINK "D:/%E6%9C%89%E9%81%93/Dict/8.9.9.0/resultui/html/index.html" \l "/javascri</w:instrText>
            </w:r>
            <w:bookmarkStart w:id="1859" w:name="_Toc11612_WPSOffice_Level1"/>
            <w:r>
              <w:instrText xml:space="preserve">pt:;" </w:instrText>
            </w:r>
            <w:r>
              <w:fldChar w:fldCharType="separate"/>
            </w:r>
            <w:r>
              <w:rPr>
                <w:rFonts w:hint="eastAsia"/>
                <w:sz w:val="18"/>
              </w:rPr>
              <w:t>m</w:t>
            </w:r>
            <w:r>
              <w:rPr>
                <w:sz w:val="18"/>
              </w:rPr>
              <w:t>aterial</w:t>
            </w:r>
            <w:r>
              <w:rPr>
                <w:sz w:val="18"/>
              </w:rPr>
              <w:fldChar w:fldCharType="end"/>
            </w:r>
          </w:p>
          <w:bookmarkEnd w:id="1859"/>
        </w:tc>
        <w:tc>
          <w:tcPr>
            <w:tcW w:w="6725" w:type="dxa"/>
            <w:gridSpan w:val="3"/>
          </w:tcPr>
          <w:p>
            <w:pPr>
              <w:pStyle w:val="21"/>
              <w:pageBreakBefore w:val="0"/>
              <w:kinsoku/>
              <w:overflowPunct/>
              <w:topLinePunct w:val="0"/>
              <w:autoSpaceDE/>
              <w:autoSpaceDN/>
              <w:bidi w:val="0"/>
              <w:spacing w:before="82" w:line="200" w:lineRule="exact"/>
              <w:ind w:left="3617"/>
              <w:outlineLvl w:val="9"/>
              <w:rPr>
                <w:rFonts w:ascii="宋体" w:eastAsia="宋体"/>
                <w:sz w:val="18"/>
              </w:rPr>
            </w:pPr>
          </w:p>
        </w:tc>
        <w:bookmarkStart w:id="1860" w:name="_Toc15099_WPSOffice_Level1"/>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1878" w:type="dxa"/>
          </w:tcPr>
          <w:p>
            <w:pPr>
              <w:pStyle w:val="21"/>
              <w:pageBreakBefore w:val="0"/>
              <w:kinsoku/>
              <w:overflowPunct/>
              <w:topLinePunct w:val="0"/>
              <w:autoSpaceDE/>
              <w:autoSpaceDN/>
              <w:bidi w:val="0"/>
              <w:spacing w:line="200" w:lineRule="exact"/>
              <w:outlineLvl w:val="9"/>
              <w:rPr>
                <w:b/>
                <w:sz w:val="20"/>
              </w:rPr>
            </w:pPr>
          </w:p>
          <w:p>
            <w:pPr>
              <w:pStyle w:val="21"/>
              <w:pageBreakBefore w:val="0"/>
              <w:kinsoku/>
              <w:overflowPunct/>
              <w:topLinePunct w:val="0"/>
              <w:autoSpaceDE/>
              <w:autoSpaceDN/>
              <w:bidi w:val="0"/>
              <w:spacing w:before="124" w:line="200" w:lineRule="exact"/>
              <w:ind w:left="168" w:right="158"/>
              <w:jc w:val="center"/>
              <w:outlineLvl w:val="9"/>
              <w:rPr>
                <w:rFonts w:eastAsia="宋体"/>
                <w:sz w:val="18"/>
              </w:rPr>
            </w:pPr>
            <w:r>
              <w:rPr>
                <w:rFonts w:hint="eastAsia" w:ascii="宋体" w:eastAsia="宋体"/>
                <w:sz w:val="18"/>
              </w:rPr>
              <w:t>所在学院意见</w:t>
            </w:r>
            <w:r>
              <w:rPr>
                <w:sz w:val="18"/>
              </w:rPr>
              <w:t>Comm</w:t>
            </w:r>
            <w:bookmarkEnd w:id="1860"/>
            <w:r>
              <w:rPr>
                <w:sz w:val="18"/>
              </w:rPr>
              <w:t xml:space="preserve">ents from </w:t>
            </w:r>
            <w:r>
              <w:rPr>
                <w:rFonts w:hint="eastAsia" w:eastAsia="宋体"/>
                <w:sz w:val="18"/>
              </w:rPr>
              <w:t>y</w:t>
            </w:r>
            <w:r>
              <w:rPr>
                <w:sz w:val="18"/>
              </w:rPr>
              <w:t xml:space="preserve">our </w:t>
            </w:r>
            <w:r>
              <w:rPr>
                <w:rFonts w:hint="eastAsia" w:eastAsia="宋体"/>
                <w:sz w:val="18"/>
              </w:rPr>
              <w:t>school</w:t>
            </w:r>
          </w:p>
        </w:tc>
        <w:tc>
          <w:tcPr>
            <w:tcW w:w="2562" w:type="dxa"/>
          </w:tcPr>
          <w:p>
            <w:pPr>
              <w:pStyle w:val="21"/>
              <w:pageBreakBefore w:val="0"/>
              <w:kinsoku/>
              <w:overflowPunct/>
              <w:topLinePunct w:val="0"/>
              <w:autoSpaceDE/>
              <w:autoSpaceDN/>
              <w:bidi w:val="0"/>
              <w:spacing w:line="200" w:lineRule="exact"/>
              <w:outlineLvl w:val="9"/>
              <w:rPr>
                <w:b/>
                <w:sz w:val="20"/>
              </w:rPr>
            </w:pPr>
          </w:p>
          <w:p>
            <w:pPr>
              <w:pStyle w:val="21"/>
              <w:pageBreakBefore w:val="0"/>
              <w:kinsoku/>
              <w:overflowPunct/>
              <w:topLinePunct w:val="0"/>
              <w:autoSpaceDE/>
              <w:autoSpaceDN/>
              <w:bidi w:val="0"/>
              <w:spacing w:line="200" w:lineRule="exact"/>
              <w:ind w:left="109"/>
              <w:outlineLvl w:val="9"/>
              <w:rPr>
                <w:rFonts w:ascii="宋体" w:eastAsia="宋体"/>
                <w:sz w:val="18"/>
              </w:rPr>
            </w:pPr>
          </w:p>
          <w:p>
            <w:pPr>
              <w:pStyle w:val="21"/>
              <w:pageBreakBefore w:val="0"/>
              <w:kinsoku/>
              <w:overflowPunct/>
              <w:topLinePunct w:val="0"/>
              <w:autoSpaceDE/>
              <w:autoSpaceDN/>
              <w:bidi w:val="0"/>
              <w:spacing w:line="200" w:lineRule="exact"/>
              <w:ind w:left="109"/>
              <w:outlineLvl w:val="9"/>
              <w:rPr>
                <w:rFonts w:ascii="宋体" w:eastAsia="宋体"/>
                <w:sz w:val="18"/>
              </w:rPr>
            </w:pPr>
          </w:p>
          <w:p>
            <w:pPr>
              <w:pStyle w:val="21"/>
              <w:pageBreakBefore w:val="0"/>
              <w:kinsoku/>
              <w:overflowPunct/>
              <w:topLinePunct w:val="0"/>
              <w:autoSpaceDE/>
              <w:autoSpaceDN/>
              <w:bidi w:val="0"/>
              <w:spacing w:line="200" w:lineRule="exact"/>
              <w:ind w:left="109"/>
              <w:outlineLvl w:val="9"/>
              <w:rPr>
                <w:rFonts w:ascii="宋体" w:eastAsia="宋体"/>
                <w:sz w:val="18"/>
              </w:rPr>
            </w:pPr>
          </w:p>
          <w:p>
            <w:pPr>
              <w:pStyle w:val="21"/>
              <w:pageBreakBefore w:val="0"/>
              <w:kinsoku/>
              <w:overflowPunct/>
              <w:topLinePunct w:val="0"/>
              <w:autoSpaceDE/>
              <w:autoSpaceDN/>
              <w:bidi w:val="0"/>
              <w:spacing w:line="200" w:lineRule="exact"/>
              <w:ind w:left="109"/>
              <w:outlineLvl w:val="9"/>
              <w:rPr>
                <w:rFonts w:ascii="宋体" w:eastAsia="宋体"/>
                <w:sz w:val="18"/>
              </w:rPr>
            </w:pPr>
            <w:r>
              <w:rPr>
                <w:rFonts w:hint="eastAsia" w:ascii="宋体" w:eastAsia="宋体"/>
                <w:sz w:val="18"/>
              </w:rPr>
              <w:t>辅导员签字</w:t>
            </w:r>
          </w:p>
          <w:p>
            <w:pPr>
              <w:pStyle w:val="21"/>
              <w:pageBreakBefore w:val="0"/>
              <w:kinsoku/>
              <w:overflowPunct/>
              <w:topLinePunct w:val="0"/>
              <w:autoSpaceDE/>
              <w:autoSpaceDN/>
              <w:bidi w:val="0"/>
              <w:spacing w:line="200" w:lineRule="exact"/>
              <w:ind w:left="109"/>
              <w:outlineLvl w:val="9"/>
              <w:rPr>
                <w:sz w:val="18"/>
              </w:rPr>
            </w:pPr>
            <w:r>
              <w:rPr>
                <w:rFonts w:hint="eastAsia" w:eastAsia="宋体"/>
                <w:sz w:val="18"/>
              </w:rPr>
              <w:t>Coordinator signature</w:t>
            </w:r>
            <w:r>
              <w:rPr>
                <w:sz w:val="18"/>
              </w:rPr>
              <w:t xml:space="preserve"> :</w:t>
            </w:r>
          </w:p>
          <w:p>
            <w:pPr>
              <w:pStyle w:val="21"/>
              <w:pageBreakBefore w:val="0"/>
              <w:kinsoku/>
              <w:overflowPunct/>
              <w:topLinePunct w:val="0"/>
              <w:autoSpaceDE/>
              <w:autoSpaceDN/>
              <w:bidi w:val="0"/>
              <w:spacing w:before="82" w:line="200" w:lineRule="exact"/>
              <w:ind w:left="107"/>
              <w:outlineLvl w:val="9"/>
              <w:rPr>
                <w:sz w:val="18"/>
              </w:rPr>
            </w:pPr>
            <w:r>
              <w:rPr>
                <w:rFonts w:hint="eastAsia" w:ascii="宋体" w:eastAsia="宋体"/>
                <w:sz w:val="18"/>
              </w:rPr>
              <w:t xml:space="preserve">日期 </w:t>
            </w:r>
            <w:r>
              <w:rPr>
                <w:sz w:val="18"/>
              </w:rPr>
              <w:t>Date :</w:t>
            </w:r>
          </w:p>
        </w:tc>
        <w:tc>
          <w:tcPr>
            <w:tcW w:w="4163" w:type="dxa"/>
            <w:gridSpan w:val="2"/>
          </w:tcPr>
          <w:p>
            <w:pPr>
              <w:pStyle w:val="21"/>
              <w:pageBreakBefore w:val="0"/>
              <w:kinsoku/>
              <w:overflowPunct/>
              <w:topLinePunct w:val="0"/>
              <w:autoSpaceDE/>
              <w:autoSpaceDN/>
              <w:bidi w:val="0"/>
              <w:spacing w:line="200" w:lineRule="exact"/>
              <w:outlineLvl w:val="9"/>
              <w:rPr>
                <w:b/>
                <w:sz w:val="20"/>
              </w:rPr>
            </w:pPr>
          </w:p>
          <w:p>
            <w:pPr>
              <w:pStyle w:val="21"/>
              <w:pageBreakBefore w:val="0"/>
              <w:kinsoku/>
              <w:overflowPunct/>
              <w:topLinePunct w:val="0"/>
              <w:autoSpaceDE/>
              <w:autoSpaceDN/>
              <w:bidi w:val="0"/>
              <w:spacing w:before="82" w:line="200" w:lineRule="exact"/>
              <w:ind w:left="105"/>
              <w:outlineLvl w:val="9"/>
              <w:rPr>
                <w:rFonts w:eastAsia="宋体"/>
                <w:sz w:val="18"/>
              </w:rPr>
            </w:pPr>
          </w:p>
          <w:p>
            <w:pPr>
              <w:pStyle w:val="21"/>
              <w:pageBreakBefore w:val="0"/>
              <w:kinsoku/>
              <w:overflowPunct/>
              <w:topLinePunct w:val="0"/>
              <w:autoSpaceDE/>
              <w:autoSpaceDN/>
              <w:bidi w:val="0"/>
              <w:spacing w:before="82" w:line="200" w:lineRule="exact"/>
              <w:ind w:left="105"/>
              <w:outlineLvl w:val="9"/>
              <w:rPr>
                <w:rFonts w:eastAsia="宋体"/>
                <w:sz w:val="18"/>
              </w:rPr>
            </w:pPr>
          </w:p>
          <w:p>
            <w:pPr>
              <w:pStyle w:val="21"/>
              <w:pageBreakBefore w:val="0"/>
              <w:kinsoku/>
              <w:overflowPunct/>
              <w:topLinePunct w:val="0"/>
              <w:autoSpaceDE/>
              <w:autoSpaceDN/>
              <w:bidi w:val="0"/>
              <w:spacing w:before="82" w:line="200" w:lineRule="exact"/>
              <w:ind w:left="105"/>
              <w:outlineLvl w:val="9"/>
              <w:rPr>
                <w:rFonts w:eastAsia="宋体"/>
                <w:sz w:val="18"/>
              </w:rPr>
            </w:pPr>
            <w:r>
              <w:rPr>
                <w:rFonts w:hint="eastAsia" w:eastAsia="宋体"/>
                <w:sz w:val="18"/>
              </w:rPr>
              <w:t>学院书记/院长签字</w:t>
            </w:r>
          </w:p>
          <w:p>
            <w:pPr>
              <w:pStyle w:val="21"/>
              <w:pageBreakBefore w:val="0"/>
              <w:kinsoku/>
              <w:overflowPunct/>
              <w:topLinePunct w:val="0"/>
              <w:autoSpaceDE/>
              <w:autoSpaceDN/>
              <w:bidi w:val="0"/>
              <w:spacing w:before="82" w:line="200" w:lineRule="exact"/>
              <w:ind w:left="105"/>
              <w:outlineLvl w:val="9"/>
              <w:rPr>
                <w:rFonts w:eastAsia="宋体"/>
                <w:sz w:val="18"/>
              </w:rPr>
            </w:pPr>
            <w:r>
              <w:rPr>
                <w:rFonts w:hint="eastAsia" w:eastAsia="宋体"/>
                <w:sz w:val="18"/>
              </w:rPr>
              <w:t>Party secretary/Directors signature</w:t>
            </w:r>
          </w:p>
          <w:p>
            <w:pPr>
              <w:pStyle w:val="21"/>
              <w:pageBreakBefore w:val="0"/>
              <w:kinsoku/>
              <w:overflowPunct/>
              <w:topLinePunct w:val="0"/>
              <w:autoSpaceDE/>
              <w:autoSpaceDN/>
              <w:bidi w:val="0"/>
              <w:spacing w:before="82" w:line="200" w:lineRule="exact"/>
              <w:ind w:firstLine="180" w:firstLineChars="100"/>
              <w:outlineLvl w:val="9"/>
              <w:rPr>
                <w:rFonts w:eastAsia="宋体"/>
                <w:sz w:val="18"/>
              </w:rPr>
            </w:pPr>
            <w:r>
              <w:rPr>
                <w:rFonts w:hint="eastAsia" w:ascii="宋体" w:eastAsia="宋体"/>
                <w:sz w:val="18"/>
              </w:rPr>
              <w:t xml:space="preserve">日期 </w:t>
            </w:r>
            <w:r>
              <w:rPr>
                <w:sz w:val="18"/>
              </w:rPr>
              <w:t>Date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0" w:hRule="atLeast"/>
        </w:trPr>
        <w:tc>
          <w:tcPr>
            <w:tcW w:w="1878" w:type="dxa"/>
          </w:tcPr>
          <w:p>
            <w:pPr>
              <w:pStyle w:val="21"/>
              <w:pageBreakBefore w:val="0"/>
              <w:kinsoku/>
              <w:overflowPunct/>
              <w:topLinePunct w:val="0"/>
              <w:autoSpaceDE/>
              <w:autoSpaceDN/>
              <w:bidi w:val="0"/>
              <w:spacing w:before="124" w:line="200" w:lineRule="exact"/>
              <w:ind w:left="168" w:right="158"/>
              <w:jc w:val="center"/>
              <w:outlineLvl w:val="9"/>
              <w:rPr>
                <w:rFonts w:ascii="宋体" w:eastAsia="宋体"/>
                <w:sz w:val="18"/>
              </w:rPr>
            </w:pPr>
            <w:r>
              <w:rPr>
                <w:rFonts w:hint="eastAsia" w:eastAsia="宋体"/>
                <w:sz w:val="18"/>
              </w:rPr>
              <w:t>学校意见</w:t>
            </w:r>
            <w:r>
              <w:rPr>
                <w:sz w:val="18"/>
              </w:rPr>
              <w:t xml:space="preserve">Comments from </w:t>
            </w:r>
            <w:r>
              <w:rPr>
                <w:rFonts w:hint="eastAsia" w:eastAsia="宋体"/>
                <w:sz w:val="18"/>
              </w:rPr>
              <w:t>the</w:t>
            </w:r>
            <w:r>
              <w:rPr>
                <w:sz w:val="18"/>
              </w:rPr>
              <w:t xml:space="preserve"> </w:t>
            </w:r>
            <w:r>
              <w:rPr>
                <w:rFonts w:hint="eastAsia" w:eastAsia="宋体"/>
                <w:sz w:val="18"/>
              </w:rPr>
              <w:t>c</w:t>
            </w:r>
            <w:r>
              <w:rPr>
                <w:sz w:val="18"/>
              </w:rPr>
              <w:t>ollege</w:t>
            </w:r>
          </w:p>
        </w:tc>
        <w:tc>
          <w:tcPr>
            <w:tcW w:w="2562" w:type="dxa"/>
          </w:tcPr>
          <w:p>
            <w:pPr>
              <w:pStyle w:val="21"/>
              <w:pageBreakBefore w:val="0"/>
              <w:kinsoku/>
              <w:overflowPunct/>
              <w:topLinePunct w:val="0"/>
              <w:autoSpaceDE/>
              <w:autoSpaceDN/>
              <w:bidi w:val="0"/>
              <w:spacing w:line="200" w:lineRule="exact"/>
              <w:ind w:left="109"/>
              <w:outlineLvl w:val="9"/>
              <w:rPr>
                <w:rFonts w:ascii="宋体" w:eastAsia="宋体"/>
                <w:sz w:val="18"/>
              </w:rPr>
            </w:pPr>
          </w:p>
          <w:p>
            <w:pPr>
              <w:pStyle w:val="21"/>
              <w:pageBreakBefore w:val="0"/>
              <w:kinsoku/>
              <w:overflowPunct/>
              <w:topLinePunct w:val="0"/>
              <w:autoSpaceDE/>
              <w:autoSpaceDN/>
              <w:bidi w:val="0"/>
              <w:spacing w:line="200" w:lineRule="exact"/>
              <w:ind w:left="109"/>
              <w:outlineLvl w:val="9"/>
              <w:rPr>
                <w:rFonts w:ascii="宋体" w:eastAsia="宋体"/>
                <w:sz w:val="18"/>
              </w:rPr>
            </w:pPr>
          </w:p>
          <w:p>
            <w:pPr>
              <w:pStyle w:val="21"/>
              <w:pageBreakBefore w:val="0"/>
              <w:kinsoku/>
              <w:overflowPunct/>
              <w:topLinePunct w:val="0"/>
              <w:autoSpaceDE/>
              <w:autoSpaceDN/>
              <w:bidi w:val="0"/>
              <w:spacing w:line="200" w:lineRule="exact"/>
              <w:ind w:left="109"/>
              <w:outlineLvl w:val="9"/>
              <w:rPr>
                <w:rFonts w:ascii="宋体" w:eastAsia="宋体"/>
                <w:sz w:val="18"/>
              </w:rPr>
            </w:pPr>
          </w:p>
          <w:p>
            <w:pPr>
              <w:pStyle w:val="21"/>
              <w:pageBreakBefore w:val="0"/>
              <w:kinsoku/>
              <w:overflowPunct/>
              <w:topLinePunct w:val="0"/>
              <w:autoSpaceDE/>
              <w:autoSpaceDN/>
              <w:bidi w:val="0"/>
              <w:spacing w:line="200" w:lineRule="exact"/>
              <w:ind w:left="109"/>
              <w:outlineLvl w:val="9"/>
              <w:rPr>
                <w:rFonts w:ascii="宋体" w:eastAsia="宋体"/>
                <w:sz w:val="18"/>
              </w:rPr>
            </w:pPr>
            <w:r>
              <w:rPr>
                <w:rFonts w:hint="eastAsia" w:ascii="宋体" w:eastAsia="宋体"/>
                <w:sz w:val="18"/>
              </w:rPr>
              <w:t>学工处处长签字</w:t>
            </w:r>
          </w:p>
          <w:p>
            <w:pPr>
              <w:pStyle w:val="21"/>
              <w:pageBreakBefore w:val="0"/>
              <w:kinsoku/>
              <w:overflowPunct/>
              <w:topLinePunct w:val="0"/>
              <w:autoSpaceDE/>
              <w:autoSpaceDN/>
              <w:bidi w:val="0"/>
              <w:spacing w:line="200" w:lineRule="exact"/>
              <w:ind w:left="109"/>
              <w:outlineLvl w:val="9"/>
              <w:rPr>
                <w:sz w:val="18"/>
              </w:rPr>
            </w:pPr>
            <w:r>
              <w:rPr>
                <w:rFonts w:hint="eastAsia" w:eastAsia="宋体"/>
                <w:sz w:val="18"/>
              </w:rPr>
              <w:t>Director of student business department signature</w:t>
            </w:r>
            <w:r>
              <w:rPr>
                <w:sz w:val="18"/>
              </w:rPr>
              <w:t xml:space="preserve"> :</w:t>
            </w:r>
          </w:p>
          <w:p>
            <w:pPr>
              <w:pStyle w:val="21"/>
              <w:pageBreakBefore w:val="0"/>
              <w:kinsoku/>
              <w:overflowPunct/>
              <w:topLinePunct w:val="0"/>
              <w:autoSpaceDE/>
              <w:autoSpaceDN/>
              <w:bidi w:val="0"/>
              <w:spacing w:before="82" w:line="200" w:lineRule="exact"/>
              <w:ind w:left="107"/>
              <w:outlineLvl w:val="9"/>
              <w:rPr>
                <w:rFonts w:ascii="宋体" w:eastAsia="宋体"/>
                <w:sz w:val="18"/>
              </w:rPr>
            </w:pPr>
            <w:r>
              <w:rPr>
                <w:rFonts w:hint="eastAsia" w:ascii="宋体" w:eastAsia="宋体"/>
                <w:sz w:val="18"/>
              </w:rPr>
              <w:t xml:space="preserve">日期 </w:t>
            </w:r>
            <w:r>
              <w:rPr>
                <w:sz w:val="18"/>
              </w:rPr>
              <w:t>Date :</w:t>
            </w:r>
          </w:p>
        </w:tc>
        <w:tc>
          <w:tcPr>
            <w:tcW w:w="4163" w:type="dxa"/>
            <w:gridSpan w:val="2"/>
          </w:tcPr>
          <w:p>
            <w:pPr>
              <w:pStyle w:val="21"/>
              <w:pageBreakBefore w:val="0"/>
              <w:kinsoku/>
              <w:overflowPunct/>
              <w:topLinePunct w:val="0"/>
              <w:autoSpaceDE/>
              <w:autoSpaceDN/>
              <w:bidi w:val="0"/>
              <w:spacing w:before="82" w:line="200" w:lineRule="exact"/>
              <w:ind w:firstLine="180" w:firstLineChars="100"/>
              <w:outlineLvl w:val="9"/>
              <w:rPr>
                <w:rFonts w:ascii="宋体" w:eastAsia="宋体"/>
                <w:sz w:val="18"/>
              </w:rPr>
            </w:pPr>
          </w:p>
          <w:p>
            <w:pPr>
              <w:pStyle w:val="21"/>
              <w:pageBreakBefore w:val="0"/>
              <w:kinsoku/>
              <w:overflowPunct/>
              <w:topLinePunct w:val="0"/>
              <w:autoSpaceDE/>
              <w:autoSpaceDN/>
              <w:bidi w:val="0"/>
              <w:spacing w:before="82" w:line="200" w:lineRule="exact"/>
              <w:ind w:firstLine="180" w:firstLineChars="100"/>
              <w:outlineLvl w:val="9"/>
              <w:rPr>
                <w:rFonts w:ascii="宋体" w:eastAsia="宋体"/>
                <w:sz w:val="18"/>
              </w:rPr>
            </w:pPr>
          </w:p>
          <w:p>
            <w:pPr>
              <w:pStyle w:val="21"/>
              <w:pageBreakBefore w:val="0"/>
              <w:kinsoku/>
              <w:overflowPunct/>
              <w:topLinePunct w:val="0"/>
              <w:autoSpaceDE/>
              <w:autoSpaceDN/>
              <w:bidi w:val="0"/>
              <w:spacing w:before="82" w:line="200" w:lineRule="exact"/>
              <w:ind w:firstLine="180" w:firstLineChars="100"/>
              <w:outlineLvl w:val="9"/>
              <w:rPr>
                <w:rFonts w:ascii="宋体" w:eastAsia="宋体"/>
                <w:sz w:val="18"/>
              </w:rPr>
            </w:pPr>
            <w:r>
              <w:rPr>
                <w:rFonts w:hint="eastAsia" w:ascii="宋体" w:eastAsia="宋体"/>
                <w:sz w:val="18"/>
              </w:rPr>
              <w:t>国交处处长签字</w:t>
            </w:r>
          </w:p>
          <w:p>
            <w:pPr>
              <w:pStyle w:val="21"/>
              <w:pageBreakBefore w:val="0"/>
              <w:kinsoku/>
              <w:overflowPunct/>
              <w:topLinePunct w:val="0"/>
              <w:autoSpaceDE/>
              <w:autoSpaceDN/>
              <w:bidi w:val="0"/>
              <w:spacing w:before="82" w:line="200" w:lineRule="exact"/>
              <w:ind w:firstLine="180" w:firstLineChars="100"/>
              <w:jc w:val="left"/>
              <w:outlineLvl w:val="9"/>
              <w:rPr>
                <w:rFonts w:eastAsia="宋体"/>
                <w:sz w:val="18"/>
              </w:rPr>
            </w:pPr>
            <w:r>
              <w:rPr>
                <w:rFonts w:hint="eastAsia" w:eastAsia="宋体"/>
                <w:sz w:val="18"/>
              </w:rPr>
              <w:t>Director of international exchange department signature</w:t>
            </w:r>
          </w:p>
          <w:p>
            <w:pPr>
              <w:pStyle w:val="21"/>
              <w:pageBreakBefore w:val="0"/>
              <w:kinsoku/>
              <w:overflowPunct/>
              <w:topLinePunct w:val="0"/>
              <w:autoSpaceDE/>
              <w:autoSpaceDN/>
              <w:bidi w:val="0"/>
              <w:spacing w:before="82" w:line="200" w:lineRule="exact"/>
              <w:ind w:firstLine="180" w:firstLineChars="100"/>
              <w:outlineLvl w:val="9"/>
              <w:rPr>
                <w:rFonts w:ascii="宋体" w:eastAsia="宋体"/>
                <w:sz w:val="18"/>
              </w:rPr>
            </w:pPr>
            <w:r>
              <w:rPr>
                <w:rFonts w:hint="eastAsia" w:ascii="宋体" w:eastAsia="宋体"/>
                <w:sz w:val="18"/>
              </w:rPr>
              <w:t>日期</w:t>
            </w:r>
            <w:r>
              <w:rPr>
                <w:rFonts w:hint="eastAsia" w:eastAsia="宋体"/>
                <w:sz w:val="18"/>
              </w:rPr>
              <w:t>Date</w:t>
            </w:r>
            <w:r>
              <w:rPr>
                <w:rFonts w:hint="eastAsia" w:ascii="宋体" w:eastAsia="宋体"/>
                <w:sz w:val="18"/>
              </w:rPr>
              <w:t>:</w:t>
            </w:r>
          </w:p>
        </w:tc>
      </w:tr>
    </w:tbl>
    <w:p>
      <w:pPr>
        <w:pageBreakBefore w:val="0"/>
        <w:kinsoku/>
        <w:overflowPunct/>
        <w:topLinePunct w:val="0"/>
        <w:autoSpaceDE/>
        <w:autoSpaceDN/>
        <w:bidi w:val="0"/>
        <w:spacing w:line="403" w:lineRule="exact"/>
        <w:ind w:right="1695"/>
        <w:outlineLvl w:val="9"/>
        <w:rPr>
          <w:rFonts w:ascii="Microsoft JhengHei"/>
          <w:bCs/>
          <w:sz w:val="24"/>
        </w:rPr>
      </w:pPr>
    </w:p>
    <w:p>
      <w:pPr>
        <w:pageBreakBefore w:val="0"/>
        <w:kinsoku/>
        <w:overflowPunct/>
        <w:topLinePunct w:val="0"/>
        <w:autoSpaceDE/>
        <w:autoSpaceDN/>
        <w:bidi w:val="0"/>
        <w:spacing w:line="403" w:lineRule="exact"/>
        <w:ind w:right="1695"/>
        <w:outlineLvl w:val="9"/>
        <w:rPr>
          <w:rFonts w:ascii="Microsoft JhengHei"/>
          <w:bCs/>
          <w:sz w:val="24"/>
        </w:rPr>
      </w:pPr>
    </w:p>
    <w:p>
      <w:pPr>
        <w:pageBreakBefore w:val="0"/>
        <w:kinsoku/>
        <w:overflowPunct/>
        <w:topLinePunct w:val="0"/>
        <w:autoSpaceDE/>
        <w:autoSpaceDN/>
        <w:bidi w:val="0"/>
        <w:outlineLvl w:val="9"/>
        <w:rPr>
          <w:rFonts w:hint="eastAsia" w:ascii="黑体" w:eastAsia="黑体"/>
          <w:b/>
          <w:bCs/>
          <w:sz w:val="32"/>
          <w:szCs w:val="32"/>
        </w:rPr>
      </w:pPr>
    </w:p>
    <w:p>
      <w:pPr>
        <w:pageBreakBefore w:val="0"/>
        <w:kinsoku/>
        <w:overflowPunct/>
        <w:topLinePunct w:val="0"/>
        <w:autoSpaceDE/>
        <w:autoSpaceDN/>
        <w:bidi w:val="0"/>
        <w:outlineLvl w:val="9"/>
        <w:rPr>
          <w:rFonts w:hint="eastAsia"/>
        </w:rPr>
      </w:pPr>
    </w:p>
    <w:p>
      <w:pPr>
        <w:pageBreakBefore w:val="0"/>
        <w:kinsoku/>
        <w:overflowPunct/>
        <w:topLinePunct w:val="0"/>
        <w:autoSpaceDE/>
        <w:autoSpaceDN/>
        <w:bidi w:val="0"/>
        <w:spacing w:line="720" w:lineRule="exact"/>
        <w:jc w:val="left"/>
        <w:outlineLvl w:val="9"/>
        <w:rPr>
          <w:rFonts w:ascii="Microsoft JhengHei"/>
          <w:b/>
          <w:sz w:val="24"/>
        </w:rPr>
      </w:pPr>
      <w:bookmarkStart w:id="1861" w:name="_Toc2226_WPSOffice_Level1"/>
      <w:r>
        <w:rPr>
          <w:rFonts w:hint="eastAsia" w:ascii="黑体" w:eastAsia="黑体"/>
          <w:b/>
          <w:bCs/>
          <w:sz w:val="32"/>
          <w:szCs w:val="32"/>
        </w:rPr>
        <w:t>附件2：</w:t>
      </w:r>
      <w:bookmarkEnd w:id="1861"/>
    </w:p>
    <w:p>
      <w:pPr>
        <w:pageBreakBefore w:val="0"/>
        <w:kinsoku/>
        <w:overflowPunct/>
        <w:topLinePunct w:val="0"/>
        <w:autoSpaceDE/>
        <w:autoSpaceDN/>
        <w:bidi w:val="0"/>
        <w:jc w:val="center"/>
        <w:outlineLvl w:val="9"/>
        <w:rPr>
          <w:b/>
          <w:bCs/>
          <w:sz w:val="24"/>
        </w:rPr>
      </w:pPr>
      <w:r>
        <w:rPr>
          <w:rFonts w:hint="eastAsia"/>
          <w:b/>
          <w:bCs/>
          <w:sz w:val="24"/>
        </w:rPr>
        <w:t>柳州职业技术学院外国留学生离柳外出动向表</w:t>
      </w:r>
    </w:p>
    <w:p>
      <w:pPr>
        <w:pageBreakBefore w:val="0"/>
        <w:kinsoku/>
        <w:overflowPunct/>
        <w:topLinePunct w:val="0"/>
        <w:autoSpaceDE/>
        <w:autoSpaceDN/>
        <w:bidi w:val="0"/>
        <w:jc w:val="center"/>
        <w:outlineLvl w:val="9"/>
        <w:rPr>
          <w:b/>
          <w:bCs/>
          <w:sz w:val="24"/>
        </w:rPr>
      </w:pPr>
      <w:r>
        <w:rPr>
          <w:b/>
          <w:bCs/>
          <w:sz w:val="24"/>
        </w:rPr>
        <w:t xml:space="preserve">The Application Form of International Students of </w:t>
      </w:r>
      <w:r>
        <w:rPr>
          <w:rFonts w:hint="eastAsia"/>
          <w:b/>
          <w:bCs/>
          <w:sz w:val="24"/>
        </w:rPr>
        <w:t>LVTC for Leaving Liuzhou</w:t>
      </w:r>
    </w:p>
    <w:tbl>
      <w:tblPr>
        <w:tblStyle w:val="14"/>
        <w:tblpPr w:leftFromText="180" w:rightFromText="180" w:vertAnchor="text" w:horzAnchor="page" w:tblpX="1670" w:tblpY="179"/>
        <w:tblOverlap w:val="never"/>
        <w:tblW w:w="86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2"/>
        <w:gridCol w:w="2678"/>
        <w:gridCol w:w="1839"/>
        <w:gridCol w:w="23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762" w:type="dxa"/>
          </w:tcPr>
          <w:p>
            <w:pPr>
              <w:pStyle w:val="21"/>
              <w:pageBreakBefore w:val="0"/>
              <w:kinsoku/>
              <w:overflowPunct/>
              <w:topLinePunct w:val="0"/>
              <w:autoSpaceDE/>
              <w:autoSpaceDN/>
              <w:bidi w:val="0"/>
              <w:spacing w:before="41" w:line="200" w:lineRule="exact"/>
              <w:ind w:left="168" w:right="159"/>
              <w:jc w:val="center"/>
              <w:outlineLvl w:val="9"/>
              <w:rPr>
                <w:rFonts w:ascii="宋体" w:eastAsia="宋体"/>
                <w:sz w:val="18"/>
              </w:rPr>
            </w:pPr>
            <w:r>
              <w:rPr>
                <w:rFonts w:hint="eastAsia" w:ascii="宋体" w:eastAsia="宋体"/>
                <w:sz w:val="18"/>
              </w:rPr>
              <w:t>学号</w:t>
            </w:r>
          </w:p>
          <w:p>
            <w:pPr>
              <w:pStyle w:val="21"/>
              <w:pageBreakBefore w:val="0"/>
              <w:kinsoku/>
              <w:overflowPunct/>
              <w:topLinePunct w:val="0"/>
              <w:autoSpaceDE/>
              <w:autoSpaceDN/>
              <w:bidi w:val="0"/>
              <w:spacing w:before="91" w:line="200" w:lineRule="exact"/>
              <w:ind w:left="168" w:right="159"/>
              <w:jc w:val="center"/>
              <w:outlineLvl w:val="9"/>
              <w:rPr>
                <w:sz w:val="18"/>
              </w:rPr>
            </w:pPr>
            <w:r>
              <w:rPr>
                <w:sz w:val="18"/>
              </w:rPr>
              <w:t>Student ID</w:t>
            </w:r>
          </w:p>
        </w:tc>
        <w:tc>
          <w:tcPr>
            <w:tcW w:w="2678" w:type="dxa"/>
          </w:tcPr>
          <w:p>
            <w:pPr>
              <w:pStyle w:val="21"/>
              <w:pageBreakBefore w:val="0"/>
              <w:kinsoku/>
              <w:overflowPunct/>
              <w:topLinePunct w:val="0"/>
              <w:autoSpaceDE/>
              <w:autoSpaceDN/>
              <w:bidi w:val="0"/>
              <w:spacing w:line="200" w:lineRule="exact"/>
              <w:outlineLvl w:val="9"/>
              <w:rPr>
                <w:sz w:val="18"/>
              </w:rPr>
            </w:pPr>
          </w:p>
        </w:tc>
        <w:tc>
          <w:tcPr>
            <w:tcW w:w="4163" w:type="dxa"/>
            <w:gridSpan w:val="2"/>
          </w:tcPr>
          <w:p>
            <w:pPr>
              <w:pStyle w:val="21"/>
              <w:pageBreakBefore w:val="0"/>
              <w:tabs>
                <w:tab w:val="left" w:pos="916"/>
                <w:tab w:val="left" w:pos="1906"/>
                <w:tab w:val="left" w:pos="2806"/>
              </w:tabs>
              <w:kinsoku/>
              <w:overflowPunct/>
              <w:topLinePunct w:val="0"/>
              <w:autoSpaceDE/>
              <w:autoSpaceDN/>
              <w:bidi w:val="0"/>
              <w:spacing w:before="41" w:line="200" w:lineRule="exact"/>
              <w:ind w:left="106"/>
              <w:outlineLvl w:val="9"/>
              <w:rPr>
                <w:rFonts w:ascii="宋体" w:eastAsia="宋体"/>
                <w:sz w:val="18"/>
              </w:rPr>
            </w:pPr>
            <w:r>
              <w:rPr>
                <w:rFonts w:hint="eastAsia" w:ascii="宋体" w:eastAsia="宋体"/>
                <w:sz w:val="18"/>
              </w:rPr>
              <w:t>项目：</w:t>
            </w:r>
            <w:r>
              <w:rPr>
                <w:rFonts w:hint="eastAsia" w:ascii="宋体" w:eastAsia="宋体"/>
                <w:sz w:val="18"/>
              </w:rPr>
              <w:tab/>
            </w:r>
            <w:r>
              <w:rPr>
                <w:rFonts w:hint="eastAsia" w:ascii="宋体" w:eastAsia="宋体"/>
                <w:sz w:val="18"/>
              </w:rPr>
              <w:t>语言学习</w:t>
            </w:r>
            <w:r>
              <w:rPr>
                <w:rFonts w:hint="eastAsia" w:ascii="宋体" w:eastAsia="宋体"/>
                <w:sz w:val="18"/>
              </w:rPr>
              <w:tab/>
            </w:r>
            <w:r>
              <w:rPr>
                <w:rFonts w:hint="eastAsia" w:ascii="宋体" w:eastAsia="宋体"/>
                <w:sz w:val="18"/>
              </w:rPr>
              <w:t>学历生</w:t>
            </w:r>
            <w:r>
              <w:rPr>
                <w:rFonts w:hint="eastAsia" w:ascii="宋体" w:eastAsia="宋体"/>
                <w:sz w:val="18"/>
              </w:rPr>
              <w:tab/>
            </w:r>
          </w:p>
          <w:p>
            <w:pPr>
              <w:pStyle w:val="21"/>
              <w:pageBreakBefore w:val="0"/>
              <w:tabs>
                <w:tab w:val="left" w:pos="1846"/>
                <w:tab w:val="left" w:pos="2795"/>
              </w:tabs>
              <w:kinsoku/>
              <w:overflowPunct/>
              <w:topLinePunct w:val="0"/>
              <w:autoSpaceDE/>
              <w:autoSpaceDN/>
              <w:bidi w:val="0"/>
              <w:spacing w:before="82" w:line="200" w:lineRule="exact"/>
              <w:ind w:left="106"/>
              <w:outlineLvl w:val="9"/>
              <w:rPr>
                <w:rFonts w:ascii="宋体" w:hAnsi="宋体" w:eastAsia="宋体"/>
                <w:sz w:val="18"/>
              </w:rPr>
            </w:pPr>
            <w:r>
              <w:rPr>
                <w:rFonts w:hint="eastAsia" w:eastAsia="宋体"/>
                <w:sz w:val="18"/>
              </w:rPr>
              <w:t>Program</w:t>
            </w:r>
            <w:r>
              <w:rPr>
                <w:rFonts w:hint="eastAsia" w:ascii="宋体" w:hAnsi="宋体" w:eastAsia="宋体"/>
                <w:sz w:val="18"/>
              </w:rPr>
              <w:t>：</w:t>
            </w:r>
            <w:r>
              <w:rPr>
                <w:rFonts w:hint="eastAsia" w:ascii="宋体" w:hAnsi="宋体" w:eastAsia="宋体"/>
                <w:spacing w:val="-3"/>
                <w:sz w:val="18"/>
              </w:rPr>
              <w:t xml:space="preserve"> </w:t>
            </w:r>
            <w:r>
              <w:rPr>
                <w:rFonts w:hint="eastAsia" w:eastAsia="宋体"/>
                <w:sz w:val="18"/>
              </w:rPr>
              <w:t>Language</w:t>
            </w:r>
            <w:r>
              <w:rPr>
                <w:rFonts w:hint="eastAsia" w:ascii="宋体" w:hAnsi="宋体" w:eastAsia="宋体"/>
                <w:sz w:val="18"/>
              </w:rPr>
              <w:t xml:space="preserve">□  </w:t>
            </w:r>
            <w:r>
              <w:rPr>
                <w:rFonts w:hint="eastAsia" w:eastAsia="宋体"/>
                <w:sz w:val="18"/>
              </w:rPr>
              <w:t>Diploma</w:t>
            </w:r>
            <w:r>
              <w:rPr>
                <w:rFonts w:hint="eastAsia" w:ascii="宋体" w:hAnsi="宋体" w:eastAsia="宋体"/>
                <w:sz w:val="18"/>
              </w:rPr>
              <w:t>□</w:t>
            </w:r>
            <w:r>
              <w:rPr>
                <w:rFonts w:hint="eastAsia" w:ascii="宋体" w:hAnsi="宋体" w:eastAsia="宋体"/>
                <w:sz w:val="18"/>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762" w:type="dxa"/>
          </w:tcPr>
          <w:p>
            <w:pPr>
              <w:pStyle w:val="21"/>
              <w:pageBreakBefore w:val="0"/>
              <w:kinsoku/>
              <w:overflowPunct/>
              <w:topLinePunct w:val="0"/>
              <w:autoSpaceDE/>
              <w:autoSpaceDN/>
              <w:bidi w:val="0"/>
              <w:spacing w:before="40" w:line="200" w:lineRule="exact"/>
              <w:ind w:left="168" w:right="159"/>
              <w:jc w:val="center"/>
              <w:outlineLvl w:val="9"/>
              <w:rPr>
                <w:rFonts w:ascii="宋体" w:eastAsia="宋体"/>
                <w:sz w:val="18"/>
              </w:rPr>
            </w:pPr>
            <w:r>
              <w:rPr>
                <w:rFonts w:hint="eastAsia" w:ascii="宋体" w:eastAsia="宋体"/>
                <w:sz w:val="18"/>
              </w:rPr>
              <w:t>姓名</w:t>
            </w:r>
          </w:p>
          <w:p>
            <w:pPr>
              <w:pStyle w:val="21"/>
              <w:pageBreakBefore w:val="0"/>
              <w:kinsoku/>
              <w:overflowPunct/>
              <w:topLinePunct w:val="0"/>
              <w:autoSpaceDE/>
              <w:autoSpaceDN/>
              <w:bidi w:val="0"/>
              <w:spacing w:before="91" w:line="200" w:lineRule="exact"/>
              <w:ind w:left="168" w:right="159"/>
              <w:jc w:val="center"/>
              <w:outlineLvl w:val="9"/>
              <w:rPr>
                <w:sz w:val="18"/>
              </w:rPr>
            </w:pPr>
            <w:r>
              <w:rPr>
                <w:sz w:val="18"/>
              </w:rPr>
              <w:t>Name</w:t>
            </w:r>
          </w:p>
        </w:tc>
        <w:tc>
          <w:tcPr>
            <w:tcW w:w="2678" w:type="dxa"/>
          </w:tcPr>
          <w:p>
            <w:pPr>
              <w:pStyle w:val="21"/>
              <w:pageBreakBefore w:val="0"/>
              <w:kinsoku/>
              <w:overflowPunct/>
              <w:topLinePunct w:val="0"/>
              <w:autoSpaceDE/>
              <w:autoSpaceDN/>
              <w:bidi w:val="0"/>
              <w:spacing w:line="200" w:lineRule="exact"/>
              <w:outlineLvl w:val="9"/>
              <w:rPr>
                <w:sz w:val="18"/>
              </w:rPr>
            </w:pPr>
          </w:p>
        </w:tc>
        <w:tc>
          <w:tcPr>
            <w:tcW w:w="1839" w:type="dxa"/>
          </w:tcPr>
          <w:p>
            <w:pPr>
              <w:pStyle w:val="21"/>
              <w:pageBreakBefore w:val="0"/>
              <w:kinsoku/>
              <w:overflowPunct/>
              <w:topLinePunct w:val="0"/>
              <w:autoSpaceDE/>
              <w:autoSpaceDN/>
              <w:bidi w:val="0"/>
              <w:spacing w:before="40" w:line="200" w:lineRule="exact"/>
              <w:ind w:left="171" w:right="161"/>
              <w:jc w:val="center"/>
              <w:outlineLvl w:val="9"/>
              <w:rPr>
                <w:rFonts w:ascii="宋体" w:eastAsia="宋体"/>
                <w:sz w:val="18"/>
              </w:rPr>
            </w:pPr>
            <w:r>
              <w:rPr>
                <w:rFonts w:hint="eastAsia" w:ascii="宋体" w:eastAsia="宋体"/>
                <w:sz w:val="18"/>
              </w:rPr>
              <w:t>国籍</w:t>
            </w:r>
          </w:p>
          <w:p>
            <w:pPr>
              <w:pStyle w:val="21"/>
              <w:pageBreakBefore w:val="0"/>
              <w:kinsoku/>
              <w:overflowPunct/>
              <w:topLinePunct w:val="0"/>
              <w:autoSpaceDE/>
              <w:autoSpaceDN/>
              <w:bidi w:val="0"/>
              <w:spacing w:before="91" w:line="200" w:lineRule="exact"/>
              <w:ind w:left="171" w:right="163"/>
              <w:jc w:val="center"/>
              <w:outlineLvl w:val="9"/>
              <w:rPr>
                <w:sz w:val="18"/>
              </w:rPr>
            </w:pPr>
            <w:r>
              <w:rPr>
                <w:sz w:val="18"/>
              </w:rPr>
              <w:t>Nationality</w:t>
            </w:r>
          </w:p>
        </w:tc>
        <w:tc>
          <w:tcPr>
            <w:tcW w:w="2324"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762" w:type="dxa"/>
          </w:tcPr>
          <w:p>
            <w:pPr>
              <w:pStyle w:val="21"/>
              <w:pageBreakBefore w:val="0"/>
              <w:kinsoku/>
              <w:overflowPunct/>
              <w:topLinePunct w:val="0"/>
              <w:autoSpaceDE/>
              <w:autoSpaceDN/>
              <w:bidi w:val="0"/>
              <w:spacing w:before="40" w:line="200" w:lineRule="exact"/>
              <w:ind w:left="168" w:right="159"/>
              <w:jc w:val="center"/>
              <w:outlineLvl w:val="9"/>
              <w:rPr>
                <w:rFonts w:ascii="宋体" w:eastAsia="宋体"/>
                <w:sz w:val="18"/>
              </w:rPr>
            </w:pPr>
            <w:r>
              <w:rPr>
                <w:rFonts w:hint="eastAsia" w:ascii="宋体" w:eastAsia="宋体"/>
                <w:sz w:val="18"/>
              </w:rPr>
              <w:t>学院</w:t>
            </w:r>
          </w:p>
          <w:p>
            <w:pPr>
              <w:pStyle w:val="21"/>
              <w:pageBreakBefore w:val="0"/>
              <w:kinsoku/>
              <w:overflowPunct/>
              <w:topLinePunct w:val="0"/>
              <w:autoSpaceDE/>
              <w:autoSpaceDN/>
              <w:bidi w:val="0"/>
              <w:spacing w:before="91" w:line="200" w:lineRule="exact"/>
              <w:ind w:left="167" w:right="159"/>
              <w:jc w:val="center"/>
              <w:outlineLvl w:val="9"/>
              <w:rPr>
                <w:sz w:val="18"/>
              </w:rPr>
            </w:pPr>
            <w:r>
              <w:rPr>
                <w:sz w:val="18"/>
              </w:rPr>
              <w:t>College</w:t>
            </w:r>
          </w:p>
        </w:tc>
        <w:tc>
          <w:tcPr>
            <w:tcW w:w="2678" w:type="dxa"/>
          </w:tcPr>
          <w:p>
            <w:pPr>
              <w:pStyle w:val="21"/>
              <w:pageBreakBefore w:val="0"/>
              <w:kinsoku/>
              <w:overflowPunct/>
              <w:topLinePunct w:val="0"/>
              <w:autoSpaceDE/>
              <w:autoSpaceDN/>
              <w:bidi w:val="0"/>
              <w:spacing w:line="200" w:lineRule="exact"/>
              <w:outlineLvl w:val="9"/>
              <w:rPr>
                <w:sz w:val="18"/>
              </w:rPr>
            </w:pPr>
          </w:p>
        </w:tc>
        <w:tc>
          <w:tcPr>
            <w:tcW w:w="1839" w:type="dxa"/>
          </w:tcPr>
          <w:p>
            <w:pPr>
              <w:pStyle w:val="21"/>
              <w:pageBreakBefore w:val="0"/>
              <w:kinsoku/>
              <w:overflowPunct/>
              <w:topLinePunct w:val="0"/>
              <w:autoSpaceDE/>
              <w:autoSpaceDN/>
              <w:bidi w:val="0"/>
              <w:spacing w:before="40" w:line="200" w:lineRule="exact"/>
              <w:ind w:left="171" w:right="171"/>
              <w:jc w:val="center"/>
              <w:outlineLvl w:val="9"/>
              <w:rPr>
                <w:rFonts w:ascii="宋体" w:eastAsia="宋体"/>
                <w:sz w:val="18"/>
              </w:rPr>
            </w:pPr>
            <w:r>
              <w:rPr>
                <w:rFonts w:hint="eastAsia" w:ascii="宋体" w:eastAsia="宋体"/>
                <w:sz w:val="18"/>
              </w:rPr>
              <w:t>专业</w:t>
            </w:r>
          </w:p>
          <w:p>
            <w:pPr>
              <w:pStyle w:val="21"/>
              <w:pageBreakBefore w:val="0"/>
              <w:kinsoku/>
              <w:overflowPunct/>
              <w:topLinePunct w:val="0"/>
              <w:autoSpaceDE/>
              <w:autoSpaceDN/>
              <w:bidi w:val="0"/>
              <w:spacing w:before="91" w:line="200" w:lineRule="exact"/>
              <w:ind w:left="171" w:right="170"/>
              <w:jc w:val="center"/>
              <w:outlineLvl w:val="9"/>
              <w:rPr>
                <w:sz w:val="18"/>
              </w:rPr>
            </w:pPr>
            <w:r>
              <w:rPr>
                <w:sz w:val="18"/>
              </w:rPr>
              <w:t>Major</w:t>
            </w:r>
          </w:p>
        </w:tc>
        <w:tc>
          <w:tcPr>
            <w:tcW w:w="2324"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762" w:type="dxa"/>
          </w:tcPr>
          <w:p>
            <w:pPr>
              <w:pStyle w:val="21"/>
              <w:pageBreakBefore w:val="0"/>
              <w:kinsoku/>
              <w:overflowPunct/>
              <w:topLinePunct w:val="0"/>
              <w:autoSpaceDE/>
              <w:autoSpaceDN/>
              <w:bidi w:val="0"/>
              <w:spacing w:before="41" w:line="200" w:lineRule="exact"/>
              <w:ind w:left="168" w:right="159"/>
              <w:jc w:val="center"/>
              <w:outlineLvl w:val="9"/>
              <w:rPr>
                <w:rFonts w:ascii="宋体" w:eastAsia="宋体"/>
                <w:sz w:val="18"/>
              </w:rPr>
            </w:pPr>
            <w:r>
              <w:rPr>
                <w:rFonts w:hint="eastAsia" w:ascii="宋体" w:eastAsia="宋体"/>
                <w:sz w:val="18"/>
              </w:rPr>
              <w:t>护照号</w:t>
            </w:r>
          </w:p>
          <w:p>
            <w:pPr>
              <w:pStyle w:val="21"/>
              <w:pageBreakBefore w:val="0"/>
              <w:kinsoku/>
              <w:overflowPunct/>
              <w:topLinePunct w:val="0"/>
              <w:autoSpaceDE/>
              <w:autoSpaceDN/>
              <w:bidi w:val="0"/>
              <w:spacing w:before="91" w:line="200" w:lineRule="exact"/>
              <w:ind w:left="167" w:right="159"/>
              <w:jc w:val="center"/>
              <w:outlineLvl w:val="9"/>
              <w:rPr>
                <w:sz w:val="18"/>
              </w:rPr>
            </w:pPr>
            <w:r>
              <w:rPr>
                <w:sz w:val="18"/>
              </w:rPr>
              <w:t>Passport No.</w:t>
            </w:r>
          </w:p>
        </w:tc>
        <w:tc>
          <w:tcPr>
            <w:tcW w:w="2678" w:type="dxa"/>
          </w:tcPr>
          <w:p>
            <w:pPr>
              <w:pStyle w:val="21"/>
              <w:pageBreakBefore w:val="0"/>
              <w:kinsoku/>
              <w:overflowPunct/>
              <w:topLinePunct w:val="0"/>
              <w:autoSpaceDE/>
              <w:autoSpaceDN/>
              <w:bidi w:val="0"/>
              <w:spacing w:line="200" w:lineRule="exact"/>
              <w:outlineLvl w:val="9"/>
              <w:rPr>
                <w:sz w:val="18"/>
              </w:rPr>
            </w:pPr>
          </w:p>
        </w:tc>
        <w:tc>
          <w:tcPr>
            <w:tcW w:w="1839" w:type="dxa"/>
          </w:tcPr>
          <w:p>
            <w:pPr>
              <w:pStyle w:val="21"/>
              <w:pageBreakBefore w:val="0"/>
              <w:kinsoku/>
              <w:overflowPunct/>
              <w:topLinePunct w:val="0"/>
              <w:autoSpaceDE/>
              <w:autoSpaceDN/>
              <w:bidi w:val="0"/>
              <w:spacing w:before="41" w:line="200" w:lineRule="exact"/>
              <w:ind w:left="171" w:right="171"/>
              <w:jc w:val="center"/>
              <w:outlineLvl w:val="9"/>
              <w:rPr>
                <w:rFonts w:ascii="宋体" w:eastAsia="宋体"/>
                <w:sz w:val="18"/>
              </w:rPr>
            </w:pPr>
            <w:r>
              <w:rPr>
                <w:rFonts w:hint="eastAsia" w:ascii="宋体" w:eastAsia="宋体"/>
                <w:sz w:val="18"/>
              </w:rPr>
              <w:t>辅导员电话</w:t>
            </w:r>
          </w:p>
          <w:p>
            <w:pPr>
              <w:pStyle w:val="21"/>
              <w:pageBreakBefore w:val="0"/>
              <w:kinsoku/>
              <w:overflowPunct/>
              <w:topLinePunct w:val="0"/>
              <w:autoSpaceDE/>
              <w:autoSpaceDN/>
              <w:bidi w:val="0"/>
              <w:spacing w:before="91" w:line="200" w:lineRule="exact"/>
              <w:ind w:left="171" w:right="171"/>
              <w:jc w:val="center"/>
              <w:outlineLvl w:val="9"/>
              <w:rPr>
                <w:sz w:val="18"/>
              </w:rPr>
            </w:pPr>
            <w:r>
              <w:rPr>
                <w:rFonts w:hint="eastAsia" w:eastAsia="宋体"/>
                <w:sz w:val="18"/>
              </w:rPr>
              <w:t>Coordinator</w:t>
            </w:r>
            <w:r>
              <w:rPr>
                <w:sz w:val="18"/>
              </w:rPr>
              <w:t xml:space="preserve">s </w:t>
            </w:r>
            <w:r>
              <w:rPr>
                <w:rFonts w:hint="eastAsia" w:eastAsia="宋体"/>
                <w:sz w:val="18"/>
              </w:rPr>
              <w:t>m</w:t>
            </w:r>
            <w:r>
              <w:rPr>
                <w:sz w:val="18"/>
              </w:rPr>
              <w:t>obile</w:t>
            </w:r>
          </w:p>
        </w:tc>
        <w:tc>
          <w:tcPr>
            <w:tcW w:w="2324"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762" w:type="dxa"/>
          </w:tcPr>
          <w:p>
            <w:pPr>
              <w:pStyle w:val="21"/>
              <w:pageBreakBefore w:val="0"/>
              <w:kinsoku/>
              <w:overflowPunct/>
              <w:topLinePunct w:val="0"/>
              <w:autoSpaceDE/>
              <w:autoSpaceDN/>
              <w:bidi w:val="0"/>
              <w:spacing w:before="40" w:line="200" w:lineRule="exact"/>
              <w:ind w:left="168" w:right="159"/>
              <w:jc w:val="center"/>
              <w:outlineLvl w:val="9"/>
              <w:rPr>
                <w:rFonts w:ascii="宋体" w:eastAsia="宋体"/>
                <w:sz w:val="18"/>
              </w:rPr>
            </w:pPr>
            <w:r>
              <w:rPr>
                <w:rFonts w:hint="eastAsia" w:ascii="宋体" w:eastAsia="宋体"/>
                <w:sz w:val="18"/>
              </w:rPr>
              <w:t>电话</w:t>
            </w:r>
          </w:p>
          <w:p>
            <w:pPr>
              <w:pStyle w:val="21"/>
              <w:pageBreakBefore w:val="0"/>
              <w:kinsoku/>
              <w:overflowPunct/>
              <w:topLinePunct w:val="0"/>
              <w:autoSpaceDE/>
              <w:autoSpaceDN/>
              <w:bidi w:val="0"/>
              <w:spacing w:before="91" w:line="200" w:lineRule="exact"/>
              <w:ind w:left="167" w:right="159"/>
              <w:jc w:val="center"/>
              <w:outlineLvl w:val="9"/>
              <w:rPr>
                <w:sz w:val="18"/>
              </w:rPr>
            </w:pPr>
            <w:r>
              <w:rPr>
                <w:sz w:val="18"/>
              </w:rPr>
              <w:t>Telephone</w:t>
            </w:r>
          </w:p>
        </w:tc>
        <w:tc>
          <w:tcPr>
            <w:tcW w:w="2678" w:type="dxa"/>
          </w:tcPr>
          <w:p>
            <w:pPr>
              <w:pStyle w:val="21"/>
              <w:pageBreakBefore w:val="0"/>
              <w:kinsoku/>
              <w:overflowPunct/>
              <w:topLinePunct w:val="0"/>
              <w:autoSpaceDE/>
              <w:autoSpaceDN/>
              <w:bidi w:val="0"/>
              <w:spacing w:line="200" w:lineRule="exact"/>
              <w:outlineLvl w:val="9"/>
              <w:rPr>
                <w:sz w:val="18"/>
              </w:rPr>
            </w:pPr>
          </w:p>
        </w:tc>
        <w:tc>
          <w:tcPr>
            <w:tcW w:w="1839" w:type="dxa"/>
          </w:tcPr>
          <w:p>
            <w:pPr>
              <w:pStyle w:val="21"/>
              <w:pageBreakBefore w:val="0"/>
              <w:kinsoku/>
              <w:overflowPunct/>
              <w:topLinePunct w:val="0"/>
              <w:autoSpaceDE/>
              <w:autoSpaceDN/>
              <w:bidi w:val="0"/>
              <w:spacing w:before="10" w:line="200" w:lineRule="exact"/>
              <w:outlineLvl w:val="9"/>
              <w:rPr>
                <w:b/>
                <w:sz w:val="17"/>
              </w:rPr>
            </w:pPr>
          </w:p>
          <w:p>
            <w:pPr>
              <w:pStyle w:val="21"/>
              <w:pageBreakBefore w:val="0"/>
              <w:kinsoku/>
              <w:overflowPunct/>
              <w:topLinePunct w:val="0"/>
              <w:autoSpaceDE/>
              <w:autoSpaceDN/>
              <w:bidi w:val="0"/>
              <w:spacing w:line="200" w:lineRule="exact"/>
              <w:ind w:left="171" w:right="170"/>
              <w:jc w:val="center"/>
              <w:outlineLvl w:val="9"/>
              <w:rPr>
                <w:rFonts w:eastAsia="宋体"/>
                <w:sz w:val="18"/>
              </w:rPr>
            </w:pPr>
            <w:r>
              <w:rPr>
                <w:rFonts w:hint="eastAsia" w:eastAsia="宋体"/>
                <w:sz w:val="18"/>
              </w:rPr>
              <w:t>邮箱</w:t>
            </w:r>
          </w:p>
          <w:p>
            <w:pPr>
              <w:pStyle w:val="21"/>
              <w:pageBreakBefore w:val="0"/>
              <w:kinsoku/>
              <w:overflowPunct/>
              <w:topLinePunct w:val="0"/>
              <w:autoSpaceDE/>
              <w:autoSpaceDN/>
              <w:bidi w:val="0"/>
              <w:spacing w:line="200" w:lineRule="exact"/>
              <w:ind w:left="171" w:right="170"/>
              <w:jc w:val="center"/>
              <w:outlineLvl w:val="9"/>
              <w:rPr>
                <w:sz w:val="18"/>
              </w:rPr>
            </w:pPr>
            <w:r>
              <w:rPr>
                <w:sz w:val="18"/>
              </w:rPr>
              <w:t>Email</w:t>
            </w:r>
          </w:p>
        </w:tc>
        <w:tc>
          <w:tcPr>
            <w:tcW w:w="2324"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762" w:type="dxa"/>
          </w:tcPr>
          <w:p>
            <w:pPr>
              <w:pStyle w:val="21"/>
              <w:pageBreakBefore w:val="0"/>
              <w:kinsoku/>
              <w:overflowPunct/>
              <w:topLinePunct w:val="0"/>
              <w:autoSpaceDE/>
              <w:autoSpaceDN/>
              <w:bidi w:val="0"/>
              <w:spacing w:before="41" w:line="200" w:lineRule="exact"/>
              <w:ind w:left="520"/>
              <w:outlineLvl w:val="9"/>
              <w:rPr>
                <w:rFonts w:ascii="宋体" w:eastAsia="宋体"/>
                <w:sz w:val="18"/>
              </w:rPr>
            </w:pPr>
            <w:r>
              <w:rPr>
                <w:rFonts w:hint="eastAsia" w:ascii="宋体" w:eastAsia="宋体"/>
                <w:sz w:val="18"/>
              </w:rPr>
              <w:t>离开日期</w:t>
            </w:r>
          </w:p>
          <w:p>
            <w:pPr>
              <w:pStyle w:val="21"/>
              <w:pageBreakBefore w:val="0"/>
              <w:kinsoku/>
              <w:overflowPunct/>
              <w:topLinePunct w:val="0"/>
              <w:autoSpaceDE/>
              <w:autoSpaceDN/>
              <w:bidi w:val="0"/>
              <w:spacing w:before="91" w:line="200" w:lineRule="exact"/>
              <w:ind w:left="467"/>
              <w:outlineLvl w:val="9"/>
              <w:rPr>
                <w:sz w:val="18"/>
              </w:rPr>
            </w:pPr>
            <w:r>
              <w:rPr>
                <w:sz w:val="18"/>
              </w:rPr>
              <w:t>Leave</w:t>
            </w:r>
            <w:r>
              <w:rPr>
                <w:spacing w:val="-4"/>
                <w:sz w:val="18"/>
              </w:rPr>
              <w:t xml:space="preserve"> </w:t>
            </w:r>
            <w:r>
              <w:rPr>
                <w:rFonts w:hint="eastAsia" w:eastAsia="宋体"/>
                <w:sz w:val="18"/>
              </w:rPr>
              <w:t>d</w:t>
            </w:r>
            <w:r>
              <w:rPr>
                <w:sz w:val="18"/>
              </w:rPr>
              <w:t>ate</w:t>
            </w:r>
          </w:p>
        </w:tc>
        <w:tc>
          <w:tcPr>
            <w:tcW w:w="2678" w:type="dxa"/>
          </w:tcPr>
          <w:p>
            <w:pPr>
              <w:pStyle w:val="21"/>
              <w:pageBreakBefore w:val="0"/>
              <w:kinsoku/>
              <w:overflowPunct/>
              <w:topLinePunct w:val="0"/>
              <w:autoSpaceDE/>
              <w:autoSpaceDN/>
              <w:bidi w:val="0"/>
              <w:spacing w:line="200" w:lineRule="exact"/>
              <w:outlineLvl w:val="9"/>
              <w:rPr>
                <w:sz w:val="18"/>
              </w:rPr>
            </w:pPr>
          </w:p>
        </w:tc>
        <w:tc>
          <w:tcPr>
            <w:tcW w:w="1839" w:type="dxa"/>
          </w:tcPr>
          <w:p>
            <w:pPr>
              <w:pStyle w:val="21"/>
              <w:pageBreakBefore w:val="0"/>
              <w:kinsoku/>
              <w:overflowPunct/>
              <w:topLinePunct w:val="0"/>
              <w:autoSpaceDE/>
              <w:autoSpaceDN/>
              <w:bidi w:val="0"/>
              <w:spacing w:before="41" w:line="200" w:lineRule="exact"/>
              <w:ind w:left="568"/>
              <w:outlineLvl w:val="9"/>
              <w:rPr>
                <w:rFonts w:ascii="宋体" w:eastAsia="宋体"/>
                <w:sz w:val="18"/>
              </w:rPr>
            </w:pPr>
            <w:r>
              <w:rPr>
                <w:rFonts w:hint="eastAsia" w:ascii="宋体" w:eastAsia="宋体"/>
                <w:sz w:val="18"/>
              </w:rPr>
              <w:t>返校日期</w:t>
            </w:r>
          </w:p>
          <w:p>
            <w:pPr>
              <w:pStyle w:val="21"/>
              <w:pageBreakBefore w:val="0"/>
              <w:kinsoku/>
              <w:overflowPunct/>
              <w:topLinePunct w:val="0"/>
              <w:autoSpaceDE/>
              <w:autoSpaceDN/>
              <w:bidi w:val="0"/>
              <w:spacing w:before="91" w:line="200" w:lineRule="exact"/>
              <w:ind w:left="491"/>
              <w:outlineLvl w:val="9"/>
              <w:rPr>
                <w:sz w:val="18"/>
              </w:rPr>
            </w:pPr>
            <w:r>
              <w:rPr>
                <w:sz w:val="18"/>
              </w:rPr>
              <w:t>Return</w:t>
            </w:r>
            <w:r>
              <w:rPr>
                <w:spacing w:val="-2"/>
                <w:sz w:val="18"/>
              </w:rPr>
              <w:t xml:space="preserve"> </w:t>
            </w:r>
            <w:r>
              <w:rPr>
                <w:rFonts w:hint="eastAsia" w:eastAsia="宋体"/>
                <w:sz w:val="18"/>
              </w:rPr>
              <w:t>d</w:t>
            </w:r>
            <w:r>
              <w:rPr>
                <w:sz w:val="18"/>
              </w:rPr>
              <w:t>ate</w:t>
            </w:r>
          </w:p>
        </w:tc>
        <w:tc>
          <w:tcPr>
            <w:tcW w:w="2324"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762" w:type="dxa"/>
          </w:tcPr>
          <w:p>
            <w:pPr>
              <w:pStyle w:val="21"/>
              <w:pageBreakBefore w:val="0"/>
              <w:kinsoku/>
              <w:overflowPunct/>
              <w:topLinePunct w:val="0"/>
              <w:autoSpaceDE/>
              <w:autoSpaceDN/>
              <w:bidi w:val="0"/>
              <w:spacing w:before="91" w:line="200" w:lineRule="exact"/>
              <w:ind w:left="491"/>
              <w:outlineLvl w:val="9"/>
              <w:rPr>
                <w:rFonts w:eastAsia="宋体"/>
                <w:sz w:val="18"/>
              </w:rPr>
            </w:pPr>
            <w:r>
              <w:rPr>
                <w:rFonts w:hint="eastAsia" w:eastAsia="宋体"/>
                <w:sz w:val="18"/>
              </w:rPr>
              <w:t>目的地</w:t>
            </w:r>
          </w:p>
          <w:p>
            <w:pPr>
              <w:pStyle w:val="21"/>
              <w:pageBreakBefore w:val="0"/>
              <w:kinsoku/>
              <w:overflowPunct/>
              <w:topLinePunct w:val="0"/>
              <w:autoSpaceDE/>
              <w:autoSpaceDN/>
              <w:bidi w:val="0"/>
              <w:spacing w:before="91" w:line="200" w:lineRule="exact"/>
              <w:ind w:left="467"/>
              <w:outlineLvl w:val="9"/>
              <w:rPr>
                <w:rFonts w:eastAsia="宋体"/>
                <w:sz w:val="18"/>
              </w:rPr>
            </w:pPr>
            <w:r>
              <w:rPr>
                <w:rFonts w:hint="eastAsia" w:eastAsia="宋体"/>
                <w:sz w:val="18"/>
              </w:rPr>
              <w:t>Destination</w:t>
            </w:r>
          </w:p>
        </w:tc>
        <w:tc>
          <w:tcPr>
            <w:tcW w:w="2678" w:type="dxa"/>
          </w:tcPr>
          <w:p>
            <w:pPr>
              <w:pStyle w:val="21"/>
              <w:pageBreakBefore w:val="0"/>
              <w:kinsoku/>
              <w:overflowPunct/>
              <w:topLinePunct w:val="0"/>
              <w:autoSpaceDE/>
              <w:autoSpaceDN/>
              <w:bidi w:val="0"/>
              <w:spacing w:line="200" w:lineRule="exact"/>
              <w:outlineLvl w:val="9"/>
              <w:rPr>
                <w:rFonts w:ascii="宋体" w:hAnsi="宋体" w:eastAsia="宋体"/>
                <w:spacing w:val="-3"/>
                <w:sz w:val="18"/>
              </w:rPr>
            </w:pPr>
            <w:r>
              <w:rPr>
                <w:rFonts w:hint="eastAsia" w:ascii="宋体" w:hAnsi="宋体" w:eastAsia="宋体"/>
                <w:spacing w:val="-3"/>
                <w:sz w:val="18"/>
              </w:rPr>
              <w:t xml:space="preserve"> </w:t>
            </w:r>
          </w:p>
          <w:p>
            <w:pPr>
              <w:pStyle w:val="21"/>
              <w:pageBreakBefore w:val="0"/>
              <w:kinsoku/>
              <w:overflowPunct/>
              <w:topLinePunct w:val="0"/>
              <w:autoSpaceDE/>
              <w:autoSpaceDN/>
              <w:bidi w:val="0"/>
              <w:spacing w:line="200" w:lineRule="exact"/>
              <w:ind w:firstLine="360" w:firstLineChars="200"/>
              <w:outlineLvl w:val="9"/>
              <w:rPr>
                <w:sz w:val="18"/>
              </w:rPr>
            </w:pPr>
          </w:p>
        </w:tc>
        <w:tc>
          <w:tcPr>
            <w:tcW w:w="1839" w:type="dxa"/>
          </w:tcPr>
          <w:p>
            <w:pPr>
              <w:pStyle w:val="21"/>
              <w:pageBreakBefore w:val="0"/>
              <w:kinsoku/>
              <w:overflowPunct/>
              <w:topLinePunct w:val="0"/>
              <w:autoSpaceDE/>
              <w:autoSpaceDN/>
              <w:bidi w:val="0"/>
              <w:spacing w:before="91" w:line="200" w:lineRule="exact"/>
              <w:ind w:left="491"/>
              <w:outlineLvl w:val="9"/>
              <w:rPr>
                <w:sz w:val="18"/>
              </w:rPr>
            </w:pPr>
            <w:r>
              <w:rPr>
                <w:sz w:val="18"/>
              </w:rPr>
              <w:t>乘车工具</w:t>
            </w:r>
          </w:p>
          <w:p>
            <w:pPr>
              <w:pStyle w:val="21"/>
              <w:pageBreakBefore w:val="0"/>
              <w:kinsoku/>
              <w:overflowPunct/>
              <w:topLinePunct w:val="0"/>
              <w:autoSpaceDE/>
              <w:autoSpaceDN/>
              <w:bidi w:val="0"/>
              <w:spacing w:before="91" w:line="200" w:lineRule="exact"/>
              <w:ind w:firstLine="180" w:firstLineChars="100"/>
              <w:outlineLvl w:val="9"/>
              <w:rPr>
                <w:sz w:val="18"/>
              </w:rPr>
            </w:pPr>
            <w:r>
              <w:rPr>
                <w:sz w:val="18"/>
              </w:rPr>
              <w:t xml:space="preserve">Transportation </w:t>
            </w:r>
            <w:r>
              <w:rPr>
                <w:rFonts w:hint="eastAsia"/>
                <w:sz w:val="18"/>
              </w:rPr>
              <w:t>t</w:t>
            </w:r>
            <w:r>
              <w:rPr>
                <w:sz w:val="18"/>
              </w:rPr>
              <w:t>ools</w:t>
            </w:r>
          </w:p>
        </w:tc>
        <w:tc>
          <w:tcPr>
            <w:tcW w:w="2324"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762" w:type="dxa"/>
          </w:tcPr>
          <w:p>
            <w:pPr>
              <w:pStyle w:val="21"/>
              <w:pageBreakBefore w:val="0"/>
              <w:kinsoku/>
              <w:overflowPunct/>
              <w:topLinePunct w:val="0"/>
              <w:autoSpaceDE/>
              <w:autoSpaceDN/>
              <w:bidi w:val="0"/>
              <w:spacing w:before="91" w:line="200" w:lineRule="exact"/>
              <w:ind w:left="467"/>
              <w:outlineLvl w:val="9"/>
              <w:rPr>
                <w:sz w:val="18"/>
              </w:rPr>
            </w:pPr>
            <w:r>
              <w:rPr>
                <w:sz w:val="18"/>
              </w:rPr>
              <w:t>随行人员</w:t>
            </w:r>
          </w:p>
          <w:p>
            <w:pPr>
              <w:pStyle w:val="21"/>
              <w:pageBreakBefore w:val="0"/>
              <w:kinsoku/>
              <w:overflowPunct/>
              <w:topLinePunct w:val="0"/>
              <w:autoSpaceDE/>
              <w:autoSpaceDN/>
              <w:bidi w:val="0"/>
              <w:spacing w:before="91" w:line="200" w:lineRule="exact"/>
              <w:ind w:left="467"/>
              <w:outlineLvl w:val="9"/>
              <w:rPr>
                <w:sz w:val="18"/>
              </w:rPr>
            </w:pPr>
            <w:r>
              <w:rPr>
                <w:rFonts w:hint="eastAsia"/>
                <w:sz w:val="18"/>
              </w:rPr>
              <w:t>Entourage</w:t>
            </w:r>
          </w:p>
        </w:tc>
        <w:tc>
          <w:tcPr>
            <w:tcW w:w="2678" w:type="dxa"/>
          </w:tcPr>
          <w:p>
            <w:pPr>
              <w:pStyle w:val="21"/>
              <w:pageBreakBefore w:val="0"/>
              <w:kinsoku/>
              <w:overflowPunct/>
              <w:topLinePunct w:val="0"/>
              <w:autoSpaceDE/>
              <w:autoSpaceDN/>
              <w:bidi w:val="0"/>
              <w:spacing w:line="200" w:lineRule="exact"/>
              <w:ind w:firstLine="360" w:firstLineChars="200"/>
              <w:outlineLvl w:val="9"/>
              <w:rPr>
                <w:rFonts w:eastAsia="宋体"/>
                <w:sz w:val="18"/>
              </w:rPr>
            </w:pPr>
          </w:p>
        </w:tc>
        <w:tc>
          <w:tcPr>
            <w:tcW w:w="1839" w:type="dxa"/>
          </w:tcPr>
          <w:p>
            <w:pPr>
              <w:pStyle w:val="21"/>
              <w:pageBreakBefore w:val="0"/>
              <w:kinsoku/>
              <w:overflowPunct/>
              <w:topLinePunct w:val="0"/>
              <w:autoSpaceDE/>
              <w:autoSpaceDN/>
              <w:bidi w:val="0"/>
              <w:spacing w:before="91" w:line="200" w:lineRule="exact"/>
              <w:ind w:firstLine="180" w:firstLineChars="100"/>
              <w:outlineLvl w:val="9"/>
              <w:rPr>
                <w:sz w:val="18"/>
              </w:rPr>
            </w:pPr>
            <w:r>
              <w:rPr>
                <w:rFonts w:hint="eastAsia"/>
                <w:sz w:val="18"/>
              </w:rPr>
              <w:t>随行人员</w:t>
            </w:r>
            <w:r>
              <w:rPr>
                <w:sz w:val="18"/>
              </w:rPr>
              <w:t>联系方式</w:t>
            </w:r>
          </w:p>
          <w:p>
            <w:pPr>
              <w:pStyle w:val="21"/>
              <w:pageBreakBefore w:val="0"/>
              <w:kinsoku/>
              <w:overflowPunct/>
              <w:topLinePunct w:val="0"/>
              <w:autoSpaceDE/>
              <w:autoSpaceDN/>
              <w:bidi w:val="0"/>
              <w:spacing w:before="91" w:line="200" w:lineRule="exact"/>
              <w:ind w:firstLine="180" w:firstLineChars="100"/>
              <w:outlineLvl w:val="9"/>
              <w:rPr>
                <w:sz w:val="18"/>
              </w:rPr>
            </w:pPr>
            <w:r>
              <w:rPr>
                <w:rFonts w:hint="eastAsia"/>
                <w:sz w:val="18"/>
              </w:rPr>
              <w:t xml:space="preserve">Entourages </w:t>
            </w:r>
            <w:r>
              <w:rPr>
                <w:rFonts w:hint="eastAsia" w:eastAsia="宋体"/>
                <w:sz w:val="18"/>
              </w:rPr>
              <w:t>m</w:t>
            </w:r>
            <w:r>
              <w:rPr>
                <w:sz w:val="18"/>
              </w:rPr>
              <w:t>obile</w:t>
            </w:r>
          </w:p>
        </w:tc>
        <w:tc>
          <w:tcPr>
            <w:tcW w:w="2324" w:type="dxa"/>
          </w:tcPr>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0" w:hRule="atLeast"/>
        </w:trPr>
        <w:tc>
          <w:tcPr>
            <w:tcW w:w="1762" w:type="dxa"/>
          </w:tcPr>
          <w:p>
            <w:pPr>
              <w:pStyle w:val="21"/>
              <w:pageBreakBefore w:val="0"/>
              <w:kinsoku/>
              <w:overflowPunct/>
              <w:topLinePunct w:val="0"/>
              <w:autoSpaceDE/>
              <w:autoSpaceDN/>
              <w:bidi w:val="0"/>
              <w:spacing w:before="91" w:line="200" w:lineRule="exact"/>
              <w:ind w:left="168" w:right="159"/>
              <w:jc w:val="center"/>
              <w:outlineLvl w:val="9"/>
              <w:rPr>
                <w:sz w:val="18"/>
              </w:rPr>
            </w:pPr>
            <w:r>
              <w:rPr>
                <w:sz w:val="18"/>
              </w:rPr>
              <w:t>出行路线</w:t>
            </w:r>
          </w:p>
          <w:p>
            <w:pPr>
              <w:pStyle w:val="21"/>
              <w:pageBreakBefore w:val="0"/>
              <w:kinsoku/>
              <w:overflowPunct/>
              <w:topLinePunct w:val="0"/>
              <w:autoSpaceDE/>
              <w:autoSpaceDN/>
              <w:bidi w:val="0"/>
              <w:spacing w:before="91" w:line="200" w:lineRule="exact"/>
              <w:ind w:left="168" w:right="159"/>
              <w:jc w:val="center"/>
              <w:outlineLvl w:val="9"/>
              <w:rPr>
                <w:sz w:val="18"/>
              </w:rPr>
            </w:pPr>
            <w:r>
              <w:rPr>
                <w:sz w:val="18"/>
              </w:rPr>
              <w:t>Travel route</w:t>
            </w:r>
          </w:p>
        </w:tc>
        <w:tc>
          <w:tcPr>
            <w:tcW w:w="6841" w:type="dxa"/>
            <w:gridSpan w:val="3"/>
          </w:tcPr>
          <w:p>
            <w:pPr>
              <w:pStyle w:val="21"/>
              <w:pageBreakBefore w:val="0"/>
              <w:kinsoku/>
              <w:overflowPunct/>
              <w:topLinePunct w:val="0"/>
              <w:autoSpaceDE/>
              <w:autoSpaceDN/>
              <w:bidi w:val="0"/>
              <w:spacing w:line="200" w:lineRule="exact"/>
              <w:outlineLvl w:val="9"/>
              <w:rPr>
                <w:sz w:val="18"/>
              </w:rPr>
            </w:pPr>
          </w:p>
          <w:p>
            <w:pPr>
              <w:pStyle w:val="21"/>
              <w:pageBreakBefore w:val="0"/>
              <w:kinsoku/>
              <w:overflowPunct/>
              <w:topLinePunct w:val="0"/>
              <w:autoSpaceDE/>
              <w:autoSpaceDN/>
              <w:bidi w:val="0"/>
              <w:spacing w:line="200" w:lineRule="exact"/>
              <w:outlineLvl w:val="9"/>
              <w:rPr>
                <w:sz w:val="18"/>
              </w:rPr>
            </w:pPr>
          </w:p>
          <w:p>
            <w:pPr>
              <w:pStyle w:val="21"/>
              <w:pageBreakBefore w:val="0"/>
              <w:kinsoku/>
              <w:overflowPunct/>
              <w:topLinePunct w:val="0"/>
              <w:autoSpaceDE/>
              <w:autoSpaceDN/>
              <w:bidi w:val="0"/>
              <w:spacing w:line="200" w:lineRule="exact"/>
              <w:outlineLvl w:val="9"/>
              <w:rPr>
                <w:rFonts w:hint="eastAsia" w:eastAsia="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5" w:hRule="atLeast"/>
        </w:trPr>
        <w:tc>
          <w:tcPr>
            <w:tcW w:w="1762" w:type="dxa"/>
          </w:tcPr>
          <w:p>
            <w:pPr>
              <w:pStyle w:val="21"/>
              <w:pageBreakBefore w:val="0"/>
              <w:kinsoku/>
              <w:overflowPunct/>
              <w:topLinePunct w:val="0"/>
              <w:autoSpaceDE/>
              <w:autoSpaceDN/>
              <w:bidi w:val="0"/>
              <w:spacing w:before="40" w:line="200" w:lineRule="exact"/>
              <w:ind w:left="168" w:right="159"/>
              <w:jc w:val="center"/>
              <w:outlineLvl w:val="9"/>
              <w:rPr>
                <w:rFonts w:ascii="宋体" w:eastAsia="宋体"/>
                <w:sz w:val="18"/>
              </w:rPr>
            </w:pPr>
            <w:r>
              <w:rPr>
                <w:rFonts w:hint="eastAsia" w:ascii="宋体" w:eastAsia="宋体"/>
                <w:sz w:val="18"/>
              </w:rPr>
              <w:t>原因</w:t>
            </w:r>
          </w:p>
          <w:p>
            <w:pPr>
              <w:pStyle w:val="21"/>
              <w:pageBreakBefore w:val="0"/>
              <w:kinsoku/>
              <w:overflowPunct/>
              <w:topLinePunct w:val="0"/>
              <w:autoSpaceDE/>
              <w:autoSpaceDN/>
              <w:bidi w:val="0"/>
              <w:spacing w:before="91" w:line="200" w:lineRule="exact"/>
              <w:ind w:left="168" w:right="159"/>
              <w:jc w:val="center"/>
              <w:outlineLvl w:val="9"/>
              <w:rPr>
                <w:sz w:val="18"/>
              </w:rPr>
            </w:pPr>
            <w:r>
              <w:rPr>
                <w:sz w:val="18"/>
              </w:rPr>
              <w:t>Reasons</w:t>
            </w:r>
          </w:p>
        </w:tc>
        <w:tc>
          <w:tcPr>
            <w:tcW w:w="6841" w:type="dxa"/>
            <w:gridSpan w:val="3"/>
          </w:tcPr>
          <w:p>
            <w:pPr>
              <w:pStyle w:val="21"/>
              <w:pageBreakBefore w:val="0"/>
              <w:kinsoku/>
              <w:overflowPunct/>
              <w:topLinePunct w:val="0"/>
              <w:autoSpaceDE/>
              <w:autoSpaceDN/>
              <w:bidi w:val="0"/>
              <w:spacing w:line="200" w:lineRule="exact"/>
              <w:outlineLvl w:val="9"/>
              <w:rPr>
                <w:sz w:val="18"/>
              </w:rPr>
            </w:pPr>
          </w:p>
          <w:p>
            <w:pPr>
              <w:pStyle w:val="21"/>
              <w:pageBreakBefore w:val="0"/>
              <w:kinsoku/>
              <w:overflowPunct/>
              <w:topLinePunct w:val="0"/>
              <w:autoSpaceDE/>
              <w:autoSpaceDN/>
              <w:bidi w:val="0"/>
              <w:spacing w:line="200" w:lineRule="exact"/>
              <w:outlineLvl w:val="9"/>
              <w:rPr>
                <w:sz w:val="18"/>
              </w:rPr>
            </w:pPr>
          </w:p>
          <w:p>
            <w:pPr>
              <w:pStyle w:val="21"/>
              <w:pageBreakBefore w:val="0"/>
              <w:kinsoku/>
              <w:overflowPunct/>
              <w:topLinePunct w:val="0"/>
              <w:autoSpaceDE/>
              <w:autoSpaceDN/>
              <w:bidi w:val="0"/>
              <w:spacing w:line="200" w:lineRule="exact"/>
              <w:outlineLvl w:val="9"/>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1762" w:type="dxa"/>
          </w:tcPr>
          <w:p>
            <w:pPr>
              <w:pStyle w:val="21"/>
              <w:pageBreakBefore w:val="0"/>
              <w:kinsoku/>
              <w:overflowPunct/>
              <w:topLinePunct w:val="0"/>
              <w:autoSpaceDE/>
              <w:autoSpaceDN/>
              <w:bidi w:val="0"/>
              <w:spacing w:line="200" w:lineRule="exact"/>
              <w:outlineLvl w:val="9"/>
              <w:rPr>
                <w:b/>
                <w:sz w:val="18"/>
              </w:rPr>
            </w:pPr>
          </w:p>
          <w:p>
            <w:pPr>
              <w:pStyle w:val="21"/>
              <w:pageBreakBefore w:val="0"/>
              <w:kinsoku/>
              <w:overflowPunct/>
              <w:topLinePunct w:val="0"/>
              <w:autoSpaceDE/>
              <w:autoSpaceDN/>
              <w:bidi w:val="0"/>
              <w:spacing w:before="2" w:line="200" w:lineRule="exact"/>
              <w:outlineLvl w:val="9"/>
              <w:rPr>
                <w:b/>
                <w:sz w:val="26"/>
              </w:rPr>
            </w:pPr>
          </w:p>
          <w:p>
            <w:pPr>
              <w:pStyle w:val="21"/>
              <w:pageBreakBefore w:val="0"/>
              <w:kinsoku/>
              <w:overflowPunct/>
              <w:topLinePunct w:val="0"/>
              <w:autoSpaceDE/>
              <w:autoSpaceDN/>
              <w:bidi w:val="0"/>
              <w:spacing w:line="200" w:lineRule="exact"/>
              <w:ind w:left="168" w:right="159"/>
              <w:jc w:val="center"/>
              <w:outlineLvl w:val="9"/>
              <w:rPr>
                <w:rFonts w:ascii="宋体" w:eastAsia="宋体"/>
                <w:sz w:val="18"/>
              </w:rPr>
            </w:pPr>
            <w:r>
              <w:rPr>
                <w:rFonts w:hint="eastAsia" w:ascii="宋体" w:eastAsia="宋体"/>
                <w:sz w:val="18"/>
              </w:rPr>
              <w:t>个人承诺</w:t>
            </w:r>
          </w:p>
          <w:p>
            <w:pPr>
              <w:pStyle w:val="21"/>
              <w:pageBreakBefore w:val="0"/>
              <w:kinsoku/>
              <w:overflowPunct/>
              <w:topLinePunct w:val="0"/>
              <w:autoSpaceDE/>
              <w:autoSpaceDN/>
              <w:bidi w:val="0"/>
              <w:spacing w:before="91" w:line="200" w:lineRule="exact"/>
              <w:ind w:left="168" w:right="159"/>
              <w:jc w:val="center"/>
              <w:outlineLvl w:val="9"/>
              <w:rPr>
                <w:sz w:val="18"/>
              </w:rPr>
            </w:pPr>
            <w:r>
              <w:rPr>
                <w:sz w:val="18"/>
              </w:rPr>
              <w:t xml:space="preserve">Personal </w:t>
            </w:r>
            <w:r>
              <w:rPr>
                <w:rFonts w:hint="eastAsia" w:eastAsia="宋体"/>
                <w:sz w:val="18"/>
              </w:rPr>
              <w:t>s</w:t>
            </w:r>
            <w:r>
              <w:rPr>
                <w:sz w:val="18"/>
              </w:rPr>
              <w:t>tatement</w:t>
            </w:r>
          </w:p>
        </w:tc>
        <w:tc>
          <w:tcPr>
            <w:tcW w:w="6841" w:type="dxa"/>
            <w:gridSpan w:val="3"/>
          </w:tcPr>
          <w:p>
            <w:pPr>
              <w:pStyle w:val="21"/>
              <w:pageBreakBefore w:val="0"/>
              <w:kinsoku/>
              <w:overflowPunct/>
              <w:topLinePunct w:val="0"/>
              <w:autoSpaceDE/>
              <w:autoSpaceDN/>
              <w:bidi w:val="0"/>
              <w:spacing w:before="40" w:line="200" w:lineRule="exact"/>
              <w:ind w:left="107"/>
              <w:outlineLvl w:val="9"/>
              <w:rPr>
                <w:rFonts w:ascii="宋体" w:eastAsia="宋体"/>
                <w:sz w:val="18"/>
              </w:rPr>
            </w:pPr>
            <w:r>
              <w:rPr>
                <w:rFonts w:hint="eastAsia" w:ascii="宋体" w:eastAsia="宋体"/>
                <w:sz w:val="18"/>
              </w:rPr>
              <w:t>在此承诺，在我请假期间，我会照顾好自己，并对自己的安全负责。</w:t>
            </w:r>
          </w:p>
          <w:p>
            <w:pPr>
              <w:pStyle w:val="21"/>
              <w:pageBreakBefore w:val="0"/>
              <w:kinsoku/>
              <w:overflowPunct/>
              <w:topLinePunct w:val="0"/>
              <w:autoSpaceDE/>
              <w:autoSpaceDN/>
              <w:bidi w:val="0"/>
              <w:spacing w:line="200" w:lineRule="exact"/>
              <w:outlineLvl w:val="9"/>
              <w:rPr>
                <w:rFonts w:ascii="宋体" w:eastAsia="宋体"/>
                <w:sz w:val="18"/>
                <w:lang w:val="en"/>
              </w:rPr>
            </w:pPr>
            <w:r>
              <w:rPr>
                <w:sz w:val="18"/>
                <w:lang w:val="en"/>
              </w:rPr>
              <w:t>I hereby commit that I will take care of myself and take responsibility for my safety during my absent.</w:t>
            </w:r>
          </w:p>
          <w:p>
            <w:pPr>
              <w:pStyle w:val="21"/>
              <w:pageBreakBefore w:val="0"/>
              <w:kinsoku/>
              <w:overflowPunct/>
              <w:topLinePunct w:val="0"/>
              <w:autoSpaceDE/>
              <w:autoSpaceDN/>
              <w:bidi w:val="0"/>
              <w:spacing w:line="200" w:lineRule="exact"/>
              <w:ind w:left="3617"/>
              <w:outlineLvl w:val="9"/>
              <w:rPr>
                <w:rFonts w:ascii="宋体" w:eastAsia="宋体"/>
                <w:sz w:val="18"/>
              </w:rPr>
            </w:pPr>
            <w:r>
              <w:rPr>
                <w:rFonts w:hint="eastAsia" w:ascii="宋体" w:eastAsia="宋体"/>
                <w:sz w:val="18"/>
              </w:rPr>
              <w:t xml:space="preserve">签名 </w:t>
            </w:r>
            <w:r>
              <w:rPr>
                <w:sz w:val="18"/>
              </w:rPr>
              <w:t>Signature</w:t>
            </w:r>
            <w:r>
              <w:rPr>
                <w:rFonts w:hint="eastAsia" w:ascii="宋体" w:eastAsia="宋体"/>
                <w:sz w:val="18"/>
              </w:rPr>
              <w:t>：</w:t>
            </w:r>
          </w:p>
          <w:p>
            <w:pPr>
              <w:pStyle w:val="21"/>
              <w:pageBreakBefore w:val="0"/>
              <w:kinsoku/>
              <w:overflowPunct/>
              <w:topLinePunct w:val="0"/>
              <w:autoSpaceDE/>
              <w:autoSpaceDN/>
              <w:bidi w:val="0"/>
              <w:spacing w:before="82" w:line="200" w:lineRule="exact"/>
              <w:ind w:left="3617"/>
              <w:outlineLvl w:val="9"/>
              <w:rPr>
                <w:sz w:val="18"/>
              </w:rPr>
            </w:pPr>
            <w:r>
              <w:rPr>
                <w:rFonts w:hint="eastAsia" w:ascii="宋体" w:eastAsia="宋体"/>
                <w:sz w:val="18"/>
              </w:rPr>
              <w:t xml:space="preserve">日期 </w:t>
            </w:r>
            <w:r>
              <w:rPr>
                <w:sz w:val="18"/>
              </w:rPr>
              <w:t>Date: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44" w:hRule="atLeast"/>
        </w:trPr>
        <w:tc>
          <w:tcPr>
            <w:tcW w:w="1762" w:type="dxa"/>
          </w:tcPr>
          <w:p>
            <w:pPr>
              <w:pStyle w:val="21"/>
              <w:pageBreakBefore w:val="0"/>
              <w:kinsoku/>
              <w:overflowPunct/>
              <w:topLinePunct w:val="0"/>
              <w:autoSpaceDE/>
              <w:autoSpaceDN/>
              <w:bidi w:val="0"/>
              <w:spacing w:line="200" w:lineRule="exact"/>
              <w:outlineLvl w:val="9"/>
              <w:rPr>
                <w:b/>
                <w:sz w:val="20"/>
              </w:rPr>
            </w:pPr>
          </w:p>
          <w:p>
            <w:pPr>
              <w:pStyle w:val="21"/>
              <w:pageBreakBefore w:val="0"/>
              <w:kinsoku/>
              <w:overflowPunct/>
              <w:topLinePunct w:val="0"/>
              <w:autoSpaceDE/>
              <w:autoSpaceDN/>
              <w:bidi w:val="0"/>
              <w:spacing w:before="124" w:line="200" w:lineRule="exact"/>
              <w:ind w:left="168" w:right="158"/>
              <w:jc w:val="center"/>
              <w:outlineLvl w:val="9"/>
              <w:rPr>
                <w:rFonts w:eastAsia="宋体"/>
                <w:sz w:val="18"/>
              </w:rPr>
            </w:pPr>
            <w:r>
              <w:rPr>
                <w:rFonts w:hint="eastAsia" w:ascii="宋体" w:eastAsia="宋体"/>
                <w:sz w:val="18"/>
              </w:rPr>
              <w:t>所在学院意见</w:t>
            </w:r>
            <w:r>
              <w:rPr>
                <w:sz w:val="18"/>
              </w:rPr>
              <w:t xml:space="preserve">Comments from </w:t>
            </w:r>
            <w:r>
              <w:rPr>
                <w:rFonts w:hint="eastAsia" w:eastAsia="宋体"/>
                <w:sz w:val="18"/>
              </w:rPr>
              <w:t>y</w:t>
            </w:r>
            <w:r>
              <w:rPr>
                <w:sz w:val="18"/>
              </w:rPr>
              <w:t xml:space="preserve">our </w:t>
            </w:r>
            <w:r>
              <w:rPr>
                <w:rFonts w:hint="eastAsia" w:eastAsia="宋体"/>
                <w:sz w:val="18"/>
              </w:rPr>
              <w:t>school</w:t>
            </w:r>
          </w:p>
        </w:tc>
        <w:tc>
          <w:tcPr>
            <w:tcW w:w="2678" w:type="dxa"/>
          </w:tcPr>
          <w:p>
            <w:pPr>
              <w:pStyle w:val="21"/>
              <w:pageBreakBefore w:val="0"/>
              <w:kinsoku/>
              <w:overflowPunct/>
              <w:topLinePunct w:val="0"/>
              <w:autoSpaceDE/>
              <w:autoSpaceDN/>
              <w:bidi w:val="0"/>
              <w:spacing w:line="200" w:lineRule="exact"/>
              <w:outlineLvl w:val="9"/>
              <w:rPr>
                <w:rFonts w:hint="eastAsia" w:ascii="宋体" w:eastAsia="宋体"/>
                <w:sz w:val="18"/>
              </w:rPr>
            </w:pPr>
          </w:p>
          <w:p>
            <w:pPr>
              <w:pStyle w:val="21"/>
              <w:pageBreakBefore w:val="0"/>
              <w:kinsoku/>
              <w:overflowPunct/>
              <w:topLinePunct w:val="0"/>
              <w:autoSpaceDE/>
              <w:autoSpaceDN/>
              <w:bidi w:val="0"/>
              <w:spacing w:line="200" w:lineRule="exact"/>
              <w:ind w:firstLine="180" w:firstLineChars="100"/>
              <w:outlineLvl w:val="9"/>
              <w:rPr>
                <w:rFonts w:ascii="宋体" w:eastAsia="宋体"/>
                <w:sz w:val="18"/>
              </w:rPr>
            </w:pPr>
            <w:r>
              <w:rPr>
                <w:rFonts w:hint="eastAsia" w:ascii="宋体" w:eastAsia="宋体"/>
                <w:sz w:val="18"/>
              </w:rPr>
              <w:t>辅导员签字</w:t>
            </w:r>
          </w:p>
          <w:p>
            <w:pPr>
              <w:pStyle w:val="21"/>
              <w:pageBreakBefore w:val="0"/>
              <w:kinsoku/>
              <w:overflowPunct/>
              <w:topLinePunct w:val="0"/>
              <w:autoSpaceDE/>
              <w:autoSpaceDN/>
              <w:bidi w:val="0"/>
              <w:spacing w:line="200" w:lineRule="exact"/>
              <w:ind w:left="109"/>
              <w:outlineLvl w:val="9"/>
              <w:rPr>
                <w:sz w:val="18"/>
              </w:rPr>
            </w:pPr>
            <w:r>
              <w:rPr>
                <w:rFonts w:hint="eastAsia" w:eastAsia="宋体"/>
                <w:sz w:val="18"/>
              </w:rPr>
              <w:t>Coordinator signature</w:t>
            </w:r>
            <w:r>
              <w:rPr>
                <w:sz w:val="18"/>
              </w:rPr>
              <w:t xml:space="preserve"> :</w:t>
            </w:r>
          </w:p>
          <w:p>
            <w:pPr>
              <w:pStyle w:val="21"/>
              <w:pageBreakBefore w:val="0"/>
              <w:kinsoku/>
              <w:overflowPunct/>
              <w:topLinePunct w:val="0"/>
              <w:autoSpaceDE/>
              <w:autoSpaceDN/>
              <w:bidi w:val="0"/>
              <w:spacing w:before="82" w:line="200" w:lineRule="exact"/>
              <w:ind w:left="107"/>
              <w:outlineLvl w:val="9"/>
              <w:rPr>
                <w:sz w:val="18"/>
              </w:rPr>
            </w:pPr>
            <w:r>
              <w:rPr>
                <w:rFonts w:hint="eastAsia" w:ascii="宋体" w:eastAsia="宋体"/>
                <w:sz w:val="18"/>
              </w:rPr>
              <w:t xml:space="preserve">日期 </w:t>
            </w:r>
            <w:r>
              <w:rPr>
                <w:sz w:val="18"/>
              </w:rPr>
              <w:t>Date :</w:t>
            </w:r>
          </w:p>
        </w:tc>
        <w:tc>
          <w:tcPr>
            <w:tcW w:w="4163" w:type="dxa"/>
            <w:gridSpan w:val="2"/>
          </w:tcPr>
          <w:p>
            <w:pPr>
              <w:pStyle w:val="21"/>
              <w:pageBreakBefore w:val="0"/>
              <w:kinsoku/>
              <w:overflowPunct/>
              <w:topLinePunct w:val="0"/>
              <w:autoSpaceDE/>
              <w:autoSpaceDN/>
              <w:bidi w:val="0"/>
              <w:spacing w:before="82" w:line="200" w:lineRule="exact"/>
              <w:outlineLvl w:val="9"/>
              <w:rPr>
                <w:rFonts w:hint="eastAsia" w:eastAsia="宋体"/>
                <w:sz w:val="18"/>
              </w:rPr>
            </w:pPr>
          </w:p>
          <w:p>
            <w:pPr>
              <w:pStyle w:val="21"/>
              <w:pageBreakBefore w:val="0"/>
              <w:kinsoku/>
              <w:overflowPunct/>
              <w:topLinePunct w:val="0"/>
              <w:autoSpaceDE/>
              <w:autoSpaceDN/>
              <w:bidi w:val="0"/>
              <w:spacing w:before="82" w:line="200" w:lineRule="exact"/>
              <w:ind w:firstLine="180" w:firstLineChars="100"/>
              <w:outlineLvl w:val="9"/>
              <w:rPr>
                <w:rFonts w:eastAsia="宋体"/>
                <w:sz w:val="18"/>
              </w:rPr>
            </w:pPr>
            <w:r>
              <w:rPr>
                <w:rFonts w:hint="eastAsia" w:eastAsia="宋体"/>
                <w:sz w:val="18"/>
              </w:rPr>
              <w:t>学院书记/院长签字</w:t>
            </w:r>
          </w:p>
          <w:p>
            <w:pPr>
              <w:pStyle w:val="21"/>
              <w:pageBreakBefore w:val="0"/>
              <w:kinsoku/>
              <w:overflowPunct/>
              <w:topLinePunct w:val="0"/>
              <w:autoSpaceDE/>
              <w:autoSpaceDN/>
              <w:bidi w:val="0"/>
              <w:spacing w:before="82" w:line="200" w:lineRule="exact"/>
              <w:ind w:left="105"/>
              <w:outlineLvl w:val="9"/>
              <w:rPr>
                <w:rFonts w:eastAsia="宋体"/>
                <w:sz w:val="18"/>
              </w:rPr>
            </w:pPr>
            <w:r>
              <w:rPr>
                <w:rFonts w:hint="eastAsia" w:eastAsia="宋体"/>
                <w:sz w:val="18"/>
              </w:rPr>
              <w:t>Party secretary/Directors signature</w:t>
            </w:r>
          </w:p>
          <w:p>
            <w:pPr>
              <w:pStyle w:val="21"/>
              <w:pageBreakBefore w:val="0"/>
              <w:kinsoku/>
              <w:overflowPunct/>
              <w:topLinePunct w:val="0"/>
              <w:autoSpaceDE/>
              <w:autoSpaceDN/>
              <w:bidi w:val="0"/>
              <w:spacing w:before="82" w:line="200" w:lineRule="exact"/>
              <w:ind w:firstLine="180" w:firstLineChars="100"/>
              <w:outlineLvl w:val="9"/>
              <w:rPr>
                <w:rFonts w:eastAsia="宋体"/>
                <w:sz w:val="18"/>
              </w:rPr>
            </w:pPr>
            <w:r>
              <w:rPr>
                <w:rFonts w:hint="eastAsia" w:ascii="宋体" w:eastAsia="宋体"/>
                <w:sz w:val="18"/>
              </w:rPr>
              <w:t xml:space="preserve">日期 </w:t>
            </w:r>
            <w:r>
              <w:rPr>
                <w:sz w:val="18"/>
              </w:rPr>
              <w:t>Date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0" w:hRule="atLeast"/>
        </w:trPr>
        <w:tc>
          <w:tcPr>
            <w:tcW w:w="1762" w:type="dxa"/>
          </w:tcPr>
          <w:p>
            <w:pPr>
              <w:pStyle w:val="21"/>
              <w:pageBreakBefore w:val="0"/>
              <w:kinsoku/>
              <w:overflowPunct/>
              <w:topLinePunct w:val="0"/>
              <w:autoSpaceDE/>
              <w:autoSpaceDN/>
              <w:bidi w:val="0"/>
              <w:spacing w:before="124" w:line="200" w:lineRule="exact"/>
              <w:ind w:left="168" w:right="158"/>
              <w:jc w:val="center"/>
              <w:outlineLvl w:val="9"/>
              <w:rPr>
                <w:rFonts w:ascii="宋体" w:eastAsia="宋体"/>
                <w:sz w:val="18"/>
              </w:rPr>
            </w:pPr>
            <w:r>
              <w:rPr>
                <w:rFonts w:hint="eastAsia" w:eastAsia="宋体"/>
                <w:sz w:val="18"/>
              </w:rPr>
              <w:t>学校意见</w:t>
            </w:r>
            <w:r>
              <w:rPr>
                <w:sz w:val="18"/>
              </w:rPr>
              <w:t xml:space="preserve">Comments from </w:t>
            </w:r>
            <w:r>
              <w:rPr>
                <w:rFonts w:hint="eastAsia" w:eastAsia="宋体"/>
                <w:sz w:val="18"/>
              </w:rPr>
              <w:t>the</w:t>
            </w:r>
            <w:r>
              <w:rPr>
                <w:sz w:val="18"/>
              </w:rPr>
              <w:t xml:space="preserve"> </w:t>
            </w:r>
            <w:r>
              <w:rPr>
                <w:rFonts w:hint="eastAsia" w:eastAsia="宋体"/>
                <w:sz w:val="18"/>
              </w:rPr>
              <w:t>c</w:t>
            </w:r>
            <w:r>
              <w:rPr>
                <w:sz w:val="18"/>
              </w:rPr>
              <w:t>ollege</w:t>
            </w:r>
          </w:p>
        </w:tc>
        <w:tc>
          <w:tcPr>
            <w:tcW w:w="2678" w:type="dxa"/>
          </w:tcPr>
          <w:p>
            <w:pPr>
              <w:pStyle w:val="21"/>
              <w:pageBreakBefore w:val="0"/>
              <w:kinsoku/>
              <w:overflowPunct/>
              <w:topLinePunct w:val="0"/>
              <w:autoSpaceDE/>
              <w:autoSpaceDN/>
              <w:bidi w:val="0"/>
              <w:spacing w:line="200" w:lineRule="exact"/>
              <w:ind w:left="109"/>
              <w:outlineLvl w:val="9"/>
              <w:rPr>
                <w:rFonts w:ascii="宋体" w:eastAsia="宋体"/>
                <w:sz w:val="18"/>
              </w:rPr>
            </w:pPr>
          </w:p>
          <w:p>
            <w:pPr>
              <w:pStyle w:val="21"/>
              <w:pageBreakBefore w:val="0"/>
              <w:kinsoku/>
              <w:overflowPunct/>
              <w:topLinePunct w:val="0"/>
              <w:autoSpaceDE/>
              <w:autoSpaceDN/>
              <w:bidi w:val="0"/>
              <w:spacing w:line="200" w:lineRule="exact"/>
              <w:ind w:left="109"/>
              <w:outlineLvl w:val="9"/>
              <w:rPr>
                <w:rFonts w:ascii="宋体" w:eastAsia="宋体"/>
                <w:sz w:val="18"/>
              </w:rPr>
            </w:pPr>
          </w:p>
          <w:p>
            <w:pPr>
              <w:pStyle w:val="21"/>
              <w:pageBreakBefore w:val="0"/>
              <w:kinsoku/>
              <w:overflowPunct/>
              <w:topLinePunct w:val="0"/>
              <w:autoSpaceDE/>
              <w:autoSpaceDN/>
              <w:bidi w:val="0"/>
              <w:spacing w:line="200" w:lineRule="exact"/>
              <w:ind w:firstLine="180" w:firstLineChars="100"/>
              <w:outlineLvl w:val="9"/>
              <w:rPr>
                <w:rFonts w:ascii="宋体" w:eastAsia="宋体"/>
                <w:sz w:val="18"/>
              </w:rPr>
            </w:pPr>
            <w:r>
              <w:rPr>
                <w:rFonts w:hint="eastAsia" w:ascii="宋体" w:eastAsia="宋体"/>
                <w:sz w:val="18"/>
              </w:rPr>
              <w:t>学工处处长签字</w:t>
            </w:r>
          </w:p>
          <w:p>
            <w:pPr>
              <w:pStyle w:val="21"/>
              <w:pageBreakBefore w:val="0"/>
              <w:kinsoku/>
              <w:overflowPunct/>
              <w:topLinePunct w:val="0"/>
              <w:autoSpaceDE/>
              <w:autoSpaceDN/>
              <w:bidi w:val="0"/>
              <w:spacing w:line="200" w:lineRule="exact"/>
              <w:ind w:left="109"/>
              <w:outlineLvl w:val="9"/>
              <w:rPr>
                <w:sz w:val="18"/>
              </w:rPr>
            </w:pPr>
            <w:r>
              <w:rPr>
                <w:rFonts w:hint="eastAsia" w:eastAsia="宋体"/>
                <w:sz w:val="18"/>
              </w:rPr>
              <w:t>Director of student business department signature</w:t>
            </w:r>
            <w:r>
              <w:rPr>
                <w:sz w:val="18"/>
              </w:rPr>
              <w:t xml:space="preserve"> :</w:t>
            </w:r>
          </w:p>
          <w:p>
            <w:pPr>
              <w:pStyle w:val="21"/>
              <w:pageBreakBefore w:val="0"/>
              <w:kinsoku/>
              <w:overflowPunct/>
              <w:topLinePunct w:val="0"/>
              <w:autoSpaceDE/>
              <w:autoSpaceDN/>
              <w:bidi w:val="0"/>
              <w:spacing w:before="82" w:line="200" w:lineRule="exact"/>
              <w:ind w:left="107"/>
              <w:outlineLvl w:val="9"/>
              <w:rPr>
                <w:rFonts w:ascii="宋体" w:eastAsia="宋体"/>
                <w:sz w:val="18"/>
              </w:rPr>
            </w:pPr>
            <w:r>
              <w:rPr>
                <w:rFonts w:hint="eastAsia" w:ascii="宋体" w:eastAsia="宋体"/>
                <w:sz w:val="18"/>
              </w:rPr>
              <w:t xml:space="preserve">日期 </w:t>
            </w:r>
            <w:r>
              <w:rPr>
                <w:sz w:val="18"/>
              </w:rPr>
              <w:t>Date :</w:t>
            </w:r>
          </w:p>
        </w:tc>
        <w:tc>
          <w:tcPr>
            <w:tcW w:w="4163" w:type="dxa"/>
            <w:gridSpan w:val="2"/>
          </w:tcPr>
          <w:p>
            <w:pPr>
              <w:pStyle w:val="21"/>
              <w:pageBreakBefore w:val="0"/>
              <w:kinsoku/>
              <w:overflowPunct/>
              <w:topLinePunct w:val="0"/>
              <w:autoSpaceDE/>
              <w:autoSpaceDN/>
              <w:bidi w:val="0"/>
              <w:spacing w:before="82" w:line="200" w:lineRule="exact"/>
              <w:ind w:firstLine="180" w:firstLineChars="100"/>
              <w:outlineLvl w:val="9"/>
              <w:rPr>
                <w:rFonts w:ascii="宋体" w:eastAsia="宋体"/>
                <w:sz w:val="18"/>
              </w:rPr>
            </w:pPr>
          </w:p>
          <w:p>
            <w:pPr>
              <w:pStyle w:val="21"/>
              <w:pageBreakBefore w:val="0"/>
              <w:kinsoku/>
              <w:overflowPunct/>
              <w:topLinePunct w:val="0"/>
              <w:autoSpaceDE/>
              <w:autoSpaceDN/>
              <w:bidi w:val="0"/>
              <w:spacing w:before="82" w:line="200" w:lineRule="exact"/>
              <w:ind w:firstLine="180" w:firstLineChars="100"/>
              <w:outlineLvl w:val="9"/>
              <w:rPr>
                <w:rFonts w:ascii="宋体" w:eastAsia="宋体"/>
                <w:sz w:val="18"/>
              </w:rPr>
            </w:pPr>
            <w:r>
              <w:rPr>
                <w:rFonts w:hint="eastAsia" w:ascii="宋体" w:eastAsia="宋体"/>
                <w:sz w:val="18"/>
              </w:rPr>
              <w:t>国交处处长签字</w:t>
            </w:r>
          </w:p>
          <w:p>
            <w:pPr>
              <w:pStyle w:val="21"/>
              <w:pageBreakBefore w:val="0"/>
              <w:kinsoku/>
              <w:overflowPunct/>
              <w:topLinePunct w:val="0"/>
              <w:autoSpaceDE/>
              <w:autoSpaceDN/>
              <w:bidi w:val="0"/>
              <w:spacing w:before="82" w:line="200" w:lineRule="exact"/>
              <w:ind w:firstLine="180" w:firstLineChars="100"/>
              <w:jc w:val="left"/>
              <w:outlineLvl w:val="9"/>
              <w:rPr>
                <w:rFonts w:eastAsia="宋体"/>
                <w:sz w:val="18"/>
              </w:rPr>
            </w:pPr>
            <w:r>
              <w:rPr>
                <w:rFonts w:hint="eastAsia" w:eastAsia="宋体"/>
                <w:sz w:val="18"/>
              </w:rPr>
              <w:t>Director of international exchange department signature</w:t>
            </w:r>
          </w:p>
          <w:p>
            <w:pPr>
              <w:pStyle w:val="21"/>
              <w:pageBreakBefore w:val="0"/>
              <w:kinsoku/>
              <w:overflowPunct/>
              <w:topLinePunct w:val="0"/>
              <w:autoSpaceDE/>
              <w:autoSpaceDN/>
              <w:bidi w:val="0"/>
              <w:spacing w:before="82" w:line="200" w:lineRule="exact"/>
              <w:ind w:firstLine="180" w:firstLineChars="100"/>
              <w:outlineLvl w:val="9"/>
              <w:rPr>
                <w:rFonts w:ascii="宋体" w:eastAsia="宋体"/>
                <w:sz w:val="18"/>
              </w:rPr>
            </w:pPr>
            <w:r>
              <w:rPr>
                <w:rFonts w:hint="eastAsia" w:ascii="宋体" w:eastAsia="宋体"/>
                <w:sz w:val="18"/>
              </w:rPr>
              <w:t>日期</w:t>
            </w:r>
            <w:r>
              <w:rPr>
                <w:rFonts w:hint="eastAsia" w:eastAsia="宋体"/>
                <w:sz w:val="18"/>
              </w:rPr>
              <w:t>Date</w:t>
            </w:r>
            <w:r>
              <w:rPr>
                <w:rFonts w:hint="eastAsia" w:ascii="宋体" w:eastAsia="宋体"/>
                <w:sz w:val="18"/>
              </w:rPr>
              <w:t>:</w:t>
            </w:r>
          </w:p>
        </w:tc>
      </w:tr>
    </w:tbl>
    <w:p>
      <w:pPr>
        <w:pageBreakBefore w:val="0"/>
        <w:kinsoku/>
        <w:overflowPunct/>
        <w:topLinePunct w:val="0"/>
        <w:autoSpaceDE/>
        <w:autoSpaceDN/>
        <w:bidi w:val="0"/>
        <w:outlineLvl w:val="9"/>
        <w:rPr>
          <w:rFonts w:hint="eastAsia"/>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bookmarkStart w:id="1862" w:name="_Toc11003"/>
      <w:bookmarkStart w:id="1863" w:name="_Toc22172_WPSOffice_Level1"/>
      <w:bookmarkStart w:id="1864" w:name="_Toc22735"/>
      <w:bookmarkStart w:id="1865" w:name="_Toc10691"/>
      <w:r>
        <w:rPr>
          <w:rFonts w:hint="eastAsia"/>
          <w:b/>
          <w:color w:val="000000"/>
          <w:sz w:val="36"/>
          <w:szCs w:val="36"/>
        </w:rPr>
        <w:t>柳州职业技术学院国际交流与合作工作管理办法</w:t>
      </w:r>
      <w:bookmarkEnd w:id="1862"/>
      <w:bookmarkEnd w:id="1863"/>
      <w:bookmarkEnd w:id="1864"/>
      <w:bookmarkEnd w:id="1865"/>
    </w:p>
    <w:p>
      <w:pPr>
        <w:pageBreakBefore w:val="0"/>
        <w:kinsoku/>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（柳职院字〔2021〕84 号）</w:t>
      </w:r>
    </w:p>
    <w:p>
      <w:pPr>
        <w:pageBreakBefore w:val="0"/>
        <w:kinsoku/>
        <w:overflowPunct/>
        <w:topLinePunct w:val="0"/>
        <w:autoSpaceDE/>
        <w:autoSpaceDN/>
        <w:bidi w:val="0"/>
        <w:spacing w:line="590" w:lineRule="exact"/>
        <w:jc w:val="center"/>
        <w:outlineLvl w:val="9"/>
        <w:rPr>
          <w:rFonts w:hint="eastAsia" w:ascii="仿宋_GB2312" w:eastAsia="仿宋_GB2312"/>
          <w:sz w:val="32"/>
          <w:szCs w:val="32"/>
        </w:rPr>
      </w:pPr>
    </w:p>
    <w:p>
      <w:pPr>
        <w:pageBreakBefore w:val="0"/>
        <w:kinsoku/>
        <w:overflowPunct/>
        <w:topLinePunct w:val="0"/>
        <w:autoSpaceDE/>
        <w:autoSpaceDN/>
        <w:bidi w:val="0"/>
        <w:spacing w:line="596" w:lineRule="exact"/>
        <w:ind w:firstLine="640" w:firstLineChars="200"/>
        <w:outlineLvl w:val="9"/>
        <w:rPr>
          <w:rFonts w:hint="eastAsia" w:ascii="仿宋_GB2312" w:eastAsia="仿宋_GB2312"/>
          <w:sz w:val="32"/>
          <w:szCs w:val="32"/>
          <w:lang w:eastAsia="zh-Hans"/>
        </w:rPr>
      </w:pP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866" w:name="_Toc17647_WPSOffice_Level1"/>
      <w:r>
        <w:rPr>
          <w:rFonts w:hint="eastAsia" w:ascii="黑体" w:hAnsi="黑体" w:eastAsia="黑体"/>
          <w:b/>
          <w:sz w:val="32"/>
          <w:szCs w:val="32"/>
        </w:rPr>
        <w:t>第一章  总则</w:t>
      </w:r>
      <w:bookmarkEnd w:id="1866"/>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第一条</w:t>
      </w:r>
      <w:r>
        <w:rPr>
          <w:rFonts w:hint="eastAsia" w:ascii="仿宋_GB2312" w:hAnsi="Calibri" w:eastAsia="仿宋_GB2312" w:cs="Calibri"/>
          <w:sz w:val="30"/>
          <w:szCs w:val="30"/>
        </w:rPr>
        <w:t xml:space="preserve"> 为更好地贯彻执行国家、自治区对外工作政策和教育对外开放工作的指导意见，加强学校国际交流与合作工作的管理，根据上级有关文件精神，并结合学校实际，制定本办法。</w:t>
      </w:r>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第二条</w:t>
      </w:r>
      <w:r>
        <w:rPr>
          <w:rFonts w:hint="eastAsia" w:ascii="仿宋_GB2312" w:hAnsi="Calibri" w:eastAsia="仿宋_GB2312" w:cs="Calibri"/>
          <w:sz w:val="30"/>
          <w:szCs w:val="30"/>
        </w:rPr>
        <w:t xml:space="preserve"> 学校根据“统一领导，归口管理，分级负责，内外有别，协调配合”原则，坚持学校国际化发展战略，统筹规划，扎实推进。</w:t>
      </w:r>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第三条</w:t>
      </w:r>
      <w:r>
        <w:rPr>
          <w:rFonts w:hint="eastAsia" w:ascii="仿宋_GB2312" w:hAnsi="Calibri" w:eastAsia="仿宋_GB2312" w:cs="Calibri"/>
          <w:sz w:val="30"/>
          <w:szCs w:val="30"/>
        </w:rPr>
        <w:t xml:space="preserve"> 涉外工作人员应当严格遵守外事纪律，自觉维护国家、民族和学校的利益和尊严；在尊重外方利益的前提下坚持与外方利益平等的原则；维护国家安全、严守国家秘密；加强组织观念，维护集体行动；坚持勤俭办外事的原则，反对铺张浪费；严格请示报告制度，不得越权擅自做主处理涉外事务。</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867" w:name="_Toc11441_WPSOffice_Level1"/>
      <w:r>
        <w:rPr>
          <w:rFonts w:hint="eastAsia" w:ascii="黑体" w:hAnsi="黑体" w:eastAsia="黑体"/>
          <w:b/>
          <w:sz w:val="32"/>
          <w:szCs w:val="32"/>
        </w:rPr>
        <w:t>第二章  管理机制与工作职责</w:t>
      </w:r>
      <w:bookmarkEnd w:id="1867"/>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第四条</w:t>
      </w:r>
      <w:r>
        <w:rPr>
          <w:rFonts w:hint="eastAsia" w:ascii="仿宋_GB2312" w:hAnsi="Calibri" w:eastAsia="仿宋_GB2312" w:cs="Calibri"/>
          <w:sz w:val="30"/>
          <w:szCs w:val="30"/>
        </w:rPr>
        <w:t xml:space="preserve"> 学校国际交流与合作工作接受上级主管部门的指导，在学校党委的领导下，由一位校领导具体分管。各部门和二级学院、机构应积极配合，共同保证正确执行有关政策，维护国际交流与合作工作的统一性。学校、相关职能部门、二级学院分级负责国际交流与合作工作的实施，构建从师生的日常交流、二级学院的项目合作到校级全面战略合作的国际交流与合作体系。按照“谁实施、谁负责”的原则，实行单位及部门“一把手”责任制，责任到人。</w:t>
      </w:r>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第五条</w:t>
      </w:r>
      <w:r>
        <w:rPr>
          <w:rFonts w:hint="eastAsia" w:ascii="仿宋_GB2312" w:hAnsi="Calibri" w:eastAsia="仿宋_GB2312" w:cs="Calibri"/>
          <w:sz w:val="30"/>
          <w:szCs w:val="30"/>
        </w:rPr>
        <w:t xml:space="preserve"> 学校鼓励各部门、二级学院与国外知名高校、科研机构、企业等进行广泛的国际交流与合作。各部门、二级学院、机构与国外机构</w:t>
      </w:r>
      <w:bookmarkStart w:id="1868" w:name="_Toc27064_WPSOffice_Level1"/>
      <w:r>
        <w:rPr>
          <w:rFonts w:hint="eastAsia" w:ascii="仿宋_GB2312" w:hAnsi="Calibri" w:eastAsia="仿宋_GB2312" w:cs="Calibri"/>
          <w:sz w:val="30"/>
          <w:szCs w:val="30"/>
        </w:rPr>
        <w:t>（高校、科研机构、公司、协会等）签署国际交流与合</w:t>
      </w:r>
      <w:bookmarkEnd w:id="1868"/>
      <w:r>
        <w:rPr>
          <w:rFonts w:hint="eastAsia" w:ascii="仿宋_GB2312" w:hAnsi="Calibri" w:eastAsia="仿宋_GB2312" w:cs="Calibri"/>
          <w:sz w:val="30"/>
          <w:szCs w:val="30"/>
        </w:rPr>
        <w:t>作协议时应严格执行学校相关合同管理规定。各部门、二级学院、机构必须在学校法定代表人或受法定代表人委托签署的协议生效后，才能实施国际交流与合作工作。</w:t>
      </w:r>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第六条</w:t>
      </w:r>
      <w:r>
        <w:rPr>
          <w:rFonts w:hint="eastAsia" w:ascii="仿宋_GB2312" w:hAnsi="Calibri" w:eastAsia="仿宋_GB2312" w:cs="Calibri"/>
          <w:sz w:val="30"/>
          <w:szCs w:val="30"/>
        </w:rPr>
        <w:t xml:space="preserve"> 国际交流处是学校国际交流与合作工作的归口管理部门，其他职能部门、二级学院和机构根据国际交流与合作工作的具体情况承担相应工作，并指定一位负责人分管本部门的国际交流与合作工作。国际交流处管理职责如下：</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（一）编制、执行学校国际交流与合作发展规划和年度工作计划，进行年度总结。</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（二）负责组织和统筹安排上级部门下达的相关国际交流与合作工作和其他涉外机构的相关交流活动。</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（三）负责配合组织人事处组织和统筹协调校内人员赴国外进行合作交流、讲学、研修等对外交流与项目合作事宜。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（四）协同人事处负责全校在职教职员工的因公短期出国事务管理，做好派出人员的审核、报批、申报、归国证照管理和总结等工作。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（五）负责中外合作办学、境外合作办学、学生交流交换及其他各类国际交流与合作项目的归口管理，并对项目的建立和实施过程进行协调、管理和服务。</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（六）负责制定和审核来华留学生的管理办法；负责留学生奖惩、在华学习签证和居留许可等事务的归口管理；负责建立国际交流处与教务处、学工处、国际教育学院的协商会议制度。</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（七）负责协调各类校际涉外合作交流协议的审核及归口管理工作。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（八）负责外籍教职工的身份及生活管理，协助申请来华签证及居留许可等事务。</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（九）负责做好来华举办的国际学术会议、竞赛、展览等活动的审核、报批、指导等工作。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（十）涉及国际交流与合作的其他相关事务。</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bookmarkStart w:id="1869" w:name="_Toc27755_WPSOffice_Level1"/>
      <w:r>
        <w:rPr>
          <w:rFonts w:hint="eastAsia" w:ascii="仿宋_GB2312" w:hAnsi="Calibri" w:eastAsia="仿宋_GB2312" w:cs="Calibri"/>
          <w:sz w:val="30"/>
          <w:szCs w:val="30"/>
        </w:rPr>
        <w:t> </w:t>
      </w:r>
      <w:r>
        <w:rPr>
          <w:rFonts w:hint="eastAsia" w:ascii="仿宋_GB2312" w:hAnsi="Calibri" w:eastAsia="仿宋_GB2312" w:cs="Calibri"/>
          <w:b/>
          <w:bCs/>
          <w:sz w:val="30"/>
          <w:szCs w:val="30"/>
        </w:rPr>
        <w:t>第七条</w:t>
      </w:r>
      <w:r>
        <w:rPr>
          <w:rFonts w:hint="eastAsia" w:ascii="仿宋_GB2312" w:hAnsi="Calibri" w:eastAsia="仿宋_GB2312" w:cs="Calibri"/>
          <w:sz w:val="30"/>
          <w:szCs w:val="30"/>
        </w:rPr>
        <w:t xml:space="preserve">  国际教育学院作为留学生的管理部门，工作职责如下：</w:t>
      </w:r>
      <w:bookmarkEnd w:id="1869"/>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1. 来华留学生的招生、录取工作。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2. 短期语言生的人才培养方案制定与实施，相关教学管理、日常管理，负责结业证书颁发与管理等工作。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3. 负责全校留学生的录取和学籍管理，负责协调各专业留学生毕业资格审核。</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4. 负责全校留学的对外汉语课程的建设与管理、教学质量的管理。</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5. 负责统筹全校留学生通识课程的建设及管理。</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6. 负责全校来华留学生宿舍的管理，留学生住宿安排等工作。</w:t>
      </w:r>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第八条</w:t>
      </w:r>
      <w:r>
        <w:rPr>
          <w:rFonts w:hint="eastAsia" w:ascii="仿宋_GB2312" w:hAnsi="Calibri" w:eastAsia="仿宋_GB2312" w:cs="Calibri"/>
          <w:sz w:val="30"/>
          <w:szCs w:val="30"/>
        </w:rPr>
        <w:t xml:space="preserve"> 二级学院作为开展对外交流活动、推进国际化办学的主体，工作职责如下：</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（一）明确本单位负责国际交流与合作工作的分管领导和相应的外事工作人员。</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（二）按照学校要求，制订和执行本单位国际交流与合作工作规划，工作计划，对相关工作进行年度总结。</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（三）结合教学和科研工作，组织本单位教职工赴国外进行短期交流、访问、讲学、合作研究等，需事先向国际交流处完成报备手续，事后完成工作总结的备案工作。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（四）制定外籍教师招聘计划，对应聘人员进行资格审查、组织考核，并将拟聘人员材料报学校审定批准。负责外籍教师的管理与评价，重大事项报国际交流处处理。</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（五）积极组织申报中外合作办学、境外合作办学、国际标准引入与输出、国际科研合作平台等项目，积极举办（承办）高水平国际会议、技能竞赛，组织开展国际专业交流报告。</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（六）组织和积极拓展本单位的学生出国交流项目。</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（七）积极配合职能部门做好留学生的招生工作，做好本单位来华留学生教学、学生管理的相关工作，负责编制学历教育留学生人才培养方案；</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（八）负责本单位留学生的毕业资格审核，毕业证书办理与颁发。</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（九）完成国际交流与合作的其他相关事宜。</w:t>
      </w:r>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第九条</w:t>
      </w:r>
      <w:r>
        <w:rPr>
          <w:rFonts w:hint="eastAsia" w:ascii="仿宋_GB2312" w:hAnsi="Calibri" w:eastAsia="仿宋_GB2312" w:cs="Calibri"/>
          <w:sz w:val="30"/>
          <w:szCs w:val="30"/>
        </w:rPr>
        <w:t xml:space="preserve"> 相关职能部门要明确职责，协调配合，共同做好国际交流与合作工作：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（一）组织部职责</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1. 负责各类出国人员的政审。</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2. 负责中层及以上干部因私出国（境）证照管理。</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（二）人事处职责</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1. 组织选拔、审核和推荐各类出国进修</w:t>
      </w:r>
      <w:bookmarkStart w:id="1870" w:name="_Toc28070_WPSOffice_Level1"/>
      <w:r>
        <w:rPr>
          <w:rFonts w:hint="eastAsia" w:ascii="仿宋_GB2312" w:hAnsi="Calibri" w:eastAsia="仿宋_GB2312" w:cs="Calibri"/>
          <w:sz w:val="30"/>
          <w:szCs w:val="30"/>
        </w:rPr>
        <w:t>、培训和学习人员。</w:t>
      </w:r>
      <w:bookmarkEnd w:id="1870"/>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bookmarkStart w:id="1871" w:name="_Toc11419_WPSOffice_Level1"/>
      <w:r>
        <w:rPr>
          <w:rFonts w:hint="eastAsia" w:ascii="仿宋_GB2312" w:hAnsi="Calibri" w:eastAsia="仿宋_GB2312" w:cs="Calibri"/>
          <w:sz w:val="30"/>
          <w:szCs w:val="30"/>
        </w:rPr>
        <w:t>2. 负责统筹协调外籍教师聘</w:t>
      </w:r>
      <w:bookmarkEnd w:id="1871"/>
      <w:r>
        <w:rPr>
          <w:rFonts w:hint="eastAsia" w:ascii="仿宋_GB2312" w:hAnsi="Calibri" w:eastAsia="仿宋_GB2312" w:cs="Calibri"/>
          <w:sz w:val="30"/>
          <w:szCs w:val="30"/>
        </w:rPr>
        <w:t>用组织工作，负责统筹协调国际交流处、用人部门对外籍教师进行管理。</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（三）教务处职责</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1. 负责中外合作办学项目、境外合作办学、国际交流项目等人才培养方案、学分计划、学籍的审核；</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2. 负责国际标准引入，专业国际认证项目的立项审批与指导实施；</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3. 负责本校输出国际标准、国际课程的建设规划、组织与指导等；</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4. 负责在校生出国交流（学分互认）项目管理、经费资助、课程认定与学分转换等工作；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5. 负责来华留学生的校内学籍管理、培养方案的审核、教学质量的管理和毕业及证书授予管理等工作；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6. 负责境外合作办学、来华留学生课程建设与管理工作；协同开展教育国际化的其他工作。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（四）校企合作（科研）处职责</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1. 指导二级学院和科研机构举办（承办）高水平国际会议；</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2. 组织和指导二级学院和科研机构申报国际科研合作项目、平台和知识产权。</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（五）学生工作部（处）职责</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1. 开展学生出国交流项目的宣传和交流事项教育工作，负责学生三个月以内短期海外研修项目的组织和协调工作，并负责上述学生国外跟踪管理工作；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2. 参与国际学术交流项目、校际国外交流项目的学生的选拔等工作；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3. 在校生短期出国交流经费资助工作；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4. 统筹来华留学生辅导员的选拔、培训、管理工作；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5. 统筹国际教育学院及其他二级学院来华留学生的日常管理、安全管理工作。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（六）后勤处职责</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1. 外籍教职工、来华留学生宿舍的建设支持保障；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2. 外籍教职工、来华留学生宿舍物业管理工作；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3. 国际交流与合作中特殊的食堂建设完善、餐饮服务管理工作；为学校开展国际合作交流工作提供后勤保障。</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（七）保卫处职责</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负责来华留学生临时居留证明的办理；</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负责对接辖区派出所、国保大队、国安部门等，报备相关事项；</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负责协助国际交流处、学工处处理留学生重大管理事项等。</w:t>
      </w:r>
    </w:p>
    <w:p>
      <w:pPr>
        <w:pageBreakBefore w:val="0"/>
        <w:widowControl/>
        <w:kinsoku/>
        <w:overflowPunct/>
        <w:topLinePunct w:val="0"/>
        <w:autoSpaceDE/>
        <w:autoSpaceDN/>
        <w:bidi w:val="0"/>
        <w:spacing w:line="596" w:lineRule="exact"/>
        <w:ind w:firstLine="600" w:firstLineChars="200"/>
        <w:jc w:val="left"/>
        <w:outlineLvl w:val="9"/>
        <w:rPr>
          <w:rFonts w:hint="eastAsia" w:ascii="仿宋_GB2312" w:hAnsi="Calibri" w:eastAsia="仿宋_GB2312" w:cs="Calibri"/>
          <w:sz w:val="30"/>
          <w:szCs w:val="30"/>
        </w:rPr>
      </w:pPr>
      <w:r>
        <w:rPr>
          <w:rFonts w:hint="eastAsia" w:ascii="仿宋_GB2312" w:hAnsi="Calibri" w:eastAsia="仿宋_GB2312" w:cs="Calibri"/>
          <w:sz w:val="30"/>
          <w:szCs w:val="30"/>
        </w:rPr>
        <w:t>（八）其他未涉及部门参照所在单位职能执行相关事项。</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872" w:name="_Toc23209_WPSOffice_Level1"/>
      <w:r>
        <w:rPr>
          <w:rFonts w:hint="eastAsia" w:ascii="黑体" w:hAnsi="黑体" w:eastAsia="黑体"/>
          <w:b/>
          <w:sz w:val="32"/>
          <w:szCs w:val="32"/>
        </w:rPr>
        <w:t>第三章  奖励与惩罚</w:t>
      </w:r>
      <w:bookmarkEnd w:id="1872"/>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第十条</w:t>
      </w:r>
      <w:r>
        <w:rPr>
          <w:rFonts w:hint="eastAsia" w:ascii="仿宋_GB2312" w:hAnsi="Calibri" w:eastAsia="仿宋_GB2312" w:cs="Calibri"/>
          <w:sz w:val="30"/>
          <w:szCs w:val="30"/>
        </w:rPr>
        <w:t xml:space="preserve"> 对遵守国家外事纪律和按照本规定要求，积极开展国际合作交流活动并取得实质性成果的部门、二级学院和个人，由学校按照有关奖励办法给予表彰和奖励。</w:t>
      </w:r>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第十一条</w:t>
      </w:r>
      <w:r>
        <w:rPr>
          <w:rFonts w:hint="eastAsia" w:ascii="仿宋_GB2312" w:hAnsi="Calibri" w:eastAsia="仿宋_GB2312" w:cs="Calibri"/>
          <w:sz w:val="30"/>
          <w:szCs w:val="30"/>
        </w:rPr>
        <w:t xml:space="preserve"> 部门、二级学院、机构及个人在从事涉外活动时须严格遵守相关涉外活动保密管理规定，对违反相关纪律导致国家、民族和学校的利益和尊严受到损害的，学校将追究责任；情节严重的，给予行政或党纪处分；情节特别严重的，依法追究其法律责任。</w:t>
      </w:r>
    </w:p>
    <w:p>
      <w:pPr>
        <w:pageBreakBefore w:val="0"/>
        <w:kinsoku/>
        <w:overflowPunct/>
        <w:topLinePunct w:val="0"/>
        <w:autoSpaceDE/>
        <w:autoSpaceDN/>
        <w:bidi w:val="0"/>
        <w:spacing w:line="596" w:lineRule="exact"/>
        <w:jc w:val="center"/>
        <w:outlineLvl w:val="9"/>
        <w:rPr>
          <w:rFonts w:hint="eastAsia" w:ascii="黑体" w:hAnsi="黑体" w:eastAsia="黑体"/>
          <w:b/>
          <w:sz w:val="32"/>
          <w:szCs w:val="32"/>
        </w:rPr>
      </w:pPr>
      <w:bookmarkStart w:id="1873" w:name="_Toc4193_WPSOffice_Level1"/>
      <w:r>
        <w:rPr>
          <w:rFonts w:hint="eastAsia" w:ascii="黑体" w:hAnsi="黑体" w:eastAsia="黑体"/>
          <w:b/>
          <w:sz w:val="32"/>
          <w:szCs w:val="32"/>
        </w:rPr>
        <w:t>第四章  附则</w:t>
      </w:r>
      <w:bookmarkEnd w:id="1873"/>
    </w:p>
    <w:p>
      <w:pPr>
        <w:pageBreakBefore w:val="0"/>
        <w:widowControl/>
        <w:kinsoku/>
        <w:overflowPunct/>
        <w:topLinePunct w:val="0"/>
        <w:autoSpaceDE/>
        <w:autoSpaceDN/>
        <w:bidi w:val="0"/>
        <w:spacing w:line="596" w:lineRule="exact"/>
        <w:ind w:firstLine="602" w:firstLineChars="200"/>
        <w:jc w:val="left"/>
        <w:outlineLvl w:val="9"/>
        <w:rPr>
          <w:rFonts w:hint="eastAsia" w:ascii="仿宋_GB2312" w:hAnsi="Calibri" w:eastAsia="仿宋_GB2312" w:cs="Calibri"/>
          <w:sz w:val="30"/>
          <w:szCs w:val="30"/>
        </w:rPr>
      </w:pPr>
      <w:r>
        <w:rPr>
          <w:rFonts w:hint="eastAsia" w:ascii="仿宋_GB2312" w:hAnsi="Calibri" w:eastAsia="仿宋_GB2312" w:cs="Calibri"/>
          <w:b/>
          <w:bCs/>
          <w:sz w:val="30"/>
          <w:szCs w:val="30"/>
        </w:rPr>
        <w:t>第十二条</w:t>
      </w:r>
      <w:r>
        <w:rPr>
          <w:rFonts w:hint="eastAsia" w:ascii="仿宋_GB2312" w:hAnsi="Calibri" w:eastAsia="仿宋_GB2312" w:cs="Calibri"/>
          <w:sz w:val="30"/>
          <w:szCs w:val="30"/>
        </w:rPr>
        <w:t xml:space="preserve"> 港澳台事务遵照国家有关法律法规和学校相关规定执行。</w:t>
      </w:r>
    </w:p>
    <w:p>
      <w:pPr>
        <w:pageBreakBefore w:val="0"/>
        <w:widowControl/>
        <w:kinsoku/>
        <w:overflowPunct/>
        <w:topLinePunct w:val="0"/>
        <w:autoSpaceDE/>
        <w:autoSpaceDN/>
        <w:bidi w:val="0"/>
        <w:spacing w:line="596" w:lineRule="exact"/>
        <w:ind w:firstLine="602" w:firstLineChars="200"/>
        <w:jc w:val="left"/>
        <w:outlineLvl w:val="9"/>
        <w:rPr>
          <w:rFonts w:hint="eastAsia"/>
        </w:rPr>
      </w:pPr>
      <w:r>
        <w:rPr>
          <w:rFonts w:hint="eastAsia" w:ascii="仿宋_GB2312" w:hAnsi="Calibri" w:eastAsia="仿宋_GB2312" w:cs="Calibri"/>
          <w:b/>
          <w:bCs/>
          <w:sz w:val="30"/>
          <w:szCs w:val="30"/>
        </w:rPr>
        <w:t>第十三条</w:t>
      </w:r>
      <w:r>
        <w:rPr>
          <w:rFonts w:hint="eastAsia" w:ascii="仿宋_GB2312" w:hAnsi="Calibri" w:eastAsia="仿宋_GB2312" w:cs="Calibri"/>
          <w:sz w:val="30"/>
          <w:szCs w:val="30"/>
        </w:rPr>
        <w:t xml:space="preserve"> 本办法由国际交流处负责解释。</w:t>
      </w:r>
    </w:p>
    <w:p>
      <w:pPr>
        <w:pageBreakBefore w:val="0"/>
        <w:kinsoku/>
        <w:overflowPunct/>
        <w:topLinePunct w:val="0"/>
        <w:autoSpaceDE/>
        <w:autoSpaceDN/>
        <w:bidi w:val="0"/>
        <w:outlineLvl w:val="9"/>
        <w:rPr>
          <w:rFonts w:hint="eastAsia"/>
        </w:rPr>
        <w:sectPr>
          <w:pgSz w:w="11906" w:h="16838"/>
          <w:pgMar w:top="1440" w:right="1800" w:bottom="1440" w:left="1800" w:header="851" w:footer="992" w:gutter="0"/>
          <w:pgNumType w:fmt="decimal"/>
          <w:cols w:space="425" w:num="1"/>
          <w:docGrid w:type="lines" w:linePitch="312" w:charSpace="0"/>
        </w:sectPr>
      </w:pPr>
    </w:p>
    <w:p>
      <w:pPr>
        <w:pageBreakBefore w:val="0"/>
        <w:kinsoku/>
        <w:overflowPunct/>
        <w:topLinePunct w:val="0"/>
        <w:autoSpaceDE/>
        <w:autoSpaceDN/>
        <w:bidi w:val="0"/>
        <w:outlineLvl w:val="9"/>
        <w:rPr>
          <w:rFonts w:hint="eastAsia"/>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bookmarkStart w:id="1874" w:name="_Toc17459"/>
      <w:bookmarkStart w:id="1875" w:name="_Toc534377748"/>
      <w:bookmarkStart w:id="1876" w:name="_Toc23196"/>
      <w:bookmarkStart w:id="1877" w:name="_Toc5078_WPSOffice_Level1"/>
      <w:r>
        <w:rPr>
          <w:rFonts w:hint="eastAsia"/>
          <w:b/>
          <w:color w:val="000000"/>
          <w:sz w:val="36"/>
          <w:szCs w:val="36"/>
        </w:rPr>
        <w:t>柳州职业技术学院公派出国（境）人员管理办法（试行）</w:t>
      </w:r>
      <w:bookmarkEnd w:id="1874"/>
      <w:bookmarkEnd w:id="1875"/>
      <w:bookmarkEnd w:id="1876"/>
      <w:bookmarkEnd w:id="1877"/>
    </w:p>
    <w:p>
      <w:pPr>
        <w:pStyle w:val="10"/>
        <w:pageBreakBefore w:val="0"/>
        <w:kinsoku/>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（柳职院字〔2016〕38号）</w:t>
      </w:r>
    </w:p>
    <w:p>
      <w:pPr>
        <w:pageBreakBefore w:val="0"/>
        <w:kinsoku/>
        <w:overflowPunct/>
        <w:topLinePunct w:val="0"/>
        <w:autoSpaceDE/>
        <w:autoSpaceDN/>
        <w:bidi w:val="0"/>
        <w:spacing w:line="596" w:lineRule="exact"/>
        <w:jc w:val="center"/>
        <w:outlineLvl w:val="9"/>
        <w:rPr>
          <w:rFonts w:ascii="仿宋_GB2312" w:eastAsia="仿宋_GB2312"/>
          <w:b/>
          <w:szCs w:val="28"/>
        </w:rPr>
      </w:pP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为进一步提高我校国际化办学水平和规范我校出国（境）人员管理，提升教师和管理队伍的专业技术和管理能力，根据《中共中央办公厅、国务院办公厅转发中央组织部、中央外办等部门〈关于加强和改进教学科研人员因公临时出国管理工作的指导意见〉的通知》（厅字【2016】17号）和中共中央组织部《关于进一步加强领导干部出国（境）管理监督工作的通知》（组通字[2014]14号）等文件精神，结合我校具体情况，制定本办法。</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一、公派出国（境）人员分类</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国家公派人员：由国家提供全额资助或由国家交换项目所提供资助的出国（境）人员，统称为国家公派人员。</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学校公派人员：由学校提供资助（全额或部分）或通过学校与国外交流项目提供资助的出国（境）人员，并纳入学校派出计划的人员，统称为学校公派人员。</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二、派出人员选派原则</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派出人员的选派应坚持如下三条基本原则：</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1.选派工作坚持公平、公开原则，有计划、有重点地培养急需的高级人才。</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2.优先考虑学校专业建设发展需要，支持优先发展的重点建设专业。</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3.根据按需推荐、平等竞争的原则，各二级学院和管理部门优先考虑政治素质和业务水平过硬，在科研、教学、管理工作中成绩突出的中青年业务骨干，优先考虑高层次创新型人才培养需要。</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三、派出计划的制订</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学校每年派出计划主要包括年度派出人员的规模、选拔以及相关项目的情况，各二级学院和管理部门应按学校要求对派出人员实施计划管理。</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各二级学院和管理部门应结合自身专业发展、改革需要及科研任务、队伍建设情况，在每年6月提出下年度派遣建议计划并报人事处，由人事处牵头进行全校年度派出计划的制订。</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四、派出人员的选拔</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派出人员的选拔由人事处牵头组织，各二级学院、部门应根据项目要求，按选派原则进行推荐，由人事处报请学校党委会或校长办公会讨论，经校内公示无异议，并经上级审批同意后确定。</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五、派出人员协议书的签订</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派出人员确定后，应与学校签订协议书（出国（境）时间在半年以上的），协议书中应明确双方的权利义务、派出人员服务期限及违约金等。需要提供保证人的，保证人在协议书有效期限内不得出国。</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六、派出人员的工资待遇</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派出人员在批准的出国期限内，发给其国家及协议规定的工资。学校根据政府要求指派出国（境）支教的人员按国家派出机构规定执行。</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七、派出人员保证金交纳</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国家公派人员保证金交纳按照国家派出机构的相关规定执行。学校公派人员按学校协议书规定交纳。</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八、派出人员的境外管理</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派出人员在外期限、国别（地区）规定。派出时间根据出国任务和国内工作情况确定，原则上派出期限最长不超过一年。派出人员应按协议或项目要求去往指定国家地区，不得擅自改变派出国别（地区）和派出身份。</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延期申请。派出人员在派出期满后，仍未完成研究或进修计划确需延期的，应经所在部门同意并报学校批准。</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其他。学校不为公派出国留学人员、出国支教人员提供任何在外获得长期居留权的公证证明材料。对于申请由公派转为自费身份的在外公派人员，须辞职并办理离校手续。</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九、派出人员的违约处理。</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派出人员如违反与学校签订的协议，学校将向其本人、或通过其保证人、代理人向其收回和追缴出国期间所发的工资、学校提供的出国旅费和违约金。</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十、回国管理</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派出人员按期回国后，应在入境两周内向人事处及所在部门报到，并结清所有费用。未满服务期派出人员回国后，必须交回护照，方能办理退还出国保证金等手续。</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十一、其他</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学校领导出国，应按自治区党委下发的领导干部出国（境）管理相关规定、柳州市委下发的领导干部出国（境）管理相关规定办理相关出国（境）手续。</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学校中层副处级以上干部和涉密、机要工作人员的护照应交由学校人事处管理，应按中共柳州市委下发的有关干部出国（境）管理相关规定办理出国（境）手续。</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人事处指导并协助公派出国人员按照有关要求办理政审、护照、签证、外汇等手续。公派出国人员离境前，应安排谈话，明确派出任务、出国注意事项及有关纪律。</w:t>
      </w:r>
    </w:p>
    <w:p>
      <w:pPr>
        <w:pageBreakBefore w:val="0"/>
        <w:kinsoku/>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十二、本办法由人事处负责解释，自发布之日起施行。</w:t>
      </w:r>
    </w:p>
    <w:p>
      <w:pPr>
        <w:pageBreakBefore w:val="0"/>
        <w:widowControl/>
        <w:kinsoku/>
        <w:overflowPunct/>
        <w:topLinePunct w:val="0"/>
        <w:autoSpaceDE/>
        <w:autoSpaceDN/>
        <w:bidi w:val="0"/>
        <w:jc w:val="left"/>
        <w:outlineLvl w:val="9"/>
        <w:rPr>
          <w:sz w:val="32"/>
          <w:szCs w:val="32"/>
        </w:rPr>
      </w:pPr>
      <w:r>
        <w:rPr>
          <w:sz w:val="32"/>
          <w:szCs w:val="32"/>
        </w:rPr>
        <w:br w:type="page"/>
      </w:r>
    </w:p>
    <w:p>
      <w:pPr>
        <w:pageBreakBefore w:val="0"/>
        <w:kinsoku/>
        <w:overflowPunct/>
        <w:topLinePunct w:val="0"/>
        <w:autoSpaceDE/>
        <w:autoSpaceDN/>
        <w:bidi w:val="0"/>
        <w:outlineLvl w:val="9"/>
        <w:rPr>
          <w:rFonts w:hint="default"/>
          <w:lang w:val="en-US" w:eastAsia="zh-CN"/>
        </w:rPr>
      </w:pPr>
    </w:p>
    <w:p>
      <w:pPr>
        <w:widowControl/>
        <w:jc w:val="left"/>
        <w:rPr>
          <w:rFonts w:ascii="仿宋_GB2312" w:eastAsia="仿宋_GB2312"/>
          <w:sz w:val="32"/>
          <w:szCs w:val="32"/>
        </w:rPr>
      </w:pPr>
    </w:p>
    <w:p/>
    <w:p/>
    <w:sectPr>
      <w:footerReference r:id="rId45" w:type="default"/>
      <w:pgSz w:w="11906" w:h="16838"/>
      <w:pgMar w:top="1440" w:right="1474" w:bottom="1440"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FZFangSong-Z02">
    <w:altName w:val="宋体"/>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华文宋体">
    <w:altName w:val="宋体"/>
    <w:panose1 w:val="02010600040101010101"/>
    <w:charset w:val="86"/>
    <w:family w:val="auto"/>
    <w:pitch w:val="default"/>
    <w:sig w:usb0="00000000" w:usb1="00000000" w:usb2="00000010" w:usb3="00000000" w:csb0="0004009F" w:csb1="00000000"/>
  </w:font>
  <w:font w:name="MS Shell Dlg">
    <w:altName w:val="Microsoft Sans Serif"/>
    <w:panose1 w:val="020B0604020202020204"/>
    <w:charset w:val="00"/>
    <w:family w:val="swiss"/>
    <w:pitch w:val="default"/>
    <w:sig w:usb0="00000000" w:usb1="00000000" w:usb2="00000008" w:usb3="00000000" w:csb0="000101FF" w:csb1="00000000"/>
  </w:font>
  <w:font w:name="新宋体">
    <w:panose1 w:val="02010609030101010101"/>
    <w:charset w:val="86"/>
    <w:family w:val="modern"/>
    <w:pitch w:val="default"/>
    <w:sig w:usb0="00000283" w:usb1="288F0000" w:usb2="00000006" w:usb3="00000000" w:csb0="00040001" w:csb1="00000000"/>
  </w:font>
  <w:font w:name="方正黑体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script"/>
    <w:pitch w:val="default"/>
    <w:sig w:usb0="A00002BF" w:usb1="38CF7CFA" w:usb2="00000016" w:usb3="00000000" w:csb0="0004000F" w:csb1="00000000"/>
  </w:font>
  <w:font w:name="Microsoft JhengHei">
    <w:panose1 w:val="020B0604030504040204"/>
    <w:charset w:val="88"/>
    <w:family w:val="swiss"/>
    <w:pitch w:val="default"/>
    <w:sig w:usb0="000002A7" w:usb1="28CF4400" w:usb2="00000016" w:usb3="00000000" w:csb0="00100009" w:csb1="00000000"/>
  </w:font>
  <w:font w:name="方正小标宋简体">
    <w:altName w:val="黑体"/>
    <w:panose1 w:val="02000000000000000000"/>
    <w:charset w:val="86"/>
    <w:family w:val="script"/>
    <w:pitch w:val="default"/>
    <w:sig w:usb0="00000000" w:usb1="00000000" w:usb2="00000000" w:usb3="00000000" w:csb0="00000000" w:csb1="00000000"/>
  </w:font>
  <w:font w:name="CG Times">
    <w:altName w:val="Times New Roman"/>
    <w:panose1 w:val="00000000000000000000"/>
    <w:charset w:val="00"/>
    <w:family w:val="roman"/>
    <w:pitch w:val="default"/>
    <w:sig w:usb0="00000000" w:usb1="00000000" w:usb2="00000000" w:usb3="00000000" w:csb0="00000093" w:csb1="00000000"/>
  </w:font>
  <w:font w:name="楷体">
    <w:panose1 w:val="02010609060101010101"/>
    <w:charset w:val="86"/>
    <w:family w:val="auto"/>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00000" w:csb1="00000000"/>
  </w:font>
  <w:font w:name="Helvetica">
    <w:altName w:val="Arial"/>
    <w:panose1 w:val="00000000000000000000"/>
    <w:charset w:val="00"/>
    <w:family w:val="swiss"/>
    <w:pitch w:val="default"/>
    <w:sig w:usb0="00000000" w:usb1="00000000" w:usb2="00000000" w:usb3="00000000" w:csb0="0000019F" w:csb1="00000000"/>
  </w:font>
  <w:font w:name="方正仿宋简体">
    <w:altName w:val="宋体"/>
    <w:panose1 w:val="00000000000000000000"/>
    <w:charset w:val="86"/>
    <w:family w:val="auto"/>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Microsoft Sans Serif">
    <w:panose1 w:val="020B0604020202020204"/>
    <w:charset w:val="00"/>
    <w:family w:val="auto"/>
    <w:pitch w:val="default"/>
    <w:sig w:usb0="E5002EFF" w:usb1="C000605B" w:usb2="00000029" w:usb3="00000000" w:csb0="200101FF" w:csb1="2028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913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3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宋体" w:hAnsi="宋体"/>
        <w:sz w:val="28"/>
        <w:szCs w:val="28"/>
      </w:rPr>
    </w:pPr>
    <w:r>
      <w:rPr>
        <w:sz w:val="28"/>
      </w:rPr>
      <mc:AlternateContent>
        <mc:Choice Requires="wps">
          <w:drawing>
            <wp:anchor distT="0" distB="0" distL="114300" distR="114300" simplePos="0" relativeHeight="251918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8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342</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4 -</w:t>
    </w:r>
    <w:r>
      <w:rPr>
        <w:rFonts w:ascii="宋体" w:hAnsi="宋体"/>
        <w:sz w:val="28"/>
        <w:szCs w:val="2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9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9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375</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186624" behindDoc="1" locked="0" layoutInCell="1" allowOverlap="1">
              <wp:simplePos x="0" y="0"/>
              <wp:positionH relativeFrom="page">
                <wp:posOffset>982980</wp:posOffset>
              </wp:positionH>
              <wp:positionV relativeFrom="page">
                <wp:posOffset>9843770</wp:posOffset>
              </wp:positionV>
              <wp:extent cx="228600" cy="20383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228600" cy="203835"/>
                      </a:xfrm>
                      <a:prstGeom prst="rect">
                        <a:avLst/>
                      </a:prstGeom>
                      <a:noFill/>
                      <a:ln>
                        <a:noFill/>
                      </a:ln>
                    </wps:spPr>
                    <wps:txbx>
                      <w:txbxContent>
                        <w:p>
                          <w:pPr>
                            <w:spacing w:before="0" w:line="321" w:lineRule="exact"/>
                            <w:ind w:left="40" w:right="0" w:firstLine="0"/>
                            <w:jc w:val="left"/>
                            <w:rPr>
                              <w:rFonts w:ascii="宋体"/>
                              <w:sz w:val="28"/>
                            </w:rPr>
                          </w:pPr>
                          <w:r>
                            <w:fldChar w:fldCharType="begin"/>
                          </w:r>
                          <w:r>
                            <w:rPr>
                              <w:rFonts w:ascii="宋体"/>
                              <w:sz w:val="2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77.4pt;margin-top:775.1pt;height:16.05pt;width:18pt;mso-position-horizontal-relative:page;mso-position-vertical-relative:page;z-index:-251129856;mso-width-relative:page;mso-height-relative:page;" filled="f" stroked="f" coordsize="21600,21600" o:gfxdata="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4+kyrZAAAADQEAAA8AAAAAAAAA&#10;AQAgAAAAIgAAAGRycy9kb3ducmV2LnhtbFBLAQIUABQAAAAIAIdO4kDTGF/hngEAACUDAAAOAAAA&#10;AAAAAAEAIAAAACgBAABkcnMvZTJvRG9jLnhtbFBLBQYAAAAABgAGAFkBAAA4BQAAAAA=&#10;">
              <v:fill on="f" focussize="0,0"/>
              <v:stroke on="f"/>
              <v:imagedata o:title=""/>
              <o:lock v:ext="edit" aspectratio="f"/>
              <v:textbox inset="0mm,0mm,0mm,0mm">
                <w:txbxContent>
                  <w:p>
                    <w:pPr>
                      <w:spacing w:before="0" w:line="321" w:lineRule="exact"/>
                      <w:ind w:left="40" w:right="0" w:firstLine="0"/>
                      <w:jc w:val="left"/>
                      <w:rPr>
                        <w:rFonts w:ascii="宋体"/>
                        <w:sz w:val="28"/>
                      </w:rPr>
                    </w:pPr>
                    <w:r>
                      <w:fldChar w:fldCharType="begin"/>
                    </w:r>
                    <w:r>
                      <w:rPr>
                        <w:rFonts w:ascii="宋体"/>
                        <w:sz w:val="28"/>
                      </w:rPr>
                      <w:instrText xml:space="preserve"> PAGE </w:instrText>
                    </w:r>
                    <w:r>
                      <w:fldChar w:fldCharType="separate"/>
                    </w:r>
                    <w:r>
                      <w:t>10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920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0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宋体" w:hAnsi="宋体"/>
        <w:sz w:val="28"/>
        <w:szCs w:val="28"/>
        <w:lang w:eastAsia="zh-CN"/>
      </w:rPr>
    </w:pPr>
    <w:r>
      <w:rPr>
        <w:sz w:val="28"/>
      </w:rPr>
      <mc:AlternateContent>
        <mc:Choice Requires="wps">
          <w:drawing>
            <wp:anchor distT="0" distB="0" distL="114300" distR="114300" simplePos="0" relativeHeight="251921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1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136</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922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2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14935" cy="17526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6"/>
                            <w:rPr>
                              <w:sz w:val="24"/>
                              <w:szCs w:val="24"/>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3.8pt;width:9.05pt;mso-position-horizontal:center;mso-position-horizontal-relative:margin;mso-wrap-style:none;z-index:251802624;mso-width-relative:page;mso-height-relative:page;" filled="f" stroked="f" coordsize="21600,21600" o:gfxdata="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jD2H/Q&#10;AAAAAwEAAA8AAAAAAAAAAQAgAAAAIgAAAGRycy9kb3ducmV2LnhtbFBLAQIUABQAAAAIAIdO4kBo&#10;5UoRtgEAAFYDAAAOAAAAAAAAAAEAIAAAAB8BAABkcnMvZTJvRG9jLnhtbFBLBQYAAAAABgAGAFkB&#10;AABHBQAAAAA=&#10;">
              <v:fill on="f" focussize="0,0"/>
              <v:stroke on="f"/>
              <v:imagedata o:title=""/>
              <o:lock v:ext="edit" aspectratio="f"/>
              <v:textbox inset="0mm,0mm,0mm,0mm" style="mso-fit-shape-to-text:t;">
                <w:txbxContent>
                  <w:p>
                    <w:pPr>
                      <w:pStyle w:val="6"/>
                      <w:rPr>
                        <w:sz w:val="24"/>
                        <w:szCs w:val="24"/>
                      </w:rPr>
                    </w:pPr>
                  </w:p>
                </w:txbxContent>
              </v:textbox>
            </v:shape>
          </w:pict>
        </mc:Fallback>
      </mc:AlternateContent>
    </w:r>
  </w:p>
  <w:p>
    <w:pPr>
      <w:pStyle w:val="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6"/>
                            <w:rPr>
                              <w:sz w:val="24"/>
                              <w:szCs w:val="24"/>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LpS&#10;Xr62AQAAVgMAAA4AAAAAAAAAAQAgAAAAHgEAAGRycy9lMm9Eb2MueG1sUEsFBgAAAAAGAAYAWQEA&#10;AEYFAAAAAA==&#10;">
              <v:fill on="f" focussize="0,0"/>
              <v:stroke on="f"/>
              <v:imagedata o:title=""/>
              <o:lock v:ext="edit" aspectratio="f"/>
              <v:textbox inset="0mm,0mm,0mm,0mm" style="mso-fit-shape-to-text:t;">
                <w:txbxContent>
                  <w:p>
                    <w:pPr>
                      <w:pStyle w:val="6"/>
                      <w:rPr>
                        <w:sz w:val="24"/>
                        <w:szCs w:val="24"/>
                      </w:rPr>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923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3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178</w:t>
                    </w:r>
                    <w:r>
                      <w:rPr>
                        <w:rFonts w:hint="eastAsia"/>
                        <w:lang w:eastAsia="zh-CN"/>
                      </w:rPr>
                      <w:fldChar w:fldCharType="end"/>
                    </w:r>
                  </w:p>
                </w:txbxContent>
              </v:textbox>
            </v:shape>
          </w:pict>
        </mc:Fallback>
      </mc:AlternateContent>
    </w:r>
  </w:p>
  <w:p>
    <w:pPr>
      <w:pStyle w:val="6"/>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rPr>
        <w:rFonts w:hint="eastAsia"/>
      </w:rPr>
    </w:pPr>
    <w:r>
      <w:rPr>
        <w:sz w:val="18"/>
      </w:rPr>
      <mc:AlternateContent>
        <mc:Choice Requires="wps">
          <w:drawing>
            <wp:anchor distT="0" distB="0" distL="114300" distR="114300" simplePos="0" relativeHeight="251924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4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182</w:t>
                    </w:r>
                    <w:r>
                      <w:rPr>
                        <w:rFonts w:hint="eastAsia"/>
                        <w:lang w:eastAsia="zh-CN"/>
                      </w:rP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hint="eastAsia" w:ascii="宋体" w:hAnsi="宋体"/>
        <w:sz w:val="28"/>
        <w:szCs w:val="28"/>
        <w:lang w:eastAsia="zh-CN"/>
      </w:rPr>
    </w:pPr>
    <w:r>
      <w:rPr>
        <w:sz w:val="28"/>
      </w:rPr>
      <mc:AlternateContent>
        <mc:Choice Requires="wps">
          <w:drawing>
            <wp:anchor distT="0" distB="0" distL="114300" distR="114300" simplePos="0" relativeHeight="251914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4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157</w:t>
                    </w:r>
                    <w:r>
                      <w:rPr>
                        <w:rFonts w:hint="eastAsia"/>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- 2 -</w:t>
    </w:r>
    <w:r>
      <w:fldChar w:fldCharType="end"/>
    </w:r>
  </w:p>
  <w:p>
    <w:pPr>
      <w:pStyle w:val="6"/>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925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5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328</w:t>
                    </w:r>
                    <w:r>
                      <w:rPr>
                        <w:rFonts w:hint="eastAsia"/>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宋体" w:hAnsi="宋体"/>
        <w:sz w:val="28"/>
        <w:szCs w:val="28"/>
        <w:lang w:eastAsia="zh-CN"/>
      </w:rPr>
    </w:pPr>
    <w:r>
      <w:rPr>
        <w:sz w:val="28"/>
      </w:rPr>
      <mc:AlternateContent>
        <mc:Choice Requires="wps">
          <w:drawing>
            <wp:anchor distT="0" distB="0" distL="114300" distR="114300" simplePos="0" relativeHeight="251926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6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fWQwUAgAAFQ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qyklmins6Pzt6/n74/nHFwIdAGqtn8Nva+EZujemw6IHvYcyzt1V&#10;TsUbExHYAfXpCq/oAuExaDaZzXKYOGzDA/mzp3DrfHgrjCJRKKjD/hKs7LjxoXcdXGI1bdaNlGmH&#10;UpO2oNOXr/M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V9ZDB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375</w:t>
                    </w:r>
                    <w:r>
                      <w:rPr>
                        <w:rFonts w:hint="eastAsia"/>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lang w:eastAsia="zh-CN"/>
      </w:rPr>
    </w:pPr>
    <w:r>
      <w:rPr>
        <w:rFonts w:ascii="宋体" w:hAnsi="宋体" w:cs="宋体"/>
        <w:kern w:val="0"/>
        <w:sz w:val="24"/>
        <w:szCs w:val="24"/>
      </w:rPr>
      <mc:AlternateContent>
        <mc:Choice Requires="wps">
          <w:drawing>
            <wp:anchor distT="0" distB="0" distL="114300" distR="114300" simplePos="0" relativeHeight="251913216" behindDoc="0" locked="0" layoutInCell="1" allowOverlap="1">
              <wp:simplePos x="0" y="0"/>
              <wp:positionH relativeFrom="column">
                <wp:posOffset>574675</wp:posOffset>
              </wp:positionH>
              <wp:positionV relativeFrom="paragraph">
                <wp:posOffset>6049010</wp:posOffset>
              </wp:positionV>
              <wp:extent cx="678180" cy="539750"/>
              <wp:effectExtent l="0" t="0" r="7620" b="12700"/>
              <wp:wrapNone/>
              <wp:docPr id="145" name="文本框 14"/>
              <wp:cNvGraphicFramePr/>
              <a:graphic xmlns:a="http://schemas.openxmlformats.org/drawingml/2006/main">
                <a:graphicData uri="http://schemas.microsoft.com/office/word/2010/wordprocessingShape">
                  <wps:wsp>
                    <wps:cNvSpPr txBox="1"/>
                    <wps:spPr>
                      <a:xfrm>
                        <a:off x="0" y="0"/>
                        <a:ext cx="678180" cy="539750"/>
                      </a:xfrm>
                      <a:prstGeom prst="rect">
                        <a:avLst/>
                      </a:prstGeom>
                      <a:solidFill>
                        <a:srgbClr val="FFFFFF"/>
                      </a:solidFill>
                      <a:ln>
                        <a:noFill/>
                      </a:ln>
                      <a:effectLst/>
                    </wps:spPr>
                    <wps:txbx>
                      <w:txbxContent>
                        <w:p>
                          <w:pPr>
                            <w:pStyle w:val="6"/>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18 -</w:t>
                          </w:r>
                          <w:r>
                            <w:rPr>
                              <w:rFonts w:hint="eastAsia" w:ascii="宋体" w:hAnsi="宋体"/>
                              <w:sz w:val="28"/>
                              <w:szCs w:val="28"/>
                            </w:rPr>
                            <w:fldChar w:fldCharType="end"/>
                          </w:r>
                        </w:p>
                      </w:txbxContent>
                    </wps:txbx>
                    <wps:bodyPr vert="vert" anchor="t" upright="1">
                      <a:spAutoFit/>
                    </wps:bodyPr>
                  </wps:wsp>
                </a:graphicData>
              </a:graphic>
            </wp:anchor>
          </w:drawing>
        </mc:Choice>
        <mc:Fallback>
          <w:pict>
            <v:shape id="文本框 14" o:spid="_x0000_s1026" o:spt="202" type="#_x0000_t202" style="position:absolute;left:0pt;margin-left:45.25pt;margin-top:476.3pt;height:42.5pt;width:53.4pt;z-index:251913216;mso-width-relative:page;mso-height-relative:page;" fillcolor="#FFFFFF" filled="t" stroked="f" coordsize="21600,21600" o:gfxdata="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Nrjw2wAAAAsBAAAPAAAAAAAAAAEAIAAAACIAAABkcnMv&#10;ZG93bnJldi54bWxQSwECFAAUAAAACACHTuJA6LRZI8cBAABqAwAADgAAAAAAAAABACAAAAAqAQAA&#10;ZHJzL2Uyb0RvYy54bWxQSwUGAAAAAAYABgBZAQAAYwUAAAAA&#10;">
              <v:fill on="t" focussize="0,0"/>
              <v:stroke on="f"/>
              <v:imagedata o:title=""/>
              <o:lock v:ext="edit" aspectratio="f"/>
              <v:textbox style="layout-flow:vertical;mso-fit-shape-to-text:t;">
                <w:txbxContent>
                  <w:p>
                    <w:pPr>
                      <w:pStyle w:val="6"/>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18 -</w:t>
                    </w:r>
                    <w:r>
                      <w:rPr>
                        <w:rFonts w:hint="eastAsia" w:ascii="宋体" w:hAnsi="宋体"/>
                        <w:sz w:val="28"/>
                        <w:szCs w:val="28"/>
                      </w:rPr>
                      <w:fldChar w:fldCharType="end"/>
                    </w:r>
                  </w:p>
                </w:txbxContent>
              </v:textbox>
            </v:shape>
          </w:pict>
        </mc:Fallback>
      </mc:AlternateContent>
    </w:r>
    <w:r>
      <w:rPr>
        <w:rFonts w:ascii="宋体" w:hAnsi="宋体" w:cs="宋体"/>
        <w:kern w:val="0"/>
        <w:sz w:val="24"/>
        <w:szCs w:val="24"/>
      </w:rPr>
      <mc:AlternateContent>
        <mc:Choice Requires="wps">
          <w:drawing>
            <wp:anchor distT="0" distB="0" distL="114300" distR="114300" simplePos="0" relativeHeight="251912192" behindDoc="0" locked="0" layoutInCell="1" allowOverlap="1">
              <wp:simplePos x="0" y="0"/>
              <wp:positionH relativeFrom="column">
                <wp:posOffset>574675</wp:posOffset>
              </wp:positionH>
              <wp:positionV relativeFrom="paragraph">
                <wp:posOffset>6049010</wp:posOffset>
              </wp:positionV>
              <wp:extent cx="678180" cy="539750"/>
              <wp:effectExtent l="0" t="0" r="7620" b="12700"/>
              <wp:wrapNone/>
              <wp:docPr id="146" name="文本框 16"/>
              <wp:cNvGraphicFramePr/>
              <a:graphic xmlns:a="http://schemas.openxmlformats.org/drawingml/2006/main">
                <a:graphicData uri="http://schemas.microsoft.com/office/word/2010/wordprocessingShape">
                  <wps:wsp>
                    <wps:cNvSpPr txBox="1"/>
                    <wps:spPr>
                      <a:xfrm>
                        <a:off x="0" y="0"/>
                        <a:ext cx="678180" cy="539750"/>
                      </a:xfrm>
                      <a:prstGeom prst="rect">
                        <a:avLst/>
                      </a:prstGeom>
                      <a:solidFill>
                        <a:srgbClr val="FFFFFF"/>
                      </a:solidFill>
                      <a:ln>
                        <a:noFill/>
                      </a:ln>
                      <a:effectLst/>
                    </wps:spPr>
                    <wps:txbx>
                      <w:txbxContent>
                        <w:p>
                          <w:pPr>
                            <w:pStyle w:val="6"/>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18 -</w:t>
                          </w:r>
                          <w:r>
                            <w:rPr>
                              <w:rFonts w:hint="eastAsia" w:ascii="宋体" w:hAnsi="宋体"/>
                              <w:sz w:val="28"/>
                              <w:szCs w:val="28"/>
                            </w:rPr>
                            <w:fldChar w:fldCharType="end"/>
                          </w:r>
                        </w:p>
                      </w:txbxContent>
                    </wps:txbx>
                    <wps:bodyPr vert="vert" anchor="t" upright="1">
                      <a:spAutoFit/>
                    </wps:bodyPr>
                  </wps:wsp>
                </a:graphicData>
              </a:graphic>
            </wp:anchor>
          </w:drawing>
        </mc:Choice>
        <mc:Fallback>
          <w:pict>
            <v:shape id="文本框 16" o:spid="_x0000_s1026" o:spt="202" type="#_x0000_t202" style="position:absolute;left:0pt;margin-left:45.25pt;margin-top:476.3pt;height:42.5pt;width:53.4pt;z-index:251912192;mso-width-relative:page;mso-height-relative:page;" fillcolor="#FFFFFF" filled="t" stroked="f" coordsize="21600,21600" o:gfxdata="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42uPDbAAAACwEAAA8AAAAAAAAAAQAgAAAAIgAAAGRycy9k&#10;b3ducmV2LnhtbFBLAQIUABQAAAAIAIdO4kCZ/5uNxgEAAGoDAAAOAAAAAAAAAAEAIAAAACoBAABk&#10;cnMvZTJvRG9jLnhtbFBLBQYAAAAABgAGAFkBAABiBQAAAAA=&#10;">
              <v:fill on="t" focussize="0,0"/>
              <v:stroke on="f"/>
              <v:imagedata o:title=""/>
              <o:lock v:ext="edit" aspectratio="f"/>
              <v:textbox style="layout-flow:vertical;mso-fit-shape-to-text:t;">
                <w:txbxContent>
                  <w:p>
                    <w:pPr>
                      <w:pStyle w:val="6"/>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18 -</w:t>
                    </w:r>
                    <w:r>
                      <w:rPr>
                        <w:rFonts w:hint="eastAsia" w:ascii="宋体" w:hAnsi="宋体"/>
                        <w:sz w:val="28"/>
                        <w:szCs w:val="2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hint="eastAsia" w:ascii="宋体" w:hAnsi="宋体"/>
        <w:sz w:val="28"/>
        <w:szCs w:val="28"/>
      </w:rPr>
    </w:pPr>
    <w:r>
      <w:rPr>
        <w:sz w:val="28"/>
      </w:rPr>
      <mc:AlternateContent>
        <mc:Choice Requires="wps">
          <w:drawing>
            <wp:anchor distT="0" distB="0" distL="114300" distR="114300" simplePos="0" relativeHeight="251927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7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407</w:t>
                    </w:r>
                    <w:r>
                      <w:rPr>
                        <w:rFonts w:hint="eastAsia"/>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eastAsia="zh-CN"/>
      </w:rPr>
      <w:t>-</w:t>
    </w:r>
    <w:r>
      <w:rPr>
        <w:rFonts w:ascii="宋体" w:hAnsi="宋体"/>
        <w:sz w:val="28"/>
        <w:szCs w:val="28"/>
        <w:lang w:val="en-US" w:eastAsia="zh-CN"/>
      </w:rPr>
      <w:t xml:space="preserve"> 12 -</w:t>
    </w:r>
    <w:r>
      <w:rPr>
        <w:rFonts w:ascii="宋体" w:hAnsi="宋体"/>
        <w:sz w:val="28"/>
        <w:szCs w:val="2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928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8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451</w:t>
                    </w:r>
                    <w:r>
                      <w:rPr>
                        <w:rFonts w:hint="eastAsia"/>
                        <w:lang w:eastAsia="zh-CN"/>
                      </w:rPr>
                      <w:fldChar w:fldCharType="end"/>
                    </w:r>
                  </w:p>
                </w:txbxContent>
              </v:textbox>
            </v:shape>
          </w:pict>
        </mc:Fallback>
      </mc:AlternateContent>
    </w:r>
  </w:p>
  <w:p>
    <w:pPr>
      <w:pStyle w:val="6"/>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9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9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523</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278 -</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915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5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r>
      <w:rPr>
        <w:rFonts w:ascii="宋体" w:hAnsi="宋体" w:cs="宋体"/>
        <w:kern w:val="0"/>
        <w:sz w:val="24"/>
        <w:szCs w:val="24"/>
      </w:rPr>
      <mc:AlternateContent>
        <mc:Choice Requires="wps">
          <w:drawing>
            <wp:anchor distT="0" distB="0" distL="114300" distR="114300" simplePos="0" relativeHeight="252258304" behindDoc="0" locked="0" layoutInCell="1" allowOverlap="1">
              <wp:simplePos x="0" y="0"/>
              <wp:positionH relativeFrom="column">
                <wp:posOffset>574675</wp:posOffset>
              </wp:positionH>
              <wp:positionV relativeFrom="paragraph">
                <wp:posOffset>6049010</wp:posOffset>
              </wp:positionV>
              <wp:extent cx="678180" cy="539750"/>
              <wp:effectExtent l="0" t="0" r="7620" b="12700"/>
              <wp:wrapNone/>
              <wp:docPr id="149" name="文本框 45"/>
              <wp:cNvGraphicFramePr/>
              <a:graphic xmlns:a="http://schemas.openxmlformats.org/drawingml/2006/main">
                <a:graphicData uri="http://schemas.microsoft.com/office/word/2010/wordprocessingShape">
                  <wps:wsp>
                    <wps:cNvSpPr txBox="1"/>
                    <wps:spPr>
                      <a:xfrm>
                        <a:off x="0" y="0"/>
                        <a:ext cx="678180" cy="539750"/>
                      </a:xfrm>
                      <a:prstGeom prst="rect">
                        <a:avLst/>
                      </a:prstGeom>
                      <a:solidFill>
                        <a:srgbClr val="FFFFFF"/>
                      </a:solidFill>
                      <a:ln>
                        <a:noFill/>
                      </a:ln>
                      <a:effectLst/>
                    </wps:spPr>
                    <wps:txbx>
                      <w:txbxContent>
                        <w:p>
                          <w:pPr>
                            <w:pStyle w:val="6"/>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hint="eastAsia" w:ascii="宋体" w:hAnsi="宋体"/>
                              <w:sz w:val="28"/>
                              <w:szCs w:val="28"/>
                            </w:rPr>
                            <w:fldChar w:fldCharType="end"/>
                          </w:r>
                        </w:p>
                      </w:txbxContent>
                    </wps:txbx>
                    <wps:bodyPr vert="vert" anchor="t" upright="1">
                      <a:spAutoFit/>
                    </wps:bodyPr>
                  </wps:wsp>
                </a:graphicData>
              </a:graphic>
            </wp:anchor>
          </w:drawing>
        </mc:Choice>
        <mc:Fallback>
          <w:pict>
            <v:shape id="文本框 45" o:spid="_x0000_s1026" o:spt="202" type="#_x0000_t202" style="position:absolute;left:0pt;margin-left:45.25pt;margin-top:476.3pt;height:42.5pt;width:53.4pt;z-index:252258304;mso-width-relative:page;mso-height-relative:page;" fillcolor="#FFFFFF" filled="t" stroked="f" coordsize="21600,21600" o:gfxdata="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Nrjw2wAAAAsBAAAPAAAAAAAAAAEAIAAAACIAAABkcnMv&#10;ZG93bnJldi54bWxQSwECFAAUAAAACACHTuJAW2KrAMcBAABqAwAADgAAAAAAAAABACAAAAAqAQAA&#10;ZHJzL2Uyb0RvYy54bWxQSwUGAAAAAAYABgBZAQAAYwUAAAAA&#10;">
              <v:fill on="t" focussize="0,0"/>
              <v:stroke on="f"/>
              <v:imagedata o:title=""/>
              <o:lock v:ext="edit" aspectratio="f"/>
              <v:textbox style="layout-flow:vertical;mso-fit-shape-to-text:t;">
                <w:txbxContent>
                  <w:p>
                    <w:pPr>
                      <w:pStyle w:val="6"/>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hint="eastAsia" w:ascii="宋体" w:hAnsi="宋体"/>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宋体" w:hAnsi="宋体"/>
        <w:sz w:val="28"/>
        <w:szCs w:val="28"/>
      </w:rPr>
    </w:pPr>
    <w:r>
      <w:rPr>
        <w:sz w:val="28"/>
      </w:rPr>
      <mc:AlternateContent>
        <mc:Choice Requires="wps">
          <w:drawing>
            <wp:anchor distT="0" distB="0" distL="114300" distR="114300" simplePos="0" relativeHeight="251916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6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209</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宋体" w:hAnsi="宋体"/>
        <w:sz w:val="28"/>
        <w:szCs w:val="28"/>
      </w:rPr>
    </w:pPr>
    <w:r>
      <w:rPr>
        <w:sz w:val="28"/>
      </w:rPr>
      <mc:AlternateContent>
        <mc:Choice Requires="wps">
          <w:drawing>
            <wp:anchor distT="0" distB="0" distL="114300" distR="114300" simplePos="0" relativeHeight="251917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7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nJ0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n+nJ0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330</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6060"/>
        <w:tab w:val="center" w:pos="6378"/>
      </w:tabs>
      <w:jc w:val="left"/>
    </w:pPr>
    <w:r>
      <w:tab/>
    </w: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r>
      <mc:AlternateContent>
        <mc:Choice Requires="wps">
          <w:drawing>
            <wp:anchor distT="0" distB="0" distL="114300" distR="114300" simplePos="0" relativeHeight="251921408" behindDoc="0" locked="0" layoutInCell="1" allowOverlap="1">
              <wp:simplePos x="0" y="0"/>
              <wp:positionH relativeFrom="column">
                <wp:posOffset>-324485</wp:posOffset>
              </wp:positionH>
              <wp:positionV relativeFrom="paragraph">
                <wp:posOffset>60325</wp:posOffset>
              </wp:positionV>
              <wp:extent cx="421640" cy="539750"/>
              <wp:effectExtent l="0" t="0" r="16510" b="12700"/>
              <wp:wrapNone/>
              <wp:docPr id="144"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421640" cy="539750"/>
                      </a:xfrm>
                      <a:prstGeom prst="rect">
                        <a:avLst/>
                      </a:prstGeom>
                      <a:solidFill>
                        <a:srgbClr val="FFFFFF"/>
                      </a:solidFill>
                      <a:ln>
                        <a:noFill/>
                      </a:ln>
                      <a:effectLst/>
                    </wps:spPr>
                    <wps:txbx>
                      <w:txbxContent>
                        <w:p>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18 -</w:t>
                          </w:r>
                          <w:r>
                            <w:rPr>
                              <w:rFonts w:ascii="宋体" w:hAnsi="宋体"/>
                              <w:sz w:val="28"/>
                              <w:szCs w:val="28"/>
                            </w:rPr>
                            <w:fldChar w:fldCharType="end"/>
                          </w:r>
                        </w:p>
                      </w:txbxContent>
                    </wps:txbx>
                    <wps:bodyPr rot="0" vert="vert" wrap="square" lIns="91440" tIns="45720" rIns="91440" bIns="45720" anchor="t" anchorCtr="0" upright="1">
                      <a:spAutoFit/>
                    </wps:bodyPr>
                  </wps:wsp>
                </a:graphicData>
              </a:graphic>
            </wp:anchor>
          </w:drawing>
        </mc:Choice>
        <mc:Fallback>
          <w:pict>
            <v:shape id="文本框 13" o:spid="_x0000_s1026" o:spt="202" type="#_x0000_t202" style="position:absolute;left:0pt;margin-left:-25.55pt;margin-top:4.75pt;height:42.5pt;width:33.2pt;z-index:251921408;mso-width-relative:page;mso-height-relative:page;" fillcolor="#FFFFFF" filled="t" stroked="f" coordsize="21600,21600" o:gfxdata="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5sIJn1wAAAAcBAAAPAAAAAAAA&#10;AAEAIAAAACIAAABkcnMvZG93bnJldi54bWxQSwECFAAUAAAACACHTuJAQ5Hu/hMCAAAABAAADgAA&#10;AAAAAAABACAAAAAmAQAAZHJzL2Uyb0RvYy54bWxQSwUGAAAAAAYABgBZAQAAqwUAAAAA&#10;">
              <v:fill on="t" focussize="0,0"/>
              <v:stroke on="f"/>
              <v:imagedata o:title=""/>
              <o:lock v:ext="edit" aspectratio="f"/>
              <v:textbox style="layout-flow:vertical;mso-fit-shape-to-text:t;">
                <w:txbxContent>
                  <w:p>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18 -</w:t>
                    </w:r>
                    <w:r>
                      <w:rPr>
                        <w:rFonts w:ascii="宋体" w:hAnsi="宋体"/>
                        <w:sz w:val="28"/>
                        <w:szCs w:val="28"/>
                      </w:rPr>
                      <w:fldChar w:fldCharType="end"/>
                    </w:r>
                  </w:p>
                </w:txbxContent>
              </v:textbox>
            </v:shape>
          </w:pict>
        </mc:Fallback>
      </mc:AlternateContent>
    </w:r>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r>
      <mc:AlternateContent>
        <mc:Choice Requires="wps">
          <w:drawing>
            <wp:anchor distT="0" distB="0" distL="114300" distR="114300" simplePos="0" relativeHeight="252496896" behindDoc="0" locked="0" layoutInCell="1" allowOverlap="1">
              <wp:simplePos x="0" y="0"/>
              <wp:positionH relativeFrom="column">
                <wp:posOffset>-358775</wp:posOffset>
              </wp:positionH>
              <wp:positionV relativeFrom="paragraph">
                <wp:posOffset>173990</wp:posOffset>
              </wp:positionV>
              <wp:extent cx="362585" cy="539750"/>
              <wp:effectExtent l="0" t="0" r="18415" b="12700"/>
              <wp:wrapNone/>
              <wp:docPr id="84" name="文本框 84"/>
              <wp:cNvGraphicFramePr/>
              <a:graphic xmlns:a="http://schemas.openxmlformats.org/drawingml/2006/main">
                <a:graphicData uri="http://schemas.microsoft.com/office/word/2010/wordprocessingShape">
                  <wps:wsp>
                    <wps:cNvSpPr txBox="1"/>
                    <wps:spPr>
                      <a:xfrm>
                        <a:off x="0" y="0"/>
                        <a:ext cx="362585" cy="539750"/>
                      </a:xfrm>
                      <a:prstGeom prst="rect">
                        <a:avLst/>
                      </a:prstGeom>
                      <a:solidFill>
                        <a:srgbClr val="FFFFFF"/>
                      </a:solidFill>
                      <a:ln>
                        <a:noFill/>
                      </a:ln>
                    </wps:spPr>
                    <wps:txbx>
                      <w:txbxContent>
                        <w:p>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14 -</w:t>
                          </w:r>
                          <w:r>
                            <w:rPr>
                              <w:rFonts w:ascii="宋体" w:hAnsi="宋体"/>
                              <w:sz w:val="28"/>
                              <w:szCs w:val="28"/>
                            </w:rPr>
                            <w:fldChar w:fldCharType="end"/>
                          </w:r>
                        </w:p>
                      </w:txbxContent>
                    </wps:txbx>
                    <wps:bodyPr vert="vert" upright="1"/>
                  </wps:wsp>
                </a:graphicData>
              </a:graphic>
            </wp:anchor>
          </w:drawing>
        </mc:Choice>
        <mc:Fallback>
          <w:pict>
            <v:shape id="_x0000_s1026" o:spid="_x0000_s1026" o:spt="202" type="#_x0000_t202" style="position:absolute;left:0pt;margin-left:-28.25pt;margin-top:13.7pt;height:42.5pt;width:28.55pt;z-index:252496896;mso-width-relative:page;mso-height-relative:page;" fillcolor="#FFFFFF" filled="t" stroked="f" coordsize="21600,21600" o:gfxdata="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iwd11gAA&#10;AAcBAAAPAAAAAAAAAAEAIAAAACIAAABkcnMvZG93bnJldi54bWxQSwECFAAUAAAACACHTuJAFCPS&#10;Zq4BAAA2AwAADgAAAAAAAAABACAAAAAlAQAAZHJzL2Uyb0RvYy54bWxQSwUGAAAAAAYABgBZAQAA&#10;RQUAAAAA&#10;">
              <v:fill on="t" focussize="0,0"/>
              <v:stroke on="f"/>
              <v:imagedata o:title=""/>
              <o:lock v:ext="edit" aspectratio="f"/>
              <v:textbox style="layout-flow:vertical;">
                <w:txbxContent>
                  <w:p>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14 -</w:t>
                    </w:r>
                    <w:r>
                      <w:rPr>
                        <w:rFonts w:ascii="宋体" w:hAnsi="宋体"/>
                        <w:sz w:val="28"/>
                        <w:szCs w:val="28"/>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BA9B18"/>
    <w:multiLevelType w:val="singleLevel"/>
    <w:tmpl w:val="90BA9B18"/>
    <w:lvl w:ilvl="0" w:tentative="0">
      <w:start w:val="7"/>
      <w:numFmt w:val="chineseCounting"/>
      <w:suff w:val="space"/>
      <w:lvlText w:val="第%1部分"/>
      <w:lvlJc w:val="left"/>
      <w:rPr>
        <w:rFonts w:hint="eastAsia"/>
      </w:rPr>
    </w:lvl>
  </w:abstractNum>
  <w:abstractNum w:abstractNumId="1">
    <w:nsid w:val="A4142AC1"/>
    <w:multiLevelType w:val="singleLevel"/>
    <w:tmpl w:val="A4142AC1"/>
    <w:lvl w:ilvl="0" w:tentative="0">
      <w:start w:val="1"/>
      <w:numFmt w:val="decimal"/>
      <w:lvlText w:val="%1."/>
      <w:lvlJc w:val="left"/>
      <w:pPr>
        <w:tabs>
          <w:tab w:val="left" w:pos="312"/>
        </w:tabs>
      </w:pPr>
    </w:lvl>
  </w:abstractNum>
  <w:abstractNum w:abstractNumId="2">
    <w:nsid w:val="AE8853B3"/>
    <w:multiLevelType w:val="singleLevel"/>
    <w:tmpl w:val="AE8853B3"/>
    <w:lvl w:ilvl="0" w:tentative="0">
      <w:start w:val="6"/>
      <w:numFmt w:val="chineseCounting"/>
      <w:suff w:val="space"/>
      <w:lvlText w:val="第%1条"/>
      <w:lvlJc w:val="left"/>
      <w:rPr>
        <w:rFonts w:hint="eastAsia"/>
        <w:b/>
      </w:rPr>
    </w:lvl>
  </w:abstractNum>
  <w:abstractNum w:abstractNumId="3">
    <w:nsid w:val="B9EC13A6"/>
    <w:multiLevelType w:val="singleLevel"/>
    <w:tmpl w:val="B9EC13A6"/>
    <w:lvl w:ilvl="0" w:tentative="0">
      <w:start w:val="1"/>
      <w:numFmt w:val="decimal"/>
      <w:lvlText w:val="%1."/>
      <w:lvlJc w:val="left"/>
      <w:pPr>
        <w:tabs>
          <w:tab w:val="left" w:pos="312"/>
        </w:tabs>
      </w:pPr>
    </w:lvl>
  </w:abstractNum>
  <w:abstractNum w:abstractNumId="4">
    <w:nsid w:val="BF205925"/>
    <w:multiLevelType w:val="multilevel"/>
    <w:tmpl w:val="BF205925"/>
    <w:lvl w:ilvl="0" w:tentative="0">
      <w:start w:val="1"/>
      <w:numFmt w:val="decimal"/>
      <w:lvlText w:val="%1."/>
      <w:lvlJc w:val="left"/>
      <w:pPr>
        <w:ind w:left="107" w:hanging="241"/>
        <w:jc w:val="left"/>
      </w:pPr>
      <w:rPr>
        <w:rFonts w:hint="default" w:ascii="仿宋" w:hAnsi="仿宋" w:eastAsia="仿宋" w:cs="仿宋"/>
        <w:spacing w:val="-56"/>
        <w:w w:val="100"/>
        <w:sz w:val="22"/>
        <w:szCs w:val="22"/>
        <w:lang w:val="zh-CN" w:eastAsia="zh-CN" w:bidi="zh-CN"/>
      </w:rPr>
    </w:lvl>
    <w:lvl w:ilvl="1" w:tentative="0">
      <w:start w:val="0"/>
      <w:numFmt w:val="bullet"/>
      <w:lvlText w:val="•"/>
      <w:lvlJc w:val="left"/>
      <w:pPr>
        <w:ind w:left="459" w:hanging="241"/>
      </w:pPr>
      <w:rPr>
        <w:rFonts w:hint="default"/>
        <w:lang w:val="zh-CN" w:eastAsia="zh-CN" w:bidi="zh-CN"/>
      </w:rPr>
    </w:lvl>
    <w:lvl w:ilvl="2" w:tentative="0">
      <w:start w:val="0"/>
      <w:numFmt w:val="bullet"/>
      <w:lvlText w:val="•"/>
      <w:lvlJc w:val="left"/>
      <w:pPr>
        <w:ind w:left="819" w:hanging="241"/>
      </w:pPr>
      <w:rPr>
        <w:rFonts w:hint="default"/>
        <w:lang w:val="zh-CN" w:eastAsia="zh-CN" w:bidi="zh-CN"/>
      </w:rPr>
    </w:lvl>
    <w:lvl w:ilvl="3" w:tentative="0">
      <w:start w:val="0"/>
      <w:numFmt w:val="bullet"/>
      <w:lvlText w:val="•"/>
      <w:lvlJc w:val="left"/>
      <w:pPr>
        <w:ind w:left="1178" w:hanging="241"/>
      </w:pPr>
      <w:rPr>
        <w:rFonts w:hint="default"/>
        <w:lang w:val="zh-CN" w:eastAsia="zh-CN" w:bidi="zh-CN"/>
      </w:rPr>
    </w:lvl>
    <w:lvl w:ilvl="4" w:tentative="0">
      <w:start w:val="0"/>
      <w:numFmt w:val="bullet"/>
      <w:lvlText w:val="•"/>
      <w:lvlJc w:val="left"/>
      <w:pPr>
        <w:ind w:left="1538" w:hanging="241"/>
      </w:pPr>
      <w:rPr>
        <w:rFonts w:hint="default"/>
        <w:lang w:val="zh-CN" w:eastAsia="zh-CN" w:bidi="zh-CN"/>
      </w:rPr>
    </w:lvl>
    <w:lvl w:ilvl="5" w:tentative="0">
      <w:start w:val="0"/>
      <w:numFmt w:val="bullet"/>
      <w:lvlText w:val="•"/>
      <w:lvlJc w:val="left"/>
      <w:pPr>
        <w:ind w:left="1897" w:hanging="241"/>
      </w:pPr>
      <w:rPr>
        <w:rFonts w:hint="default"/>
        <w:lang w:val="zh-CN" w:eastAsia="zh-CN" w:bidi="zh-CN"/>
      </w:rPr>
    </w:lvl>
    <w:lvl w:ilvl="6" w:tentative="0">
      <w:start w:val="0"/>
      <w:numFmt w:val="bullet"/>
      <w:lvlText w:val="•"/>
      <w:lvlJc w:val="left"/>
      <w:pPr>
        <w:ind w:left="2257" w:hanging="241"/>
      </w:pPr>
      <w:rPr>
        <w:rFonts w:hint="default"/>
        <w:lang w:val="zh-CN" w:eastAsia="zh-CN" w:bidi="zh-CN"/>
      </w:rPr>
    </w:lvl>
    <w:lvl w:ilvl="7" w:tentative="0">
      <w:start w:val="0"/>
      <w:numFmt w:val="bullet"/>
      <w:lvlText w:val="•"/>
      <w:lvlJc w:val="left"/>
      <w:pPr>
        <w:ind w:left="2616" w:hanging="241"/>
      </w:pPr>
      <w:rPr>
        <w:rFonts w:hint="default"/>
        <w:lang w:val="zh-CN" w:eastAsia="zh-CN" w:bidi="zh-CN"/>
      </w:rPr>
    </w:lvl>
    <w:lvl w:ilvl="8" w:tentative="0">
      <w:start w:val="0"/>
      <w:numFmt w:val="bullet"/>
      <w:lvlText w:val="•"/>
      <w:lvlJc w:val="left"/>
      <w:pPr>
        <w:ind w:left="2976" w:hanging="241"/>
      </w:pPr>
      <w:rPr>
        <w:rFonts w:hint="default"/>
        <w:lang w:val="zh-CN" w:eastAsia="zh-CN" w:bidi="zh-CN"/>
      </w:rPr>
    </w:lvl>
  </w:abstractNum>
  <w:abstractNum w:abstractNumId="5">
    <w:nsid w:val="CF045404"/>
    <w:multiLevelType w:val="singleLevel"/>
    <w:tmpl w:val="CF045404"/>
    <w:lvl w:ilvl="0" w:tentative="0">
      <w:start w:val="1"/>
      <w:numFmt w:val="decimal"/>
      <w:lvlText w:val="%1."/>
      <w:lvlJc w:val="left"/>
      <w:pPr>
        <w:tabs>
          <w:tab w:val="left" w:pos="312"/>
        </w:tabs>
      </w:pPr>
    </w:lvl>
  </w:abstractNum>
  <w:abstractNum w:abstractNumId="6">
    <w:nsid w:val="CF092B84"/>
    <w:multiLevelType w:val="multilevel"/>
    <w:tmpl w:val="CF092B84"/>
    <w:lvl w:ilvl="0" w:tentative="0">
      <w:start w:val="1"/>
      <w:numFmt w:val="decimal"/>
      <w:lvlText w:val="%1."/>
      <w:lvlJc w:val="left"/>
      <w:pPr>
        <w:ind w:left="107" w:hanging="180"/>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539" w:hanging="180"/>
      </w:pPr>
      <w:rPr>
        <w:rFonts w:hint="default"/>
        <w:lang w:val="zh-CN" w:eastAsia="zh-CN" w:bidi="zh-CN"/>
      </w:rPr>
    </w:lvl>
    <w:lvl w:ilvl="2" w:tentative="0">
      <w:start w:val="0"/>
      <w:numFmt w:val="bullet"/>
      <w:lvlText w:val="•"/>
      <w:lvlJc w:val="left"/>
      <w:pPr>
        <w:ind w:left="978" w:hanging="180"/>
      </w:pPr>
      <w:rPr>
        <w:rFonts w:hint="default"/>
        <w:lang w:val="zh-CN" w:eastAsia="zh-CN" w:bidi="zh-CN"/>
      </w:rPr>
    </w:lvl>
    <w:lvl w:ilvl="3" w:tentative="0">
      <w:start w:val="0"/>
      <w:numFmt w:val="bullet"/>
      <w:lvlText w:val="•"/>
      <w:lvlJc w:val="left"/>
      <w:pPr>
        <w:ind w:left="1417" w:hanging="180"/>
      </w:pPr>
      <w:rPr>
        <w:rFonts w:hint="default"/>
        <w:lang w:val="zh-CN" w:eastAsia="zh-CN" w:bidi="zh-CN"/>
      </w:rPr>
    </w:lvl>
    <w:lvl w:ilvl="4" w:tentative="0">
      <w:start w:val="0"/>
      <w:numFmt w:val="bullet"/>
      <w:lvlText w:val="•"/>
      <w:lvlJc w:val="left"/>
      <w:pPr>
        <w:ind w:left="1856" w:hanging="180"/>
      </w:pPr>
      <w:rPr>
        <w:rFonts w:hint="default"/>
        <w:lang w:val="zh-CN" w:eastAsia="zh-CN" w:bidi="zh-CN"/>
      </w:rPr>
    </w:lvl>
    <w:lvl w:ilvl="5" w:tentative="0">
      <w:start w:val="0"/>
      <w:numFmt w:val="bullet"/>
      <w:lvlText w:val="•"/>
      <w:lvlJc w:val="left"/>
      <w:pPr>
        <w:ind w:left="2296" w:hanging="180"/>
      </w:pPr>
      <w:rPr>
        <w:rFonts w:hint="default"/>
        <w:lang w:val="zh-CN" w:eastAsia="zh-CN" w:bidi="zh-CN"/>
      </w:rPr>
    </w:lvl>
    <w:lvl w:ilvl="6" w:tentative="0">
      <w:start w:val="0"/>
      <w:numFmt w:val="bullet"/>
      <w:lvlText w:val="•"/>
      <w:lvlJc w:val="left"/>
      <w:pPr>
        <w:ind w:left="2735" w:hanging="180"/>
      </w:pPr>
      <w:rPr>
        <w:rFonts w:hint="default"/>
        <w:lang w:val="zh-CN" w:eastAsia="zh-CN" w:bidi="zh-CN"/>
      </w:rPr>
    </w:lvl>
    <w:lvl w:ilvl="7" w:tentative="0">
      <w:start w:val="0"/>
      <w:numFmt w:val="bullet"/>
      <w:lvlText w:val="•"/>
      <w:lvlJc w:val="left"/>
      <w:pPr>
        <w:ind w:left="3174" w:hanging="180"/>
      </w:pPr>
      <w:rPr>
        <w:rFonts w:hint="default"/>
        <w:lang w:val="zh-CN" w:eastAsia="zh-CN" w:bidi="zh-CN"/>
      </w:rPr>
    </w:lvl>
    <w:lvl w:ilvl="8" w:tentative="0">
      <w:start w:val="0"/>
      <w:numFmt w:val="bullet"/>
      <w:lvlText w:val="•"/>
      <w:lvlJc w:val="left"/>
      <w:pPr>
        <w:ind w:left="3613" w:hanging="180"/>
      </w:pPr>
      <w:rPr>
        <w:rFonts w:hint="default"/>
        <w:lang w:val="zh-CN" w:eastAsia="zh-CN" w:bidi="zh-CN"/>
      </w:rPr>
    </w:lvl>
  </w:abstractNum>
  <w:abstractNum w:abstractNumId="7">
    <w:nsid w:val="0053208E"/>
    <w:multiLevelType w:val="multilevel"/>
    <w:tmpl w:val="0053208E"/>
    <w:lvl w:ilvl="0" w:tentative="0">
      <w:start w:val="2"/>
      <w:numFmt w:val="decimal"/>
      <w:lvlText w:val="%1."/>
      <w:lvlJc w:val="left"/>
      <w:pPr>
        <w:ind w:left="3028" w:hanging="481"/>
        <w:jc w:val="left"/>
      </w:pPr>
      <w:rPr>
        <w:rFonts w:hint="default" w:ascii="Times New Roman" w:hAnsi="Times New Roman" w:eastAsia="Times New Roman" w:cs="Times New Roman"/>
        <w:spacing w:val="0"/>
        <w:w w:val="99"/>
        <w:sz w:val="30"/>
        <w:szCs w:val="30"/>
        <w:lang w:val="zh-CN" w:eastAsia="zh-CN" w:bidi="zh-CN"/>
      </w:rPr>
    </w:lvl>
    <w:lvl w:ilvl="1" w:tentative="0">
      <w:start w:val="0"/>
      <w:numFmt w:val="bullet"/>
      <w:lvlText w:val="•"/>
      <w:lvlJc w:val="left"/>
      <w:pPr>
        <w:ind w:left="3740" w:hanging="481"/>
      </w:pPr>
      <w:rPr>
        <w:rFonts w:hint="default"/>
        <w:lang w:val="zh-CN" w:eastAsia="zh-CN" w:bidi="zh-CN"/>
      </w:rPr>
    </w:lvl>
    <w:lvl w:ilvl="2" w:tentative="0">
      <w:start w:val="0"/>
      <w:numFmt w:val="bullet"/>
      <w:lvlText w:val="•"/>
      <w:lvlJc w:val="left"/>
      <w:pPr>
        <w:ind w:left="4461" w:hanging="481"/>
      </w:pPr>
      <w:rPr>
        <w:rFonts w:hint="default"/>
        <w:lang w:val="zh-CN" w:eastAsia="zh-CN" w:bidi="zh-CN"/>
      </w:rPr>
    </w:lvl>
    <w:lvl w:ilvl="3" w:tentative="0">
      <w:start w:val="0"/>
      <w:numFmt w:val="bullet"/>
      <w:lvlText w:val="•"/>
      <w:lvlJc w:val="left"/>
      <w:pPr>
        <w:ind w:left="5181" w:hanging="481"/>
      </w:pPr>
      <w:rPr>
        <w:rFonts w:hint="default"/>
        <w:lang w:val="zh-CN" w:eastAsia="zh-CN" w:bidi="zh-CN"/>
      </w:rPr>
    </w:lvl>
    <w:lvl w:ilvl="4" w:tentative="0">
      <w:start w:val="0"/>
      <w:numFmt w:val="bullet"/>
      <w:lvlText w:val="•"/>
      <w:lvlJc w:val="left"/>
      <w:pPr>
        <w:ind w:left="5902" w:hanging="481"/>
      </w:pPr>
      <w:rPr>
        <w:rFonts w:hint="default"/>
        <w:lang w:val="zh-CN" w:eastAsia="zh-CN" w:bidi="zh-CN"/>
      </w:rPr>
    </w:lvl>
    <w:lvl w:ilvl="5" w:tentative="0">
      <w:start w:val="0"/>
      <w:numFmt w:val="bullet"/>
      <w:lvlText w:val="•"/>
      <w:lvlJc w:val="left"/>
      <w:pPr>
        <w:ind w:left="6623" w:hanging="481"/>
      </w:pPr>
      <w:rPr>
        <w:rFonts w:hint="default"/>
        <w:lang w:val="zh-CN" w:eastAsia="zh-CN" w:bidi="zh-CN"/>
      </w:rPr>
    </w:lvl>
    <w:lvl w:ilvl="6" w:tentative="0">
      <w:start w:val="0"/>
      <w:numFmt w:val="bullet"/>
      <w:lvlText w:val="•"/>
      <w:lvlJc w:val="left"/>
      <w:pPr>
        <w:ind w:left="7343" w:hanging="481"/>
      </w:pPr>
      <w:rPr>
        <w:rFonts w:hint="default"/>
        <w:lang w:val="zh-CN" w:eastAsia="zh-CN" w:bidi="zh-CN"/>
      </w:rPr>
    </w:lvl>
    <w:lvl w:ilvl="7" w:tentative="0">
      <w:start w:val="0"/>
      <w:numFmt w:val="bullet"/>
      <w:lvlText w:val="•"/>
      <w:lvlJc w:val="left"/>
      <w:pPr>
        <w:ind w:left="8064" w:hanging="481"/>
      </w:pPr>
      <w:rPr>
        <w:rFonts w:hint="default"/>
        <w:lang w:val="zh-CN" w:eastAsia="zh-CN" w:bidi="zh-CN"/>
      </w:rPr>
    </w:lvl>
    <w:lvl w:ilvl="8" w:tentative="0">
      <w:start w:val="0"/>
      <w:numFmt w:val="bullet"/>
      <w:lvlText w:val="•"/>
      <w:lvlJc w:val="left"/>
      <w:pPr>
        <w:ind w:left="8784" w:hanging="481"/>
      </w:pPr>
      <w:rPr>
        <w:rFonts w:hint="default"/>
        <w:lang w:val="zh-CN" w:eastAsia="zh-CN" w:bidi="zh-CN"/>
      </w:rPr>
    </w:lvl>
  </w:abstractNum>
  <w:abstractNum w:abstractNumId="8">
    <w:nsid w:val="0DDC5E0B"/>
    <w:multiLevelType w:val="multilevel"/>
    <w:tmpl w:val="0DDC5E0B"/>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6BE2414"/>
    <w:multiLevelType w:val="singleLevel"/>
    <w:tmpl w:val="26BE2414"/>
    <w:lvl w:ilvl="0" w:tentative="0">
      <w:start w:val="1"/>
      <w:numFmt w:val="decimal"/>
      <w:lvlText w:val="%1."/>
      <w:lvlJc w:val="left"/>
      <w:pPr>
        <w:tabs>
          <w:tab w:val="left" w:pos="312"/>
        </w:tabs>
      </w:pPr>
    </w:lvl>
  </w:abstractNum>
  <w:abstractNum w:abstractNumId="10">
    <w:nsid w:val="26D27F7F"/>
    <w:multiLevelType w:val="multilevel"/>
    <w:tmpl w:val="26D27F7F"/>
    <w:lvl w:ilvl="0" w:tentative="0">
      <w:start w:val="1"/>
      <w:numFmt w:val="decimal"/>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48A276F9"/>
    <w:multiLevelType w:val="singleLevel"/>
    <w:tmpl w:val="48A276F9"/>
    <w:lvl w:ilvl="0" w:tentative="0">
      <w:start w:val="1"/>
      <w:numFmt w:val="decimal"/>
      <w:lvlText w:val="%1."/>
      <w:lvlJc w:val="left"/>
      <w:pPr>
        <w:tabs>
          <w:tab w:val="left" w:pos="312"/>
        </w:tabs>
      </w:pPr>
    </w:lvl>
  </w:abstractNum>
  <w:abstractNum w:abstractNumId="12">
    <w:nsid w:val="59ADCABA"/>
    <w:multiLevelType w:val="multilevel"/>
    <w:tmpl w:val="59ADCABA"/>
    <w:lvl w:ilvl="0" w:tentative="0">
      <w:start w:val="1"/>
      <w:numFmt w:val="decimal"/>
      <w:lvlText w:val="%1."/>
      <w:lvlJc w:val="left"/>
      <w:pPr>
        <w:ind w:left="107" w:hanging="241"/>
        <w:jc w:val="left"/>
      </w:pPr>
      <w:rPr>
        <w:rFonts w:hint="default" w:ascii="仿宋" w:hAnsi="仿宋" w:eastAsia="仿宋" w:cs="仿宋"/>
        <w:spacing w:val="-111"/>
        <w:w w:val="100"/>
        <w:sz w:val="22"/>
        <w:szCs w:val="22"/>
        <w:lang w:val="zh-CN" w:eastAsia="zh-CN" w:bidi="zh-CN"/>
      </w:rPr>
    </w:lvl>
    <w:lvl w:ilvl="1" w:tentative="0">
      <w:start w:val="0"/>
      <w:numFmt w:val="bullet"/>
      <w:lvlText w:val="•"/>
      <w:lvlJc w:val="left"/>
      <w:pPr>
        <w:ind w:left="459" w:hanging="241"/>
      </w:pPr>
      <w:rPr>
        <w:rFonts w:hint="default"/>
        <w:lang w:val="zh-CN" w:eastAsia="zh-CN" w:bidi="zh-CN"/>
      </w:rPr>
    </w:lvl>
    <w:lvl w:ilvl="2" w:tentative="0">
      <w:start w:val="0"/>
      <w:numFmt w:val="bullet"/>
      <w:lvlText w:val="•"/>
      <w:lvlJc w:val="left"/>
      <w:pPr>
        <w:ind w:left="819" w:hanging="241"/>
      </w:pPr>
      <w:rPr>
        <w:rFonts w:hint="default"/>
        <w:lang w:val="zh-CN" w:eastAsia="zh-CN" w:bidi="zh-CN"/>
      </w:rPr>
    </w:lvl>
    <w:lvl w:ilvl="3" w:tentative="0">
      <w:start w:val="0"/>
      <w:numFmt w:val="bullet"/>
      <w:lvlText w:val="•"/>
      <w:lvlJc w:val="left"/>
      <w:pPr>
        <w:ind w:left="1178" w:hanging="241"/>
      </w:pPr>
      <w:rPr>
        <w:rFonts w:hint="default"/>
        <w:lang w:val="zh-CN" w:eastAsia="zh-CN" w:bidi="zh-CN"/>
      </w:rPr>
    </w:lvl>
    <w:lvl w:ilvl="4" w:tentative="0">
      <w:start w:val="0"/>
      <w:numFmt w:val="bullet"/>
      <w:lvlText w:val="•"/>
      <w:lvlJc w:val="left"/>
      <w:pPr>
        <w:ind w:left="1538" w:hanging="241"/>
      </w:pPr>
      <w:rPr>
        <w:rFonts w:hint="default"/>
        <w:lang w:val="zh-CN" w:eastAsia="zh-CN" w:bidi="zh-CN"/>
      </w:rPr>
    </w:lvl>
    <w:lvl w:ilvl="5" w:tentative="0">
      <w:start w:val="0"/>
      <w:numFmt w:val="bullet"/>
      <w:lvlText w:val="•"/>
      <w:lvlJc w:val="left"/>
      <w:pPr>
        <w:ind w:left="1897" w:hanging="241"/>
      </w:pPr>
      <w:rPr>
        <w:rFonts w:hint="default"/>
        <w:lang w:val="zh-CN" w:eastAsia="zh-CN" w:bidi="zh-CN"/>
      </w:rPr>
    </w:lvl>
    <w:lvl w:ilvl="6" w:tentative="0">
      <w:start w:val="0"/>
      <w:numFmt w:val="bullet"/>
      <w:lvlText w:val="•"/>
      <w:lvlJc w:val="left"/>
      <w:pPr>
        <w:ind w:left="2257" w:hanging="241"/>
      </w:pPr>
      <w:rPr>
        <w:rFonts w:hint="default"/>
        <w:lang w:val="zh-CN" w:eastAsia="zh-CN" w:bidi="zh-CN"/>
      </w:rPr>
    </w:lvl>
    <w:lvl w:ilvl="7" w:tentative="0">
      <w:start w:val="0"/>
      <w:numFmt w:val="bullet"/>
      <w:lvlText w:val="•"/>
      <w:lvlJc w:val="left"/>
      <w:pPr>
        <w:ind w:left="2616" w:hanging="241"/>
      </w:pPr>
      <w:rPr>
        <w:rFonts w:hint="default"/>
        <w:lang w:val="zh-CN" w:eastAsia="zh-CN" w:bidi="zh-CN"/>
      </w:rPr>
    </w:lvl>
    <w:lvl w:ilvl="8" w:tentative="0">
      <w:start w:val="0"/>
      <w:numFmt w:val="bullet"/>
      <w:lvlText w:val="•"/>
      <w:lvlJc w:val="left"/>
      <w:pPr>
        <w:ind w:left="2976" w:hanging="241"/>
      </w:pPr>
      <w:rPr>
        <w:rFonts w:hint="default"/>
        <w:lang w:val="zh-CN" w:eastAsia="zh-CN" w:bidi="zh-CN"/>
      </w:rPr>
    </w:lvl>
  </w:abstractNum>
  <w:abstractNum w:abstractNumId="13">
    <w:nsid w:val="5AC1783E"/>
    <w:multiLevelType w:val="multilevel"/>
    <w:tmpl w:val="5AC1783E"/>
    <w:lvl w:ilvl="0" w:tentative="0">
      <w:start w:val="1"/>
      <w:numFmt w:val="japaneseCounting"/>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
    <w:nsid w:val="5AFA5939"/>
    <w:multiLevelType w:val="singleLevel"/>
    <w:tmpl w:val="5AFA5939"/>
    <w:lvl w:ilvl="0" w:tentative="0">
      <w:start w:val="1"/>
      <w:numFmt w:val="decimal"/>
      <w:lvlText w:val="%1."/>
      <w:lvlJc w:val="left"/>
      <w:pPr>
        <w:tabs>
          <w:tab w:val="left" w:pos="312"/>
        </w:tabs>
      </w:pPr>
    </w:lvl>
  </w:abstractNum>
  <w:abstractNum w:abstractNumId="15">
    <w:nsid w:val="754651B2"/>
    <w:multiLevelType w:val="multilevel"/>
    <w:tmpl w:val="754651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3"/>
  </w:num>
  <w:num w:numId="3">
    <w:abstractNumId w:val="7"/>
  </w:num>
  <w:num w:numId="4">
    <w:abstractNumId w:val="6"/>
  </w:num>
  <w:num w:numId="5">
    <w:abstractNumId w:val="12"/>
  </w:num>
  <w:num w:numId="6">
    <w:abstractNumId w:val="4"/>
  </w:num>
  <w:num w:numId="7">
    <w:abstractNumId w:val="10"/>
  </w:num>
  <w:num w:numId="8">
    <w:abstractNumId w:val="15"/>
  </w:num>
  <w:num w:numId="9">
    <w:abstractNumId w:val="5"/>
  </w:num>
  <w:num w:numId="10">
    <w:abstractNumId w:val="1"/>
  </w:num>
  <w:num w:numId="11">
    <w:abstractNumId w:val="11"/>
  </w:num>
  <w:num w:numId="12">
    <w:abstractNumId w:val="9"/>
  </w:num>
  <w:num w:numId="13">
    <w:abstractNumId w:val="3"/>
  </w:num>
  <w:num w:numId="14">
    <w:abstractNumId w:val="14"/>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621DC9"/>
    <w:rsid w:val="4CCA7777"/>
    <w:rsid w:val="586D138B"/>
    <w:rsid w:val="62621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qFormat/>
    <w:uiPriority w:val="0"/>
  </w:style>
  <w:style w:type="table" w:default="1" w:styleId="14">
    <w:name w:val="Normal Table"/>
    <w:semiHidden/>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32"/>
      <w:szCs w:val="32"/>
      <w:lang w:val="zh-CN" w:eastAsia="zh-CN" w:bidi="zh-CN"/>
    </w:rPr>
  </w:style>
  <w:style w:type="paragraph" w:styleId="5">
    <w:name w:val="Plain Text"/>
    <w:basedOn w:val="1"/>
    <w:qFormat/>
    <w:uiPriority w:val="0"/>
    <w:rPr>
      <w:sz w:val="18"/>
      <w:szCs w:val="18"/>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Body Text Indent 3"/>
    <w:basedOn w:val="1"/>
    <w:qFormat/>
    <w:uiPriority w:val="0"/>
    <w:pPr>
      <w:ind w:firstLine="588" w:firstLineChars="200"/>
    </w:pPr>
    <w:rPr>
      <w:rFonts w:ascii="仿宋_GB2312" w:eastAsia="仿宋_GB2312"/>
      <w:sz w:val="30"/>
    </w:rPr>
  </w:style>
  <w:style w:type="paragraph" w:styleId="10">
    <w:name w:val="Normal (Web)"/>
    <w:basedOn w:val="1"/>
    <w:qFormat/>
    <w:uiPriority w:val="99"/>
    <w:pPr>
      <w:widowControl/>
      <w:spacing w:before="100" w:beforeAutospacing="1" w:after="100" w:afterAutospacing="1"/>
      <w:jc w:val="left"/>
    </w:pPr>
    <w:rPr>
      <w:rFonts w:ascii="宋体" w:hAnsi="宋体"/>
      <w:kern w:val="0"/>
      <w:sz w:val="24"/>
    </w:rPr>
  </w:style>
  <w:style w:type="character" w:styleId="12">
    <w:name w:val="Strong"/>
    <w:qFormat/>
    <w:uiPriority w:val="0"/>
    <w:rPr>
      <w:b/>
      <w:bCs/>
    </w:rPr>
  </w:style>
  <w:style w:type="character" w:styleId="13">
    <w:name w:val="page number"/>
    <w:basedOn w:val="11"/>
    <w:qFormat/>
    <w:uiPriority w:val="0"/>
  </w:style>
  <w:style w:type="table" w:styleId="15">
    <w:name w:val="Table Grid"/>
    <w:basedOn w:val="1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
    <w:name w:val="Default"/>
    <w:qFormat/>
    <w:uiPriority w:val="0"/>
    <w:pPr>
      <w:widowControl w:val="0"/>
      <w:autoSpaceDE w:val="0"/>
      <w:autoSpaceDN w:val="0"/>
      <w:adjustRightInd w:val="0"/>
    </w:pPr>
    <w:rPr>
      <w:rFonts w:ascii="FZFangSong-Z02" w:hAnsi="Times New Roman" w:eastAsia="FZFangSong-Z02" w:cs="FZFangSong-Z02"/>
      <w:color w:val="000000"/>
      <w:sz w:val="24"/>
      <w:szCs w:val="24"/>
      <w:lang w:val="en-US" w:eastAsia="zh-CN" w:bidi="ar-SA"/>
    </w:rPr>
  </w:style>
  <w:style w:type="paragraph" w:customStyle="1" w:styleId="17">
    <w:name w:val="列出段落1"/>
    <w:basedOn w:val="1"/>
    <w:qFormat/>
    <w:uiPriority w:val="34"/>
    <w:pPr>
      <w:ind w:firstLine="420" w:firstLineChars="200"/>
    </w:pPr>
    <w:rPr>
      <w:rFonts w:ascii="Calibri" w:hAnsi="Calibri"/>
      <w:sz w:val="21"/>
      <w:szCs w:val="22"/>
    </w:rPr>
  </w:style>
  <w:style w:type="paragraph" w:customStyle="1" w:styleId="18">
    <w:name w:val="普通(网站)1"/>
    <w:basedOn w:val="1"/>
    <w:qFormat/>
    <w:uiPriority w:val="0"/>
    <w:pPr>
      <w:widowControl/>
      <w:spacing w:before="100" w:beforeAutospacing="1" w:after="100" w:afterAutospacing="1"/>
      <w:ind w:left="420" w:hanging="420"/>
      <w:jc w:val="left"/>
    </w:pPr>
    <w:rPr>
      <w:rFonts w:ascii="宋体" w:hAnsi="宋体" w:cs="宋体"/>
      <w:kern w:val="0"/>
      <w:sz w:val="24"/>
    </w:rPr>
  </w:style>
  <w:style w:type="paragraph" w:customStyle="1" w:styleId="19">
    <w:name w:val="无间隔1"/>
    <w:qFormat/>
    <w:uiPriority w:val="1"/>
    <w:pPr>
      <w:widowControl w:val="0"/>
      <w:jc w:val="both"/>
    </w:pPr>
    <w:rPr>
      <w:rFonts w:ascii="Calibri" w:hAnsi="Calibri" w:eastAsia="宋体" w:cs="Times New Roman"/>
      <w:kern w:val="2"/>
      <w:sz w:val="21"/>
      <w:szCs w:val="22"/>
      <w:lang w:val="en-US" w:eastAsia="zh-CN" w:bidi="ar-SA"/>
    </w:rPr>
  </w:style>
  <w:style w:type="paragraph" w:styleId="20">
    <w:name w:val="List Paragraph"/>
    <w:basedOn w:val="1"/>
    <w:qFormat/>
    <w:uiPriority w:val="1"/>
    <w:pPr>
      <w:ind w:left="3028" w:hanging="481"/>
    </w:pPr>
    <w:rPr>
      <w:rFonts w:ascii="仿宋" w:hAnsi="仿宋" w:eastAsia="仿宋" w:cs="仿宋"/>
      <w:lang w:val="zh-CN" w:eastAsia="zh-CN" w:bidi="zh-CN"/>
    </w:rPr>
  </w:style>
  <w:style w:type="paragraph" w:customStyle="1" w:styleId="21">
    <w:name w:val="Table Paragraph"/>
    <w:basedOn w:val="1"/>
    <w:qFormat/>
    <w:uiPriority w:val="1"/>
    <w:pPr>
      <w:spacing w:before="59"/>
    </w:pPr>
    <w:rPr>
      <w:rFonts w:ascii="Calibri" w:hAnsi="Calibri" w:eastAsia="Calibri" w:cs="Calibri"/>
      <w:lang w:val="zh-CN" w:bidi="zh-CN"/>
    </w:rPr>
  </w:style>
  <w:style w:type="paragraph" w:customStyle="1" w:styleId="22">
    <w:name w:val="样式1"/>
    <w:basedOn w:val="9"/>
    <w:qFormat/>
    <w:uiPriority w:val="0"/>
    <w:pPr>
      <w:spacing w:after="60" w:line="400" w:lineRule="exact"/>
      <w:ind w:firstLine="567" w:firstLineChars="0"/>
    </w:pPr>
    <w:rPr>
      <w:rFonts w:ascii="Times New Roman" w:hAnsi="Calibri"/>
      <w:sz w:val="24"/>
      <w:szCs w:val="20"/>
    </w:rPr>
  </w:style>
  <w:style w:type="paragraph" w:customStyle="1" w:styleId="23">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4">
    <w:name w:val="Normal"/>
    <w:qFormat/>
    <w:uiPriority w:val="0"/>
    <w:pPr>
      <w:jc w:val="both"/>
    </w:pPr>
    <w:rPr>
      <w:rFonts w:ascii="Times New Roman" w:hAnsi="Times New Roman" w:eastAsia="宋体" w:cs="宋体"/>
      <w:kern w:val="2"/>
      <w:sz w:val="21"/>
      <w:szCs w:val="21"/>
      <w:lang w:val="en-US" w:eastAsia="zh-CN" w:bidi="ar-SA"/>
    </w:rPr>
  </w:style>
  <w:style w:type="paragraph" w:customStyle="1" w:styleId="25">
    <w:name w:val="WPSOffice手动目录 1"/>
    <w:uiPriority w:val="0"/>
    <w:pPr>
      <w:ind w:leftChars="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4" Type="http://schemas.openxmlformats.org/officeDocument/2006/relationships/glossaryDocument" Target="glossary/document.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jpeg"/><Relationship Id="rId5" Type="http://schemas.openxmlformats.org/officeDocument/2006/relationships/header" Target="header2.xml"/><Relationship Id="rId49" Type="http://schemas.openxmlformats.org/officeDocument/2006/relationships/image" Target="media/image3.jpeg"/><Relationship Id="rId48" Type="http://schemas.openxmlformats.org/officeDocument/2006/relationships/image" Target="media/image2.jpeg"/><Relationship Id="rId47" Type="http://schemas.openxmlformats.org/officeDocument/2006/relationships/image" Target="media/image1.jpeg"/><Relationship Id="rId46" Type="http://schemas.openxmlformats.org/officeDocument/2006/relationships/theme" Target="theme/theme1.xml"/><Relationship Id="rId45" Type="http://schemas.openxmlformats.org/officeDocument/2006/relationships/footer" Target="footer27.xml"/><Relationship Id="rId44" Type="http://schemas.openxmlformats.org/officeDocument/2006/relationships/footer" Target="footer26.xml"/><Relationship Id="rId43" Type="http://schemas.openxmlformats.org/officeDocument/2006/relationships/footer" Target="footer25.xml"/><Relationship Id="rId42" Type="http://schemas.openxmlformats.org/officeDocument/2006/relationships/footer" Target="footer24.xml"/><Relationship Id="rId41" Type="http://schemas.openxmlformats.org/officeDocument/2006/relationships/header" Target="header16.xml"/><Relationship Id="rId40" Type="http://schemas.openxmlformats.org/officeDocument/2006/relationships/header" Target="header15.xml"/><Relationship Id="rId4" Type="http://schemas.openxmlformats.org/officeDocument/2006/relationships/header" Target="header1.xml"/><Relationship Id="rId39" Type="http://schemas.openxmlformats.org/officeDocument/2006/relationships/header" Target="header14.xml"/><Relationship Id="rId38" Type="http://schemas.openxmlformats.org/officeDocument/2006/relationships/footer" Target="footer23.xml"/><Relationship Id="rId37" Type="http://schemas.openxmlformats.org/officeDocument/2006/relationships/footer" Target="footer22.xml"/><Relationship Id="rId36" Type="http://schemas.openxmlformats.org/officeDocument/2006/relationships/header" Target="header13.xml"/><Relationship Id="rId35" Type="http://schemas.openxmlformats.org/officeDocument/2006/relationships/footer" Target="footer21.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footer" Target="footer1.xml"/><Relationship Id="rId29" Type="http://schemas.openxmlformats.org/officeDocument/2006/relationships/footer" Target="footer15.xml"/><Relationship Id="rId28" Type="http://schemas.openxmlformats.org/officeDocument/2006/relationships/header" Target="header12.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f3baaff-b2a9-45a3-a4d1-0417a6ceef54}"/>
        <w:style w:val=""/>
        <w:category>
          <w:name w:val="常规"/>
          <w:gallery w:val="placeholder"/>
        </w:category>
        <w:types>
          <w:type w:val="bbPlcHdr"/>
        </w:types>
        <w:behaviors>
          <w:behavior w:val="content"/>
        </w:behaviors>
        <w:description w:val=""/>
        <w:guid w:val="{3f3baaff-b2a9-45a3-a4d1-0417a6ceef54}"/>
      </w:docPartPr>
      <w:docPartBody>
        <w:p>
          <w:r>
            <w:rPr>
              <w:color w:val="808080"/>
            </w:rPr>
            <w:t>单击此处输入文字。</w:t>
          </w:r>
        </w:p>
      </w:docPartBody>
    </w:docPart>
    <w:docPart>
      <w:docPartPr>
        <w:name w:val="{0af96619-a82d-4814-8c58-0b1859aa0cbd}"/>
        <w:style w:val=""/>
        <w:category>
          <w:name w:val="常规"/>
          <w:gallery w:val="placeholder"/>
        </w:category>
        <w:types>
          <w:type w:val="bbPlcHdr"/>
        </w:types>
        <w:behaviors>
          <w:behavior w:val="content"/>
        </w:behaviors>
        <w:description w:val=""/>
        <w:guid w:val="{0af96619-a82d-4814-8c58-0b1859aa0cbd}"/>
      </w:docPartPr>
      <w:docPartBody>
        <w:p>
          <w:r>
            <w:rPr>
              <w:color w:val="808080"/>
            </w:rPr>
            <w:t>单击此处输入文字。</w:t>
          </w:r>
        </w:p>
      </w:docPartBody>
    </w:docPart>
    <w:docPart>
      <w:docPartPr>
        <w:name w:val="{937c3cdd-f213-476d-a1fa-eaa0215cb3c7}"/>
        <w:style w:val=""/>
        <w:category>
          <w:name w:val="常规"/>
          <w:gallery w:val="placeholder"/>
        </w:category>
        <w:types>
          <w:type w:val="bbPlcHdr"/>
        </w:types>
        <w:behaviors>
          <w:behavior w:val="content"/>
        </w:behaviors>
        <w:description w:val=""/>
        <w:guid w:val="{937c3cdd-f213-476d-a1fa-eaa0215cb3c7}"/>
      </w:docPartPr>
      <w:docPartBody>
        <w:p>
          <w:r>
            <w:rPr>
              <w:color w:val="808080"/>
            </w:rPr>
            <w:t>单击此处输入文字。</w:t>
          </w:r>
        </w:p>
      </w:docPartBody>
    </w:docPart>
    <w:docPart>
      <w:docPartPr>
        <w:name w:val="{f740abb5-99b5-4020-8d1c-ed57c8c2b886}"/>
        <w:style w:val=""/>
        <w:category>
          <w:name w:val="常规"/>
          <w:gallery w:val="placeholder"/>
        </w:category>
        <w:types>
          <w:type w:val="bbPlcHdr"/>
        </w:types>
        <w:behaviors>
          <w:behavior w:val="content"/>
        </w:behaviors>
        <w:description w:val=""/>
        <w:guid w:val="{f740abb5-99b5-4020-8d1c-ed57c8c2b886}"/>
      </w:docPartPr>
      <w:docPartBody>
        <w:p>
          <w:r>
            <w:rPr>
              <w:color w:val="808080"/>
            </w:rPr>
            <w:t>单击此处输入文字。</w:t>
          </w:r>
        </w:p>
      </w:docPartBody>
    </w:docPart>
    <w:docPart>
      <w:docPartPr>
        <w:name w:val="{1eb6aaa5-35e2-49ae-be52-1b5a8129139d}"/>
        <w:style w:val=""/>
        <w:category>
          <w:name w:val="常规"/>
          <w:gallery w:val="placeholder"/>
        </w:category>
        <w:types>
          <w:type w:val="bbPlcHdr"/>
        </w:types>
        <w:behaviors>
          <w:behavior w:val="content"/>
        </w:behaviors>
        <w:description w:val=""/>
        <w:guid w:val="{1eb6aaa5-35e2-49ae-be52-1b5a8129139d}"/>
      </w:docPartPr>
      <w:docPartBody>
        <w:p>
          <w:r>
            <w:rPr>
              <w:color w:val="808080"/>
            </w:rPr>
            <w:t>单击此处输入文字。</w:t>
          </w:r>
        </w:p>
      </w:docPartBody>
    </w:docPart>
    <w:docPart>
      <w:docPartPr>
        <w:name w:val="{b5385d57-853c-4051-8ebf-df2222ed6081}"/>
        <w:style w:val=""/>
        <w:category>
          <w:name w:val="常规"/>
          <w:gallery w:val="placeholder"/>
        </w:category>
        <w:types>
          <w:type w:val="bbPlcHdr"/>
        </w:types>
        <w:behaviors>
          <w:behavior w:val="content"/>
        </w:behaviors>
        <w:description w:val=""/>
        <w:guid w:val="{b5385d57-853c-4051-8ebf-df2222ed6081}"/>
      </w:docPartPr>
      <w:docPartBody>
        <w:p>
          <w:r>
            <w:rPr>
              <w:color w:val="808080"/>
            </w:rPr>
            <w:t>单击此处输入文字。</w:t>
          </w:r>
        </w:p>
      </w:docPartBody>
    </w:docPart>
    <w:docPart>
      <w:docPartPr>
        <w:name w:val="{a3e43663-7791-468f-902e-6e4e2c13b396}"/>
        <w:style w:val=""/>
        <w:category>
          <w:name w:val="常规"/>
          <w:gallery w:val="placeholder"/>
        </w:category>
        <w:types>
          <w:type w:val="bbPlcHdr"/>
        </w:types>
        <w:behaviors>
          <w:behavior w:val="content"/>
        </w:behaviors>
        <w:description w:val=""/>
        <w:guid w:val="{a3e43663-7791-468f-902e-6e4e2c13b396}"/>
      </w:docPartPr>
      <w:docPartBody>
        <w:p>
          <w:r>
            <w:rPr>
              <w:color w:val="808080"/>
            </w:rPr>
            <w:t>单击此处输入文字。</w:t>
          </w:r>
        </w:p>
      </w:docPartBody>
    </w:docPart>
    <w:docPart>
      <w:docPartPr>
        <w:name w:val="{0bedca35-59f3-4819-9205-accad6a4a726}"/>
        <w:style w:val=""/>
        <w:category>
          <w:name w:val="常规"/>
          <w:gallery w:val="placeholder"/>
        </w:category>
        <w:types>
          <w:type w:val="bbPlcHdr"/>
        </w:types>
        <w:behaviors>
          <w:behavior w:val="content"/>
        </w:behaviors>
        <w:description w:val=""/>
        <w:guid w:val="{0bedca35-59f3-4819-9205-accad6a4a726}"/>
      </w:docPartPr>
      <w:docPartBody>
        <w:p>
          <w:r>
            <w:rPr>
              <w:color w:val="808080"/>
            </w:rPr>
            <w:t>单击此处输入文字。</w:t>
          </w:r>
        </w:p>
      </w:docPartBody>
    </w:docPart>
    <w:docPart>
      <w:docPartPr>
        <w:name w:val="{f05c40c0-409c-487e-8bc9-c4ffde3a03d1}"/>
        <w:style w:val=""/>
        <w:category>
          <w:name w:val="常规"/>
          <w:gallery w:val="placeholder"/>
        </w:category>
        <w:types>
          <w:type w:val="bbPlcHdr"/>
        </w:types>
        <w:behaviors>
          <w:behavior w:val="content"/>
        </w:behaviors>
        <w:description w:val=""/>
        <w:guid w:val="{f05c40c0-409c-487e-8bc9-c4ffde3a03d1}"/>
      </w:docPartPr>
      <w:docPartBody>
        <w:p>
          <w:r>
            <w:rPr>
              <w:color w:val="808080"/>
            </w:rPr>
            <w:t>单击此处输入文字。</w:t>
          </w:r>
        </w:p>
      </w:docPartBody>
    </w:docPart>
    <w:docPart>
      <w:docPartPr>
        <w:name w:val="{23108091-a0c6-4f71-99ca-d3fc55e8b67d}"/>
        <w:style w:val=""/>
        <w:category>
          <w:name w:val="常规"/>
          <w:gallery w:val="placeholder"/>
        </w:category>
        <w:types>
          <w:type w:val="bbPlcHdr"/>
        </w:types>
        <w:behaviors>
          <w:behavior w:val="content"/>
        </w:behaviors>
        <w:description w:val=""/>
        <w:guid w:val="{23108091-a0c6-4f71-99ca-d3fc55e8b67d}"/>
      </w:docPartPr>
      <w:docPartBody>
        <w:p>
          <w:r>
            <w:rPr>
              <w:color w:val="808080"/>
            </w:rPr>
            <w:t>单击此处输入文字。</w:t>
          </w:r>
        </w:p>
      </w:docPartBody>
    </w:docPart>
    <w:docPart>
      <w:docPartPr>
        <w:name w:val="{adaed032-eb02-420f-861c-dc3ee43f5d49}"/>
        <w:style w:val=""/>
        <w:category>
          <w:name w:val="常规"/>
          <w:gallery w:val="placeholder"/>
        </w:category>
        <w:types>
          <w:type w:val="bbPlcHdr"/>
        </w:types>
        <w:behaviors>
          <w:behavior w:val="content"/>
        </w:behaviors>
        <w:description w:val=""/>
        <w:guid w:val="{adaed032-eb02-420f-861c-dc3ee43f5d49}"/>
      </w:docPartPr>
      <w:docPartBody>
        <w:p>
          <w:r>
            <w:rPr>
              <w:color w:val="808080"/>
            </w:rPr>
            <w:t>单击此处输入文字。</w:t>
          </w:r>
        </w:p>
      </w:docPartBody>
    </w:docPart>
    <w:docPart>
      <w:docPartPr>
        <w:name w:val="{54f4db22-c4fb-42c8-a1c8-18067d3e8f76}"/>
        <w:style w:val=""/>
        <w:category>
          <w:name w:val="常规"/>
          <w:gallery w:val="placeholder"/>
        </w:category>
        <w:types>
          <w:type w:val="bbPlcHdr"/>
        </w:types>
        <w:behaviors>
          <w:behavior w:val="content"/>
        </w:behaviors>
        <w:description w:val=""/>
        <w:guid w:val="{54f4db22-c4fb-42c8-a1c8-18067d3e8f76}"/>
      </w:docPartPr>
      <w:docPartBody>
        <w:p>
          <w:r>
            <w:rPr>
              <w:color w:val="808080"/>
            </w:rPr>
            <w:t>单击此处输入文字。</w:t>
          </w:r>
        </w:p>
      </w:docPartBody>
    </w:docPart>
    <w:docPart>
      <w:docPartPr>
        <w:name w:val="{228f1dc1-3814-4ed9-ba3a-81180bc179a4}"/>
        <w:style w:val=""/>
        <w:category>
          <w:name w:val="常规"/>
          <w:gallery w:val="placeholder"/>
        </w:category>
        <w:types>
          <w:type w:val="bbPlcHdr"/>
        </w:types>
        <w:behaviors>
          <w:behavior w:val="content"/>
        </w:behaviors>
        <w:description w:val=""/>
        <w:guid w:val="{228f1dc1-3814-4ed9-ba3a-81180bc179a4}"/>
      </w:docPartPr>
      <w:docPartBody>
        <w:p>
          <w:r>
            <w:rPr>
              <w:color w:val="808080"/>
            </w:rPr>
            <w:t>单击此处输入文字。</w:t>
          </w:r>
        </w:p>
      </w:docPartBody>
    </w:docPart>
    <w:docPart>
      <w:docPartPr>
        <w:name w:val="{a6651d3a-3daf-4d4d-8034-4f6478f16685}"/>
        <w:style w:val=""/>
        <w:category>
          <w:name w:val="常规"/>
          <w:gallery w:val="placeholder"/>
        </w:category>
        <w:types>
          <w:type w:val="bbPlcHdr"/>
        </w:types>
        <w:behaviors>
          <w:behavior w:val="content"/>
        </w:behaviors>
        <w:description w:val=""/>
        <w:guid w:val="{a6651d3a-3daf-4d4d-8034-4f6478f16685}"/>
      </w:docPartPr>
      <w:docPartBody>
        <w:p>
          <w:r>
            <w:rPr>
              <w:color w:val="808080"/>
            </w:rPr>
            <w:t>单击此处输入文字。</w:t>
          </w:r>
        </w:p>
      </w:docPartBody>
    </w:docPart>
    <w:docPart>
      <w:docPartPr>
        <w:name w:val="{276e7f63-8f4f-4006-8118-743b46fe54d8}"/>
        <w:style w:val=""/>
        <w:category>
          <w:name w:val="常规"/>
          <w:gallery w:val="placeholder"/>
        </w:category>
        <w:types>
          <w:type w:val="bbPlcHdr"/>
        </w:types>
        <w:behaviors>
          <w:behavior w:val="content"/>
        </w:behaviors>
        <w:description w:val=""/>
        <w:guid w:val="{276e7f63-8f4f-4006-8118-743b46fe54d8}"/>
      </w:docPartPr>
      <w:docPartBody>
        <w:p>
          <w:r>
            <w:rPr>
              <w:color w:val="808080"/>
            </w:rPr>
            <w:t>单击此处输入文字。</w:t>
          </w:r>
        </w:p>
      </w:docPartBody>
    </w:docPart>
    <w:docPart>
      <w:docPartPr>
        <w:name w:val="{59c03073-7e26-48ef-a8ec-10a8c228f71d}"/>
        <w:style w:val=""/>
        <w:category>
          <w:name w:val="常规"/>
          <w:gallery w:val="placeholder"/>
        </w:category>
        <w:types>
          <w:type w:val="bbPlcHdr"/>
        </w:types>
        <w:behaviors>
          <w:behavior w:val="content"/>
        </w:behaviors>
        <w:description w:val=""/>
        <w:guid w:val="{59c03073-7e26-48ef-a8ec-10a8c228f71d}"/>
      </w:docPartPr>
      <w:docPartBody>
        <w:p>
          <w:r>
            <w:rPr>
              <w:color w:val="808080"/>
            </w:rPr>
            <w:t>单击此处输入文字。</w:t>
          </w:r>
        </w:p>
      </w:docPartBody>
    </w:docPart>
    <w:docPart>
      <w:docPartPr>
        <w:name w:val="{6ba85f51-1fa6-4d49-88d6-d97ec1683cee}"/>
        <w:style w:val=""/>
        <w:category>
          <w:name w:val="常规"/>
          <w:gallery w:val="placeholder"/>
        </w:category>
        <w:types>
          <w:type w:val="bbPlcHdr"/>
        </w:types>
        <w:behaviors>
          <w:behavior w:val="content"/>
        </w:behaviors>
        <w:description w:val=""/>
        <w:guid w:val="{6ba85f51-1fa6-4d49-88d6-d97ec1683cee}"/>
      </w:docPartPr>
      <w:docPartBody>
        <w:p>
          <w:r>
            <w:rPr>
              <w:color w:val="808080"/>
            </w:rPr>
            <w:t>单击此处输入文字。</w:t>
          </w:r>
        </w:p>
      </w:docPartBody>
    </w:docPart>
    <w:docPart>
      <w:docPartPr>
        <w:name w:val="{d34cbc89-47df-4025-bccd-f9a7e3a03908}"/>
        <w:style w:val=""/>
        <w:category>
          <w:name w:val="常规"/>
          <w:gallery w:val="placeholder"/>
        </w:category>
        <w:types>
          <w:type w:val="bbPlcHdr"/>
        </w:types>
        <w:behaviors>
          <w:behavior w:val="content"/>
        </w:behaviors>
        <w:description w:val=""/>
        <w:guid w:val="{d34cbc89-47df-4025-bccd-f9a7e3a03908}"/>
      </w:docPartPr>
      <w:docPartBody>
        <w:p>
          <w:r>
            <w:rPr>
              <w:color w:val="808080"/>
            </w:rPr>
            <w:t>单击此处输入文字。</w:t>
          </w:r>
        </w:p>
      </w:docPartBody>
    </w:docPart>
    <w:docPart>
      <w:docPartPr>
        <w:name w:val="{f9d6ea1e-db30-4c59-9c6f-a48d386fa39e}"/>
        <w:style w:val=""/>
        <w:category>
          <w:name w:val="常规"/>
          <w:gallery w:val="placeholder"/>
        </w:category>
        <w:types>
          <w:type w:val="bbPlcHdr"/>
        </w:types>
        <w:behaviors>
          <w:behavior w:val="content"/>
        </w:behaviors>
        <w:description w:val=""/>
        <w:guid w:val="{f9d6ea1e-db30-4c59-9c6f-a48d386fa39e}"/>
      </w:docPartPr>
      <w:docPartBody>
        <w:p>
          <w:r>
            <w:rPr>
              <w:color w:val="808080"/>
            </w:rPr>
            <w:t>单击此处输入文字。</w:t>
          </w:r>
        </w:p>
      </w:docPartBody>
    </w:docPart>
    <w:docPart>
      <w:docPartPr>
        <w:name w:val="{b91ecdc3-4268-4477-9f80-6cbc0ffe7de2}"/>
        <w:style w:val=""/>
        <w:category>
          <w:name w:val="常规"/>
          <w:gallery w:val="placeholder"/>
        </w:category>
        <w:types>
          <w:type w:val="bbPlcHdr"/>
        </w:types>
        <w:behaviors>
          <w:behavior w:val="content"/>
        </w:behaviors>
        <w:description w:val=""/>
        <w:guid w:val="{b91ecdc3-4268-4477-9f80-6cbc0ffe7de2}"/>
      </w:docPartPr>
      <w:docPartBody>
        <w:p>
          <w:r>
            <w:rPr>
              <w:color w:val="808080"/>
            </w:rPr>
            <w:t>单击此处输入文字。</w:t>
          </w:r>
        </w:p>
      </w:docPartBody>
    </w:docPart>
    <w:docPart>
      <w:docPartPr>
        <w:name w:val="{2dab3d7a-fe22-48d0-8877-44cd43a879d3}"/>
        <w:style w:val=""/>
        <w:category>
          <w:name w:val="常规"/>
          <w:gallery w:val="placeholder"/>
        </w:category>
        <w:types>
          <w:type w:val="bbPlcHdr"/>
        </w:types>
        <w:behaviors>
          <w:behavior w:val="content"/>
        </w:behaviors>
        <w:description w:val=""/>
        <w:guid w:val="{2dab3d7a-fe22-48d0-8877-44cd43a879d3}"/>
      </w:docPartPr>
      <w:docPartBody>
        <w:p>
          <w:r>
            <w:rPr>
              <w:color w:val="808080"/>
            </w:rPr>
            <w:t>单击此处输入文字。</w:t>
          </w:r>
        </w:p>
      </w:docPartBody>
    </w:docPart>
    <w:docPart>
      <w:docPartPr>
        <w:name w:val="{3ca8dc11-dcd7-442c-875a-696b804a62b8}"/>
        <w:style w:val=""/>
        <w:category>
          <w:name w:val="常规"/>
          <w:gallery w:val="placeholder"/>
        </w:category>
        <w:types>
          <w:type w:val="bbPlcHdr"/>
        </w:types>
        <w:behaviors>
          <w:behavior w:val="content"/>
        </w:behaviors>
        <w:description w:val=""/>
        <w:guid w:val="{3ca8dc11-dcd7-442c-875a-696b804a62b8}"/>
      </w:docPartPr>
      <w:docPartBody>
        <w:p>
          <w:r>
            <w:rPr>
              <w:color w:val="808080"/>
            </w:rPr>
            <w:t>单击此处输入文字。</w:t>
          </w:r>
        </w:p>
      </w:docPartBody>
    </w:docPart>
    <w:docPart>
      <w:docPartPr>
        <w:name w:val="{83c7b92e-cda7-43fe-beab-bc48f5a92d48}"/>
        <w:style w:val=""/>
        <w:category>
          <w:name w:val="常规"/>
          <w:gallery w:val="placeholder"/>
        </w:category>
        <w:types>
          <w:type w:val="bbPlcHdr"/>
        </w:types>
        <w:behaviors>
          <w:behavior w:val="content"/>
        </w:behaviors>
        <w:description w:val=""/>
        <w:guid w:val="{83c7b92e-cda7-43fe-beab-bc48f5a92d48}"/>
      </w:docPartPr>
      <w:docPartBody>
        <w:p>
          <w:r>
            <w:rPr>
              <w:color w:val="808080"/>
            </w:rPr>
            <w:t>单击此处输入文字。</w:t>
          </w:r>
        </w:p>
      </w:docPartBody>
    </w:docPart>
    <w:docPart>
      <w:docPartPr>
        <w:name w:val="{9cb0c075-c2c5-470a-8372-22959c2ed159}"/>
        <w:style w:val=""/>
        <w:category>
          <w:name w:val="常规"/>
          <w:gallery w:val="placeholder"/>
        </w:category>
        <w:types>
          <w:type w:val="bbPlcHdr"/>
        </w:types>
        <w:behaviors>
          <w:behavior w:val="content"/>
        </w:behaviors>
        <w:description w:val=""/>
        <w:guid w:val="{9cb0c075-c2c5-470a-8372-22959c2ed159}"/>
      </w:docPartPr>
      <w:docPartBody>
        <w:p>
          <w:r>
            <w:rPr>
              <w:color w:val="808080"/>
            </w:rPr>
            <w:t>单击此处输入文字。</w:t>
          </w:r>
        </w:p>
      </w:docPartBody>
    </w:docPart>
    <w:docPart>
      <w:docPartPr>
        <w:name w:val="{eb23858d-9118-4cf2-b9a3-1a1f53151711}"/>
        <w:style w:val=""/>
        <w:category>
          <w:name w:val="常规"/>
          <w:gallery w:val="placeholder"/>
        </w:category>
        <w:types>
          <w:type w:val="bbPlcHdr"/>
        </w:types>
        <w:behaviors>
          <w:behavior w:val="content"/>
        </w:behaviors>
        <w:description w:val=""/>
        <w:guid w:val="{eb23858d-9118-4cf2-b9a3-1a1f53151711}"/>
      </w:docPartPr>
      <w:docPartBody>
        <w:p>
          <w:r>
            <w:rPr>
              <w:color w:val="808080"/>
            </w:rPr>
            <w:t>单击此处输入文字。</w:t>
          </w:r>
        </w:p>
      </w:docPartBody>
    </w:docPart>
    <w:docPart>
      <w:docPartPr>
        <w:name w:val="{3efe161a-71bb-40f0-94f3-9dfa093fa202}"/>
        <w:style w:val=""/>
        <w:category>
          <w:name w:val="常规"/>
          <w:gallery w:val="placeholder"/>
        </w:category>
        <w:types>
          <w:type w:val="bbPlcHdr"/>
        </w:types>
        <w:behaviors>
          <w:behavior w:val="content"/>
        </w:behaviors>
        <w:description w:val=""/>
        <w:guid w:val="{3efe161a-71bb-40f0-94f3-9dfa093fa202}"/>
      </w:docPartPr>
      <w:docPartBody>
        <w:p>
          <w:r>
            <w:rPr>
              <w:color w:val="808080"/>
            </w:rPr>
            <w:t>单击此处输入文字。</w:t>
          </w:r>
        </w:p>
      </w:docPartBody>
    </w:docPart>
    <w:docPart>
      <w:docPartPr>
        <w:name w:val="{1c34a28e-c032-4ac7-9da0-9b2f46b44396}"/>
        <w:style w:val=""/>
        <w:category>
          <w:name w:val="常规"/>
          <w:gallery w:val="placeholder"/>
        </w:category>
        <w:types>
          <w:type w:val="bbPlcHdr"/>
        </w:types>
        <w:behaviors>
          <w:behavior w:val="content"/>
        </w:behaviors>
        <w:description w:val=""/>
        <w:guid w:val="{1c34a28e-c032-4ac7-9da0-9b2f46b44396}"/>
      </w:docPartPr>
      <w:docPartBody>
        <w:p>
          <w:r>
            <w:rPr>
              <w:color w:val="808080"/>
            </w:rPr>
            <w:t>单击此处输入文字。</w:t>
          </w:r>
        </w:p>
      </w:docPartBody>
    </w:docPart>
    <w:docPart>
      <w:docPartPr>
        <w:name w:val="{33a41f5d-5e2e-4f31-b307-8f7e1b093b63}"/>
        <w:style w:val=""/>
        <w:category>
          <w:name w:val="常规"/>
          <w:gallery w:val="placeholder"/>
        </w:category>
        <w:types>
          <w:type w:val="bbPlcHdr"/>
        </w:types>
        <w:behaviors>
          <w:behavior w:val="content"/>
        </w:behaviors>
        <w:description w:val=""/>
        <w:guid w:val="{33a41f5d-5e2e-4f31-b307-8f7e1b093b63}"/>
      </w:docPartPr>
      <w:docPartBody>
        <w:p>
          <w:r>
            <w:rPr>
              <w:color w:val="808080"/>
            </w:rPr>
            <w:t>单击此处输入文字。</w:t>
          </w:r>
        </w:p>
      </w:docPartBody>
    </w:docPart>
    <w:docPart>
      <w:docPartPr>
        <w:name w:val="{694793ba-7637-4623-81a0-406fd1964748}"/>
        <w:style w:val=""/>
        <w:category>
          <w:name w:val="常规"/>
          <w:gallery w:val="placeholder"/>
        </w:category>
        <w:types>
          <w:type w:val="bbPlcHdr"/>
        </w:types>
        <w:behaviors>
          <w:behavior w:val="content"/>
        </w:behaviors>
        <w:description w:val=""/>
        <w:guid w:val="{694793ba-7637-4623-81a0-406fd1964748}"/>
      </w:docPartPr>
      <w:docPartBody>
        <w:p>
          <w:r>
            <w:rPr>
              <w:color w:val="808080"/>
            </w:rPr>
            <w:t>单击此处输入文字。</w:t>
          </w:r>
        </w:p>
      </w:docPartBody>
    </w:docPart>
    <w:docPart>
      <w:docPartPr>
        <w:name w:val="{aac29f83-0cf9-4855-993b-d02eeda5a681}"/>
        <w:style w:val=""/>
        <w:category>
          <w:name w:val="常规"/>
          <w:gallery w:val="placeholder"/>
        </w:category>
        <w:types>
          <w:type w:val="bbPlcHdr"/>
        </w:types>
        <w:behaviors>
          <w:behavior w:val="content"/>
        </w:behaviors>
        <w:description w:val=""/>
        <w:guid w:val="{aac29f83-0cf9-4855-993b-d02eeda5a681}"/>
      </w:docPartPr>
      <w:docPartBody>
        <w:p>
          <w:r>
            <w:rPr>
              <w:color w:val="808080"/>
            </w:rPr>
            <w:t>单击此处输入文字。</w:t>
          </w:r>
        </w:p>
      </w:docPartBody>
    </w:docPart>
    <w:docPart>
      <w:docPartPr>
        <w:name w:val="{4e2ee81e-7efd-4e91-8896-69eb6ec5abf5}"/>
        <w:style w:val=""/>
        <w:category>
          <w:name w:val="常规"/>
          <w:gallery w:val="placeholder"/>
        </w:category>
        <w:types>
          <w:type w:val="bbPlcHdr"/>
        </w:types>
        <w:behaviors>
          <w:behavior w:val="content"/>
        </w:behaviors>
        <w:description w:val=""/>
        <w:guid w:val="{4e2ee81e-7efd-4e91-8896-69eb6ec5abf5}"/>
      </w:docPartPr>
      <w:docPartBody>
        <w:p>
          <w:r>
            <w:rPr>
              <w:color w:val="808080"/>
            </w:rPr>
            <w:t>单击此处输入文字。</w:t>
          </w:r>
        </w:p>
      </w:docPartBody>
    </w:docPart>
    <w:docPart>
      <w:docPartPr>
        <w:name w:val="{36bf7367-a4cd-48e1-8361-aa57fc2352de}"/>
        <w:style w:val=""/>
        <w:category>
          <w:name w:val="常规"/>
          <w:gallery w:val="placeholder"/>
        </w:category>
        <w:types>
          <w:type w:val="bbPlcHdr"/>
        </w:types>
        <w:behaviors>
          <w:behavior w:val="content"/>
        </w:behaviors>
        <w:description w:val=""/>
        <w:guid w:val="{36bf7367-a4cd-48e1-8361-aa57fc2352de}"/>
      </w:docPartPr>
      <w:docPartBody>
        <w:p>
          <w:r>
            <w:rPr>
              <w:color w:val="808080"/>
            </w:rPr>
            <w:t>单击此处输入文字。</w:t>
          </w:r>
        </w:p>
      </w:docPartBody>
    </w:docPart>
    <w:docPart>
      <w:docPartPr>
        <w:name w:val="{29272a1c-4a85-409d-a87c-7b2933b427a8}"/>
        <w:style w:val=""/>
        <w:category>
          <w:name w:val="常规"/>
          <w:gallery w:val="placeholder"/>
        </w:category>
        <w:types>
          <w:type w:val="bbPlcHdr"/>
        </w:types>
        <w:behaviors>
          <w:behavior w:val="content"/>
        </w:behaviors>
        <w:description w:val=""/>
        <w:guid w:val="{29272a1c-4a85-409d-a87c-7b2933b427a8}"/>
      </w:docPartPr>
      <w:docPartBody>
        <w:p>
          <w:r>
            <w:rPr>
              <w:color w:val="808080"/>
            </w:rPr>
            <w:t>单击此处输入文字。</w:t>
          </w:r>
        </w:p>
      </w:docPartBody>
    </w:docPart>
    <w:docPart>
      <w:docPartPr>
        <w:name w:val="{261ea772-ece3-4971-b598-963a2baa43c1}"/>
        <w:style w:val=""/>
        <w:category>
          <w:name w:val="常规"/>
          <w:gallery w:val="placeholder"/>
        </w:category>
        <w:types>
          <w:type w:val="bbPlcHdr"/>
        </w:types>
        <w:behaviors>
          <w:behavior w:val="content"/>
        </w:behaviors>
        <w:description w:val=""/>
        <w:guid w:val="{261ea772-ece3-4971-b598-963a2baa43c1}"/>
      </w:docPartPr>
      <w:docPartBody>
        <w:p>
          <w:r>
            <w:rPr>
              <w:color w:val="808080"/>
            </w:rPr>
            <w:t>单击此处输入文字。</w:t>
          </w:r>
        </w:p>
      </w:docPartBody>
    </w:docPart>
    <w:docPart>
      <w:docPartPr>
        <w:name w:val="{297c5af0-e0d3-43cb-bc2c-5a53462c6e5b}"/>
        <w:style w:val=""/>
        <w:category>
          <w:name w:val="常规"/>
          <w:gallery w:val="placeholder"/>
        </w:category>
        <w:types>
          <w:type w:val="bbPlcHdr"/>
        </w:types>
        <w:behaviors>
          <w:behavior w:val="content"/>
        </w:behaviors>
        <w:description w:val=""/>
        <w:guid w:val="{297c5af0-e0d3-43cb-bc2c-5a53462c6e5b}"/>
      </w:docPartPr>
      <w:docPartBody>
        <w:p>
          <w:r>
            <w:rPr>
              <w:color w:val="808080"/>
            </w:rPr>
            <w:t>单击此处输入文字。</w:t>
          </w:r>
        </w:p>
      </w:docPartBody>
    </w:docPart>
    <w:docPart>
      <w:docPartPr>
        <w:name w:val="{6c8f7982-9a44-47a8-856d-385805ca0df9}"/>
        <w:style w:val=""/>
        <w:category>
          <w:name w:val="常规"/>
          <w:gallery w:val="placeholder"/>
        </w:category>
        <w:types>
          <w:type w:val="bbPlcHdr"/>
        </w:types>
        <w:behaviors>
          <w:behavior w:val="content"/>
        </w:behaviors>
        <w:description w:val=""/>
        <w:guid w:val="{6c8f7982-9a44-47a8-856d-385805ca0df9}"/>
      </w:docPartPr>
      <w:docPartBody>
        <w:p>
          <w:r>
            <w:rPr>
              <w:color w:val="808080"/>
            </w:rPr>
            <w:t>单击此处输入文字。</w:t>
          </w:r>
        </w:p>
      </w:docPartBody>
    </w:docPart>
    <w:docPart>
      <w:docPartPr>
        <w:name w:val="{8b51c573-2e33-4ae0-ac71-c9c9d32370ea}"/>
        <w:style w:val=""/>
        <w:category>
          <w:name w:val="常规"/>
          <w:gallery w:val="placeholder"/>
        </w:category>
        <w:types>
          <w:type w:val="bbPlcHdr"/>
        </w:types>
        <w:behaviors>
          <w:behavior w:val="content"/>
        </w:behaviors>
        <w:description w:val=""/>
        <w:guid w:val="{8b51c573-2e33-4ae0-ac71-c9c9d32370ea}"/>
      </w:docPartPr>
      <w:docPartBody>
        <w:p>
          <w:r>
            <w:rPr>
              <w:color w:val="808080"/>
            </w:rPr>
            <w:t>单击此处输入文字。</w:t>
          </w:r>
        </w:p>
      </w:docPartBody>
    </w:docPart>
    <w:docPart>
      <w:docPartPr>
        <w:name w:val="{876a5ee4-ab71-45c3-8819-ad22b969911a}"/>
        <w:style w:val=""/>
        <w:category>
          <w:name w:val="常规"/>
          <w:gallery w:val="placeholder"/>
        </w:category>
        <w:types>
          <w:type w:val="bbPlcHdr"/>
        </w:types>
        <w:behaviors>
          <w:behavior w:val="content"/>
        </w:behaviors>
        <w:description w:val=""/>
        <w:guid w:val="{876a5ee4-ab71-45c3-8819-ad22b969911a}"/>
      </w:docPartPr>
      <w:docPartBody>
        <w:p>
          <w:r>
            <w:rPr>
              <w:color w:val="808080"/>
            </w:rPr>
            <w:t>单击此处输入文字。</w:t>
          </w:r>
        </w:p>
      </w:docPartBody>
    </w:docPart>
    <w:docPart>
      <w:docPartPr>
        <w:name w:val="{0d3d0c9e-7551-4ae7-b0d6-96a7845e7160}"/>
        <w:style w:val=""/>
        <w:category>
          <w:name w:val="常规"/>
          <w:gallery w:val="placeholder"/>
        </w:category>
        <w:types>
          <w:type w:val="bbPlcHdr"/>
        </w:types>
        <w:behaviors>
          <w:behavior w:val="content"/>
        </w:behaviors>
        <w:description w:val=""/>
        <w:guid w:val="{0d3d0c9e-7551-4ae7-b0d6-96a7845e7160}"/>
      </w:docPartPr>
      <w:docPartBody>
        <w:p>
          <w:r>
            <w:rPr>
              <w:color w:val="808080"/>
            </w:rPr>
            <w:t>单击此处输入文字。</w:t>
          </w:r>
        </w:p>
      </w:docPartBody>
    </w:docPart>
    <w:docPart>
      <w:docPartPr>
        <w:name w:val="{c352135a-338e-455d-9b47-9dbd525e1976}"/>
        <w:style w:val=""/>
        <w:category>
          <w:name w:val="常规"/>
          <w:gallery w:val="placeholder"/>
        </w:category>
        <w:types>
          <w:type w:val="bbPlcHdr"/>
        </w:types>
        <w:behaviors>
          <w:behavior w:val="content"/>
        </w:behaviors>
        <w:description w:val=""/>
        <w:guid w:val="{c352135a-338e-455d-9b47-9dbd525e1976}"/>
      </w:docPartPr>
      <w:docPartBody>
        <w:p>
          <w:r>
            <w:rPr>
              <w:color w:val="808080"/>
            </w:rPr>
            <w:t>单击此处输入文字。</w:t>
          </w:r>
        </w:p>
      </w:docPartBody>
    </w:docPart>
    <w:docPart>
      <w:docPartPr>
        <w:name w:val="{719c62ce-1646-471c-abd3-02e7b5f51d07}"/>
        <w:style w:val=""/>
        <w:category>
          <w:name w:val="常规"/>
          <w:gallery w:val="placeholder"/>
        </w:category>
        <w:types>
          <w:type w:val="bbPlcHdr"/>
        </w:types>
        <w:behaviors>
          <w:behavior w:val="content"/>
        </w:behaviors>
        <w:description w:val=""/>
        <w:guid w:val="{719c62ce-1646-471c-abd3-02e7b5f51d07}"/>
      </w:docPartPr>
      <w:docPartBody>
        <w:p>
          <w:r>
            <w:rPr>
              <w:color w:val="808080"/>
            </w:rPr>
            <w:t>单击此处输入文字。</w:t>
          </w:r>
        </w:p>
      </w:docPartBody>
    </w:docPart>
    <w:docPart>
      <w:docPartPr>
        <w:name w:val="{32832604-e95d-4d60-a5cf-a94fbc69660e}"/>
        <w:style w:val=""/>
        <w:category>
          <w:name w:val="常规"/>
          <w:gallery w:val="placeholder"/>
        </w:category>
        <w:types>
          <w:type w:val="bbPlcHdr"/>
        </w:types>
        <w:behaviors>
          <w:behavior w:val="content"/>
        </w:behaviors>
        <w:description w:val=""/>
        <w:guid w:val="{32832604-e95d-4d60-a5cf-a94fbc69660e}"/>
      </w:docPartPr>
      <w:docPartBody>
        <w:p>
          <w:r>
            <w:rPr>
              <w:color w:val="808080"/>
            </w:rPr>
            <w:t>单击此处输入文字。</w:t>
          </w:r>
        </w:p>
      </w:docPartBody>
    </w:docPart>
    <w:docPart>
      <w:docPartPr>
        <w:name w:val="{76b9a692-e924-4a10-b078-d20bde5c9d46}"/>
        <w:style w:val=""/>
        <w:category>
          <w:name w:val="常规"/>
          <w:gallery w:val="placeholder"/>
        </w:category>
        <w:types>
          <w:type w:val="bbPlcHdr"/>
        </w:types>
        <w:behaviors>
          <w:behavior w:val="content"/>
        </w:behaviors>
        <w:description w:val=""/>
        <w:guid w:val="{76b9a692-e924-4a10-b078-d20bde5c9d46}"/>
      </w:docPartPr>
      <w:docPartBody>
        <w:p>
          <w:r>
            <w:rPr>
              <w:color w:val="808080"/>
            </w:rPr>
            <w:t>单击此处输入文字。</w:t>
          </w:r>
        </w:p>
      </w:docPartBody>
    </w:docPart>
    <w:docPart>
      <w:docPartPr>
        <w:name w:val="{40b95f59-8472-441b-a232-b709edf4826a}"/>
        <w:style w:val=""/>
        <w:category>
          <w:name w:val="常规"/>
          <w:gallery w:val="placeholder"/>
        </w:category>
        <w:types>
          <w:type w:val="bbPlcHdr"/>
        </w:types>
        <w:behaviors>
          <w:behavior w:val="content"/>
        </w:behaviors>
        <w:description w:val=""/>
        <w:guid w:val="{40b95f59-8472-441b-a232-b709edf4826a}"/>
      </w:docPartPr>
      <w:docPartBody>
        <w:p>
          <w:r>
            <w:rPr>
              <w:color w:val="808080"/>
            </w:rPr>
            <w:t>单击此处输入文字。</w:t>
          </w:r>
        </w:p>
      </w:docPartBody>
    </w:docPart>
    <w:docPart>
      <w:docPartPr>
        <w:name w:val="{99827981-694e-4993-9a19-2e0f102a7195}"/>
        <w:style w:val=""/>
        <w:category>
          <w:name w:val="常规"/>
          <w:gallery w:val="placeholder"/>
        </w:category>
        <w:types>
          <w:type w:val="bbPlcHdr"/>
        </w:types>
        <w:behaviors>
          <w:behavior w:val="content"/>
        </w:behaviors>
        <w:description w:val=""/>
        <w:guid w:val="{99827981-694e-4993-9a19-2e0f102a7195}"/>
      </w:docPartPr>
      <w:docPartBody>
        <w:p>
          <w:r>
            <w:rPr>
              <w:color w:val="808080"/>
            </w:rPr>
            <w:t>单击此处输入文字。</w:t>
          </w:r>
        </w:p>
      </w:docPartBody>
    </w:docPart>
    <w:docPart>
      <w:docPartPr>
        <w:name w:val="{e564e51d-28ac-443f-9683-487980a4adf3}"/>
        <w:style w:val=""/>
        <w:category>
          <w:name w:val="常规"/>
          <w:gallery w:val="placeholder"/>
        </w:category>
        <w:types>
          <w:type w:val="bbPlcHdr"/>
        </w:types>
        <w:behaviors>
          <w:behavior w:val="content"/>
        </w:behaviors>
        <w:description w:val=""/>
        <w:guid w:val="{e564e51d-28ac-443f-9683-487980a4adf3}"/>
      </w:docPartPr>
      <w:docPartBody>
        <w:p>
          <w:r>
            <w:rPr>
              <w:color w:val="808080"/>
            </w:rPr>
            <w:t>单击此处输入文字。</w:t>
          </w:r>
        </w:p>
      </w:docPartBody>
    </w:docPart>
    <w:docPart>
      <w:docPartPr>
        <w:name w:val="{25fc90b6-515d-45d8-ae13-54cf71bd42e0}"/>
        <w:style w:val=""/>
        <w:category>
          <w:name w:val="常规"/>
          <w:gallery w:val="placeholder"/>
        </w:category>
        <w:types>
          <w:type w:val="bbPlcHdr"/>
        </w:types>
        <w:behaviors>
          <w:behavior w:val="content"/>
        </w:behaviors>
        <w:description w:val=""/>
        <w:guid w:val="{25fc90b6-515d-45d8-ae13-54cf71bd42e0}"/>
      </w:docPartPr>
      <w:docPartBody>
        <w:p>
          <w:r>
            <w:rPr>
              <w:color w:val="808080"/>
            </w:rPr>
            <w:t>单击此处输入文字。</w:t>
          </w:r>
        </w:p>
      </w:docPartBody>
    </w:docPart>
    <w:docPart>
      <w:docPartPr>
        <w:name w:val="{b1c31a2e-d43f-4d44-9ba1-1dafa6535a70}"/>
        <w:style w:val=""/>
        <w:category>
          <w:name w:val="常规"/>
          <w:gallery w:val="placeholder"/>
        </w:category>
        <w:types>
          <w:type w:val="bbPlcHdr"/>
        </w:types>
        <w:behaviors>
          <w:behavior w:val="content"/>
        </w:behaviors>
        <w:description w:val=""/>
        <w:guid w:val="{b1c31a2e-d43f-4d44-9ba1-1dafa6535a70}"/>
      </w:docPartPr>
      <w:docPartBody>
        <w:p>
          <w:r>
            <w:rPr>
              <w:color w:val="808080"/>
            </w:rPr>
            <w:t>单击此处输入文字。</w:t>
          </w:r>
        </w:p>
      </w:docPartBody>
    </w:docPart>
    <w:docPart>
      <w:docPartPr>
        <w:name w:val="{8b2af8b5-5cf2-4415-9721-5b6ac7cf53ba}"/>
        <w:style w:val=""/>
        <w:category>
          <w:name w:val="常规"/>
          <w:gallery w:val="placeholder"/>
        </w:category>
        <w:types>
          <w:type w:val="bbPlcHdr"/>
        </w:types>
        <w:behaviors>
          <w:behavior w:val="content"/>
        </w:behaviors>
        <w:description w:val=""/>
        <w:guid w:val="{8b2af8b5-5cf2-4415-9721-5b6ac7cf53ba}"/>
      </w:docPartPr>
      <w:docPartBody>
        <w:p>
          <w:r>
            <w:rPr>
              <w:color w:val="808080"/>
            </w:rPr>
            <w:t>单击此处输入文字。</w:t>
          </w:r>
        </w:p>
      </w:docPartBody>
    </w:docPart>
    <w:docPart>
      <w:docPartPr>
        <w:name w:val="{f6ebe5af-c18f-45ac-a62b-6833ee2f9899}"/>
        <w:style w:val=""/>
        <w:category>
          <w:name w:val="常规"/>
          <w:gallery w:val="placeholder"/>
        </w:category>
        <w:types>
          <w:type w:val="bbPlcHdr"/>
        </w:types>
        <w:behaviors>
          <w:behavior w:val="content"/>
        </w:behaviors>
        <w:description w:val=""/>
        <w:guid w:val="{f6ebe5af-c18f-45ac-a62b-6833ee2f9899}"/>
      </w:docPartPr>
      <w:docPartBody>
        <w:p>
          <w:r>
            <w:rPr>
              <w:color w:val="808080"/>
            </w:rPr>
            <w:t>单击此处输入文字。</w:t>
          </w:r>
        </w:p>
      </w:docPartBody>
    </w:docPart>
    <w:docPart>
      <w:docPartPr>
        <w:name w:val="{c77c1a9e-c647-471e-acaf-2878c8c70912}"/>
        <w:style w:val=""/>
        <w:category>
          <w:name w:val="常规"/>
          <w:gallery w:val="placeholder"/>
        </w:category>
        <w:types>
          <w:type w:val="bbPlcHdr"/>
        </w:types>
        <w:behaviors>
          <w:behavior w:val="content"/>
        </w:behaviors>
        <w:description w:val=""/>
        <w:guid w:val="{c77c1a9e-c647-471e-acaf-2878c8c70912}"/>
      </w:docPartPr>
      <w:docPartBody>
        <w:p>
          <w:r>
            <w:rPr>
              <w:color w:val="808080"/>
            </w:rPr>
            <w:t>单击此处输入文字。</w:t>
          </w:r>
        </w:p>
      </w:docPartBody>
    </w:docPart>
    <w:docPart>
      <w:docPartPr>
        <w:name w:val="{42b48903-7cc1-41c5-bc5f-7d2cbb2944cd}"/>
        <w:style w:val=""/>
        <w:category>
          <w:name w:val="常规"/>
          <w:gallery w:val="placeholder"/>
        </w:category>
        <w:types>
          <w:type w:val="bbPlcHdr"/>
        </w:types>
        <w:behaviors>
          <w:behavior w:val="content"/>
        </w:behaviors>
        <w:description w:val=""/>
        <w:guid w:val="{42b48903-7cc1-41c5-bc5f-7d2cbb2944cd}"/>
      </w:docPartPr>
      <w:docPartBody>
        <w:p>
          <w:r>
            <w:rPr>
              <w:color w:val="808080"/>
            </w:rPr>
            <w:t>单击此处输入文字。</w:t>
          </w:r>
        </w:p>
      </w:docPartBody>
    </w:docPart>
    <w:docPart>
      <w:docPartPr>
        <w:name w:val="{c29a1646-85a4-4a06-80ad-1ace5bbe75fd}"/>
        <w:style w:val=""/>
        <w:category>
          <w:name w:val="常规"/>
          <w:gallery w:val="placeholder"/>
        </w:category>
        <w:types>
          <w:type w:val="bbPlcHdr"/>
        </w:types>
        <w:behaviors>
          <w:behavior w:val="content"/>
        </w:behaviors>
        <w:description w:val=""/>
        <w:guid w:val="{c29a1646-85a4-4a06-80ad-1ace5bbe75fd}"/>
      </w:docPartPr>
      <w:docPartBody>
        <w:p>
          <w:r>
            <w:rPr>
              <w:color w:val="808080"/>
            </w:rPr>
            <w:t>单击此处输入文字。</w:t>
          </w:r>
        </w:p>
      </w:docPartBody>
    </w:docPart>
    <w:docPart>
      <w:docPartPr>
        <w:name w:val="{c3738e57-92ae-4992-b634-89f215968d66}"/>
        <w:style w:val=""/>
        <w:category>
          <w:name w:val="常规"/>
          <w:gallery w:val="placeholder"/>
        </w:category>
        <w:types>
          <w:type w:val="bbPlcHdr"/>
        </w:types>
        <w:behaviors>
          <w:behavior w:val="content"/>
        </w:behaviors>
        <w:description w:val=""/>
        <w:guid w:val="{c3738e57-92ae-4992-b634-89f215968d66}"/>
      </w:docPartPr>
      <w:docPartBody>
        <w:p>
          <w:r>
            <w:rPr>
              <w:color w:val="808080"/>
            </w:rPr>
            <w:t>单击此处输入文字。</w:t>
          </w:r>
        </w:p>
      </w:docPartBody>
    </w:docPart>
    <w:docPart>
      <w:docPartPr>
        <w:name w:val="{d83c9992-bb0a-4896-a16a-cc16b203099b}"/>
        <w:style w:val=""/>
        <w:category>
          <w:name w:val="常规"/>
          <w:gallery w:val="placeholder"/>
        </w:category>
        <w:types>
          <w:type w:val="bbPlcHdr"/>
        </w:types>
        <w:behaviors>
          <w:behavior w:val="content"/>
        </w:behaviors>
        <w:description w:val=""/>
        <w:guid w:val="{d83c9992-bb0a-4896-a16a-cc16b203099b}"/>
      </w:docPartPr>
      <w:docPartBody>
        <w:p>
          <w:r>
            <w:rPr>
              <w:color w:val="808080"/>
            </w:rPr>
            <w:t>单击此处输入文字。</w:t>
          </w:r>
        </w:p>
      </w:docPartBody>
    </w:docPart>
    <w:docPart>
      <w:docPartPr>
        <w:name w:val="{0f7ea299-2b92-4b6c-8c07-88e74c1ab62d}"/>
        <w:style w:val=""/>
        <w:category>
          <w:name w:val="常规"/>
          <w:gallery w:val="placeholder"/>
        </w:category>
        <w:types>
          <w:type w:val="bbPlcHdr"/>
        </w:types>
        <w:behaviors>
          <w:behavior w:val="content"/>
        </w:behaviors>
        <w:description w:val=""/>
        <w:guid w:val="{0f7ea299-2b92-4b6c-8c07-88e74c1ab62d}"/>
      </w:docPartPr>
      <w:docPartBody>
        <w:p>
          <w:r>
            <w:rPr>
              <w:color w:val="808080"/>
            </w:rPr>
            <w:t>单击此处输入文字。</w:t>
          </w:r>
        </w:p>
      </w:docPartBody>
    </w:docPart>
    <w:docPart>
      <w:docPartPr>
        <w:name w:val="{7c35ca1a-24f4-48cb-bbea-608b9ffb0dd9}"/>
        <w:style w:val=""/>
        <w:category>
          <w:name w:val="常规"/>
          <w:gallery w:val="placeholder"/>
        </w:category>
        <w:types>
          <w:type w:val="bbPlcHdr"/>
        </w:types>
        <w:behaviors>
          <w:behavior w:val="content"/>
        </w:behaviors>
        <w:description w:val=""/>
        <w:guid w:val="{7c35ca1a-24f4-48cb-bbea-608b9ffb0dd9}"/>
      </w:docPartPr>
      <w:docPartBody>
        <w:p>
          <w:r>
            <w:rPr>
              <w:color w:val="808080"/>
            </w:rPr>
            <w:t>单击此处输入文字。</w:t>
          </w:r>
        </w:p>
      </w:docPartBody>
    </w:docPart>
    <w:docPart>
      <w:docPartPr>
        <w:name w:val="{db795c16-2600-4fb0-afe6-9bbf2f82462c}"/>
        <w:style w:val=""/>
        <w:category>
          <w:name w:val="常规"/>
          <w:gallery w:val="placeholder"/>
        </w:category>
        <w:types>
          <w:type w:val="bbPlcHdr"/>
        </w:types>
        <w:behaviors>
          <w:behavior w:val="content"/>
        </w:behaviors>
        <w:description w:val=""/>
        <w:guid w:val="{db795c16-2600-4fb0-afe6-9bbf2f82462c}"/>
      </w:docPartPr>
      <w:docPartBody>
        <w:p>
          <w:r>
            <w:rPr>
              <w:color w:val="808080"/>
            </w:rPr>
            <w:t>单击此处输入文字。</w:t>
          </w:r>
        </w:p>
      </w:docPartBody>
    </w:docPart>
    <w:docPart>
      <w:docPartPr>
        <w:name w:val="{8fb776e7-44fe-4d4f-a1ef-ba8fc18a239c}"/>
        <w:style w:val=""/>
        <w:category>
          <w:name w:val="常规"/>
          <w:gallery w:val="placeholder"/>
        </w:category>
        <w:types>
          <w:type w:val="bbPlcHdr"/>
        </w:types>
        <w:behaviors>
          <w:behavior w:val="content"/>
        </w:behaviors>
        <w:description w:val=""/>
        <w:guid w:val="{8fb776e7-44fe-4d4f-a1ef-ba8fc18a239c}"/>
      </w:docPartPr>
      <w:docPartBody>
        <w:p>
          <w:r>
            <w:rPr>
              <w:color w:val="808080"/>
            </w:rPr>
            <w:t>单击此处输入文字。</w:t>
          </w:r>
        </w:p>
      </w:docPartBody>
    </w:docPart>
    <w:docPart>
      <w:docPartPr>
        <w:name w:val="{4eeae59b-c9df-4000-8df0-43a17145ab89}"/>
        <w:style w:val=""/>
        <w:category>
          <w:name w:val="常规"/>
          <w:gallery w:val="placeholder"/>
        </w:category>
        <w:types>
          <w:type w:val="bbPlcHdr"/>
        </w:types>
        <w:behaviors>
          <w:behavior w:val="content"/>
        </w:behaviors>
        <w:description w:val=""/>
        <w:guid w:val="{4eeae59b-c9df-4000-8df0-43a17145ab89}"/>
      </w:docPartPr>
      <w:docPartBody>
        <w:p>
          <w:r>
            <w:rPr>
              <w:color w:val="808080"/>
            </w:rPr>
            <w:t>单击此处输入文字。</w:t>
          </w:r>
        </w:p>
      </w:docPartBody>
    </w:docPart>
    <w:docPart>
      <w:docPartPr>
        <w:name w:val="{88efaf9d-91ce-4088-8e78-fdacb7469f67}"/>
        <w:style w:val=""/>
        <w:category>
          <w:name w:val="常规"/>
          <w:gallery w:val="placeholder"/>
        </w:category>
        <w:types>
          <w:type w:val="bbPlcHdr"/>
        </w:types>
        <w:behaviors>
          <w:behavior w:val="content"/>
        </w:behaviors>
        <w:description w:val=""/>
        <w:guid w:val="{88efaf9d-91ce-4088-8e78-fdacb7469f67}"/>
      </w:docPartPr>
      <w:docPartBody>
        <w:p>
          <w:r>
            <w:rPr>
              <w:color w:val="808080"/>
            </w:rPr>
            <w:t>单击此处输入文字。</w:t>
          </w:r>
        </w:p>
      </w:docPartBody>
    </w:docPart>
    <w:docPart>
      <w:docPartPr>
        <w:name w:val="{106512f1-c66b-4492-b246-fd0adb16b629}"/>
        <w:style w:val=""/>
        <w:category>
          <w:name w:val="常规"/>
          <w:gallery w:val="placeholder"/>
        </w:category>
        <w:types>
          <w:type w:val="bbPlcHdr"/>
        </w:types>
        <w:behaviors>
          <w:behavior w:val="content"/>
        </w:behaviors>
        <w:description w:val=""/>
        <w:guid w:val="{106512f1-c66b-4492-b246-fd0adb16b629}"/>
      </w:docPartPr>
      <w:docPartBody>
        <w:p>
          <w:r>
            <w:rPr>
              <w:color w:val="808080"/>
            </w:rPr>
            <w:t>单击此处输入文字。</w:t>
          </w:r>
        </w:p>
      </w:docPartBody>
    </w:docPart>
    <w:docPart>
      <w:docPartPr>
        <w:name w:val="{9460254e-c4c5-419e-bce6-c1670f3d53a8}"/>
        <w:style w:val=""/>
        <w:category>
          <w:name w:val="常规"/>
          <w:gallery w:val="placeholder"/>
        </w:category>
        <w:types>
          <w:type w:val="bbPlcHdr"/>
        </w:types>
        <w:behaviors>
          <w:behavior w:val="content"/>
        </w:behaviors>
        <w:description w:val=""/>
        <w:guid w:val="{9460254e-c4c5-419e-bce6-c1670f3d53a8}"/>
      </w:docPartPr>
      <w:docPartBody>
        <w:p>
          <w:r>
            <w:rPr>
              <w:color w:val="808080"/>
            </w:rPr>
            <w:t>单击此处输入文字。</w:t>
          </w:r>
        </w:p>
      </w:docPartBody>
    </w:docPart>
    <w:docPart>
      <w:docPartPr>
        <w:name w:val="{2eae4c68-913e-4411-9607-148cd940a4e4}"/>
        <w:style w:val=""/>
        <w:category>
          <w:name w:val="常规"/>
          <w:gallery w:val="placeholder"/>
        </w:category>
        <w:types>
          <w:type w:val="bbPlcHdr"/>
        </w:types>
        <w:behaviors>
          <w:behavior w:val="content"/>
        </w:behaviors>
        <w:description w:val=""/>
        <w:guid w:val="{2eae4c68-913e-4411-9607-148cd940a4e4}"/>
      </w:docPartPr>
      <w:docPartBody>
        <w:p>
          <w:r>
            <w:rPr>
              <w:color w:val="808080"/>
            </w:rPr>
            <w:t>单击此处输入文字。</w:t>
          </w:r>
        </w:p>
      </w:docPartBody>
    </w:docPart>
    <w:docPart>
      <w:docPartPr>
        <w:name w:val="{214f308e-e943-49b2-bafe-2088db7de928}"/>
        <w:style w:val=""/>
        <w:category>
          <w:name w:val="常规"/>
          <w:gallery w:val="placeholder"/>
        </w:category>
        <w:types>
          <w:type w:val="bbPlcHdr"/>
        </w:types>
        <w:behaviors>
          <w:behavior w:val="content"/>
        </w:behaviors>
        <w:description w:val=""/>
        <w:guid w:val="{214f308e-e943-49b2-bafe-2088db7de928}"/>
      </w:docPartPr>
      <w:docPartBody>
        <w:p>
          <w:r>
            <w:rPr>
              <w:color w:val="808080"/>
            </w:rPr>
            <w:t>单击此处输入文字。</w:t>
          </w:r>
        </w:p>
      </w:docPartBody>
    </w:docPart>
    <w:docPart>
      <w:docPartPr>
        <w:name w:val="{047a8e0d-afe8-42ce-9f24-ec1877bca72a}"/>
        <w:style w:val=""/>
        <w:category>
          <w:name w:val="常规"/>
          <w:gallery w:val="placeholder"/>
        </w:category>
        <w:types>
          <w:type w:val="bbPlcHdr"/>
        </w:types>
        <w:behaviors>
          <w:behavior w:val="content"/>
        </w:behaviors>
        <w:description w:val=""/>
        <w:guid w:val="{047a8e0d-afe8-42ce-9f24-ec1877bca72a}"/>
      </w:docPartPr>
      <w:docPartBody>
        <w:p>
          <w:r>
            <w:rPr>
              <w:color w:val="808080"/>
            </w:rPr>
            <w:t>单击此处输入文字。</w:t>
          </w:r>
        </w:p>
      </w:docPartBody>
    </w:docPart>
    <w:docPart>
      <w:docPartPr>
        <w:name w:val="{a95d5784-4796-4b20-b651-c6b7d79bc63e}"/>
        <w:style w:val=""/>
        <w:category>
          <w:name w:val="常规"/>
          <w:gallery w:val="placeholder"/>
        </w:category>
        <w:types>
          <w:type w:val="bbPlcHdr"/>
        </w:types>
        <w:behaviors>
          <w:behavior w:val="content"/>
        </w:behaviors>
        <w:description w:val=""/>
        <w:guid w:val="{a95d5784-4796-4b20-b651-c6b7d79bc63e}"/>
      </w:docPartPr>
      <w:docPartBody>
        <w:p>
          <w:r>
            <w:rPr>
              <w:color w:val="808080"/>
            </w:rPr>
            <w:t>单击此处输入文字。</w:t>
          </w:r>
        </w:p>
      </w:docPartBody>
    </w:docPart>
    <w:docPart>
      <w:docPartPr>
        <w:name w:val="{fde93a10-0b0a-4868-afa3-1eaafb1bb498}"/>
        <w:style w:val=""/>
        <w:category>
          <w:name w:val="常规"/>
          <w:gallery w:val="placeholder"/>
        </w:category>
        <w:types>
          <w:type w:val="bbPlcHdr"/>
        </w:types>
        <w:behaviors>
          <w:behavior w:val="content"/>
        </w:behaviors>
        <w:description w:val=""/>
        <w:guid w:val="{fde93a10-0b0a-4868-afa3-1eaafb1bb498}"/>
      </w:docPartPr>
      <w:docPartBody>
        <w:p>
          <w:r>
            <w:rPr>
              <w:color w:val="808080"/>
            </w:rPr>
            <w:t>单击此处输入文字。</w:t>
          </w:r>
        </w:p>
      </w:docPartBody>
    </w:docPart>
    <w:docPart>
      <w:docPartPr>
        <w:name w:val="{ec53b3ac-b2ce-463c-b5f0-4016ebb3d623}"/>
        <w:style w:val=""/>
        <w:category>
          <w:name w:val="常规"/>
          <w:gallery w:val="placeholder"/>
        </w:category>
        <w:types>
          <w:type w:val="bbPlcHdr"/>
        </w:types>
        <w:behaviors>
          <w:behavior w:val="content"/>
        </w:behaviors>
        <w:description w:val=""/>
        <w:guid w:val="{ec53b3ac-b2ce-463c-b5f0-4016ebb3d623}"/>
      </w:docPartPr>
      <w:docPartBody>
        <w:p>
          <w:r>
            <w:rPr>
              <w:color w:val="808080"/>
            </w:rPr>
            <w:t>单击此处输入文字。</w:t>
          </w:r>
        </w:p>
      </w:docPartBody>
    </w:docPart>
    <w:docPart>
      <w:docPartPr>
        <w:name w:val="{311b5e20-2724-426f-8030-7a0c30fc561e}"/>
        <w:style w:val=""/>
        <w:category>
          <w:name w:val="常规"/>
          <w:gallery w:val="placeholder"/>
        </w:category>
        <w:types>
          <w:type w:val="bbPlcHdr"/>
        </w:types>
        <w:behaviors>
          <w:behavior w:val="content"/>
        </w:behaviors>
        <w:description w:val=""/>
        <w:guid w:val="{311b5e20-2724-426f-8030-7a0c30fc561e}"/>
      </w:docPartPr>
      <w:docPartBody>
        <w:p>
          <w:r>
            <w:rPr>
              <w:color w:val="808080"/>
            </w:rPr>
            <w:t>单击此处输入文字。</w:t>
          </w:r>
        </w:p>
      </w:docPartBody>
    </w:docPart>
    <w:docPart>
      <w:docPartPr>
        <w:name w:val="{59ea36d6-ed55-4414-861a-2af963f3a123}"/>
        <w:style w:val=""/>
        <w:category>
          <w:name w:val="常规"/>
          <w:gallery w:val="placeholder"/>
        </w:category>
        <w:types>
          <w:type w:val="bbPlcHdr"/>
        </w:types>
        <w:behaviors>
          <w:behavior w:val="content"/>
        </w:behaviors>
        <w:description w:val=""/>
        <w:guid w:val="{59ea36d6-ed55-4414-861a-2af963f3a123}"/>
      </w:docPartPr>
      <w:docPartBody>
        <w:p>
          <w:r>
            <w:rPr>
              <w:color w:val="808080"/>
            </w:rPr>
            <w:t>单击此处输入文字。</w:t>
          </w:r>
        </w:p>
      </w:docPartBody>
    </w:docPart>
    <w:docPart>
      <w:docPartPr>
        <w:name w:val="{6c5efbf4-c794-4612-a1da-550924c33962}"/>
        <w:style w:val=""/>
        <w:category>
          <w:name w:val="常规"/>
          <w:gallery w:val="placeholder"/>
        </w:category>
        <w:types>
          <w:type w:val="bbPlcHdr"/>
        </w:types>
        <w:behaviors>
          <w:behavior w:val="content"/>
        </w:behaviors>
        <w:description w:val=""/>
        <w:guid w:val="{6c5efbf4-c794-4612-a1da-550924c33962}"/>
      </w:docPartPr>
      <w:docPartBody>
        <w:p>
          <w:r>
            <w:rPr>
              <w:color w:val="808080"/>
            </w:rPr>
            <w:t>单击此处输入文字。</w:t>
          </w:r>
        </w:p>
      </w:docPartBody>
    </w:docPart>
    <w:docPart>
      <w:docPartPr>
        <w:name w:val="{be68c0b7-0f05-4987-b17c-d6b3e897baad}"/>
        <w:style w:val=""/>
        <w:category>
          <w:name w:val="常规"/>
          <w:gallery w:val="placeholder"/>
        </w:category>
        <w:types>
          <w:type w:val="bbPlcHdr"/>
        </w:types>
        <w:behaviors>
          <w:behavior w:val="content"/>
        </w:behaviors>
        <w:description w:val=""/>
        <w:guid w:val="{be68c0b7-0f05-4987-b17c-d6b3e897baad}"/>
      </w:docPartPr>
      <w:docPartBody>
        <w:p>
          <w:r>
            <w:rPr>
              <w:color w:val="808080"/>
            </w:rPr>
            <w:t>单击此处输入文字。</w:t>
          </w:r>
        </w:p>
      </w:docPartBody>
    </w:docPart>
    <w:docPart>
      <w:docPartPr>
        <w:name w:val="{cbe0195f-07ce-4e50-8094-029d6f68cc54}"/>
        <w:style w:val=""/>
        <w:category>
          <w:name w:val="常规"/>
          <w:gallery w:val="placeholder"/>
        </w:category>
        <w:types>
          <w:type w:val="bbPlcHdr"/>
        </w:types>
        <w:behaviors>
          <w:behavior w:val="content"/>
        </w:behaviors>
        <w:description w:val=""/>
        <w:guid w:val="{cbe0195f-07ce-4e50-8094-029d6f68cc54}"/>
      </w:docPartPr>
      <w:docPartBody>
        <w:p>
          <w:r>
            <w:rPr>
              <w:color w:val="808080"/>
            </w:rPr>
            <w:t>单击此处输入文字。</w:t>
          </w:r>
        </w:p>
      </w:docPartBody>
    </w:docPart>
    <w:docPart>
      <w:docPartPr>
        <w:name w:val="{2067d303-eb40-475f-87af-f754d03559c3}"/>
        <w:style w:val=""/>
        <w:category>
          <w:name w:val="常规"/>
          <w:gallery w:val="placeholder"/>
        </w:category>
        <w:types>
          <w:type w:val="bbPlcHdr"/>
        </w:types>
        <w:behaviors>
          <w:behavior w:val="content"/>
        </w:behaviors>
        <w:description w:val=""/>
        <w:guid w:val="{2067d303-eb40-475f-87af-f754d03559c3}"/>
      </w:docPartPr>
      <w:docPartBody>
        <w:p>
          <w:r>
            <w:rPr>
              <w:color w:val="808080"/>
            </w:rPr>
            <w:t>单击此处输入文字。</w:t>
          </w:r>
        </w:p>
      </w:docPartBody>
    </w:docPart>
    <w:docPart>
      <w:docPartPr>
        <w:name w:val="{db2fe6d9-cb34-4fd9-8dcc-33febdec7091}"/>
        <w:style w:val=""/>
        <w:category>
          <w:name w:val="常规"/>
          <w:gallery w:val="placeholder"/>
        </w:category>
        <w:types>
          <w:type w:val="bbPlcHdr"/>
        </w:types>
        <w:behaviors>
          <w:behavior w:val="content"/>
        </w:behaviors>
        <w:description w:val=""/>
        <w:guid w:val="{db2fe6d9-cb34-4fd9-8dcc-33febdec7091}"/>
      </w:docPartPr>
      <w:docPartBody>
        <w:p>
          <w:r>
            <w:rPr>
              <w:color w:val="808080"/>
            </w:rPr>
            <w:t>单击此处输入文字。</w:t>
          </w:r>
        </w:p>
      </w:docPartBody>
    </w:docPart>
    <w:docPart>
      <w:docPartPr>
        <w:name w:val="{ee386c69-592f-4b7b-8def-519453c50425}"/>
        <w:style w:val=""/>
        <w:category>
          <w:name w:val="常规"/>
          <w:gallery w:val="placeholder"/>
        </w:category>
        <w:types>
          <w:type w:val="bbPlcHdr"/>
        </w:types>
        <w:behaviors>
          <w:behavior w:val="content"/>
        </w:behaviors>
        <w:description w:val=""/>
        <w:guid w:val="{ee386c69-592f-4b7b-8def-519453c50425}"/>
      </w:docPartPr>
      <w:docPartBody>
        <w:p>
          <w:r>
            <w:rPr>
              <w:color w:val="808080"/>
            </w:rPr>
            <w:t>单击此处输入文字。</w:t>
          </w:r>
        </w:p>
      </w:docPartBody>
    </w:docPart>
    <w:docPart>
      <w:docPartPr>
        <w:name w:val="{9e7934c0-b95c-435b-9f22-fc87eecee296}"/>
        <w:style w:val=""/>
        <w:category>
          <w:name w:val="常规"/>
          <w:gallery w:val="placeholder"/>
        </w:category>
        <w:types>
          <w:type w:val="bbPlcHdr"/>
        </w:types>
        <w:behaviors>
          <w:behavior w:val="content"/>
        </w:behaviors>
        <w:description w:val=""/>
        <w:guid w:val="{9e7934c0-b95c-435b-9f22-fc87eecee296}"/>
      </w:docPartPr>
      <w:docPartBody>
        <w:p>
          <w:r>
            <w:rPr>
              <w:color w:val="808080"/>
            </w:rPr>
            <w:t>单击此处输入文字。</w:t>
          </w:r>
        </w:p>
      </w:docPartBody>
    </w:docPart>
    <w:docPart>
      <w:docPartPr>
        <w:name w:val="{3450b758-8545-47df-ba7e-25d106736787}"/>
        <w:style w:val=""/>
        <w:category>
          <w:name w:val="常规"/>
          <w:gallery w:val="placeholder"/>
        </w:category>
        <w:types>
          <w:type w:val="bbPlcHdr"/>
        </w:types>
        <w:behaviors>
          <w:behavior w:val="content"/>
        </w:behaviors>
        <w:description w:val=""/>
        <w:guid w:val="{3450b758-8545-47df-ba7e-25d106736787}"/>
      </w:docPartPr>
      <w:docPartBody>
        <w:p>
          <w:r>
            <w:rPr>
              <w:color w:val="808080"/>
            </w:rPr>
            <w:t>单击此处输入文字。</w:t>
          </w:r>
        </w:p>
      </w:docPartBody>
    </w:docPart>
    <w:docPart>
      <w:docPartPr>
        <w:name w:val="{236263b3-5e20-4544-be40-8b65ba3c5627}"/>
        <w:style w:val=""/>
        <w:category>
          <w:name w:val="常规"/>
          <w:gallery w:val="placeholder"/>
        </w:category>
        <w:types>
          <w:type w:val="bbPlcHdr"/>
        </w:types>
        <w:behaviors>
          <w:behavior w:val="content"/>
        </w:behaviors>
        <w:description w:val=""/>
        <w:guid w:val="{236263b3-5e20-4544-be40-8b65ba3c5627}"/>
      </w:docPartPr>
      <w:docPartBody>
        <w:p>
          <w:r>
            <w:rPr>
              <w:color w:val="808080"/>
            </w:rPr>
            <w:t>单击此处输入文字。</w:t>
          </w:r>
        </w:p>
      </w:docPartBody>
    </w:docPart>
    <w:docPart>
      <w:docPartPr>
        <w:name w:val="{7352f809-ce7a-4169-b3e2-5925a2e11241}"/>
        <w:style w:val=""/>
        <w:category>
          <w:name w:val="常规"/>
          <w:gallery w:val="placeholder"/>
        </w:category>
        <w:types>
          <w:type w:val="bbPlcHdr"/>
        </w:types>
        <w:behaviors>
          <w:behavior w:val="content"/>
        </w:behaviors>
        <w:description w:val=""/>
        <w:guid w:val="{7352f809-ce7a-4169-b3e2-5925a2e11241}"/>
      </w:docPartPr>
      <w:docPartBody>
        <w:p>
          <w:r>
            <w:rPr>
              <w:color w:val="808080"/>
            </w:rPr>
            <w:t>单击此处输入文字。</w:t>
          </w:r>
        </w:p>
      </w:docPartBody>
    </w:docPart>
    <w:docPart>
      <w:docPartPr>
        <w:name w:val="{338f7100-ba4e-4087-958f-28911d3725aa}"/>
        <w:style w:val=""/>
        <w:category>
          <w:name w:val="常规"/>
          <w:gallery w:val="placeholder"/>
        </w:category>
        <w:types>
          <w:type w:val="bbPlcHdr"/>
        </w:types>
        <w:behaviors>
          <w:behavior w:val="content"/>
        </w:behaviors>
        <w:description w:val=""/>
        <w:guid w:val="{338f7100-ba4e-4087-958f-28911d3725aa}"/>
      </w:docPartPr>
      <w:docPartBody>
        <w:p>
          <w:r>
            <w:rPr>
              <w:color w:val="808080"/>
            </w:rPr>
            <w:t>单击此处输入文字。</w:t>
          </w:r>
        </w:p>
      </w:docPartBody>
    </w:docPart>
    <w:docPart>
      <w:docPartPr>
        <w:name w:val="{5210e083-6e37-4b19-aa5a-a6e674f6d912}"/>
        <w:style w:val=""/>
        <w:category>
          <w:name w:val="常规"/>
          <w:gallery w:val="placeholder"/>
        </w:category>
        <w:types>
          <w:type w:val="bbPlcHdr"/>
        </w:types>
        <w:behaviors>
          <w:behavior w:val="content"/>
        </w:behaviors>
        <w:description w:val=""/>
        <w:guid w:val="{5210e083-6e37-4b19-aa5a-a6e674f6d912}"/>
      </w:docPartPr>
      <w:docPartBody>
        <w:p>
          <w:r>
            <w:rPr>
              <w:color w:val="808080"/>
            </w:rPr>
            <w:t>单击此处输入文字。</w:t>
          </w:r>
        </w:p>
      </w:docPartBody>
    </w:docPart>
    <w:docPart>
      <w:docPartPr>
        <w:name w:val="{7e5db05f-2825-4f12-a952-b5e3bbe1fcb1}"/>
        <w:style w:val=""/>
        <w:category>
          <w:name w:val="常规"/>
          <w:gallery w:val="placeholder"/>
        </w:category>
        <w:types>
          <w:type w:val="bbPlcHdr"/>
        </w:types>
        <w:behaviors>
          <w:behavior w:val="content"/>
        </w:behaviors>
        <w:description w:val=""/>
        <w:guid w:val="{7e5db05f-2825-4f12-a952-b5e3bbe1fcb1}"/>
      </w:docPartPr>
      <w:docPartBody>
        <w:p>
          <w:r>
            <w:rPr>
              <w:color w:val="808080"/>
            </w:rPr>
            <w:t>单击此处输入文字。</w:t>
          </w:r>
        </w:p>
      </w:docPartBody>
    </w:docPart>
    <w:docPart>
      <w:docPartPr>
        <w:name w:val="{f58bde93-14e6-47fb-b1d0-bf5958f17af2}"/>
        <w:style w:val=""/>
        <w:category>
          <w:name w:val="常规"/>
          <w:gallery w:val="placeholder"/>
        </w:category>
        <w:types>
          <w:type w:val="bbPlcHdr"/>
        </w:types>
        <w:behaviors>
          <w:behavior w:val="content"/>
        </w:behaviors>
        <w:description w:val=""/>
        <w:guid w:val="{f58bde93-14e6-47fb-b1d0-bf5958f17af2}"/>
      </w:docPartPr>
      <w:docPartBody>
        <w:p>
          <w:r>
            <w:rPr>
              <w:color w:val="808080"/>
            </w:rPr>
            <w:t>单击此处输入文字。</w:t>
          </w:r>
        </w:p>
      </w:docPartBody>
    </w:docPart>
    <w:docPart>
      <w:docPartPr>
        <w:name w:val="{a2cad98d-fe1a-4ec0-baa7-6fa9a7d8b875}"/>
        <w:style w:val=""/>
        <w:category>
          <w:name w:val="常规"/>
          <w:gallery w:val="placeholder"/>
        </w:category>
        <w:types>
          <w:type w:val="bbPlcHdr"/>
        </w:types>
        <w:behaviors>
          <w:behavior w:val="content"/>
        </w:behaviors>
        <w:description w:val=""/>
        <w:guid w:val="{a2cad98d-fe1a-4ec0-baa7-6fa9a7d8b875}"/>
      </w:docPartPr>
      <w:docPartBody>
        <w:p>
          <w:r>
            <w:rPr>
              <w:color w:val="808080"/>
            </w:rPr>
            <w:t>单击此处输入文字。</w:t>
          </w:r>
        </w:p>
      </w:docPartBody>
    </w:docPart>
    <w:docPart>
      <w:docPartPr>
        <w:name w:val="{8bbdd22b-5eca-4733-907f-f4b4f91d2d61}"/>
        <w:style w:val=""/>
        <w:category>
          <w:name w:val="常规"/>
          <w:gallery w:val="placeholder"/>
        </w:category>
        <w:types>
          <w:type w:val="bbPlcHdr"/>
        </w:types>
        <w:behaviors>
          <w:behavior w:val="content"/>
        </w:behaviors>
        <w:description w:val=""/>
        <w:guid w:val="{8bbdd22b-5eca-4733-907f-f4b4f91d2d61}"/>
      </w:docPartPr>
      <w:docPartBody>
        <w:p>
          <w:r>
            <w:rPr>
              <w:color w:val="808080"/>
            </w:rPr>
            <w:t>单击此处输入文字。</w:t>
          </w:r>
        </w:p>
      </w:docPartBody>
    </w:docPart>
    <w:docPart>
      <w:docPartPr>
        <w:name w:val="{e494ba27-8fe8-480a-93bb-15cfc96eda42}"/>
        <w:style w:val=""/>
        <w:category>
          <w:name w:val="常规"/>
          <w:gallery w:val="placeholder"/>
        </w:category>
        <w:types>
          <w:type w:val="bbPlcHdr"/>
        </w:types>
        <w:behaviors>
          <w:behavior w:val="content"/>
        </w:behaviors>
        <w:description w:val=""/>
        <w:guid w:val="{e494ba27-8fe8-480a-93bb-15cfc96eda42}"/>
      </w:docPartPr>
      <w:docPartBody>
        <w:p>
          <w:r>
            <w:rPr>
              <w:color w:val="808080"/>
            </w:rPr>
            <w:t>单击此处输入文字。</w:t>
          </w:r>
        </w:p>
      </w:docPartBody>
    </w:docPart>
    <w:docPart>
      <w:docPartPr>
        <w:name w:val="{6aa965d8-7516-44f5-9c28-76a84eb28b5e}"/>
        <w:style w:val=""/>
        <w:category>
          <w:name w:val="常规"/>
          <w:gallery w:val="placeholder"/>
        </w:category>
        <w:types>
          <w:type w:val="bbPlcHdr"/>
        </w:types>
        <w:behaviors>
          <w:behavior w:val="content"/>
        </w:behaviors>
        <w:description w:val=""/>
        <w:guid w:val="{6aa965d8-7516-44f5-9c28-76a84eb28b5e}"/>
      </w:docPartPr>
      <w:docPartBody>
        <w:p>
          <w:r>
            <w:rPr>
              <w:color w:val="808080"/>
            </w:rPr>
            <w:t>单击此处输入文字。</w:t>
          </w:r>
        </w:p>
      </w:docPartBody>
    </w:docPart>
    <w:docPart>
      <w:docPartPr>
        <w:name w:val="{715f9991-0b0f-4462-8158-fa26fea252c5}"/>
        <w:style w:val=""/>
        <w:category>
          <w:name w:val="常规"/>
          <w:gallery w:val="placeholder"/>
        </w:category>
        <w:types>
          <w:type w:val="bbPlcHdr"/>
        </w:types>
        <w:behaviors>
          <w:behavior w:val="content"/>
        </w:behaviors>
        <w:description w:val=""/>
        <w:guid w:val="{715f9991-0b0f-4462-8158-fa26fea252c5}"/>
      </w:docPartPr>
      <w:docPartBody>
        <w:p>
          <w:r>
            <w:rPr>
              <w:color w:val="808080"/>
            </w:rPr>
            <w:t>单击此处输入文字。</w:t>
          </w:r>
        </w:p>
      </w:docPartBody>
    </w:docPart>
    <w:docPart>
      <w:docPartPr>
        <w:name w:val="{57748722-d2d7-4bc8-a4bf-8a9e52277c5b}"/>
        <w:style w:val=""/>
        <w:category>
          <w:name w:val="常规"/>
          <w:gallery w:val="placeholder"/>
        </w:category>
        <w:types>
          <w:type w:val="bbPlcHdr"/>
        </w:types>
        <w:behaviors>
          <w:behavior w:val="content"/>
        </w:behaviors>
        <w:description w:val=""/>
        <w:guid w:val="{57748722-d2d7-4bc8-a4bf-8a9e52277c5b}"/>
      </w:docPartPr>
      <w:docPartBody>
        <w:p>
          <w:r>
            <w:rPr>
              <w:color w:val="808080"/>
            </w:rPr>
            <w:t>单击此处输入文字。</w:t>
          </w:r>
        </w:p>
      </w:docPartBody>
    </w:docPart>
    <w:docPart>
      <w:docPartPr>
        <w:name w:val="{33133101-dd8c-44a6-83fc-33c75c717f06}"/>
        <w:style w:val=""/>
        <w:category>
          <w:name w:val="常规"/>
          <w:gallery w:val="placeholder"/>
        </w:category>
        <w:types>
          <w:type w:val="bbPlcHdr"/>
        </w:types>
        <w:behaviors>
          <w:behavior w:val="content"/>
        </w:behaviors>
        <w:description w:val=""/>
        <w:guid w:val="{33133101-dd8c-44a6-83fc-33c75c717f06}"/>
      </w:docPartPr>
      <w:docPartBody>
        <w:p>
          <w:r>
            <w:rPr>
              <w:color w:val="808080"/>
            </w:rPr>
            <w:t>单击此处输入文字。</w:t>
          </w:r>
        </w:p>
      </w:docPartBody>
    </w:docPart>
    <w:docPart>
      <w:docPartPr>
        <w:name w:val="{6dcf147b-169b-4ae4-9062-05ad8a6c1789}"/>
        <w:style w:val=""/>
        <w:category>
          <w:name w:val="常规"/>
          <w:gallery w:val="placeholder"/>
        </w:category>
        <w:types>
          <w:type w:val="bbPlcHdr"/>
        </w:types>
        <w:behaviors>
          <w:behavior w:val="content"/>
        </w:behaviors>
        <w:description w:val=""/>
        <w:guid w:val="{6dcf147b-169b-4ae4-9062-05ad8a6c1789}"/>
      </w:docPartPr>
      <w:docPartBody>
        <w:p>
          <w:r>
            <w:rPr>
              <w:color w:val="808080"/>
            </w:rPr>
            <w:t>单击此处输入文字。</w:t>
          </w:r>
        </w:p>
      </w:docPartBody>
    </w:docPart>
    <w:docPart>
      <w:docPartPr>
        <w:name w:val="{37ba65f1-ff17-44aa-9864-3c750103d4d7}"/>
        <w:style w:val=""/>
        <w:category>
          <w:name w:val="常规"/>
          <w:gallery w:val="placeholder"/>
        </w:category>
        <w:types>
          <w:type w:val="bbPlcHdr"/>
        </w:types>
        <w:behaviors>
          <w:behavior w:val="content"/>
        </w:behaviors>
        <w:description w:val=""/>
        <w:guid w:val="{37ba65f1-ff17-44aa-9864-3c750103d4d7}"/>
      </w:docPartPr>
      <w:docPartBody>
        <w:p>
          <w:r>
            <w:rPr>
              <w:color w:val="808080"/>
            </w:rPr>
            <w:t>单击此处输入文字。</w:t>
          </w:r>
        </w:p>
      </w:docPartBody>
    </w:docPart>
    <w:docPart>
      <w:docPartPr>
        <w:name w:val="{8e1b27ad-cc39-43f3-ac2b-64e34a90d93f}"/>
        <w:style w:val=""/>
        <w:category>
          <w:name w:val="常规"/>
          <w:gallery w:val="placeholder"/>
        </w:category>
        <w:types>
          <w:type w:val="bbPlcHdr"/>
        </w:types>
        <w:behaviors>
          <w:behavior w:val="content"/>
        </w:behaviors>
        <w:description w:val=""/>
        <w:guid w:val="{8e1b27ad-cc39-43f3-ac2b-64e34a90d93f}"/>
      </w:docPartPr>
      <w:docPartBody>
        <w:p>
          <w:r>
            <w:rPr>
              <w:color w:val="808080"/>
            </w:rPr>
            <w:t>单击此处输入文字。</w:t>
          </w:r>
        </w:p>
      </w:docPartBody>
    </w:docPart>
    <w:docPart>
      <w:docPartPr>
        <w:name w:val="{8e1a11e9-b498-4e12-a362-8feb3ffe1f0e}"/>
        <w:style w:val=""/>
        <w:category>
          <w:name w:val="常规"/>
          <w:gallery w:val="placeholder"/>
        </w:category>
        <w:types>
          <w:type w:val="bbPlcHdr"/>
        </w:types>
        <w:behaviors>
          <w:behavior w:val="content"/>
        </w:behaviors>
        <w:description w:val=""/>
        <w:guid w:val="{8e1a11e9-b498-4e12-a362-8feb3ffe1f0e}"/>
      </w:docPartPr>
      <w:docPartBody>
        <w:p>
          <w:r>
            <w:rPr>
              <w:color w:val="808080"/>
            </w:rPr>
            <w:t>单击此处输入文字。</w:t>
          </w:r>
        </w:p>
      </w:docPartBody>
    </w:docPart>
    <w:docPart>
      <w:docPartPr>
        <w:name w:val="{62e71ae1-715b-4e44-ba67-4ffab24435dc}"/>
        <w:style w:val=""/>
        <w:category>
          <w:name w:val="常规"/>
          <w:gallery w:val="placeholder"/>
        </w:category>
        <w:types>
          <w:type w:val="bbPlcHdr"/>
        </w:types>
        <w:behaviors>
          <w:behavior w:val="content"/>
        </w:behaviors>
        <w:description w:val=""/>
        <w:guid w:val="{62e71ae1-715b-4e44-ba67-4ffab24435dc}"/>
      </w:docPartPr>
      <w:docPartBody>
        <w:p>
          <w:r>
            <w:rPr>
              <w:color w:val="808080"/>
            </w:rPr>
            <w:t>单击此处输入文字。</w:t>
          </w:r>
        </w:p>
      </w:docPartBody>
    </w:docPart>
    <w:docPart>
      <w:docPartPr>
        <w:name w:val="{ef441acc-bf0d-44c9-8942-f7ec38ea6425}"/>
        <w:style w:val=""/>
        <w:category>
          <w:name w:val="常规"/>
          <w:gallery w:val="placeholder"/>
        </w:category>
        <w:types>
          <w:type w:val="bbPlcHdr"/>
        </w:types>
        <w:behaviors>
          <w:behavior w:val="content"/>
        </w:behaviors>
        <w:description w:val=""/>
        <w:guid w:val="{ef441acc-bf0d-44c9-8942-f7ec38ea6425}"/>
      </w:docPartPr>
      <w:docPartBody>
        <w:p>
          <w:r>
            <w:rPr>
              <w:color w:val="808080"/>
            </w:rPr>
            <w:t>单击此处输入文字。</w:t>
          </w:r>
        </w:p>
      </w:docPartBody>
    </w:docPart>
    <w:docPart>
      <w:docPartPr>
        <w:name w:val="{c8fa2cef-9899-47dc-aabd-20e92e77dcc9}"/>
        <w:style w:val=""/>
        <w:category>
          <w:name w:val="常规"/>
          <w:gallery w:val="placeholder"/>
        </w:category>
        <w:types>
          <w:type w:val="bbPlcHdr"/>
        </w:types>
        <w:behaviors>
          <w:behavior w:val="content"/>
        </w:behaviors>
        <w:description w:val=""/>
        <w:guid w:val="{c8fa2cef-9899-47dc-aabd-20e92e77dcc9}"/>
      </w:docPartPr>
      <w:docPartBody>
        <w:p>
          <w:r>
            <w:rPr>
              <w:color w:val="808080"/>
            </w:rPr>
            <w:t>单击此处输入文字。</w:t>
          </w:r>
        </w:p>
      </w:docPartBody>
    </w:docPart>
    <w:docPart>
      <w:docPartPr>
        <w:name w:val="{dcab1485-523e-4142-b87e-871e0e011467}"/>
        <w:style w:val=""/>
        <w:category>
          <w:name w:val="常规"/>
          <w:gallery w:val="placeholder"/>
        </w:category>
        <w:types>
          <w:type w:val="bbPlcHdr"/>
        </w:types>
        <w:behaviors>
          <w:behavior w:val="content"/>
        </w:behaviors>
        <w:description w:val=""/>
        <w:guid w:val="{dcab1485-523e-4142-b87e-871e0e011467}"/>
      </w:docPartPr>
      <w:docPartBody>
        <w:p>
          <w:r>
            <w:rPr>
              <w:color w:val="808080"/>
            </w:rPr>
            <w:t>单击此处输入文字。</w:t>
          </w:r>
        </w:p>
      </w:docPartBody>
    </w:docPart>
    <w:docPart>
      <w:docPartPr>
        <w:name w:val="{bc443e07-8a9f-46f1-9dfc-2f85c47e8741}"/>
        <w:style w:val=""/>
        <w:category>
          <w:name w:val="常规"/>
          <w:gallery w:val="placeholder"/>
        </w:category>
        <w:types>
          <w:type w:val="bbPlcHdr"/>
        </w:types>
        <w:behaviors>
          <w:behavior w:val="content"/>
        </w:behaviors>
        <w:description w:val=""/>
        <w:guid w:val="{bc443e07-8a9f-46f1-9dfc-2f85c47e8741}"/>
      </w:docPartPr>
      <w:docPartBody>
        <w:p>
          <w:r>
            <w:rPr>
              <w:color w:val="808080"/>
            </w:rPr>
            <w:t>单击此处输入文字。</w:t>
          </w:r>
        </w:p>
      </w:docPartBody>
    </w:docPart>
    <w:docPart>
      <w:docPartPr>
        <w:name w:val="{64ca10a6-0516-4b8e-a181-6e2882d05572}"/>
        <w:style w:val=""/>
        <w:category>
          <w:name w:val="常规"/>
          <w:gallery w:val="placeholder"/>
        </w:category>
        <w:types>
          <w:type w:val="bbPlcHdr"/>
        </w:types>
        <w:behaviors>
          <w:behavior w:val="content"/>
        </w:behaviors>
        <w:description w:val=""/>
        <w:guid w:val="{64ca10a6-0516-4b8e-a181-6e2882d05572}"/>
      </w:docPartPr>
      <w:docPartBody>
        <w:p>
          <w:r>
            <w:rPr>
              <w:color w:val="808080"/>
            </w:rPr>
            <w:t>单击此处输入文字。</w:t>
          </w:r>
        </w:p>
      </w:docPartBody>
    </w:docPart>
    <w:docPart>
      <w:docPartPr>
        <w:name w:val="{a239a356-45ef-4400-bbba-60b351803cea}"/>
        <w:style w:val=""/>
        <w:category>
          <w:name w:val="常规"/>
          <w:gallery w:val="placeholder"/>
        </w:category>
        <w:types>
          <w:type w:val="bbPlcHdr"/>
        </w:types>
        <w:behaviors>
          <w:behavior w:val="content"/>
        </w:behaviors>
        <w:description w:val=""/>
        <w:guid w:val="{a239a356-45ef-4400-bbba-60b351803cea}"/>
      </w:docPartPr>
      <w:docPartBody>
        <w:p>
          <w:r>
            <w:rPr>
              <w:color w:val="808080"/>
            </w:rPr>
            <w:t>单击此处输入文字。</w:t>
          </w:r>
        </w:p>
      </w:docPartBody>
    </w:docPart>
    <w:docPart>
      <w:docPartPr>
        <w:name w:val="{d439ef70-d790-481e-a9e3-829974246222}"/>
        <w:style w:val=""/>
        <w:category>
          <w:name w:val="常规"/>
          <w:gallery w:val="placeholder"/>
        </w:category>
        <w:types>
          <w:type w:val="bbPlcHdr"/>
        </w:types>
        <w:behaviors>
          <w:behavior w:val="content"/>
        </w:behaviors>
        <w:description w:val=""/>
        <w:guid w:val="{d439ef70-d790-481e-a9e3-829974246222}"/>
      </w:docPartPr>
      <w:docPartBody>
        <w:p>
          <w:r>
            <w:rPr>
              <w:color w:val="808080"/>
            </w:rPr>
            <w:t>单击此处输入文字。</w:t>
          </w:r>
        </w:p>
      </w:docPartBody>
    </w:docPart>
    <w:docPart>
      <w:docPartPr>
        <w:name w:val="{24a09520-a1a9-40c9-8ef2-a8ddf1b438dd}"/>
        <w:style w:val=""/>
        <w:category>
          <w:name w:val="常规"/>
          <w:gallery w:val="placeholder"/>
        </w:category>
        <w:types>
          <w:type w:val="bbPlcHdr"/>
        </w:types>
        <w:behaviors>
          <w:behavior w:val="content"/>
        </w:behaviors>
        <w:description w:val=""/>
        <w:guid w:val="{24a09520-a1a9-40c9-8ef2-a8ddf1b438dd}"/>
      </w:docPartPr>
      <w:docPartBody>
        <w:p>
          <w:r>
            <w:rPr>
              <w:color w:val="808080"/>
            </w:rPr>
            <w:t>单击此处输入文字。</w:t>
          </w:r>
        </w:p>
      </w:docPartBody>
    </w:docPart>
    <w:docPart>
      <w:docPartPr>
        <w:name w:val="{30672029-3bd4-4106-b6c1-4d2daaf07f30}"/>
        <w:style w:val=""/>
        <w:category>
          <w:name w:val="常规"/>
          <w:gallery w:val="placeholder"/>
        </w:category>
        <w:types>
          <w:type w:val="bbPlcHdr"/>
        </w:types>
        <w:behaviors>
          <w:behavior w:val="content"/>
        </w:behaviors>
        <w:description w:val=""/>
        <w:guid w:val="{30672029-3bd4-4106-b6c1-4d2daaf07f30}"/>
      </w:docPartPr>
      <w:docPartBody>
        <w:p>
          <w:r>
            <w:rPr>
              <w:color w:val="808080"/>
            </w:rPr>
            <w:t>单击此处输入文字。</w:t>
          </w:r>
        </w:p>
      </w:docPartBody>
    </w:docPart>
    <w:docPart>
      <w:docPartPr>
        <w:name w:val="{7d33d44f-1da4-46cb-aae6-37448e0904ef}"/>
        <w:style w:val=""/>
        <w:category>
          <w:name w:val="常规"/>
          <w:gallery w:val="placeholder"/>
        </w:category>
        <w:types>
          <w:type w:val="bbPlcHdr"/>
        </w:types>
        <w:behaviors>
          <w:behavior w:val="content"/>
        </w:behaviors>
        <w:description w:val=""/>
        <w:guid w:val="{7d33d44f-1da4-46cb-aae6-37448e0904ef}"/>
      </w:docPartPr>
      <w:docPartBody>
        <w:p>
          <w:r>
            <w:rPr>
              <w:color w:val="808080"/>
            </w:rPr>
            <w:t>单击此处输入文字。</w:t>
          </w:r>
        </w:p>
      </w:docPartBody>
    </w:docPart>
    <w:docPart>
      <w:docPartPr>
        <w:name w:val="{786eb754-336b-494f-a2f0-21ecb8057723}"/>
        <w:style w:val=""/>
        <w:category>
          <w:name w:val="常规"/>
          <w:gallery w:val="placeholder"/>
        </w:category>
        <w:types>
          <w:type w:val="bbPlcHdr"/>
        </w:types>
        <w:behaviors>
          <w:behavior w:val="content"/>
        </w:behaviors>
        <w:description w:val=""/>
        <w:guid w:val="{786eb754-336b-494f-a2f0-21ecb8057723}"/>
      </w:docPartPr>
      <w:docPartBody>
        <w:p>
          <w:r>
            <w:rPr>
              <w:color w:val="808080"/>
            </w:rPr>
            <w:t>单击此处输入文字。</w:t>
          </w:r>
        </w:p>
      </w:docPartBody>
    </w:docPart>
    <w:docPart>
      <w:docPartPr>
        <w:name w:val="{dc36df9d-6b02-4c86-8fbc-eb22aba8107e}"/>
        <w:style w:val=""/>
        <w:category>
          <w:name w:val="常规"/>
          <w:gallery w:val="placeholder"/>
        </w:category>
        <w:types>
          <w:type w:val="bbPlcHdr"/>
        </w:types>
        <w:behaviors>
          <w:behavior w:val="content"/>
        </w:behaviors>
        <w:description w:val=""/>
        <w:guid w:val="{dc36df9d-6b02-4c86-8fbc-eb22aba8107e}"/>
      </w:docPartPr>
      <w:docPartBody>
        <w:p>
          <w:r>
            <w:rPr>
              <w:color w:val="808080"/>
            </w:rPr>
            <w:t>单击此处输入文字。</w:t>
          </w:r>
        </w:p>
      </w:docPartBody>
    </w:docPart>
    <w:docPart>
      <w:docPartPr>
        <w:name w:val="{b27780ae-fad9-49cb-bd7d-b9f37e9a0990}"/>
        <w:style w:val=""/>
        <w:category>
          <w:name w:val="常规"/>
          <w:gallery w:val="placeholder"/>
        </w:category>
        <w:types>
          <w:type w:val="bbPlcHdr"/>
        </w:types>
        <w:behaviors>
          <w:behavior w:val="content"/>
        </w:behaviors>
        <w:description w:val=""/>
        <w:guid w:val="{b27780ae-fad9-49cb-bd7d-b9f37e9a0990}"/>
      </w:docPartPr>
      <w:docPartBody>
        <w:p>
          <w:r>
            <w:rPr>
              <w:color w:val="808080"/>
            </w:rPr>
            <w:t>单击此处输入文字。</w:t>
          </w:r>
        </w:p>
      </w:docPartBody>
    </w:docPart>
    <w:docPart>
      <w:docPartPr>
        <w:name w:val="{8f790e8f-fd32-40a2-bbc2-50600a1ee879}"/>
        <w:style w:val=""/>
        <w:category>
          <w:name w:val="常规"/>
          <w:gallery w:val="placeholder"/>
        </w:category>
        <w:types>
          <w:type w:val="bbPlcHdr"/>
        </w:types>
        <w:behaviors>
          <w:behavior w:val="content"/>
        </w:behaviors>
        <w:description w:val=""/>
        <w:guid w:val="{8f790e8f-fd32-40a2-bbc2-50600a1ee879}"/>
      </w:docPartPr>
      <w:docPartBody>
        <w:p>
          <w:r>
            <w:rPr>
              <w:color w:val="808080"/>
            </w:rPr>
            <w:t>单击此处输入文字。</w:t>
          </w:r>
        </w:p>
      </w:docPartBody>
    </w:docPart>
    <w:docPart>
      <w:docPartPr>
        <w:name w:val="{c5d0fd5c-79aa-467d-87a0-fff9beb4e0a9}"/>
        <w:style w:val=""/>
        <w:category>
          <w:name w:val="常规"/>
          <w:gallery w:val="placeholder"/>
        </w:category>
        <w:types>
          <w:type w:val="bbPlcHdr"/>
        </w:types>
        <w:behaviors>
          <w:behavior w:val="content"/>
        </w:behaviors>
        <w:description w:val=""/>
        <w:guid w:val="{c5d0fd5c-79aa-467d-87a0-fff9beb4e0a9}"/>
      </w:docPartPr>
      <w:docPartBody>
        <w:p>
          <w:r>
            <w:rPr>
              <w:color w:val="808080"/>
            </w:rPr>
            <w:t>单击此处输入文字。</w:t>
          </w:r>
        </w:p>
      </w:docPartBody>
    </w:docPart>
    <w:docPart>
      <w:docPartPr>
        <w:name w:val="{30d7e0ec-5444-4d9b-a211-c5efae9e85df}"/>
        <w:style w:val=""/>
        <w:category>
          <w:name w:val="常规"/>
          <w:gallery w:val="placeholder"/>
        </w:category>
        <w:types>
          <w:type w:val="bbPlcHdr"/>
        </w:types>
        <w:behaviors>
          <w:behavior w:val="content"/>
        </w:behaviors>
        <w:description w:val=""/>
        <w:guid w:val="{30d7e0ec-5444-4d9b-a211-c5efae9e85df}"/>
      </w:docPartPr>
      <w:docPartBody>
        <w:p>
          <w:r>
            <w:rPr>
              <w:color w:val="808080"/>
            </w:rPr>
            <w:t>单击此处输入文字。</w:t>
          </w:r>
        </w:p>
      </w:docPartBody>
    </w:docPart>
    <w:docPart>
      <w:docPartPr>
        <w:name w:val="{a4f23eb4-28b5-4015-a6e1-e8351669de34}"/>
        <w:style w:val=""/>
        <w:category>
          <w:name w:val="常规"/>
          <w:gallery w:val="placeholder"/>
        </w:category>
        <w:types>
          <w:type w:val="bbPlcHdr"/>
        </w:types>
        <w:behaviors>
          <w:behavior w:val="content"/>
        </w:behaviors>
        <w:description w:val=""/>
        <w:guid w:val="{a4f23eb4-28b5-4015-a6e1-e8351669de34}"/>
      </w:docPartPr>
      <w:docPartBody>
        <w:p>
          <w:r>
            <w:rPr>
              <w:color w:val="808080"/>
            </w:rPr>
            <w:t>单击此处输入文字。</w:t>
          </w:r>
        </w:p>
      </w:docPartBody>
    </w:docPart>
    <w:docPart>
      <w:docPartPr>
        <w:name w:val="{70c8f4e0-f139-4bb9-a49c-c3f7088d9d9c}"/>
        <w:style w:val=""/>
        <w:category>
          <w:name w:val="常规"/>
          <w:gallery w:val="placeholder"/>
        </w:category>
        <w:types>
          <w:type w:val="bbPlcHdr"/>
        </w:types>
        <w:behaviors>
          <w:behavior w:val="content"/>
        </w:behaviors>
        <w:description w:val=""/>
        <w:guid w:val="{70c8f4e0-f139-4bb9-a49c-c3f7088d9d9c}"/>
      </w:docPartPr>
      <w:docPartBody>
        <w:p>
          <w:r>
            <w:rPr>
              <w:color w:val="808080"/>
            </w:rPr>
            <w:t>单击此处输入文字。</w:t>
          </w:r>
        </w:p>
      </w:docPartBody>
    </w:docPart>
    <w:docPart>
      <w:docPartPr>
        <w:name w:val="{4c460683-b625-490e-989a-a1b31c9a01f7}"/>
        <w:style w:val=""/>
        <w:category>
          <w:name w:val="常规"/>
          <w:gallery w:val="placeholder"/>
        </w:category>
        <w:types>
          <w:type w:val="bbPlcHdr"/>
        </w:types>
        <w:behaviors>
          <w:behavior w:val="content"/>
        </w:behaviors>
        <w:description w:val=""/>
        <w:guid w:val="{4c460683-b625-490e-989a-a1b31c9a01f7}"/>
      </w:docPartPr>
      <w:docPartBody>
        <w:p>
          <w:r>
            <w:rPr>
              <w:color w:val="808080"/>
            </w:rPr>
            <w:t>单击此处输入文字。</w:t>
          </w:r>
        </w:p>
      </w:docPartBody>
    </w:docPart>
    <w:docPart>
      <w:docPartPr>
        <w:name w:val="{dbac4fde-194c-45d1-b85c-d3e251da7314}"/>
        <w:style w:val=""/>
        <w:category>
          <w:name w:val="常规"/>
          <w:gallery w:val="placeholder"/>
        </w:category>
        <w:types>
          <w:type w:val="bbPlcHdr"/>
        </w:types>
        <w:behaviors>
          <w:behavior w:val="content"/>
        </w:behaviors>
        <w:description w:val=""/>
        <w:guid w:val="{dbac4fde-194c-45d1-b85c-d3e251da7314}"/>
      </w:docPartPr>
      <w:docPartBody>
        <w:p>
          <w:r>
            <w:rPr>
              <w:color w:val="808080"/>
            </w:rPr>
            <w:t>单击此处输入文字。</w:t>
          </w:r>
        </w:p>
      </w:docPartBody>
    </w:docPart>
    <w:docPart>
      <w:docPartPr>
        <w:name w:val="{03103988-cd44-417b-91ec-f7347fdec812}"/>
        <w:style w:val=""/>
        <w:category>
          <w:name w:val="常规"/>
          <w:gallery w:val="placeholder"/>
        </w:category>
        <w:types>
          <w:type w:val="bbPlcHdr"/>
        </w:types>
        <w:behaviors>
          <w:behavior w:val="content"/>
        </w:behaviors>
        <w:description w:val=""/>
        <w:guid w:val="{03103988-cd44-417b-91ec-f7347fdec812}"/>
      </w:docPartPr>
      <w:docPartBody>
        <w:p>
          <w:r>
            <w:rPr>
              <w:color w:val="808080"/>
            </w:rPr>
            <w:t>单击此处输入文字。</w:t>
          </w:r>
        </w:p>
      </w:docPartBody>
    </w:docPart>
    <w:docPart>
      <w:docPartPr>
        <w:name w:val="{7cb6fa4d-a248-4c93-9c80-f772649c5df8}"/>
        <w:style w:val=""/>
        <w:category>
          <w:name w:val="常规"/>
          <w:gallery w:val="placeholder"/>
        </w:category>
        <w:types>
          <w:type w:val="bbPlcHdr"/>
        </w:types>
        <w:behaviors>
          <w:behavior w:val="content"/>
        </w:behaviors>
        <w:description w:val=""/>
        <w:guid w:val="{7cb6fa4d-a248-4c93-9c80-f772649c5df8}"/>
      </w:docPartPr>
      <w:docPartBody>
        <w:p>
          <w:r>
            <w:rPr>
              <w:color w:val="808080"/>
            </w:rPr>
            <w:t>单击此处输入文字。</w:t>
          </w:r>
        </w:p>
      </w:docPartBody>
    </w:docPart>
    <w:docPart>
      <w:docPartPr>
        <w:name w:val="{614b9e70-da85-478e-a72c-dbcd668a901f}"/>
        <w:style w:val=""/>
        <w:category>
          <w:name w:val="常规"/>
          <w:gallery w:val="placeholder"/>
        </w:category>
        <w:types>
          <w:type w:val="bbPlcHdr"/>
        </w:types>
        <w:behaviors>
          <w:behavior w:val="content"/>
        </w:behaviors>
        <w:description w:val=""/>
        <w:guid w:val="{614b9e70-da85-478e-a72c-dbcd668a901f}"/>
      </w:docPartPr>
      <w:docPartBody>
        <w:p>
          <w:r>
            <w:rPr>
              <w:color w:val="808080"/>
            </w:rPr>
            <w:t>单击此处输入文字。</w:t>
          </w:r>
        </w:p>
      </w:docPartBody>
    </w:docPart>
    <w:docPart>
      <w:docPartPr>
        <w:name w:val="{a23689b8-9382-4424-8ee5-f0f2e550282f}"/>
        <w:style w:val=""/>
        <w:category>
          <w:name w:val="常规"/>
          <w:gallery w:val="placeholder"/>
        </w:category>
        <w:types>
          <w:type w:val="bbPlcHdr"/>
        </w:types>
        <w:behaviors>
          <w:behavior w:val="content"/>
        </w:behaviors>
        <w:description w:val=""/>
        <w:guid w:val="{a23689b8-9382-4424-8ee5-f0f2e550282f}"/>
      </w:docPartPr>
      <w:docPartBody>
        <w:p>
          <w:r>
            <w:rPr>
              <w:color w:val="808080"/>
            </w:rPr>
            <w:t>单击此处输入文字。</w:t>
          </w:r>
        </w:p>
      </w:docPartBody>
    </w:docPart>
    <w:docPart>
      <w:docPartPr>
        <w:name w:val="{12a9c31b-4687-4434-832a-7520916b4e20}"/>
        <w:style w:val=""/>
        <w:category>
          <w:name w:val="常规"/>
          <w:gallery w:val="placeholder"/>
        </w:category>
        <w:types>
          <w:type w:val="bbPlcHdr"/>
        </w:types>
        <w:behaviors>
          <w:behavior w:val="content"/>
        </w:behaviors>
        <w:description w:val=""/>
        <w:guid w:val="{12a9c31b-4687-4434-832a-7520916b4e20}"/>
      </w:docPartPr>
      <w:docPartBody>
        <w:p>
          <w:r>
            <w:rPr>
              <w:color w:val="808080"/>
            </w:rPr>
            <w:t>单击此处输入文字。</w:t>
          </w:r>
        </w:p>
      </w:docPartBody>
    </w:docPart>
    <w:docPart>
      <w:docPartPr>
        <w:name w:val="{24fa9c23-b7b7-4431-b2ff-6c6432f0648f}"/>
        <w:style w:val=""/>
        <w:category>
          <w:name w:val="常规"/>
          <w:gallery w:val="placeholder"/>
        </w:category>
        <w:types>
          <w:type w:val="bbPlcHdr"/>
        </w:types>
        <w:behaviors>
          <w:behavior w:val="content"/>
        </w:behaviors>
        <w:description w:val=""/>
        <w:guid w:val="{24fa9c23-b7b7-4431-b2ff-6c6432f0648f}"/>
      </w:docPartPr>
      <w:docPartBody>
        <w:p>
          <w:r>
            <w:rPr>
              <w:color w:val="808080"/>
            </w:rPr>
            <w:t>单击此处输入文字。</w:t>
          </w:r>
        </w:p>
      </w:docPartBody>
    </w:docPart>
    <w:docPart>
      <w:docPartPr>
        <w:name w:val="{8f1bc6bd-6370-44e6-aef7-5a729c23010d}"/>
        <w:style w:val=""/>
        <w:category>
          <w:name w:val="常规"/>
          <w:gallery w:val="placeholder"/>
        </w:category>
        <w:types>
          <w:type w:val="bbPlcHdr"/>
        </w:types>
        <w:behaviors>
          <w:behavior w:val="content"/>
        </w:behaviors>
        <w:description w:val=""/>
        <w:guid w:val="{8f1bc6bd-6370-44e6-aef7-5a729c23010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2022-04-13T02:33:00Z</dcterms:created>
  <dc:creator>邓雨辰</dc:creator>
  <cp:lastModifiedBy>邓雨辰</cp:lastModifiedBy>
  <dcterms:modified xsi:type="dcterms:W3CDTF">2022-04-14T08:21:08Z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